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350" w:lineRule="auto"/>
        <w:ind w:right="580"/>
        <w:jc w:val="center"/>
        <w:rPr>
          <w:color w:val="auto"/>
          <w:sz w:val="20"/>
          <w:szCs w:val="20"/>
        </w:rPr>
      </w:pPr>
      <w:r>
        <w:rPr>
          <w:rFonts w:ascii="Arial" w:hAnsi="Arial" w:eastAsia="Arial" w:cs="Arial"/>
          <w:b/>
          <w:bCs/>
          <w:color w:val="auto"/>
          <w:sz w:val="32"/>
          <w:szCs w:val="32"/>
        </w:rPr>
        <w:t>THE RELATIONSHIP BETWEEN VITAMIN D STATUSES AND YOUNG</w:t>
      </w:r>
      <w:r>
        <w:rPr>
          <w:rFonts w:hint="default" w:ascii="Arial" w:hAnsi="Arial" w:eastAsia="Arial" w:cs="Arial"/>
          <w:b/>
          <w:bCs/>
          <w:color w:val="auto"/>
          <w:sz w:val="32"/>
          <w:szCs w:val="32"/>
          <w:lang w:val="en-US"/>
        </w:rPr>
        <w:t xml:space="preserve"> </w:t>
      </w:r>
      <w:r>
        <w:rPr>
          <w:rFonts w:ascii="Arial" w:hAnsi="Arial" w:eastAsia="Arial" w:cs="Arial"/>
          <w:b/>
          <w:bCs/>
          <w:color w:val="auto"/>
          <w:sz w:val="32"/>
          <w:szCs w:val="32"/>
        </w:rPr>
        <w:t>ADULT WOMEN ASTHMA</w:t>
      </w:r>
    </w:p>
    <w:p>
      <w:pPr>
        <w:spacing w:after="0" w:line="2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ind w:left="4280"/>
        <w:rPr>
          <w:color w:val="auto"/>
          <w:sz w:val="20"/>
          <w:szCs w:val="20"/>
        </w:rPr>
      </w:pPr>
      <w:r>
        <w:rPr>
          <w:rFonts w:ascii="Arial" w:hAnsi="Arial" w:eastAsia="Arial" w:cs="Arial"/>
          <w:b/>
          <w:bCs/>
          <w:color w:val="auto"/>
          <w:sz w:val="28"/>
          <w:szCs w:val="28"/>
        </w:rPr>
        <w:t>ABSTRACT</w:t>
      </w:r>
    </w:p>
    <w:p>
      <w:pPr>
        <w:spacing w:after="0" w:line="306" w:lineRule="exact"/>
        <w:rPr>
          <w:color w:val="auto"/>
          <w:sz w:val="20"/>
          <w:szCs w:val="20"/>
        </w:rPr>
      </w:pPr>
    </w:p>
    <w:p>
      <w:pPr>
        <w:spacing w:after="0" w:line="5" w:lineRule="exact"/>
        <w:rPr>
          <w:rFonts w:hint="default"/>
          <w:color w:val="auto"/>
          <w:sz w:val="20"/>
          <w:szCs w:val="20"/>
          <w:lang w:val="en-US"/>
        </w:rPr>
      </w:pPr>
      <w:r>
        <w:rPr>
          <w:rFonts w:ascii="Arial" w:hAnsi="Arial" w:eastAsia="Arial" w:cs="Arial"/>
          <w:color w:val="auto"/>
          <w:sz w:val="21"/>
          <w:szCs w:val="21"/>
        </w:rPr>
        <w:t>Although maternal vitamin D status has been linked to asthma in offspring, the relationship between vitamin D status and asthma in adults still remains unclear. The current study assessed the relationship between measures of vitamin D status and self-reported asthma/wheeze in 186 healthy women aged 18-30 years. Although the risk of asthma/wheeze symptoms was three-times higher among women with low dietary vitamin D intake (&lt;200 IU/day) than in those with higher vitamin D intake, suboptimal serum levels of 25(OH)D ( &lt;70 nmol/L) were associated with a 48% lower risk of asthma/wheeze than ―optimal‖ serum levels. These contradictory effects underscore the poor correlation between dietary vitamin D intake and serum vitamin levels and suggest that other components in vitamin D-rich foods may be protective. Alternatively, women with higher serum vitamin D levels may have spent more time outdoors, increasing their exposure to asthma triggers. This study also identified predictors of serum 25 (OH) D in this sample. In addition to total dietary vitamin D (r= 0.2; p=0.03), intake of cold cereal (p=0.02) also significantly predicted serum 25(OH)D levels. Among non-dietary factors,</w:t>
      </w:r>
      <w:bookmarkStart w:id="0" w:name="page6"/>
      <w:bookmarkEnd w:id="0"/>
      <w:r>
        <w:rPr>
          <w:rFonts w:hint="default" w:ascii="Arial" w:hAnsi="Arial" w:eastAsia="Arial" w:cs="Arial"/>
          <w:color w:val="auto"/>
          <w:sz w:val="21"/>
          <w:szCs w:val="21"/>
          <w:lang w:val="en-US"/>
        </w:rPr>
        <w:t xml:space="preserve"> </w:t>
      </w:r>
    </w:p>
    <w:p>
      <w:pPr>
        <w:spacing w:after="0" w:line="478" w:lineRule="auto"/>
        <w:ind w:left="720" w:right="80"/>
        <w:rPr>
          <w:color w:val="auto"/>
          <w:sz w:val="20"/>
          <w:szCs w:val="20"/>
        </w:rPr>
      </w:pPr>
      <w:r>
        <w:rPr>
          <w:rFonts w:ascii="Arial" w:hAnsi="Arial" w:eastAsia="Arial" w:cs="Arial"/>
          <w:color w:val="auto"/>
          <w:sz w:val="22"/>
          <w:szCs w:val="22"/>
        </w:rPr>
        <w:t>month of blood draw (p=0.05) and oral contraceptive use (p&lt;0.0001) were positive predictors of serum 25(OH) D; sunscreen use (p=0.04) was a negative predictor. After adjusting for covariates, oral contraceptive use was associated with 25(OH)D levels that were on average 24 nmol/L greater than those observed in women who did not use oral contraceptives. Additional prospective studies are needed to further evaluate the relationship between vitamin D status and 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ind w:left="3740"/>
        <w:rPr>
          <w:color w:val="auto"/>
          <w:sz w:val="20"/>
          <w:szCs w:val="20"/>
        </w:rPr>
      </w:pPr>
      <w:bookmarkStart w:id="1" w:name="page7"/>
      <w:bookmarkEnd w:id="1"/>
      <w:bookmarkStart w:id="64" w:name="_GoBack"/>
      <w:bookmarkEnd w:id="64"/>
      <w:r>
        <w:rPr>
          <w:rFonts w:ascii="Cambria" w:hAnsi="Cambria" w:eastAsia="Cambria" w:cs="Cambria"/>
          <w:b/>
          <w:bCs/>
          <w:color w:val="auto"/>
          <w:sz w:val="28"/>
          <w:szCs w:val="28"/>
        </w:rPr>
        <w:t>TABLE OF CONTENTS</w:t>
      </w:r>
    </w:p>
    <w:p>
      <w:pPr>
        <w:spacing w:after="0" w:line="46" w:lineRule="exact"/>
        <w:rPr>
          <w:color w:val="auto"/>
          <w:sz w:val="20"/>
          <w:szCs w:val="20"/>
        </w:rPr>
      </w:pPr>
    </w:p>
    <w:p>
      <w:pPr>
        <w:spacing w:after="0"/>
        <w:ind w:left="8780"/>
        <w:rPr>
          <w:color w:val="auto"/>
          <w:sz w:val="20"/>
          <w:szCs w:val="20"/>
        </w:rPr>
      </w:pPr>
      <w:r>
        <w:rPr>
          <w:rFonts w:ascii="Arial" w:hAnsi="Arial" w:eastAsia="Arial" w:cs="Arial"/>
          <w:color w:val="auto"/>
          <w:sz w:val="24"/>
          <w:szCs w:val="24"/>
        </w:rPr>
        <w:t>Page</w:t>
      </w:r>
    </w:p>
    <w:p>
      <w:pPr>
        <w:spacing w:after="0" w:line="269" w:lineRule="exact"/>
        <w:rPr>
          <w:color w:val="auto"/>
          <w:sz w:val="20"/>
          <w:szCs w:val="20"/>
        </w:rPr>
      </w:pPr>
    </w:p>
    <w:p>
      <w:pPr>
        <w:tabs>
          <w:tab w:val="left" w:leader="dot" w:pos="9160"/>
        </w:tabs>
        <w:spacing w:after="0"/>
        <w:ind w:left="720"/>
        <w:rPr>
          <w:rFonts w:ascii="Arial" w:hAnsi="Arial" w:eastAsia="Arial" w:cs="Arial"/>
          <w:color w:val="auto"/>
          <w:sz w:val="24"/>
          <w:szCs w:val="24"/>
        </w:rPr>
      </w:pPr>
      <w:r>
        <w:fldChar w:fldCharType="begin"/>
      </w:r>
      <w:r>
        <w:instrText xml:space="preserve"> HYPERLINK \l "page5" \h </w:instrText>
      </w:r>
      <w:r>
        <w:fldChar w:fldCharType="separate"/>
      </w:r>
      <w:r>
        <w:rPr>
          <w:rFonts w:ascii="Arial" w:hAnsi="Arial" w:eastAsia="Arial" w:cs="Arial"/>
          <w:color w:val="auto"/>
          <w:sz w:val="24"/>
          <w:szCs w:val="24"/>
        </w:rPr>
        <w:t>ABSTRACT</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"page5" \h </w:instrText>
      </w:r>
      <w:r>
        <w:fldChar w:fldCharType="separate"/>
      </w:r>
      <w:r>
        <w:rPr>
          <w:rFonts w:ascii="Arial" w:hAnsi="Arial" w:eastAsia="Arial" w:cs="Arial"/>
          <w:color w:val="auto"/>
          <w:sz w:val="24"/>
          <w:szCs w:val="24"/>
        </w:rPr>
        <w:t>iv</w:t>
      </w:r>
      <w:r>
        <w:rPr>
          <w:rFonts w:ascii="Arial" w:hAnsi="Arial" w:eastAsia="Arial" w:cs="Arial"/>
          <w:color w:val="auto"/>
          <w:sz w:val="24"/>
          <w:szCs w:val="24"/>
        </w:rPr>
        <w:fldChar w:fldCharType="end"/>
      </w:r>
    </w:p>
    <w:p>
      <w:pPr>
        <w:spacing w:after="0" w:line="276" w:lineRule="exact"/>
        <w:rPr>
          <w:color w:val="auto"/>
          <w:sz w:val="20"/>
          <w:szCs w:val="20"/>
        </w:rPr>
      </w:pPr>
    </w:p>
    <w:p>
      <w:pPr>
        <w:tabs>
          <w:tab w:val="left" w:leader="dot" w:pos="9060"/>
        </w:tabs>
        <w:spacing w:after="0"/>
        <w:ind w:left="720"/>
        <w:rPr>
          <w:rFonts w:ascii="Arial" w:hAnsi="Arial" w:eastAsia="Arial" w:cs="Arial"/>
          <w:color w:val="auto"/>
          <w:sz w:val="24"/>
          <w:szCs w:val="24"/>
        </w:rPr>
      </w:pPr>
      <w:r>
        <w:fldChar w:fldCharType="begin"/>
      </w:r>
      <w:r>
        <w:instrText xml:space="preserve"> HYPERLINK \l "page9" \h </w:instrText>
      </w:r>
      <w:r>
        <w:fldChar w:fldCharType="separate"/>
      </w:r>
      <w:r>
        <w:rPr>
          <w:rFonts w:ascii="Arial" w:hAnsi="Arial" w:eastAsia="Arial" w:cs="Arial"/>
          <w:color w:val="auto"/>
          <w:sz w:val="24"/>
          <w:szCs w:val="24"/>
        </w:rPr>
        <w:t>LIST OF TABLES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"page9" \h </w:instrText>
      </w:r>
      <w:r>
        <w:fldChar w:fldCharType="separate"/>
      </w:r>
      <w:r>
        <w:rPr>
          <w:rFonts w:ascii="Arial" w:hAnsi="Arial" w:eastAsia="Arial" w:cs="Arial"/>
          <w:color w:val="auto"/>
          <w:sz w:val="24"/>
          <w:szCs w:val="24"/>
        </w:rPr>
        <w:t>viii</w:t>
      </w:r>
      <w:r>
        <w:rPr>
          <w:rFonts w:ascii="Arial" w:hAnsi="Arial" w:eastAsia="Arial" w:cs="Arial"/>
          <w:color w:val="auto"/>
          <w:sz w:val="24"/>
          <w:szCs w:val="24"/>
        </w:rPr>
        <w:fldChar w:fldCharType="end"/>
      </w:r>
    </w:p>
    <w:p>
      <w:pPr>
        <w:spacing w:after="0" w:line="276" w:lineRule="exact"/>
        <w:rPr>
          <w:color w:val="auto"/>
          <w:sz w:val="20"/>
          <w:szCs w:val="20"/>
        </w:rPr>
      </w:pPr>
    </w:p>
    <w:p>
      <w:pPr>
        <w:tabs>
          <w:tab w:val="left" w:leader="dot" w:pos="9160"/>
        </w:tabs>
        <w:spacing w:after="0"/>
        <w:ind w:left="720"/>
        <w:rPr>
          <w:rFonts w:ascii="Arial" w:hAnsi="Arial" w:eastAsia="Arial" w:cs="Arial"/>
          <w:color w:val="auto"/>
          <w:sz w:val="24"/>
          <w:szCs w:val="24"/>
        </w:rPr>
      </w:pPr>
      <w:r>
        <w:fldChar w:fldCharType="begin"/>
      </w:r>
      <w:r>
        <w:instrText xml:space="preserve"> HYPERLINK \l "page10" \h </w:instrText>
      </w:r>
      <w:r>
        <w:fldChar w:fldCharType="separate"/>
      </w:r>
      <w:r>
        <w:rPr>
          <w:rFonts w:ascii="Arial" w:hAnsi="Arial" w:eastAsia="Arial" w:cs="Arial"/>
          <w:color w:val="auto"/>
          <w:sz w:val="24"/>
          <w:szCs w:val="24"/>
        </w:rPr>
        <w:t>LIST OF FIGURES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"page10" \h </w:instrText>
      </w:r>
      <w:r>
        <w:fldChar w:fldCharType="separate"/>
      </w:r>
      <w:r>
        <w:rPr>
          <w:rFonts w:ascii="Arial" w:hAnsi="Arial" w:eastAsia="Arial" w:cs="Arial"/>
          <w:color w:val="auto"/>
          <w:sz w:val="24"/>
          <w:szCs w:val="24"/>
        </w:rPr>
        <w:t>ix</w:t>
      </w:r>
      <w:r>
        <w:rPr>
          <w:rFonts w:ascii="Arial" w:hAnsi="Arial" w:eastAsia="Arial" w:cs="Arial"/>
          <w:color w:val="auto"/>
          <w:sz w:val="24"/>
          <w:szCs w:val="24"/>
        </w:rPr>
        <w:fldChar w:fldCharType="end"/>
      </w:r>
    </w:p>
    <w:p>
      <w:pPr>
        <w:spacing w:after="0" w:line="276" w:lineRule="exact"/>
        <w:rPr>
          <w:color w:val="auto"/>
          <w:sz w:val="20"/>
          <w:szCs w:val="20"/>
        </w:rPr>
      </w:pPr>
    </w:p>
    <w:p>
      <w:pPr>
        <w:spacing w:after="0"/>
        <w:ind w:left="720"/>
        <w:rPr>
          <w:color w:val="auto"/>
          <w:sz w:val="20"/>
          <w:szCs w:val="20"/>
        </w:rPr>
      </w:pPr>
      <w:r>
        <w:rPr>
          <w:rFonts w:ascii="Arial" w:hAnsi="Arial" w:eastAsia="Arial" w:cs="Arial"/>
          <w:color w:val="auto"/>
          <w:sz w:val="24"/>
          <w:szCs w:val="24"/>
        </w:rPr>
        <w:t>CHAPTER</w:t>
      </w:r>
    </w:p>
    <w:p>
      <w:pPr>
        <w:spacing w:after="0" w:line="276" w:lineRule="exact"/>
        <w:rPr>
          <w:color w:val="auto"/>
          <w:sz w:val="20"/>
          <w:szCs w:val="20"/>
        </w:rPr>
      </w:pPr>
    </w:p>
    <w:p>
      <w:pPr>
        <w:tabs>
          <w:tab w:val="left" w:pos="1440"/>
          <w:tab w:val="left" w:leader="dot" w:pos="9200"/>
        </w:tabs>
        <w:spacing w:after="0"/>
        <w:ind w:left="720"/>
        <w:rPr>
          <w:rFonts w:ascii="Arial" w:hAnsi="Arial" w:eastAsia="Arial" w:cs="Arial"/>
          <w:color w:val="auto"/>
          <w:sz w:val="24"/>
          <w:szCs w:val="24"/>
        </w:rPr>
      </w:pPr>
      <w:r>
        <w:rPr>
          <w:rFonts w:ascii="Arial" w:hAnsi="Arial" w:eastAsia="Arial" w:cs="Arial"/>
          <w:color w:val="auto"/>
          <w:sz w:val="24"/>
          <w:szCs w:val="24"/>
        </w:rPr>
        <w:t>1.</w:t>
      </w:r>
      <w:r>
        <w:rPr>
          <w:color w:val="auto"/>
          <w:sz w:val="20"/>
          <w:szCs w:val="20"/>
        </w:rPr>
        <w:tab/>
      </w:r>
      <w:r>
        <w:fldChar w:fldCharType="begin"/>
      </w:r>
      <w:r>
        <w:instrText xml:space="preserve"> HYPERLINK \l "page11" \h </w:instrText>
      </w:r>
      <w:r>
        <w:fldChar w:fldCharType="separate"/>
      </w:r>
      <w:r>
        <w:rPr>
          <w:rFonts w:ascii="Arial" w:hAnsi="Arial" w:eastAsia="Arial" w:cs="Arial"/>
          <w:color w:val="auto"/>
          <w:sz w:val="24"/>
          <w:szCs w:val="24"/>
        </w:rPr>
        <w:t>INTRODUCTION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"page11" \h </w:instrText>
      </w:r>
      <w:r>
        <w:fldChar w:fldCharType="separate"/>
      </w:r>
      <w:r>
        <w:rPr>
          <w:rFonts w:ascii="Arial" w:hAnsi="Arial" w:eastAsia="Arial" w:cs="Arial"/>
          <w:color w:val="auto"/>
          <w:sz w:val="24"/>
          <w:szCs w:val="24"/>
        </w:rPr>
        <w:t>1</w:t>
      </w:r>
      <w:r>
        <w:rPr>
          <w:rFonts w:ascii="Arial" w:hAnsi="Arial" w:eastAsia="Arial" w:cs="Arial"/>
          <w:color w:val="auto"/>
          <w:sz w:val="24"/>
          <w:szCs w:val="24"/>
        </w:rPr>
        <w:fldChar w:fldCharType="end"/>
      </w:r>
    </w:p>
    <w:p>
      <w:pPr>
        <w:spacing w:after="0" w:line="277" w:lineRule="exact"/>
        <w:rPr>
          <w:color w:val="auto"/>
          <w:sz w:val="20"/>
          <w:szCs w:val="20"/>
        </w:rPr>
      </w:pPr>
    </w:p>
    <w:p>
      <w:pPr>
        <w:tabs>
          <w:tab w:val="left" w:pos="1440"/>
          <w:tab w:val="left" w:leader="dot" w:pos="9200"/>
        </w:tabs>
        <w:spacing w:after="0"/>
        <w:ind w:left="720"/>
        <w:rPr>
          <w:rFonts w:ascii="Arial" w:hAnsi="Arial" w:eastAsia="Arial" w:cs="Arial"/>
          <w:color w:val="auto"/>
          <w:sz w:val="24"/>
          <w:szCs w:val="24"/>
        </w:rPr>
      </w:pPr>
      <w:r>
        <w:rPr>
          <w:rFonts w:ascii="Arial" w:hAnsi="Arial" w:eastAsia="Arial" w:cs="Arial"/>
          <w:color w:val="auto"/>
          <w:sz w:val="24"/>
          <w:szCs w:val="24"/>
        </w:rPr>
        <w:t>2.</w:t>
      </w:r>
      <w:r>
        <w:rPr>
          <w:color w:val="auto"/>
          <w:sz w:val="20"/>
          <w:szCs w:val="20"/>
        </w:rPr>
        <w:tab/>
      </w:r>
      <w:r>
        <w:fldChar w:fldCharType="begin"/>
      </w:r>
      <w:r>
        <w:instrText xml:space="preserve"> HYPERLINK \l "page13" \h </w:instrText>
      </w:r>
      <w:r>
        <w:fldChar w:fldCharType="separate"/>
      </w:r>
      <w:r>
        <w:rPr>
          <w:rFonts w:ascii="Arial" w:hAnsi="Arial" w:eastAsia="Arial" w:cs="Arial"/>
          <w:color w:val="auto"/>
          <w:sz w:val="24"/>
          <w:szCs w:val="24"/>
        </w:rPr>
        <w:t>ASTHMA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"page13" \h </w:instrText>
      </w:r>
      <w:r>
        <w:fldChar w:fldCharType="separate"/>
      </w:r>
      <w:r>
        <w:rPr>
          <w:rFonts w:ascii="Arial" w:hAnsi="Arial" w:eastAsia="Arial" w:cs="Arial"/>
          <w:color w:val="auto"/>
          <w:sz w:val="24"/>
          <w:szCs w:val="24"/>
        </w:rPr>
        <w:t>3</w:t>
      </w:r>
      <w:r>
        <w:rPr>
          <w:rFonts w:ascii="Arial" w:hAnsi="Arial" w:eastAsia="Arial" w:cs="Arial"/>
          <w:color w:val="auto"/>
          <w:sz w:val="24"/>
          <w:szCs w:val="24"/>
        </w:rPr>
        <w:fldChar w:fldCharType="end"/>
      </w:r>
    </w:p>
    <w:p>
      <w:pPr>
        <w:spacing w:after="0" w:line="276" w:lineRule="exact"/>
        <w:rPr>
          <w:color w:val="auto"/>
          <w:sz w:val="20"/>
          <w:szCs w:val="20"/>
        </w:rPr>
      </w:pPr>
    </w:p>
    <w:p>
      <w:pPr>
        <w:tabs>
          <w:tab w:val="left" w:leader="dot" w:pos="9200"/>
        </w:tabs>
        <w:spacing w:after="0"/>
        <w:ind w:left="1440"/>
        <w:rPr>
          <w:rFonts w:ascii="Arial" w:hAnsi="Arial" w:eastAsia="Arial" w:cs="Arial"/>
          <w:color w:val="auto"/>
          <w:sz w:val="24"/>
          <w:szCs w:val="24"/>
        </w:rPr>
      </w:pPr>
      <w:r>
        <w:fldChar w:fldCharType="begin"/>
      </w:r>
      <w:r>
        <w:instrText xml:space="preserve"> HYPERLINK \l "page14" \h </w:instrText>
      </w:r>
      <w:r>
        <w:fldChar w:fldCharType="separate"/>
      </w:r>
      <w:r>
        <w:rPr>
          <w:rFonts w:ascii="Arial" w:hAnsi="Arial" w:eastAsia="Arial" w:cs="Arial"/>
          <w:color w:val="auto"/>
          <w:sz w:val="24"/>
          <w:szCs w:val="24"/>
        </w:rPr>
        <w:t>The Pathophysiology of Asthma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"page14" \h </w:instrText>
      </w:r>
      <w:r>
        <w:fldChar w:fldCharType="separate"/>
      </w:r>
      <w:r>
        <w:rPr>
          <w:rFonts w:ascii="Arial" w:hAnsi="Arial" w:eastAsia="Arial" w:cs="Arial"/>
          <w:color w:val="auto"/>
          <w:sz w:val="24"/>
          <w:szCs w:val="24"/>
        </w:rPr>
        <w:t>4</w:t>
      </w:r>
      <w:r>
        <w:rPr>
          <w:rFonts w:ascii="Arial" w:hAnsi="Arial" w:eastAsia="Arial" w:cs="Arial"/>
          <w:color w:val="auto"/>
          <w:sz w:val="24"/>
          <w:szCs w:val="24"/>
        </w:rPr>
        <w:fldChar w:fldCharType="end"/>
      </w:r>
    </w:p>
    <w:p>
      <w:pPr>
        <w:tabs>
          <w:tab w:val="left" w:leader="dot" w:pos="9200"/>
        </w:tabs>
        <w:spacing w:after="0"/>
        <w:ind w:left="2160"/>
        <w:rPr>
          <w:rFonts w:ascii="Arial" w:hAnsi="Arial" w:eastAsia="Arial" w:cs="Arial"/>
          <w:color w:val="auto"/>
          <w:sz w:val="24"/>
          <w:szCs w:val="24"/>
        </w:rPr>
      </w:pPr>
      <w:r>
        <w:fldChar w:fldCharType="begin"/>
      </w:r>
      <w:r>
        <w:instrText xml:space="preserve"> HYPERLINK \l "page14" \h </w:instrText>
      </w:r>
      <w:r>
        <w:fldChar w:fldCharType="separate"/>
      </w:r>
      <w:r>
        <w:rPr>
          <w:rFonts w:ascii="Arial" w:hAnsi="Arial" w:eastAsia="Arial" w:cs="Arial"/>
          <w:color w:val="auto"/>
          <w:sz w:val="24"/>
          <w:szCs w:val="24"/>
        </w:rPr>
        <w:t>Inflammation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"page14" \h </w:instrText>
      </w:r>
      <w:r>
        <w:fldChar w:fldCharType="separate"/>
      </w:r>
      <w:r>
        <w:rPr>
          <w:rFonts w:ascii="Arial" w:hAnsi="Arial" w:eastAsia="Arial" w:cs="Arial"/>
          <w:color w:val="auto"/>
          <w:sz w:val="24"/>
          <w:szCs w:val="24"/>
        </w:rPr>
        <w:t>4</w:t>
      </w:r>
      <w:r>
        <w:rPr>
          <w:rFonts w:ascii="Arial" w:hAnsi="Arial" w:eastAsia="Arial" w:cs="Arial"/>
          <w:color w:val="auto"/>
          <w:sz w:val="24"/>
          <w:szCs w:val="24"/>
        </w:rPr>
        <w:fldChar w:fldCharType="end"/>
      </w:r>
    </w:p>
    <w:p>
      <w:pPr>
        <w:tabs>
          <w:tab w:val="left" w:leader="dot" w:pos="9200"/>
        </w:tabs>
        <w:spacing w:after="0"/>
        <w:ind w:left="2160"/>
        <w:rPr>
          <w:rFonts w:ascii="Arial" w:hAnsi="Arial" w:eastAsia="Arial" w:cs="Arial"/>
          <w:color w:val="auto"/>
          <w:sz w:val="24"/>
          <w:szCs w:val="24"/>
        </w:rPr>
      </w:pPr>
      <w:r>
        <w:fldChar w:fldCharType="begin"/>
      </w:r>
      <w:r>
        <w:instrText xml:space="preserve"> HYPERLINK \l "page15" \h </w:instrText>
      </w:r>
      <w:r>
        <w:fldChar w:fldCharType="separate"/>
      </w:r>
      <w:r>
        <w:rPr>
          <w:rFonts w:ascii="Arial" w:hAnsi="Arial" w:eastAsia="Arial" w:cs="Arial"/>
          <w:color w:val="auto"/>
          <w:sz w:val="24"/>
          <w:szCs w:val="24"/>
        </w:rPr>
        <w:t>Bronchial hyperresponsiveness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"page15" \h </w:instrText>
      </w:r>
      <w:r>
        <w:fldChar w:fldCharType="separate"/>
      </w:r>
      <w:r>
        <w:rPr>
          <w:rFonts w:ascii="Arial" w:hAnsi="Arial" w:eastAsia="Arial" w:cs="Arial"/>
          <w:color w:val="auto"/>
          <w:sz w:val="24"/>
          <w:szCs w:val="24"/>
        </w:rPr>
        <w:t>5</w:t>
      </w:r>
      <w:r>
        <w:rPr>
          <w:rFonts w:ascii="Arial" w:hAnsi="Arial" w:eastAsia="Arial" w:cs="Arial"/>
          <w:color w:val="auto"/>
          <w:sz w:val="24"/>
          <w:szCs w:val="24"/>
        </w:rPr>
        <w:fldChar w:fldCharType="end"/>
      </w:r>
    </w:p>
    <w:p>
      <w:pPr>
        <w:tabs>
          <w:tab w:val="left" w:leader="dot" w:pos="9200"/>
        </w:tabs>
        <w:spacing w:after="0"/>
        <w:ind w:left="2160"/>
        <w:rPr>
          <w:rFonts w:ascii="Arial" w:hAnsi="Arial" w:eastAsia="Arial" w:cs="Arial"/>
          <w:color w:val="auto"/>
          <w:sz w:val="24"/>
          <w:szCs w:val="24"/>
        </w:rPr>
      </w:pPr>
      <w:r>
        <w:fldChar w:fldCharType="begin"/>
      </w:r>
      <w:r>
        <w:instrText xml:space="preserve"> HYPERLINK \l "page16" \h </w:instrText>
      </w:r>
      <w:r>
        <w:fldChar w:fldCharType="separate"/>
      </w:r>
      <w:r>
        <w:rPr>
          <w:rFonts w:ascii="Arial" w:hAnsi="Arial" w:eastAsia="Arial" w:cs="Arial"/>
          <w:color w:val="auto"/>
          <w:sz w:val="24"/>
          <w:szCs w:val="24"/>
        </w:rPr>
        <w:t>Reversible airway obstruction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"page16" \h </w:instrText>
      </w:r>
      <w:r>
        <w:fldChar w:fldCharType="separate"/>
      </w:r>
      <w:r>
        <w:rPr>
          <w:rFonts w:ascii="Arial" w:hAnsi="Arial" w:eastAsia="Arial" w:cs="Arial"/>
          <w:color w:val="auto"/>
          <w:sz w:val="24"/>
          <w:szCs w:val="24"/>
        </w:rPr>
        <w:t>6</w:t>
      </w:r>
      <w:r>
        <w:rPr>
          <w:rFonts w:ascii="Arial" w:hAnsi="Arial" w:eastAsia="Arial" w:cs="Arial"/>
          <w:color w:val="auto"/>
          <w:sz w:val="24"/>
          <w:szCs w:val="24"/>
        </w:rPr>
        <w:fldChar w:fldCharType="end"/>
      </w:r>
    </w:p>
    <w:p>
      <w:pPr>
        <w:spacing w:after="0" w:line="276" w:lineRule="exact"/>
        <w:rPr>
          <w:color w:val="auto"/>
          <w:sz w:val="20"/>
          <w:szCs w:val="20"/>
        </w:rPr>
      </w:pPr>
    </w:p>
    <w:p>
      <w:pPr>
        <w:tabs>
          <w:tab w:val="left" w:leader="dot" w:pos="9200"/>
        </w:tabs>
        <w:spacing w:after="0"/>
        <w:ind w:left="1440"/>
        <w:rPr>
          <w:rFonts w:ascii="Arial" w:hAnsi="Arial" w:eastAsia="Arial" w:cs="Arial"/>
          <w:color w:val="auto"/>
          <w:sz w:val="24"/>
          <w:szCs w:val="24"/>
        </w:rPr>
      </w:pPr>
      <w:r>
        <w:fldChar w:fldCharType="begin"/>
      </w:r>
      <w:r>
        <w:instrText xml:space="preserve"> HYPERLINK \l "page16" \h </w:instrText>
      </w:r>
      <w:r>
        <w:fldChar w:fldCharType="separate"/>
      </w:r>
      <w:r>
        <w:rPr>
          <w:rFonts w:ascii="Arial" w:hAnsi="Arial" w:eastAsia="Arial" w:cs="Arial"/>
          <w:color w:val="auto"/>
          <w:sz w:val="24"/>
          <w:szCs w:val="24"/>
        </w:rPr>
        <w:t>Etiology (Pathogenesis)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"page16" \h </w:instrText>
      </w:r>
      <w:r>
        <w:fldChar w:fldCharType="separate"/>
      </w:r>
      <w:r>
        <w:rPr>
          <w:rFonts w:ascii="Arial" w:hAnsi="Arial" w:eastAsia="Arial" w:cs="Arial"/>
          <w:color w:val="auto"/>
          <w:sz w:val="24"/>
          <w:szCs w:val="24"/>
        </w:rPr>
        <w:t>6</w:t>
      </w:r>
      <w:r>
        <w:rPr>
          <w:rFonts w:ascii="Arial" w:hAnsi="Arial" w:eastAsia="Arial" w:cs="Arial"/>
          <w:color w:val="auto"/>
          <w:sz w:val="24"/>
          <w:szCs w:val="24"/>
        </w:rPr>
        <w:fldChar w:fldCharType="end"/>
      </w:r>
    </w:p>
    <w:p>
      <w:pPr>
        <w:tabs>
          <w:tab w:val="left" w:leader="dot" w:pos="9200"/>
        </w:tabs>
        <w:spacing w:after="0"/>
        <w:ind w:left="2160"/>
        <w:rPr>
          <w:rFonts w:ascii="Arial" w:hAnsi="Arial" w:eastAsia="Arial" w:cs="Arial"/>
          <w:color w:val="auto"/>
          <w:sz w:val="24"/>
          <w:szCs w:val="24"/>
        </w:rPr>
      </w:pPr>
      <w:r>
        <w:fldChar w:fldCharType="begin"/>
      </w:r>
      <w:r>
        <w:instrText xml:space="preserve"> HYPERLINK \l "page17" \h </w:instrText>
      </w:r>
      <w:r>
        <w:fldChar w:fldCharType="separate"/>
      </w:r>
      <w:r>
        <w:rPr>
          <w:rFonts w:ascii="Arial" w:hAnsi="Arial" w:eastAsia="Arial" w:cs="Arial"/>
          <w:color w:val="auto"/>
          <w:sz w:val="24"/>
          <w:szCs w:val="24"/>
        </w:rPr>
        <w:t>Host Factors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"page17" \h </w:instrText>
      </w:r>
      <w:r>
        <w:fldChar w:fldCharType="separate"/>
      </w:r>
      <w:r>
        <w:rPr>
          <w:rFonts w:ascii="Arial" w:hAnsi="Arial" w:eastAsia="Arial" w:cs="Arial"/>
          <w:color w:val="auto"/>
          <w:sz w:val="24"/>
          <w:szCs w:val="24"/>
        </w:rPr>
        <w:t>7</w:t>
      </w:r>
      <w:r>
        <w:rPr>
          <w:rFonts w:ascii="Arial" w:hAnsi="Arial" w:eastAsia="Arial" w:cs="Arial"/>
          <w:color w:val="auto"/>
          <w:sz w:val="24"/>
          <w:szCs w:val="24"/>
        </w:rPr>
        <w:fldChar w:fldCharType="end"/>
      </w:r>
    </w:p>
    <w:p>
      <w:pPr>
        <w:tabs>
          <w:tab w:val="left" w:leader="dot" w:pos="9200"/>
        </w:tabs>
        <w:spacing w:after="0"/>
        <w:ind w:left="2160"/>
        <w:rPr>
          <w:rFonts w:ascii="Arial" w:hAnsi="Arial" w:eastAsia="Arial" w:cs="Arial"/>
          <w:color w:val="auto"/>
          <w:sz w:val="24"/>
          <w:szCs w:val="24"/>
        </w:rPr>
      </w:pPr>
      <w:r>
        <w:fldChar w:fldCharType="begin"/>
      </w:r>
      <w:r>
        <w:instrText xml:space="preserve"> HYPERLINK \l "page18" \h </w:instrText>
      </w:r>
      <w:r>
        <w:fldChar w:fldCharType="separate"/>
      </w:r>
      <w:r>
        <w:rPr>
          <w:rFonts w:ascii="Arial" w:hAnsi="Arial" w:eastAsia="Arial" w:cs="Arial"/>
          <w:color w:val="auto"/>
          <w:sz w:val="24"/>
          <w:szCs w:val="24"/>
        </w:rPr>
        <w:t>Environmental factors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"page18" \h </w:instrText>
      </w:r>
      <w:r>
        <w:fldChar w:fldCharType="separate"/>
      </w:r>
      <w:r>
        <w:rPr>
          <w:rFonts w:ascii="Arial" w:hAnsi="Arial" w:eastAsia="Arial" w:cs="Arial"/>
          <w:color w:val="auto"/>
          <w:sz w:val="24"/>
          <w:szCs w:val="24"/>
        </w:rPr>
        <w:t>8</w:t>
      </w:r>
      <w:r>
        <w:rPr>
          <w:rFonts w:ascii="Arial" w:hAnsi="Arial" w:eastAsia="Arial" w:cs="Arial"/>
          <w:color w:val="auto"/>
          <w:sz w:val="24"/>
          <w:szCs w:val="24"/>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"page20" \h </w:instrText>
      </w:r>
      <w:r>
        <w:fldChar w:fldCharType="separate"/>
      </w:r>
      <w:r>
        <w:rPr>
          <w:rFonts w:ascii="Arial" w:hAnsi="Arial" w:eastAsia="Arial" w:cs="Arial"/>
          <w:color w:val="auto"/>
          <w:sz w:val="24"/>
          <w:szCs w:val="24"/>
        </w:rPr>
        <w:t>Classification of Asthma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"page20" \h </w:instrText>
      </w:r>
      <w:r>
        <w:fldChar w:fldCharType="separate"/>
      </w:r>
      <w:r>
        <w:rPr>
          <w:rFonts w:ascii="Arial" w:hAnsi="Arial" w:eastAsia="Arial" w:cs="Arial"/>
          <w:color w:val="auto"/>
          <w:sz w:val="23"/>
          <w:szCs w:val="23"/>
        </w:rPr>
        <w:t>10</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"page21" \h </w:instrText>
      </w:r>
      <w:r>
        <w:fldChar w:fldCharType="separate"/>
      </w:r>
      <w:r>
        <w:rPr>
          <w:rFonts w:ascii="Arial" w:hAnsi="Arial" w:eastAsia="Arial" w:cs="Arial"/>
          <w:color w:val="auto"/>
          <w:sz w:val="24"/>
          <w:szCs w:val="24"/>
        </w:rPr>
        <w:t>Symptoms and Diagnosis of Asthma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"page21" \h </w:instrText>
      </w:r>
      <w:r>
        <w:fldChar w:fldCharType="separate"/>
      </w:r>
      <w:r>
        <w:rPr>
          <w:rFonts w:ascii="Arial" w:hAnsi="Arial" w:eastAsia="Arial" w:cs="Arial"/>
          <w:color w:val="auto"/>
          <w:sz w:val="23"/>
          <w:szCs w:val="23"/>
        </w:rPr>
        <w:t>11</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pos="1440"/>
          <w:tab w:val="left" w:leader="dot" w:pos="9080"/>
        </w:tabs>
        <w:spacing w:after="0"/>
        <w:ind w:left="720"/>
        <w:rPr>
          <w:rFonts w:ascii="Arial" w:hAnsi="Arial" w:eastAsia="Arial" w:cs="Arial"/>
          <w:color w:val="auto"/>
          <w:sz w:val="23"/>
          <w:szCs w:val="23"/>
        </w:rPr>
      </w:pPr>
      <w:r>
        <w:rPr>
          <w:rFonts w:ascii="Arial" w:hAnsi="Arial" w:eastAsia="Arial" w:cs="Arial"/>
          <w:color w:val="auto"/>
          <w:sz w:val="24"/>
          <w:szCs w:val="24"/>
        </w:rPr>
        <w:t>3.</w:t>
      </w:r>
      <w:r>
        <w:rPr>
          <w:color w:val="auto"/>
          <w:sz w:val="20"/>
          <w:szCs w:val="20"/>
        </w:rPr>
        <w:tab/>
      </w:r>
      <w:r>
        <w:fldChar w:fldCharType="begin"/>
      </w:r>
      <w:r>
        <w:instrText xml:space="preserve"> HYPERLINK \l "page23" \h </w:instrText>
      </w:r>
      <w:r>
        <w:fldChar w:fldCharType="separate"/>
      </w:r>
      <w:r>
        <w:rPr>
          <w:rFonts w:ascii="Arial" w:hAnsi="Arial" w:eastAsia="Arial" w:cs="Arial"/>
          <w:color w:val="auto"/>
          <w:sz w:val="24"/>
          <w:szCs w:val="24"/>
        </w:rPr>
        <w:t>VITAMIN D</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"page23" \h </w:instrText>
      </w:r>
      <w:r>
        <w:fldChar w:fldCharType="separate"/>
      </w:r>
      <w:r>
        <w:rPr>
          <w:rFonts w:ascii="Arial" w:hAnsi="Arial" w:eastAsia="Arial" w:cs="Arial"/>
          <w:color w:val="auto"/>
          <w:sz w:val="23"/>
          <w:szCs w:val="23"/>
        </w:rPr>
        <w:t>13</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"page23" \h </w:instrText>
      </w:r>
      <w:r>
        <w:fldChar w:fldCharType="separate"/>
      </w:r>
      <w:r>
        <w:rPr>
          <w:rFonts w:ascii="Arial" w:hAnsi="Arial" w:eastAsia="Arial" w:cs="Arial"/>
          <w:color w:val="auto"/>
          <w:sz w:val="24"/>
          <w:szCs w:val="24"/>
        </w:rPr>
        <w:t>Introduction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"page23" \h </w:instrText>
      </w:r>
      <w:r>
        <w:fldChar w:fldCharType="separate"/>
      </w:r>
      <w:r>
        <w:rPr>
          <w:rFonts w:ascii="Arial" w:hAnsi="Arial" w:eastAsia="Arial" w:cs="Arial"/>
          <w:color w:val="auto"/>
          <w:sz w:val="23"/>
          <w:szCs w:val="23"/>
        </w:rPr>
        <w:t>13</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"page25" \h </w:instrText>
      </w:r>
      <w:r>
        <w:fldChar w:fldCharType="separate"/>
      </w:r>
      <w:r>
        <w:rPr>
          <w:rFonts w:ascii="Arial" w:hAnsi="Arial" w:eastAsia="Arial" w:cs="Arial"/>
          <w:color w:val="auto"/>
          <w:sz w:val="24"/>
          <w:szCs w:val="24"/>
        </w:rPr>
        <w:t>Sources of Vitamin D</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"page25" \h </w:instrText>
      </w:r>
      <w:r>
        <w:fldChar w:fldCharType="separate"/>
      </w:r>
      <w:r>
        <w:rPr>
          <w:rFonts w:ascii="Arial" w:hAnsi="Arial" w:eastAsia="Arial" w:cs="Arial"/>
          <w:color w:val="auto"/>
          <w:sz w:val="23"/>
          <w:szCs w:val="23"/>
        </w:rPr>
        <w:t>15</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"page25" \h </w:instrText>
      </w:r>
      <w:r>
        <w:fldChar w:fldCharType="separate"/>
      </w:r>
      <w:r>
        <w:rPr>
          <w:rFonts w:ascii="Arial" w:hAnsi="Arial" w:eastAsia="Arial" w:cs="Arial"/>
          <w:color w:val="auto"/>
          <w:sz w:val="24"/>
          <w:szCs w:val="24"/>
        </w:rPr>
        <w:t>Diet</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"page25" \h </w:instrText>
      </w:r>
      <w:r>
        <w:fldChar w:fldCharType="separate"/>
      </w:r>
      <w:r>
        <w:rPr>
          <w:rFonts w:ascii="Arial" w:hAnsi="Arial" w:eastAsia="Arial" w:cs="Arial"/>
          <w:color w:val="auto"/>
          <w:sz w:val="23"/>
          <w:szCs w:val="23"/>
        </w:rPr>
        <w:t>15</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"page26" \h </w:instrText>
      </w:r>
      <w:r>
        <w:fldChar w:fldCharType="separate"/>
      </w:r>
      <w:r>
        <w:rPr>
          <w:rFonts w:ascii="Arial" w:hAnsi="Arial" w:eastAsia="Arial" w:cs="Arial"/>
          <w:color w:val="auto"/>
          <w:sz w:val="24"/>
          <w:szCs w:val="24"/>
        </w:rPr>
        <w:t>Cutaneous synthesis of vitamin D</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"page26" \h </w:instrText>
      </w:r>
      <w:r>
        <w:fldChar w:fldCharType="separate"/>
      </w:r>
      <w:r>
        <w:rPr>
          <w:rFonts w:ascii="Arial" w:hAnsi="Arial" w:eastAsia="Arial" w:cs="Arial"/>
          <w:color w:val="auto"/>
          <w:sz w:val="23"/>
          <w:szCs w:val="23"/>
        </w:rPr>
        <w:t>16</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"page27" \h </w:instrText>
      </w:r>
      <w:r>
        <w:fldChar w:fldCharType="separate"/>
      </w:r>
      <w:r>
        <w:rPr>
          <w:rFonts w:ascii="Arial" w:hAnsi="Arial" w:eastAsia="Arial" w:cs="Arial"/>
          <w:color w:val="auto"/>
          <w:sz w:val="24"/>
          <w:szCs w:val="24"/>
        </w:rPr>
        <w:t>Metabolism of Vitamin D</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"page27" \h </w:instrText>
      </w:r>
      <w:r>
        <w:fldChar w:fldCharType="separate"/>
      </w:r>
      <w:r>
        <w:rPr>
          <w:rFonts w:ascii="Arial" w:hAnsi="Arial" w:eastAsia="Arial" w:cs="Arial"/>
          <w:color w:val="auto"/>
          <w:sz w:val="23"/>
          <w:szCs w:val="23"/>
        </w:rPr>
        <w:t>17</w:t>
      </w:r>
      <w:r>
        <w:rPr>
          <w:rFonts w:ascii="Arial" w:hAnsi="Arial" w:eastAsia="Arial" w:cs="Arial"/>
          <w:color w:val="auto"/>
          <w:sz w:val="23"/>
          <w:szCs w:val="23"/>
        </w:rPr>
        <w:fldChar w:fldCharType="end"/>
      </w:r>
    </w:p>
    <w:p>
      <w:pPr>
        <w:spacing w:after="0" w:line="277"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"page29" \h </w:instrText>
      </w:r>
      <w:r>
        <w:fldChar w:fldCharType="separate"/>
      </w:r>
      <w:r>
        <w:rPr>
          <w:rFonts w:ascii="Arial" w:hAnsi="Arial" w:eastAsia="Arial" w:cs="Arial"/>
          <w:color w:val="auto"/>
          <w:sz w:val="24"/>
          <w:szCs w:val="24"/>
        </w:rPr>
        <w:t>Physiologic Role of Calcitriol</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"page29" \h </w:instrText>
      </w:r>
      <w:r>
        <w:fldChar w:fldCharType="separate"/>
      </w:r>
      <w:r>
        <w:rPr>
          <w:rFonts w:ascii="Arial" w:hAnsi="Arial" w:eastAsia="Arial" w:cs="Arial"/>
          <w:color w:val="auto"/>
          <w:sz w:val="23"/>
          <w:szCs w:val="23"/>
        </w:rPr>
        <w:t>19</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"page29" \h </w:instrText>
      </w:r>
      <w:r>
        <w:fldChar w:fldCharType="separate"/>
      </w:r>
      <w:r>
        <w:rPr>
          <w:rFonts w:ascii="Arial" w:hAnsi="Arial" w:eastAsia="Arial" w:cs="Arial"/>
          <w:color w:val="auto"/>
          <w:sz w:val="24"/>
          <w:szCs w:val="24"/>
        </w:rPr>
        <w:t>Calcium Homeostasis and Bone Metabolism</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"page29" \h </w:instrText>
      </w:r>
      <w:r>
        <w:fldChar w:fldCharType="separate"/>
      </w:r>
      <w:r>
        <w:rPr>
          <w:rFonts w:ascii="Arial" w:hAnsi="Arial" w:eastAsia="Arial" w:cs="Arial"/>
          <w:color w:val="auto"/>
          <w:sz w:val="23"/>
          <w:szCs w:val="23"/>
        </w:rPr>
        <w:t>19</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"page30" \h </w:instrText>
      </w:r>
      <w:r>
        <w:fldChar w:fldCharType="separate"/>
      </w:r>
      <w:r>
        <w:rPr>
          <w:rFonts w:ascii="Arial" w:hAnsi="Arial" w:eastAsia="Arial" w:cs="Arial"/>
          <w:color w:val="auto"/>
          <w:sz w:val="24"/>
          <w:szCs w:val="24"/>
        </w:rPr>
        <w:t>Nonskeletal function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"page30" \h </w:instrText>
      </w:r>
      <w:r>
        <w:fldChar w:fldCharType="separate"/>
      </w:r>
      <w:r>
        <w:rPr>
          <w:rFonts w:ascii="Arial" w:hAnsi="Arial" w:eastAsia="Arial" w:cs="Arial"/>
          <w:color w:val="auto"/>
          <w:sz w:val="23"/>
          <w:szCs w:val="23"/>
        </w:rPr>
        <w:t>20</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"page30" \h </w:instrText>
      </w:r>
      <w:r>
        <w:fldChar w:fldCharType="separate"/>
      </w:r>
      <w:r>
        <w:rPr>
          <w:rFonts w:ascii="Arial" w:hAnsi="Arial" w:eastAsia="Arial" w:cs="Arial"/>
          <w:color w:val="auto"/>
          <w:sz w:val="24"/>
          <w:szCs w:val="24"/>
        </w:rPr>
        <w:t>Cell proliferation and differentiation in relation to cancer</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"page30" \h </w:instrText>
      </w:r>
      <w:r>
        <w:fldChar w:fldCharType="separate"/>
      </w:r>
      <w:r>
        <w:rPr>
          <w:rFonts w:ascii="Arial" w:hAnsi="Arial" w:eastAsia="Arial" w:cs="Arial"/>
          <w:color w:val="auto"/>
          <w:sz w:val="23"/>
          <w:szCs w:val="23"/>
        </w:rPr>
        <w:t>20</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"page31" \h </w:instrText>
      </w:r>
      <w:r>
        <w:fldChar w:fldCharType="separate"/>
      </w:r>
      <w:r>
        <w:rPr>
          <w:rFonts w:ascii="Arial" w:hAnsi="Arial" w:eastAsia="Arial" w:cs="Arial"/>
          <w:color w:val="auto"/>
          <w:sz w:val="24"/>
          <w:szCs w:val="24"/>
        </w:rPr>
        <w:t>Heart disease</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"page31" \h </w:instrText>
      </w:r>
      <w:r>
        <w:fldChar w:fldCharType="separate"/>
      </w:r>
      <w:r>
        <w:rPr>
          <w:rFonts w:ascii="Arial" w:hAnsi="Arial" w:eastAsia="Arial" w:cs="Arial"/>
          <w:color w:val="auto"/>
          <w:sz w:val="23"/>
          <w:szCs w:val="23"/>
        </w:rPr>
        <w:t>21</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"page32" \h </w:instrText>
      </w:r>
      <w:r>
        <w:fldChar w:fldCharType="separate"/>
      </w:r>
      <w:r>
        <w:rPr>
          <w:rFonts w:ascii="Arial" w:hAnsi="Arial" w:eastAsia="Arial" w:cs="Arial"/>
          <w:color w:val="auto"/>
          <w:sz w:val="24"/>
          <w:szCs w:val="24"/>
        </w:rPr>
        <w:t>Diabetes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"page32" \h </w:instrText>
      </w:r>
      <w:r>
        <w:fldChar w:fldCharType="separate"/>
      </w:r>
      <w:r>
        <w:rPr>
          <w:rFonts w:ascii="Arial" w:hAnsi="Arial" w:eastAsia="Arial" w:cs="Arial"/>
          <w:color w:val="auto"/>
          <w:sz w:val="23"/>
          <w:szCs w:val="23"/>
        </w:rPr>
        <w:t>22</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"page32" \h </w:instrText>
      </w:r>
      <w:r>
        <w:fldChar w:fldCharType="separate"/>
      </w:r>
      <w:r>
        <w:rPr>
          <w:rFonts w:ascii="Arial" w:hAnsi="Arial" w:eastAsia="Arial" w:cs="Arial"/>
          <w:color w:val="auto"/>
          <w:sz w:val="24"/>
          <w:szCs w:val="24"/>
        </w:rPr>
        <w:t>Autoimmune diseases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"page32" \h </w:instrText>
      </w:r>
      <w:r>
        <w:fldChar w:fldCharType="separate"/>
      </w:r>
      <w:r>
        <w:rPr>
          <w:rFonts w:ascii="Arial" w:hAnsi="Arial" w:eastAsia="Arial" w:cs="Arial"/>
          <w:color w:val="auto"/>
          <w:sz w:val="23"/>
          <w:szCs w:val="23"/>
        </w:rPr>
        <w:t>22</w:t>
      </w:r>
      <w:r>
        <w:rPr>
          <w:rFonts w:ascii="Arial" w:hAnsi="Arial" w:eastAsia="Arial" w:cs="Arial"/>
          <w:color w:val="auto"/>
          <w:sz w:val="23"/>
          <w:szCs w:val="23"/>
        </w:rPr>
        <w:fldChar w:fldCharType="end"/>
      </w:r>
    </w:p>
    <w:p>
      <w:pPr>
        <w:tabs>
          <w:tab w:val="left" w:leader="dot" w:pos="240"/>
        </w:tabs>
        <w:spacing w:after="0"/>
        <w:jc w:val="right"/>
        <w:rPr>
          <w:rFonts w:ascii="Arial" w:hAnsi="Arial" w:eastAsia="Arial" w:cs="Arial"/>
          <w:color w:val="auto"/>
          <w:sz w:val="23"/>
          <w:szCs w:val="23"/>
        </w:rPr>
      </w:pPr>
      <w:r>
        <w:fldChar w:fldCharType="begin"/>
      </w:r>
      <w:r>
        <w:instrText xml:space="preserve"> HYPERLINK \l "page33" \h </w:instrText>
      </w:r>
      <w:r>
        <w:fldChar w:fldCharType="separate"/>
      </w:r>
      <w:r>
        <w:rPr>
          <w:rFonts w:ascii="Arial" w:hAnsi="Arial" w:eastAsia="Arial" w:cs="Arial"/>
          <w:color w:val="auto"/>
          <w:sz w:val="24"/>
          <w:szCs w:val="24"/>
        </w:rPr>
        <w:t>Infection and inflammation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"page33" \h </w:instrText>
      </w:r>
      <w:r>
        <w:fldChar w:fldCharType="separate"/>
      </w:r>
      <w:r>
        <w:rPr>
          <w:rFonts w:ascii="Arial" w:hAnsi="Arial" w:eastAsia="Arial" w:cs="Arial"/>
          <w:color w:val="auto"/>
          <w:sz w:val="23"/>
          <w:szCs w:val="23"/>
        </w:rPr>
        <w:t>23</w:t>
      </w:r>
      <w:r>
        <w:rPr>
          <w:rFonts w:ascii="Arial" w:hAnsi="Arial" w:eastAsia="Arial" w:cs="Arial"/>
          <w:color w:val="auto"/>
          <w:sz w:val="23"/>
          <w:szCs w:val="23"/>
        </w:rPr>
        <w:fldChar w:fldCharType="end"/>
      </w:r>
    </w:p>
    <w:p>
      <w:pPr>
        <w:spacing w:after="0" w:line="200" w:lineRule="exact"/>
        <w:rPr>
          <w:color w:val="auto"/>
          <w:sz w:val="20"/>
          <w:szCs w:val="20"/>
        </w:rPr>
      </w:pPr>
    </w:p>
    <w:p>
      <w:pPr>
        <w:spacing w:after="0" w:line="200" w:lineRule="exact"/>
        <w:rPr>
          <w:color w:val="auto"/>
          <w:sz w:val="20"/>
          <w:szCs w:val="20"/>
        </w:rPr>
      </w:pPr>
    </w:p>
    <w:p>
      <w:pPr>
        <w:spacing w:after="0" w:line="219" w:lineRule="exact"/>
        <w:rPr>
          <w:color w:val="auto"/>
          <w:sz w:val="20"/>
          <w:szCs w:val="20"/>
        </w:rPr>
      </w:pPr>
    </w:p>
    <w:p>
      <w:pPr>
        <w:spacing w:after="0"/>
        <w:ind w:left="4960"/>
        <w:rPr>
          <w:color w:val="auto"/>
          <w:sz w:val="20"/>
          <w:szCs w:val="20"/>
        </w:rPr>
      </w:pPr>
      <w:r>
        <w:rPr>
          <w:rFonts w:ascii="Calibri" w:hAnsi="Calibri" w:eastAsia="Calibri" w:cs="Calibri"/>
          <w:color w:val="auto"/>
          <w:sz w:val="22"/>
          <w:szCs w:val="22"/>
        </w:rPr>
        <w:t>vi</w:t>
      </w:r>
    </w:p>
    <w:p>
      <w:pPr>
        <w:sectPr>
          <w:pgSz w:w="12240" w:h="15840"/>
          <w:pgMar w:top="1438" w:right="1440" w:bottom="162" w:left="1440" w:header="0" w:footer="0" w:gutter="0"/>
          <w:cols w:equalWidth="0" w:num="1">
            <w:col w:w="9360"/>
          </w:cols>
        </w:sectPr>
      </w:pPr>
    </w:p>
    <w:p>
      <w:pPr>
        <w:tabs>
          <w:tab w:val="left" w:leader="dot" w:pos="9080"/>
        </w:tabs>
        <w:spacing w:after="0"/>
        <w:ind w:left="1440"/>
        <w:rPr>
          <w:rFonts w:ascii="Arial" w:hAnsi="Arial" w:eastAsia="Arial" w:cs="Arial"/>
          <w:color w:val="auto"/>
          <w:sz w:val="23"/>
          <w:szCs w:val="23"/>
        </w:rPr>
      </w:pPr>
      <w:bookmarkStart w:id="2" w:name="page8"/>
      <w:bookmarkEnd w:id="2"/>
      <w:r>
        <w:fldChar w:fldCharType="begin"/>
      </w:r>
      <w:r>
        <w:instrText xml:space="preserve"> HYPERLINK \l "page34" \h </w:instrText>
      </w:r>
      <w:r>
        <w:fldChar w:fldCharType="separate"/>
      </w:r>
      <w:r>
        <w:rPr>
          <w:rFonts w:ascii="Arial" w:hAnsi="Arial" w:eastAsia="Arial" w:cs="Arial"/>
          <w:color w:val="auto"/>
          <w:sz w:val="24"/>
          <w:szCs w:val="24"/>
        </w:rPr>
        <w:t>Intake Recommendations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"page34" \h </w:instrText>
      </w:r>
      <w:r>
        <w:fldChar w:fldCharType="separate"/>
      </w:r>
      <w:r>
        <w:rPr>
          <w:rFonts w:ascii="Arial" w:hAnsi="Arial" w:eastAsia="Arial" w:cs="Arial"/>
          <w:color w:val="auto"/>
          <w:sz w:val="23"/>
          <w:szCs w:val="23"/>
        </w:rPr>
        <w:t>24</w:t>
      </w:r>
      <w:r>
        <w:rPr>
          <w:rFonts w:ascii="Arial" w:hAnsi="Arial" w:eastAsia="Arial" w:cs="Arial"/>
          <w:color w:val="auto"/>
          <w:sz w:val="23"/>
          <w:szCs w:val="23"/>
        </w:rPr>
        <w:fldChar w:fldCharType="end"/>
      </w:r>
    </w:p>
    <w:p>
      <w:pPr>
        <w:spacing w:after="0" w:line="269"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"page35" \h </w:instrText>
      </w:r>
      <w:r>
        <w:fldChar w:fldCharType="separate"/>
      </w:r>
      <w:r>
        <w:rPr>
          <w:rFonts w:ascii="Arial" w:hAnsi="Arial" w:eastAsia="Arial" w:cs="Arial"/>
          <w:color w:val="auto"/>
          <w:sz w:val="24"/>
          <w:szCs w:val="24"/>
        </w:rPr>
        <w:t>Assessment of Vitamin D Status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"page35" \h </w:instrText>
      </w:r>
      <w:r>
        <w:fldChar w:fldCharType="separate"/>
      </w:r>
      <w:r>
        <w:rPr>
          <w:rFonts w:ascii="Arial" w:hAnsi="Arial" w:eastAsia="Arial" w:cs="Arial"/>
          <w:color w:val="auto"/>
          <w:sz w:val="23"/>
          <w:szCs w:val="23"/>
        </w:rPr>
        <w:t>25</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"page36" \h </w:instrText>
      </w:r>
      <w:r>
        <w:fldChar w:fldCharType="separate"/>
      </w:r>
      <w:r>
        <w:rPr>
          <w:rFonts w:ascii="Arial" w:hAnsi="Arial" w:eastAsia="Arial" w:cs="Arial"/>
          <w:color w:val="auto"/>
          <w:sz w:val="24"/>
          <w:szCs w:val="24"/>
        </w:rPr>
        <w:t>Vitamin D D Deficiency</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"page36" \h </w:instrText>
      </w:r>
      <w:r>
        <w:fldChar w:fldCharType="separate"/>
      </w:r>
      <w:r>
        <w:rPr>
          <w:rFonts w:ascii="Arial" w:hAnsi="Arial" w:eastAsia="Arial" w:cs="Arial"/>
          <w:color w:val="auto"/>
          <w:sz w:val="23"/>
          <w:szCs w:val="23"/>
        </w:rPr>
        <w:t>26</w:t>
      </w:r>
      <w:r>
        <w:rPr>
          <w:rFonts w:ascii="Arial" w:hAnsi="Arial" w:eastAsia="Arial" w:cs="Arial"/>
          <w:color w:val="auto"/>
          <w:sz w:val="23"/>
          <w:szCs w:val="23"/>
        </w:rPr>
        <w:fldChar w:fldCharType="end"/>
      </w:r>
    </w:p>
    <w:p>
      <w:pPr>
        <w:spacing w:after="0" w:line="269" w:lineRule="exact"/>
        <w:rPr>
          <w:color w:val="auto"/>
          <w:sz w:val="20"/>
          <w:szCs w:val="20"/>
        </w:rPr>
      </w:pPr>
    </w:p>
    <w:p>
      <w:pPr>
        <w:tabs>
          <w:tab w:val="left" w:pos="1440"/>
          <w:tab w:val="left" w:leader="dot" w:pos="9080"/>
        </w:tabs>
        <w:spacing w:after="0"/>
        <w:ind w:left="720"/>
        <w:rPr>
          <w:rFonts w:ascii="Arial" w:hAnsi="Arial" w:eastAsia="Arial" w:cs="Arial"/>
          <w:color w:val="auto"/>
          <w:sz w:val="24"/>
          <w:szCs w:val="24"/>
        </w:rPr>
      </w:pPr>
      <w:r>
        <w:rPr>
          <w:rFonts w:ascii="Arial" w:hAnsi="Arial" w:eastAsia="Arial" w:cs="Arial"/>
          <w:color w:val="auto"/>
          <w:sz w:val="24"/>
          <w:szCs w:val="24"/>
        </w:rPr>
        <w:t>4.</w:t>
      </w:r>
      <w:r>
        <w:rPr>
          <w:color w:val="auto"/>
          <w:sz w:val="20"/>
          <w:szCs w:val="20"/>
        </w:rPr>
        <w:tab/>
      </w:r>
      <w:r>
        <w:fldChar w:fldCharType="begin"/>
      </w:r>
      <w:r>
        <w:instrText xml:space="preserve"> HYPERLINK \l "page36" \h </w:instrText>
      </w:r>
      <w:r>
        <w:fldChar w:fldCharType="separate"/>
      </w:r>
      <w:r>
        <w:rPr>
          <w:rFonts w:ascii="Arial" w:hAnsi="Arial" w:eastAsia="Arial" w:cs="Arial"/>
          <w:color w:val="auto"/>
          <w:sz w:val="24"/>
          <w:szCs w:val="24"/>
        </w:rPr>
        <w:t>VITAMIN D AND ASTHMA</w:t>
      </w:r>
      <w:r>
        <w:rPr>
          <w:rFonts w:ascii="Arial" w:hAnsi="Arial" w:eastAsia="Arial" w:cs="Arial"/>
          <w:color w:val="auto"/>
          <w:sz w:val="24"/>
          <w:szCs w:val="24"/>
        </w:rPr>
        <w:fldChar w:fldCharType="end"/>
      </w:r>
      <w:r>
        <w:rPr>
          <w:rFonts w:ascii="Arial" w:hAnsi="Arial" w:eastAsia="Arial" w:cs="Arial"/>
          <w:color w:val="auto"/>
          <w:sz w:val="24"/>
          <w:szCs w:val="24"/>
        </w:rPr>
        <w:tab/>
      </w:r>
      <w:r>
        <w:rPr>
          <w:rFonts w:ascii="Arial" w:hAnsi="Arial" w:eastAsia="Arial" w:cs="Arial"/>
          <w:color w:val="auto"/>
          <w:sz w:val="23"/>
          <w:szCs w:val="23"/>
        </w:rPr>
        <w:t>28</w:t>
      </w:r>
    </w:p>
    <w:p>
      <w:pPr>
        <w:spacing w:after="0" w:line="269"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"page38" \h </w:instrText>
      </w:r>
      <w:r>
        <w:fldChar w:fldCharType="separate"/>
      </w:r>
      <w:r>
        <w:rPr>
          <w:rFonts w:ascii="Arial" w:hAnsi="Arial" w:eastAsia="Arial" w:cs="Arial"/>
          <w:color w:val="auto"/>
          <w:sz w:val="24"/>
          <w:szCs w:val="24"/>
        </w:rPr>
        <w:t>Innate Immunity, Infection and Vitamin D</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"page38" \h </w:instrText>
      </w:r>
      <w:r>
        <w:fldChar w:fldCharType="separate"/>
      </w:r>
      <w:r>
        <w:rPr>
          <w:rFonts w:ascii="Arial" w:hAnsi="Arial" w:eastAsia="Arial" w:cs="Arial"/>
          <w:color w:val="auto"/>
          <w:sz w:val="23"/>
          <w:szCs w:val="23"/>
        </w:rPr>
        <w:t>28</w:t>
      </w:r>
      <w:r>
        <w:rPr>
          <w:rFonts w:ascii="Arial" w:hAnsi="Arial" w:eastAsia="Arial" w:cs="Arial"/>
          <w:color w:val="auto"/>
          <w:sz w:val="23"/>
          <w:szCs w:val="23"/>
        </w:rPr>
        <w:fldChar w:fldCharType="end"/>
      </w:r>
    </w:p>
    <w:p>
      <w:pPr>
        <w:spacing w:after="0" w:line="269"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"page39" \h </w:instrText>
      </w:r>
      <w:r>
        <w:fldChar w:fldCharType="separate"/>
      </w:r>
      <w:r>
        <w:rPr>
          <w:rFonts w:ascii="Arial" w:hAnsi="Arial" w:eastAsia="Arial" w:cs="Arial"/>
          <w:color w:val="auto"/>
          <w:sz w:val="24"/>
          <w:szCs w:val="24"/>
        </w:rPr>
        <w:t>Studies Examining Vitamin D and Asthma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"page39" \h </w:instrText>
      </w:r>
      <w:r>
        <w:fldChar w:fldCharType="separate"/>
      </w:r>
      <w:r>
        <w:rPr>
          <w:rFonts w:ascii="Arial" w:hAnsi="Arial" w:eastAsia="Arial" w:cs="Arial"/>
          <w:color w:val="auto"/>
          <w:sz w:val="23"/>
          <w:szCs w:val="23"/>
        </w:rPr>
        <w:t>29</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pos="1440"/>
          <w:tab w:val="left" w:leader="dot" w:pos="9080"/>
        </w:tabs>
        <w:spacing w:after="0"/>
        <w:ind w:left="720"/>
        <w:rPr>
          <w:rFonts w:ascii="Arial" w:hAnsi="Arial" w:eastAsia="Arial" w:cs="Arial"/>
          <w:color w:val="auto"/>
          <w:sz w:val="23"/>
          <w:szCs w:val="23"/>
        </w:rPr>
      </w:pPr>
      <w:r>
        <w:rPr>
          <w:rFonts w:ascii="Arial" w:hAnsi="Arial" w:eastAsia="Arial" w:cs="Arial"/>
          <w:color w:val="auto"/>
          <w:sz w:val="24"/>
          <w:szCs w:val="24"/>
        </w:rPr>
        <w:t>5.</w:t>
      </w:r>
      <w:r>
        <w:rPr>
          <w:color w:val="auto"/>
          <w:sz w:val="20"/>
          <w:szCs w:val="20"/>
        </w:rPr>
        <w:tab/>
      </w:r>
      <w:r>
        <w:fldChar w:fldCharType="begin"/>
      </w:r>
      <w:r>
        <w:instrText xml:space="preserve"> HYPERLINK \l "page43" \h </w:instrText>
      </w:r>
      <w:r>
        <w:fldChar w:fldCharType="separate"/>
      </w:r>
      <w:r>
        <w:rPr>
          <w:rFonts w:ascii="Arial" w:hAnsi="Arial" w:eastAsia="Arial" w:cs="Arial"/>
          <w:color w:val="auto"/>
          <w:sz w:val="24"/>
          <w:szCs w:val="24"/>
        </w:rPr>
        <w:t>PURPOSE OF THE STUDY</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"page43" \h </w:instrText>
      </w:r>
      <w:r>
        <w:fldChar w:fldCharType="separate"/>
      </w:r>
      <w:r>
        <w:rPr>
          <w:rFonts w:ascii="Arial" w:hAnsi="Arial" w:eastAsia="Arial" w:cs="Arial"/>
          <w:color w:val="auto"/>
          <w:sz w:val="23"/>
          <w:szCs w:val="23"/>
        </w:rPr>
        <w:t>33</w:t>
      </w:r>
      <w:r>
        <w:rPr>
          <w:rFonts w:ascii="Arial" w:hAnsi="Arial" w:eastAsia="Arial" w:cs="Arial"/>
          <w:color w:val="auto"/>
          <w:sz w:val="23"/>
          <w:szCs w:val="23"/>
        </w:rPr>
        <w:fldChar w:fldCharType="end"/>
      </w:r>
    </w:p>
    <w:p>
      <w:pPr>
        <w:spacing w:after="0" w:line="274"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"page43" \h </w:instrText>
      </w:r>
      <w:r>
        <w:fldChar w:fldCharType="separate"/>
      </w:r>
      <w:r>
        <w:rPr>
          <w:rFonts w:ascii="Arial" w:hAnsi="Arial" w:eastAsia="Arial" w:cs="Arial"/>
          <w:color w:val="auto"/>
          <w:sz w:val="24"/>
          <w:szCs w:val="24"/>
        </w:rPr>
        <w:t>Hypotheses and Specific aims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"page43" \h </w:instrText>
      </w:r>
      <w:r>
        <w:fldChar w:fldCharType="separate"/>
      </w:r>
      <w:r>
        <w:rPr>
          <w:rFonts w:ascii="Arial" w:hAnsi="Arial" w:eastAsia="Arial" w:cs="Arial"/>
          <w:color w:val="auto"/>
          <w:sz w:val="23"/>
          <w:szCs w:val="23"/>
        </w:rPr>
        <w:t>33</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"page43" \h </w:instrText>
      </w:r>
      <w:r>
        <w:fldChar w:fldCharType="separate"/>
      </w:r>
      <w:r>
        <w:rPr>
          <w:rFonts w:ascii="Arial" w:hAnsi="Arial" w:eastAsia="Arial" w:cs="Arial"/>
          <w:color w:val="auto"/>
          <w:sz w:val="24"/>
          <w:szCs w:val="24"/>
        </w:rPr>
        <w:t>Hypotheses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"page43" \h </w:instrText>
      </w:r>
      <w:r>
        <w:fldChar w:fldCharType="separate"/>
      </w:r>
      <w:r>
        <w:rPr>
          <w:rFonts w:ascii="Arial" w:hAnsi="Arial" w:eastAsia="Arial" w:cs="Arial"/>
          <w:color w:val="auto"/>
          <w:sz w:val="23"/>
          <w:szCs w:val="23"/>
        </w:rPr>
        <w:t>33</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"page44" \h </w:instrText>
      </w:r>
      <w:r>
        <w:fldChar w:fldCharType="separate"/>
      </w:r>
      <w:r>
        <w:rPr>
          <w:rFonts w:ascii="Arial" w:hAnsi="Arial" w:eastAsia="Arial" w:cs="Arial"/>
          <w:color w:val="auto"/>
          <w:sz w:val="24"/>
          <w:szCs w:val="24"/>
        </w:rPr>
        <w:t>Specific aims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"page44" \h </w:instrText>
      </w:r>
      <w:r>
        <w:fldChar w:fldCharType="separate"/>
      </w:r>
      <w:r>
        <w:rPr>
          <w:rFonts w:ascii="Arial" w:hAnsi="Arial" w:eastAsia="Arial" w:cs="Arial"/>
          <w:color w:val="auto"/>
          <w:sz w:val="23"/>
          <w:szCs w:val="23"/>
        </w:rPr>
        <w:t>34</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pos="1440"/>
          <w:tab w:val="left" w:leader="dot" w:pos="9080"/>
        </w:tabs>
        <w:spacing w:after="0"/>
        <w:ind w:left="720"/>
        <w:rPr>
          <w:rFonts w:ascii="Arial" w:hAnsi="Arial" w:eastAsia="Arial" w:cs="Arial"/>
          <w:color w:val="auto"/>
          <w:sz w:val="23"/>
          <w:szCs w:val="23"/>
        </w:rPr>
      </w:pPr>
      <w:r>
        <w:rPr>
          <w:rFonts w:ascii="Arial" w:hAnsi="Arial" w:eastAsia="Arial" w:cs="Arial"/>
          <w:color w:val="auto"/>
          <w:sz w:val="24"/>
          <w:szCs w:val="24"/>
        </w:rPr>
        <w:t>6.</w:t>
      </w:r>
      <w:r>
        <w:rPr>
          <w:color w:val="auto"/>
          <w:sz w:val="20"/>
          <w:szCs w:val="20"/>
        </w:rPr>
        <w:tab/>
      </w:r>
      <w:r>
        <w:fldChar w:fldCharType="begin"/>
      </w:r>
      <w:r>
        <w:instrText xml:space="preserve"> HYPERLINK \l "page45" \h </w:instrText>
      </w:r>
      <w:r>
        <w:fldChar w:fldCharType="separate"/>
      </w:r>
      <w:r>
        <w:rPr>
          <w:rFonts w:ascii="Arial" w:hAnsi="Arial" w:eastAsia="Arial" w:cs="Arial"/>
          <w:color w:val="auto"/>
          <w:sz w:val="24"/>
          <w:szCs w:val="24"/>
        </w:rPr>
        <w:t>MATERIALS AND METHODS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"page45" \h </w:instrText>
      </w:r>
      <w:r>
        <w:fldChar w:fldCharType="separate"/>
      </w:r>
      <w:r>
        <w:rPr>
          <w:rFonts w:ascii="Arial" w:hAnsi="Arial" w:eastAsia="Arial" w:cs="Arial"/>
          <w:color w:val="auto"/>
          <w:sz w:val="23"/>
          <w:szCs w:val="23"/>
        </w:rPr>
        <w:t>35</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"page45" \h </w:instrText>
      </w:r>
      <w:r>
        <w:fldChar w:fldCharType="separate"/>
      </w:r>
      <w:r>
        <w:rPr>
          <w:rFonts w:ascii="Arial" w:hAnsi="Arial" w:eastAsia="Arial" w:cs="Arial"/>
          <w:color w:val="auto"/>
          <w:sz w:val="24"/>
          <w:szCs w:val="24"/>
        </w:rPr>
        <w:t>Study Subjects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"page45" \h </w:instrText>
      </w:r>
      <w:r>
        <w:fldChar w:fldCharType="separate"/>
      </w:r>
      <w:r>
        <w:rPr>
          <w:rFonts w:ascii="Arial" w:hAnsi="Arial" w:eastAsia="Arial" w:cs="Arial"/>
          <w:color w:val="auto"/>
          <w:sz w:val="23"/>
          <w:szCs w:val="23"/>
        </w:rPr>
        <w:t>35</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"page45" \h </w:instrText>
      </w:r>
      <w:r>
        <w:fldChar w:fldCharType="separate"/>
      </w:r>
      <w:r>
        <w:rPr>
          <w:rFonts w:ascii="Arial" w:hAnsi="Arial" w:eastAsia="Arial" w:cs="Arial"/>
          <w:color w:val="auto"/>
          <w:sz w:val="24"/>
          <w:szCs w:val="24"/>
        </w:rPr>
        <w:t>Data Collection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"page45" \h </w:instrText>
      </w:r>
      <w:r>
        <w:fldChar w:fldCharType="separate"/>
      </w:r>
      <w:r>
        <w:rPr>
          <w:rFonts w:ascii="Arial" w:hAnsi="Arial" w:eastAsia="Arial" w:cs="Arial"/>
          <w:color w:val="auto"/>
          <w:sz w:val="23"/>
          <w:szCs w:val="23"/>
        </w:rPr>
        <w:t>35</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"page45" \h </w:instrText>
      </w:r>
      <w:r>
        <w:fldChar w:fldCharType="separate"/>
      </w:r>
      <w:r>
        <w:rPr>
          <w:rFonts w:ascii="Arial" w:hAnsi="Arial" w:eastAsia="Arial" w:cs="Arial"/>
          <w:color w:val="auto"/>
          <w:sz w:val="24"/>
          <w:szCs w:val="24"/>
        </w:rPr>
        <w:t>Collection of dietary and demographic data</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"page45" \h </w:instrText>
      </w:r>
      <w:r>
        <w:fldChar w:fldCharType="separate"/>
      </w:r>
      <w:r>
        <w:rPr>
          <w:rFonts w:ascii="Arial" w:hAnsi="Arial" w:eastAsia="Arial" w:cs="Arial"/>
          <w:color w:val="auto"/>
          <w:sz w:val="23"/>
          <w:szCs w:val="23"/>
        </w:rPr>
        <w:t>35</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"page46" \h </w:instrText>
      </w:r>
      <w:r>
        <w:fldChar w:fldCharType="separate"/>
      </w:r>
      <w:r>
        <w:rPr>
          <w:rFonts w:ascii="Arial" w:hAnsi="Arial" w:eastAsia="Arial" w:cs="Arial"/>
          <w:color w:val="auto"/>
          <w:sz w:val="24"/>
          <w:szCs w:val="24"/>
        </w:rPr>
        <w:t>Measurements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"page46" \h </w:instrText>
      </w:r>
      <w:r>
        <w:fldChar w:fldCharType="separate"/>
      </w:r>
      <w:r>
        <w:rPr>
          <w:rFonts w:ascii="Arial" w:hAnsi="Arial" w:eastAsia="Arial" w:cs="Arial"/>
          <w:color w:val="auto"/>
          <w:sz w:val="23"/>
          <w:szCs w:val="23"/>
        </w:rPr>
        <w:t>36</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"page46" \h </w:instrText>
      </w:r>
      <w:r>
        <w:fldChar w:fldCharType="separate"/>
      </w:r>
      <w:r>
        <w:rPr>
          <w:rFonts w:ascii="Arial" w:hAnsi="Arial" w:eastAsia="Arial" w:cs="Arial"/>
          <w:color w:val="auto"/>
          <w:sz w:val="24"/>
          <w:szCs w:val="24"/>
        </w:rPr>
        <w:t>Respiratory symptom data collection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"page46" \h </w:instrText>
      </w:r>
      <w:r>
        <w:fldChar w:fldCharType="separate"/>
      </w:r>
      <w:r>
        <w:rPr>
          <w:rFonts w:ascii="Arial" w:hAnsi="Arial" w:eastAsia="Arial" w:cs="Arial"/>
          <w:color w:val="auto"/>
          <w:sz w:val="23"/>
          <w:szCs w:val="23"/>
        </w:rPr>
        <w:t>36</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"page47" \h </w:instrText>
      </w:r>
      <w:r>
        <w:fldChar w:fldCharType="separate"/>
      </w:r>
      <w:r>
        <w:rPr>
          <w:rFonts w:ascii="Arial" w:hAnsi="Arial" w:eastAsia="Arial" w:cs="Arial"/>
          <w:color w:val="auto"/>
          <w:sz w:val="24"/>
          <w:szCs w:val="24"/>
        </w:rPr>
        <w:t>Statistical Analysis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"page47" \h </w:instrText>
      </w:r>
      <w:r>
        <w:fldChar w:fldCharType="separate"/>
      </w:r>
      <w:r>
        <w:rPr>
          <w:rFonts w:ascii="Arial" w:hAnsi="Arial" w:eastAsia="Arial" w:cs="Arial"/>
          <w:color w:val="auto"/>
          <w:sz w:val="23"/>
          <w:szCs w:val="23"/>
        </w:rPr>
        <w:t>37</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"page47" \h </w:instrText>
      </w:r>
      <w:r>
        <w:fldChar w:fldCharType="separate"/>
      </w:r>
      <w:r>
        <w:rPr>
          <w:rFonts w:ascii="Arial" w:hAnsi="Arial" w:eastAsia="Arial" w:cs="Arial"/>
          <w:color w:val="auto"/>
          <w:sz w:val="24"/>
          <w:szCs w:val="24"/>
        </w:rPr>
        <w:t>Main exposure and outcome variables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"page47" \h </w:instrText>
      </w:r>
      <w:r>
        <w:fldChar w:fldCharType="separate"/>
      </w:r>
      <w:r>
        <w:rPr>
          <w:rFonts w:ascii="Arial" w:hAnsi="Arial" w:eastAsia="Arial" w:cs="Arial"/>
          <w:color w:val="auto"/>
          <w:sz w:val="23"/>
          <w:szCs w:val="23"/>
        </w:rPr>
        <w:t>37</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"page47" \h </w:instrText>
      </w:r>
      <w:r>
        <w:fldChar w:fldCharType="separate"/>
      </w:r>
      <w:r>
        <w:rPr>
          <w:rFonts w:ascii="Arial" w:hAnsi="Arial" w:eastAsia="Arial" w:cs="Arial"/>
          <w:color w:val="auto"/>
          <w:sz w:val="24"/>
          <w:szCs w:val="24"/>
        </w:rPr>
        <w:t>Covariates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"page47" \h </w:instrText>
      </w:r>
      <w:r>
        <w:fldChar w:fldCharType="separate"/>
      </w:r>
      <w:r>
        <w:rPr>
          <w:rFonts w:ascii="Arial" w:hAnsi="Arial" w:eastAsia="Arial" w:cs="Arial"/>
          <w:color w:val="auto"/>
          <w:sz w:val="23"/>
          <w:szCs w:val="23"/>
        </w:rPr>
        <w:t>37</w:t>
      </w:r>
      <w:r>
        <w:rPr>
          <w:rFonts w:ascii="Arial" w:hAnsi="Arial" w:eastAsia="Arial" w:cs="Arial"/>
          <w:color w:val="auto"/>
          <w:sz w:val="23"/>
          <w:szCs w:val="23"/>
        </w:rPr>
        <w:fldChar w:fldCharType="end"/>
      </w:r>
    </w:p>
    <w:p>
      <w:pPr>
        <w:tabs>
          <w:tab w:val="left" w:leader="dot" w:pos="9080"/>
        </w:tabs>
        <w:spacing w:after="0"/>
        <w:ind w:left="2160"/>
        <w:rPr>
          <w:rFonts w:ascii="Arial" w:hAnsi="Arial" w:eastAsia="Arial" w:cs="Arial"/>
          <w:color w:val="auto"/>
          <w:sz w:val="23"/>
          <w:szCs w:val="23"/>
        </w:rPr>
      </w:pPr>
      <w:r>
        <w:fldChar w:fldCharType="begin"/>
      </w:r>
      <w:r>
        <w:instrText xml:space="preserve"> HYPERLINK \l "page48" \h </w:instrText>
      </w:r>
      <w:r>
        <w:fldChar w:fldCharType="separate"/>
      </w:r>
      <w:r>
        <w:rPr>
          <w:rFonts w:ascii="Arial" w:hAnsi="Arial" w:eastAsia="Arial" w:cs="Arial"/>
          <w:color w:val="auto"/>
          <w:sz w:val="24"/>
          <w:szCs w:val="24"/>
        </w:rPr>
        <w:t>Statistical tests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"page48" \h </w:instrText>
      </w:r>
      <w:r>
        <w:fldChar w:fldCharType="separate"/>
      </w:r>
      <w:r>
        <w:rPr>
          <w:rFonts w:ascii="Arial" w:hAnsi="Arial" w:eastAsia="Arial" w:cs="Arial"/>
          <w:color w:val="auto"/>
          <w:sz w:val="23"/>
          <w:szCs w:val="23"/>
        </w:rPr>
        <w:t>38</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pos="1440"/>
          <w:tab w:val="left" w:leader="dot" w:pos="9080"/>
        </w:tabs>
        <w:spacing w:after="0"/>
        <w:ind w:left="720"/>
        <w:rPr>
          <w:rFonts w:ascii="Arial" w:hAnsi="Arial" w:eastAsia="Arial" w:cs="Arial"/>
          <w:color w:val="auto"/>
          <w:sz w:val="23"/>
          <w:szCs w:val="23"/>
        </w:rPr>
      </w:pPr>
      <w:r>
        <w:rPr>
          <w:rFonts w:ascii="Arial" w:hAnsi="Arial" w:eastAsia="Arial" w:cs="Arial"/>
          <w:color w:val="auto"/>
          <w:sz w:val="24"/>
          <w:szCs w:val="24"/>
        </w:rPr>
        <w:t>7.</w:t>
      </w:r>
      <w:r>
        <w:rPr>
          <w:color w:val="auto"/>
          <w:sz w:val="20"/>
          <w:szCs w:val="20"/>
        </w:rPr>
        <w:tab/>
      </w:r>
      <w:r>
        <w:fldChar w:fldCharType="begin"/>
      </w:r>
      <w:r>
        <w:instrText xml:space="preserve"> HYPERLINK \l "page49" \h </w:instrText>
      </w:r>
      <w:r>
        <w:fldChar w:fldCharType="separate"/>
      </w:r>
      <w:r>
        <w:rPr>
          <w:rFonts w:ascii="Arial" w:hAnsi="Arial" w:eastAsia="Arial" w:cs="Arial"/>
          <w:color w:val="auto"/>
          <w:sz w:val="24"/>
          <w:szCs w:val="24"/>
        </w:rPr>
        <w:t>RESULTS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"page49" \h </w:instrText>
      </w:r>
      <w:r>
        <w:fldChar w:fldCharType="separate"/>
      </w:r>
      <w:r>
        <w:rPr>
          <w:rFonts w:ascii="Arial" w:hAnsi="Arial" w:eastAsia="Arial" w:cs="Arial"/>
          <w:color w:val="auto"/>
          <w:sz w:val="23"/>
          <w:szCs w:val="23"/>
        </w:rPr>
        <w:t>39</w:t>
      </w:r>
      <w:r>
        <w:rPr>
          <w:rFonts w:ascii="Arial" w:hAnsi="Arial" w:eastAsia="Arial" w:cs="Arial"/>
          <w:color w:val="auto"/>
          <w:sz w:val="23"/>
          <w:szCs w:val="23"/>
        </w:rPr>
        <w:fldChar w:fldCharType="end"/>
      </w:r>
    </w:p>
    <w:p>
      <w:pPr>
        <w:spacing w:after="0" w:line="276" w:lineRule="exact"/>
        <w:rPr>
          <w:color w:val="auto"/>
          <w:sz w:val="20"/>
          <w:szCs w:val="20"/>
        </w:rPr>
      </w:pPr>
    </w:p>
    <w:p>
      <w:pPr>
        <w:tabs>
          <w:tab w:val="left" w:pos="1440"/>
          <w:tab w:val="left" w:leader="dot" w:pos="9080"/>
        </w:tabs>
        <w:spacing w:after="0"/>
        <w:ind w:left="720"/>
        <w:rPr>
          <w:rFonts w:ascii="Arial" w:hAnsi="Arial" w:eastAsia="Arial" w:cs="Arial"/>
          <w:color w:val="auto"/>
          <w:sz w:val="23"/>
          <w:szCs w:val="23"/>
        </w:rPr>
      </w:pPr>
      <w:r>
        <w:rPr>
          <w:rFonts w:ascii="Arial" w:hAnsi="Arial" w:eastAsia="Arial" w:cs="Arial"/>
          <w:color w:val="auto"/>
          <w:sz w:val="24"/>
          <w:szCs w:val="24"/>
        </w:rPr>
        <w:t>8.</w:t>
      </w:r>
      <w:r>
        <w:rPr>
          <w:color w:val="auto"/>
          <w:sz w:val="20"/>
          <w:szCs w:val="20"/>
        </w:rPr>
        <w:tab/>
      </w:r>
      <w:r>
        <w:fldChar w:fldCharType="begin"/>
      </w:r>
      <w:r>
        <w:instrText xml:space="preserve"> HYPERLINK \l "page58" \h </w:instrText>
      </w:r>
      <w:r>
        <w:fldChar w:fldCharType="separate"/>
      </w:r>
      <w:r>
        <w:rPr>
          <w:rFonts w:ascii="Arial" w:hAnsi="Arial" w:eastAsia="Arial" w:cs="Arial"/>
          <w:color w:val="auto"/>
          <w:sz w:val="24"/>
          <w:szCs w:val="24"/>
        </w:rPr>
        <w:t>DISSUSION</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"page58" \h </w:instrText>
      </w:r>
      <w:r>
        <w:fldChar w:fldCharType="separate"/>
      </w:r>
      <w:r>
        <w:rPr>
          <w:rFonts w:ascii="Arial" w:hAnsi="Arial" w:eastAsia="Arial" w:cs="Arial"/>
          <w:color w:val="auto"/>
          <w:sz w:val="23"/>
          <w:szCs w:val="23"/>
        </w:rPr>
        <w:t>48</w:t>
      </w:r>
      <w:r>
        <w:rPr>
          <w:rFonts w:ascii="Arial" w:hAnsi="Arial" w:eastAsia="Arial" w:cs="Arial"/>
          <w:color w:val="auto"/>
          <w:sz w:val="23"/>
          <w:szCs w:val="23"/>
        </w:rPr>
        <w:fldChar w:fldCharType="end"/>
      </w:r>
    </w:p>
    <w:p>
      <w:pPr>
        <w:spacing w:after="0" w:line="269" w:lineRule="exact"/>
        <w:rPr>
          <w:color w:val="auto"/>
          <w:sz w:val="20"/>
          <w:szCs w:val="20"/>
        </w:rPr>
      </w:pPr>
    </w:p>
    <w:p>
      <w:pPr>
        <w:tabs>
          <w:tab w:val="left" w:leader="dot" w:pos="9080"/>
        </w:tabs>
        <w:spacing w:after="0"/>
        <w:ind w:left="1440"/>
        <w:rPr>
          <w:rFonts w:ascii="Arial" w:hAnsi="Arial" w:eastAsia="Arial" w:cs="Arial"/>
          <w:color w:val="auto"/>
          <w:sz w:val="23"/>
          <w:szCs w:val="23"/>
        </w:rPr>
      </w:pPr>
      <w:r>
        <w:fldChar w:fldCharType="begin"/>
      </w:r>
      <w:r>
        <w:instrText xml:space="preserve"> HYPERLINK \l "page60" \h </w:instrText>
      </w:r>
      <w:r>
        <w:fldChar w:fldCharType="separate"/>
      </w:r>
      <w:r>
        <w:rPr>
          <w:rFonts w:ascii="Arial" w:hAnsi="Arial" w:eastAsia="Arial" w:cs="Arial"/>
          <w:color w:val="auto"/>
          <w:sz w:val="24"/>
          <w:szCs w:val="24"/>
        </w:rPr>
        <w:t>Strengths and Limitations</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"page60" \h </w:instrText>
      </w:r>
      <w:r>
        <w:fldChar w:fldCharType="separate"/>
      </w:r>
      <w:r>
        <w:rPr>
          <w:rFonts w:ascii="Arial" w:hAnsi="Arial" w:eastAsia="Arial" w:cs="Arial"/>
          <w:color w:val="auto"/>
          <w:sz w:val="23"/>
          <w:szCs w:val="23"/>
        </w:rPr>
        <w:t>50</w:t>
      </w:r>
      <w:r>
        <w:rPr>
          <w:rFonts w:ascii="Arial" w:hAnsi="Arial" w:eastAsia="Arial" w:cs="Arial"/>
          <w:color w:val="auto"/>
          <w:sz w:val="23"/>
          <w:szCs w:val="23"/>
        </w:rPr>
        <w:fldChar w:fldCharType="end"/>
      </w:r>
    </w:p>
    <w:p>
      <w:pPr>
        <w:spacing w:after="0" w:line="277" w:lineRule="exact"/>
        <w:rPr>
          <w:color w:val="auto"/>
          <w:sz w:val="20"/>
          <w:szCs w:val="20"/>
        </w:rPr>
      </w:pPr>
    </w:p>
    <w:p>
      <w:pPr>
        <w:tabs>
          <w:tab w:val="left" w:leader="dot" w:pos="9080"/>
        </w:tabs>
        <w:spacing w:after="0"/>
        <w:ind w:left="720"/>
        <w:rPr>
          <w:rFonts w:ascii="Arial" w:hAnsi="Arial" w:eastAsia="Arial" w:cs="Arial"/>
          <w:color w:val="auto"/>
          <w:sz w:val="23"/>
          <w:szCs w:val="23"/>
        </w:rPr>
      </w:pPr>
      <w:r>
        <w:fldChar w:fldCharType="begin"/>
      </w:r>
      <w:r>
        <w:instrText xml:space="preserve"> HYPERLINK \l "page63" \h </w:instrText>
      </w:r>
      <w:r>
        <w:fldChar w:fldCharType="separate"/>
      </w:r>
      <w:r>
        <w:rPr>
          <w:rFonts w:ascii="Arial" w:hAnsi="Arial" w:eastAsia="Arial" w:cs="Arial"/>
          <w:color w:val="auto"/>
          <w:sz w:val="24"/>
          <w:szCs w:val="24"/>
        </w:rPr>
        <w:t>BIBLIOGRAPHY</w:t>
      </w:r>
      <w:r>
        <w:rPr>
          <w:rFonts w:ascii="Arial" w:hAnsi="Arial" w:eastAsia="Arial" w:cs="Arial"/>
          <w:color w:val="auto"/>
          <w:sz w:val="24"/>
          <w:szCs w:val="24"/>
        </w:rPr>
        <w:fldChar w:fldCharType="end"/>
      </w:r>
      <w:r>
        <w:rPr>
          <w:rFonts w:ascii="Arial" w:hAnsi="Arial" w:eastAsia="Arial" w:cs="Arial"/>
          <w:color w:val="auto"/>
          <w:sz w:val="24"/>
          <w:szCs w:val="24"/>
        </w:rPr>
        <w:tab/>
      </w:r>
      <w:r>
        <w:fldChar w:fldCharType="begin"/>
      </w:r>
      <w:r>
        <w:instrText xml:space="preserve"> HYPERLINK \l "page63" \h </w:instrText>
      </w:r>
      <w:r>
        <w:fldChar w:fldCharType="separate"/>
      </w:r>
      <w:r>
        <w:rPr>
          <w:rFonts w:ascii="Arial" w:hAnsi="Arial" w:eastAsia="Arial" w:cs="Arial"/>
          <w:color w:val="auto"/>
          <w:sz w:val="23"/>
          <w:szCs w:val="23"/>
        </w:rPr>
        <w:t>53</w:t>
      </w:r>
      <w:r>
        <w:rPr>
          <w:rFonts w:ascii="Arial" w:hAnsi="Arial" w:eastAsia="Arial" w:cs="Arial"/>
          <w:color w:val="auto"/>
          <w:sz w:val="23"/>
          <w:szCs w:val="23"/>
        </w:rPr>
        <w:fldChar w:fldCharType="end"/>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3" w:lineRule="exact"/>
        <w:rPr>
          <w:color w:val="auto"/>
          <w:sz w:val="20"/>
          <w:szCs w:val="20"/>
        </w:rPr>
      </w:pPr>
    </w:p>
    <w:p>
      <w:pPr>
        <w:spacing w:after="0"/>
        <w:ind w:left="4940"/>
        <w:rPr>
          <w:color w:val="auto"/>
          <w:sz w:val="20"/>
          <w:szCs w:val="20"/>
        </w:rPr>
      </w:pPr>
      <w:r>
        <w:rPr>
          <w:rFonts w:ascii="Calibri" w:hAnsi="Calibri" w:eastAsia="Calibri" w:cs="Calibri"/>
          <w:color w:val="auto"/>
          <w:sz w:val="22"/>
          <w:szCs w:val="22"/>
        </w:rPr>
        <w:t>vii</w:t>
      </w:r>
    </w:p>
    <w:p>
      <w:pPr>
        <w:sectPr>
          <w:pgSz w:w="12240" w:h="15840"/>
          <w:pgMar w:top="1434" w:right="1440" w:bottom="162" w:left="1440" w:header="0" w:footer="0" w:gutter="0"/>
          <w:cols w:equalWidth="0" w:num="1">
            <w:col w:w="9360"/>
          </w:cols>
        </w:sectPr>
      </w:pPr>
    </w:p>
    <w:p>
      <w:pPr>
        <w:spacing w:after="0" w:line="200" w:lineRule="exact"/>
        <w:rPr>
          <w:color w:val="auto"/>
          <w:sz w:val="20"/>
          <w:szCs w:val="20"/>
        </w:rPr>
      </w:pPr>
      <w:bookmarkStart w:id="3" w:name="page9"/>
      <w:bookmarkEnd w:id="3"/>
    </w:p>
    <w:p>
      <w:pPr>
        <w:spacing w:after="0" w:line="302" w:lineRule="exact"/>
        <w:rPr>
          <w:color w:val="auto"/>
          <w:sz w:val="20"/>
          <w:szCs w:val="20"/>
        </w:rPr>
      </w:pPr>
    </w:p>
    <w:p>
      <w:pPr>
        <w:spacing w:after="0"/>
        <w:ind w:left="3900"/>
        <w:rPr>
          <w:color w:val="auto"/>
          <w:sz w:val="20"/>
          <w:szCs w:val="20"/>
        </w:rPr>
      </w:pPr>
      <w:r>
        <w:rPr>
          <w:rFonts w:ascii="Arial" w:hAnsi="Arial" w:eastAsia="Arial" w:cs="Arial"/>
          <w:b/>
          <w:bCs/>
          <w:color w:val="auto"/>
          <w:sz w:val="28"/>
          <w:szCs w:val="28"/>
        </w:rPr>
        <w:t>LIST OF TABLES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7" w:lineRule="exact"/>
        <w:rPr>
          <w:color w:val="auto"/>
          <w:sz w:val="20"/>
          <w:szCs w:val="20"/>
        </w:rPr>
      </w:pPr>
    </w:p>
    <w:p>
      <w:pPr>
        <w:tabs>
          <w:tab w:val="left" w:pos="8780"/>
        </w:tabs>
        <w:spacing w:after="0"/>
        <w:ind w:left="720"/>
        <w:rPr>
          <w:color w:val="auto"/>
          <w:sz w:val="20"/>
          <w:szCs w:val="20"/>
        </w:rPr>
      </w:pPr>
      <w:r>
        <w:rPr>
          <w:rFonts w:ascii="Arial" w:hAnsi="Arial" w:eastAsia="Arial" w:cs="Arial"/>
          <w:color w:val="auto"/>
          <w:sz w:val="24"/>
          <w:szCs w:val="24"/>
        </w:rPr>
        <w:t>Table</w:t>
      </w:r>
      <w:r>
        <w:rPr>
          <w:color w:val="auto"/>
          <w:sz w:val="20"/>
          <w:szCs w:val="20"/>
        </w:rPr>
        <w:tab/>
      </w:r>
      <w:r>
        <w:rPr>
          <w:rFonts w:ascii="Arial" w:hAnsi="Arial" w:eastAsia="Arial" w:cs="Arial"/>
          <w:color w:val="auto"/>
          <w:sz w:val="23"/>
          <w:szCs w:val="23"/>
        </w:rPr>
        <w:t>Page</w:t>
      </w:r>
    </w:p>
    <w:p>
      <w:pPr>
        <w:spacing w:after="0" w:line="200" w:lineRule="exact"/>
        <w:rPr>
          <w:color w:val="auto"/>
          <w:sz w:val="20"/>
          <w:szCs w:val="20"/>
        </w:rPr>
      </w:pPr>
    </w:p>
    <w:p>
      <w:pPr>
        <w:spacing w:after="0" w:line="316"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1.</w:t>
      </w:r>
      <w:r>
        <w:rPr>
          <w:rFonts w:ascii="Arial" w:hAnsi="Arial" w:eastAsia="Arial" w:cs="Arial"/>
          <w:color w:val="auto"/>
          <w:sz w:val="24"/>
          <w:szCs w:val="24"/>
        </w:rPr>
        <w:tab/>
      </w:r>
      <w:r>
        <w:rPr>
          <w:rFonts w:ascii="Arial" w:hAnsi="Arial" w:eastAsia="Arial" w:cs="Arial"/>
          <w:color w:val="auto"/>
          <w:sz w:val="24"/>
          <w:szCs w:val="24"/>
        </w:rPr>
        <w:t>Vitamin D Content of Selected Foods and Supplements</w:t>
      </w:r>
      <w:r>
        <w:rPr>
          <w:color w:val="auto"/>
          <w:sz w:val="20"/>
          <w:szCs w:val="20"/>
        </w:rPr>
        <w:tab/>
      </w:r>
      <w:r>
        <w:rPr>
          <w:rFonts w:ascii="Arial" w:hAnsi="Arial" w:eastAsia="Arial" w:cs="Arial"/>
          <w:color w:val="auto"/>
          <w:sz w:val="23"/>
          <w:szCs w:val="23"/>
        </w:rPr>
        <w:t>15</w:t>
      </w:r>
    </w:p>
    <w:p>
      <w:pPr>
        <w:spacing w:after="0" w:line="200" w:lineRule="exact"/>
        <w:rPr>
          <w:color w:val="auto"/>
          <w:sz w:val="20"/>
          <w:szCs w:val="20"/>
        </w:rPr>
      </w:pPr>
    </w:p>
    <w:p>
      <w:pPr>
        <w:spacing w:after="0" w:line="316"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2.</w:t>
      </w:r>
      <w:r>
        <w:rPr>
          <w:rFonts w:ascii="Arial" w:hAnsi="Arial" w:eastAsia="Arial" w:cs="Arial"/>
          <w:color w:val="auto"/>
          <w:sz w:val="24"/>
          <w:szCs w:val="24"/>
        </w:rPr>
        <w:tab/>
      </w:r>
      <w:r>
        <w:rPr>
          <w:rFonts w:ascii="Arial" w:hAnsi="Arial" w:eastAsia="Arial" w:cs="Arial"/>
          <w:color w:val="auto"/>
          <w:sz w:val="24"/>
          <w:szCs w:val="24"/>
        </w:rPr>
        <w:t>Adequate Intakes (AIs) for Vitamin D</w:t>
      </w:r>
      <w:r>
        <w:rPr>
          <w:color w:val="auto"/>
          <w:sz w:val="20"/>
          <w:szCs w:val="20"/>
        </w:rPr>
        <w:tab/>
      </w:r>
      <w:r>
        <w:rPr>
          <w:rFonts w:ascii="Arial" w:hAnsi="Arial" w:eastAsia="Arial" w:cs="Arial"/>
          <w:color w:val="auto"/>
          <w:sz w:val="23"/>
          <w:szCs w:val="23"/>
        </w:rPr>
        <w:t>24</w:t>
      </w:r>
    </w:p>
    <w:p>
      <w:pPr>
        <w:spacing w:after="0" w:line="200" w:lineRule="exact"/>
        <w:rPr>
          <w:color w:val="auto"/>
          <w:sz w:val="20"/>
          <w:szCs w:val="20"/>
        </w:rPr>
      </w:pPr>
    </w:p>
    <w:p>
      <w:pPr>
        <w:spacing w:after="0" w:line="317"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3.</w:t>
      </w:r>
      <w:r>
        <w:rPr>
          <w:rFonts w:ascii="Arial" w:hAnsi="Arial" w:eastAsia="Arial" w:cs="Arial"/>
          <w:color w:val="auto"/>
          <w:sz w:val="24"/>
          <w:szCs w:val="24"/>
        </w:rPr>
        <w:tab/>
      </w:r>
      <w:r>
        <w:rPr>
          <w:rFonts w:ascii="Arial" w:hAnsi="Arial" w:eastAsia="Arial" w:cs="Arial"/>
          <w:color w:val="auto"/>
          <w:sz w:val="24"/>
          <w:szCs w:val="24"/>
        </w:rPr>
        <w:t>Distribution of Participant Characteristics by Serum 25(OH)D</w:t>
      </w:r>
      <w:r>
        <w:rPr>
          <w:color w:val="auto"/>
          <w:sz w:val="20"/>
          <w:szCs w:val="20"/>
        </w:rPr>
        <w:tab/>
      </w:r>
      <w:r>
        <w:rPr>
          <w:rFonts w:ascii="Arial" w:hAnsi="Arial" w:eastAsia="Arial" w:cs="Arial"/>
          <w:color w:val="auto"/>
          <w:sz w:val="23"/>
          <w:szCs w:val="23"/>
        </w:rPr>
        <w:t>40</w:t>
      </w:r>
    </w:p>
    <w:p>
      <w:pPr>
        <w:spacing w:after="0" w:line="200" w:lineRule="exact"/>
        <w:rPr>
          <w:color w:val="auto"/>
          <w:sz w:val="20"/>
          <w:szCs w:val="20"/>
        </w:rPr>
      </w:pPr>
    </w:p>
    <w:p>
      <w:pPr>
        <w:spacing w:after="0" w:line="316"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4.</w:t>
      </w:r>
      <w:r>
        <w:rPr>
          <w:rFonts w:ascii="Arial" w:hAnsi="Arial" w:eastAsia="Arial" w:cs="Arial"/>
          <w:color w:val="auto"/>
          <w:sz w:val="24"/>
          <w:szCs w:val="24"/>
        </w:rPr>
        <w:tab/>
      </w:r>
      <w:r>
        <w:rPr>
          <w:rFonts w:ascii="Arial" w:hAnsi="Arial" w:eastAsia="Arial" w:cs="Arial"/>
          <w:color w:val="auto"/>
          <w:sz w:val="24"/>
          <w:szCs w:val="24"/>
        </w:rPr>
        <w:t>Distribution of participant characteristics by wheeze/asthma symptoms</w:t>
      </w:r>
      <w:r>
        <w:rPr>
          <w:color w:val="auto"/>
          <w:sz w:val="20"/>
          <w:szCs w:val="20"/>
        </w:rPr>
        <w:tab/>
      </w:r>
      <w:r>
        <w:rPr>
          <w:rFonts w:ascii="Arial" w:hAnsi="Arial" w:eastAsia="Arial" w:cs="Arial"/>
          <w:color w:val="auto"/>
          <w:sz w:val="23"/>
          <w:szCs w:val="23"/>
        </w:rPr>
        <w:t>42</w:t>
      </w:r>
    </w:p>
    <w:p>
      <w:pPr>
        <w:spacing w:after="0" w:line="200" w:lineRule="exact"/>
        <w:rPr>
          <w:color w:val="auto"/>
          <w:sz w:val="20"/>
          <w:szCs w:val="20"/>
        </w:rPr>
      </w:pPr>
    </w:p>
    <w:p>
      <w:pPr>
        <w:spacing w:after="0" w:line="316"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5.</w:t>
      </w:r>
      <w:r>
        <w:rPr>
          <w:rFonts w:ascii="Arial" w:hAnsi="Arial" w:eastAsia="Arial" w:cs="Arial"/>
          <w:color w:val="auto"/>
          <w:sz w:val="24"/>
          <w:szCs w:val="24"/>
        </w:rPr>
        <w:tab/>
      </w:r>
      <w:r>
        <w:rPr>
          <w:rFonts w:ascii="Arial" w:hAnsi="Arial" w:eastAsia="Arial" w:cs="Arial"/>
          <w:color w:val="auto"/>
          <w:sz w:val="24"/>
          <w:szCs w:val="24"/>
        </w:rPr>
        <w:t>Univariable Logistic Regression by Wheeze/Asthma Symptoms</w:t>
      </w:r>
      <w:r>
        <w:rPr>
          <w:color w:val="auto"/>
          <w:sz w:val="20"/>
          <w:szCs w:val="20"/>
        </w:rPr>
        <w:tab/>
      </w:r>
      <w:r>
        <w:rPr>
          <w:rFonts w:ascii="Arial" w:hAnsi="Arial" w:eastAsia="Arial" w:cs="Arial"/>
          <w:color w:val="auto"/>
          <w:sz w:val="23"/>
          <w:szCs w:val="23"/>
        </w:rPr>
        <w:t>44</w:t>
      </w:r>
    </w:p>
    <w:p>
      <w:pPr>
        <w:spacing w:after="0" w:line="200" w:lineRule="exact"/>
        <w:rPr>
          <w:color w:val="auto"/>
          <w:sz w:val="20"/>
          <w:szCs w:val="20"/>
        </w:rPr>
      </w:pPr>
    </w:p>
    <w:p>
      <w:pPr>
        <w:spacing w:after="0" w:line="316" w:lineRule="exact"/>
        <w:rPr>
          <w:color w:val="auto"/>
          <w:sz w:val="20"/>
          <w:szCs w:val="20"/>
        </w:rPr>
      </w:pPr>
    </w:p>
    <w:p>
      <w:pPr>
        <w:tabs>
          <w:tab w:val="left" w:pos="1060"/>
        </w:tabs>
        <w:spacing w:after="0"/>
        <w:ind w:left="720"/>
        <w:rPr>
          <w:color w:val="auto"/>
          <w:sz w:val="20"/>
          <w:szCs w:val="20"/>
        </w:rPr>
      </w:pPr>
      <w:r>
        <w:rPr>
          <w:rFonts w:ascii="Arial" w:hAnsi="Arial" w:eastAsia="Arial" w:cs="Arial"/>
          <w:color w:val="auto"/>
          <w:sz w:val="24"/>
          <w:szCs w:val="24"/>
        </w:rPr>
        <w:t>6.</w:t>
      </w:r>
      <w:r>
        <w:rPr>
          <w:color w:val="auto"/>
          <w:sz w:val="20"/>
          <w:szCs w:val="20"/>
        </w:rPr>
        <w:tab/>
      </w:r>
      <w:r>
        <w:rPr>
          <w:rFonts w:ascii="Arial" w:hAnsi="Arial" w:eastAsia="Arial" w:cs="Arial"/>
          <w:color w:val="auto"/>
          <w:sz w:val="23"/>
          <w:szCs w:val="23"/>
        </w:rPr>
        <w:t>Multivariable Logistic Regression of wheeze/asthma symptom by</w:t>
      </w:r>
    </w:p>
    <w:p>
      <w:pPr>
        <w:tabs>
          <w:tab w:val="left" w:leader="dot" w:pos="9080"/>
        </w:tabs>
        <w:spacing w:after="0"/>
        <w:ind w:left="1440"/>
        <w:rPr>
          <w:color w:val="auto"/>
          <w:sz w:val="20"/>
          <w:szCs w:val="20"/>
        </w:rPr>
      </w:pPr>
      <w:r>
        <w:rPr>
          <w:rFonts w:ascii="Arial" w:hAnsi="Arial" w:eastAsia="Arial" w:cs="Arial"/>
          <w:color w:val="auto"/>
          <w:sz w:val="24"/>
          <w:szCs w:val="24"/>
        </w:rPr>
        <w:t>selected covariates</w:t>
      </w:r>
      <w:r>
        <w:rPr>
          <w:color w:val="auto"/>
          <w:sz w:val="20"/>
          <w:szCs w:val="20"/>
        </w:rPr>
        <w:tab/>
      </w:r>
      <w:r>
        <w:rPr>
          <w:rFonts w:ascii="Arial" w:hAnsi="Arial" w:eastAsia="Arial" w:cs="Arial"/>
          <w:color w:val="auto"/>
          <w:sz w:val="23"/>
          <w:szCs w:val="23"/>
        </w:rPr>
        <w:t>45</w:t>
      </w:r>
    </w:p>
    <w:p>
      <w:pPr>
        <w:spacing w:after="0" w:line="240"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7.</w:t>
      </w:r>
      <w:r>
        <w:rPr>
          <w:rFonts w:ascii="Arial" w:hAnsi="Arial" w:eastAsia="Arial" w:cs="Arial"/>
          <w:color w:val="auto"/>
          <w:sz w:val="24"/>
          <w:szCs w:val="24"/>
        </w:rPr>
        <w:tab/>
      </w:r>
      <w:r>
        <w:rPr>
          <w:rFonts w:ascii="Arial" w:hAnsi="Arial" w:eastAsia="Arial" w:cs="Arial"/>
          <w:color w:val="auto"/>
          <w:sz w:val="24"/>
          <w:szCs w:val="24"/>
        </w:rPr>
        <w:t>Univariable linear regression of serum 25(OH) D by main factors</w:t>
      </w:r>
      <w:r>
        <w:rPr>
          <w:color w:val="auto"/>
          <w:sz w:val="20"/>
          <w:szCs w:val="20"/>
        </w:rPr>
        <w:tab/>
      </w:r>
      <w:r>
        <w:rPr>
          <w:rFonts w:ascii="Arial" w:hAnsi="Arial" w:eastAsia="Arial" w:cs="Arial"/>
          <w:color w:val="auto"/>
          <w:sz w:val="23"/>
          <w:szCs w:val="23"/>
        </w:rPr>
        <w:t>46</w:t>
      </w:r>
    </w:p>
    <w:p>
      <w:pPr>
        <w:spacing w:after="0" w:line="200" w:lineRule="exact"/>
        <w:rPr>
          <w:color w:val="auto"/>
          <w:sz w:val="20"/>
          <w:szCs w:val="20"/>
        </w:rPr>
      </w:pPr>
    </w:p>
    <w:p>
      <w:pPr>
        <w:spacing w:after="0" w:line="316" w:lineRule="exact"/>
        <w:rPr>
          <w:color w:val="auto"/>
          <w:sz w:val="20"/>
          <w:szCs w:val="20"/>
        </w:rPr>
      </w:pPr>
    </w:p>
    <w:p>
      <w:pPr>
        <w:tabs>
          <w:tab w:val="left" w:pos="1060"/>
        </w:tabs>
        <w:spacing w:after="0"/>
        <w:ind w:left="720"/>
        <w:rPr>
          <w:color w:val="auto"/>
          <w:sz w:val="20"/>
          <w:szCs w:val="20"/>
        </w:rPr>
      </w:pPr>
      <w:r>
        <w:rPr>
          <w:rFonts w:ascii="Arial" w:hAnsi="Arial" w:eastAsia="Arial" w:cs="Arial"/>
          <w:color w:val="auto"/>
          <w:sz w:val="24"/>
          <w:szCs w:val="24"/>
        </w:rPr>
        <w:t>8.</w:t>
      </w:r>
      <w:r>
        <w:rPr>
          <w:rFonts w:ascii="Arial" w:hAnsi="Arial" w:eastAsia="Arial" w:cs="Arial"/>
          <w:color w:val="auto"/>
          <w:sz w:val="24"/>
          <w:szCs w:val="24"/>
        </w:rPr>
        <w:tab/>
      </w:r>
      <w:r>
        <w:rPr>
          <w:rFonts w:ascii="Arial" w:hAnsi="Arial" w:eastAsia="Arial" w:cs="Arial"/>
          <w:color w:val="auto"/>
          <w:sz w:val="24"/>
          <w:szCs w:val="24"/>
        </w:rPr>
        <w:t>Multivariable Linear Regression Model of Serum 25(OH)D by Selected</w:t>
      </w:r>
    </w:p>
    <w:p>
      <w:pPr>
        <w:tabs>
          <w:tab w:val="left" w:leader="dot" w:pos="9080"/>
        </w:tabs>
        <w:spacing w:after="0"/>
        <w:ind w:left="1440"/>
        <w:rPr>
          <w:color w:val="auto"/>
          <w:sz w:val="20"/>
          <w:szCs w:val="20"/>
        </w:rPr>
      </w:pPr>
      <w:r>
        <w:rPr>
          <w:rFonts w:ascii="Arial" w:hAnsi="Arial" w:eastAsia="Arial" w:cs="Arial"/>
          <w:color w:val="auto"/>
          <w:sz w:val="24"/>
          <w:szCs w:val="24"/>
        </w:rPr>
        <w:t>Covariables</w:t>
      </w:r>
      <w:r>
        <w:rPr>
          <w:color w:val="auto"/>
          <w:sz w:val="20"/>
          <w:szCs w:val="20"/>
        </w:rPr>
        <w:tab/>
      </w:r>
      <w:r>
        <w:rPr>
          <w:rFonts w:ascii="Arial" w:hAnsi="Arial" w:eastAsia="Arial" w:cs="Arial"/>
          <w:color w:val="auto"/>
          <w:sz w:val="23"/>
          <w:szCs w:val="23"/>
        </w:rPr>
        <w:t>47</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5" w:lineRule="exact"/>
        <w:rPr>
          <w:color w:val="auto"/>
          <w:sz w:val="20"/>
          <w:szCs w:val="20"/>
        </w:rPr>
      </w:pPr>
    </w:p>
    <w:p>
      <w:pPr>
        <w:spacing w:after="0"/>
        <w:ind w:left="4920"/>
        <w:rPr>
          <w:color w:val="auto"/>
          <w:sz w:val="20"/>
          <w:szCs w:val="20"/>
        </w:rPr>
      </w:pPr>
      <w:r>
        <w:rPr>
          <w:rFonts w:ascii="Calibri" w:hAnsi="Calibri" w:eastAsia="Calibri" w:cs="Calibri"/>
          <w:color w:val="auto"/>
          <w:sz w:val="22"/>
          <w:szCs w:val="22"/>
        </w:rPr>
        <w:t>viii</w:t>
      </w:r>
    </w:p>
    <w:p>
      <w:pPr>
        <w:sectPr>
          <w:pgSz w:w="12240" w:h="15840"/>
          <w:pgMar w:top="1440" w:right="1440" w:bottom="162" w:left="1440" w:header="0" w:footer="0" w:gutter="0"/>
          <w:cols w:equalWidth="0" w:num="1">
            <w:col w:w="9360"/>
          </w:cols>
        </w:sectPr>
      </w:pPr>
    </w:p>
    <w:p>
      <w:pPr>
        <w:spacing w:after="0"/>
        <w:ind w:left="3840"/>
        <w:rPr>
          <w:color w:val="auto"/>
          <w:sz w:val="20"/>
          <w:szCs w:val="20"/>
        </w:rPr>
      </w:pPr>
      <w:bookmarkStart w:id="4" w:name="page10"/>
      <w:bookmarkEnd w:id="4"/>
      <w:r>
        <w:rPr>
          <w:rFonts w:ascii="Arial" w:hAnsi="Arial" w:eastAsia="Arial" w:cs="Arial"/>
          <w:b/>
          <w:bCs/>
          <w:color w:val="auto"/>
          <w:sz w:val="28"/>
          <w:szCs w:val="28"/>
        </w:rPr>
        <w:t>LIST OF FIGURES</w:t>
      </w:r>
    </w:p>
    <w:p>
      <w:pPr>
        <w:spacing w:after="0" w:line="200" w:lineRule="exact"/>
        <w:rPr>
          <w:color w:val="auto"/>
          <w:sz w:val="20"/>
          <w:szCs w:val="20"/>
        </w:rPr>
      </w:pPr>
    </w:p>
    <w:p>
      <w:pPr>
        <w:spacing w:after="0" w:line="375" w:lineRule="exact"/>
        <w:rPr>
          <w:color w:val="auto"/>
          <w:sz w:val="20"/>
          <w:szCs w:val="20"/>
        </w:rPr>
      </w:pPr>
    </w:p>
    <w:p>
      <w:pPr>
        <w:tabs>
          <w:tab w:val="left" w:pos="8780"/>
        </w:tabs>
        <w:spacing w:after="0"/>
        <w:ind w:left="720"/>
        <w:rPr>
          <w:color w:val="auto"/>
          <w:sz w:val="20"/>
          <w:szCs w:val="20"/>
        </w:rPr>
      </w:pPr>
      <w:r>
        <w:rPr>
          <w:rFonts w:ascii="Arial" w:hAnsi="Arial" w:eastAsia="Arial" w:cs="Arial"/>
          <w:color w:val="auto"/>
          <w:sz w:val="24"/>
          <w:szCs w:val="24"/>
        </w:rPr>
        <w:t>Figure</w:t>
      </w:r>
      <w:r>
        <w:rPr>
          <w:color w:val="auto"/>
          <w:sz w:val="20"/>
          <w:szCs w:val="20"/>
        </w:rPr>
        <w:tab/>
      </w:r>
      <w:r>
        <w:rPr>
          <w:rFonts w:ascii="Arial" w:hAnsi="Arial" w:eastAsia="Arial" w:cs="Arial"/>
          <w:color w:val="auto"/>
          <w:sz w:val="23"/>
          <w:szCs w:val="23"/>
        </w:rPr>
        <w:t>Page</w:t>
      </w:r>
    </w:p>
    <w:p>
      <w:pPr>
        <w:spacing w:after="0" w:line="200" w:lineRule="exact"/>
        <w:rPr>
          <w:color w:val="auto"/>
          <w:sz w:val="20"/>
          <w:szCs w:val="20"/>
        </w:rPr>
      </w:pPr>
    </w:p>
    <w:p>
      <w:pPr>
        <w:spacing w:after="0" w:line="208"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1.</w:t>
      </w:r>
      <w:r>
        <w:rPr>
          <w:rFonts w:ascii="Arial" w:hAnsi="Arial" w:eastAsia="Arial" w:cs="Arial"/>
          <w:color w:val="auto"/>
          <w:sz w:val="24"/>
          <w:szCs w:val="24"/>
        </w:rPr>
        <w:tab/>
      </w:r>
      <w:r>
        <w:rPr>
          <w:rFonts w:ascii="Arial" w:hAnsi="Arial" w:eastAsia="Arial" w:cs="Arial"/>
          <w:color w:val="auto"/>
          <w:sz w:val="24"/>
          <w:szCs w:val="24"/>
        </w:rPr>
        <w:t>Structures of Vitamin D</w:t>
      </w:r>
      <w:r>
        <w:rPr>
          <w:rFonts w:ascii="Arial" w:hAnsi="Arial" w:eastAsia="Arial" w:cs="Arial"/>
          <w:color w:val="auto"/>
          <w:sz w:val="32"/>
          <w:szCs w:val="32"/>
          <w:vertAlign w:val="subscript"/>
        </w:rPr>
        <w:t>2</w:t>
      </w:r>
      <w:r>
        <w:rPr>
          <w:rFonts w:ascii="Arial" w:hAnsi="Arial" w:eastAsia="Arial" w:cs="Arial"/>
          <w:color w:val="auto"/>
          <w:sz w:val="24"/>
          <w:szCs w:val="24"/>
        </w:rPr>
        <w:t xml:space="preserve"> and D</w:t>
      </w:r>
      <w:r>
        <w:rPr>
          <w:rFonts w:ascii="Arial" w:hAnsi="Arial" w:eastAsia="Arial" w:cs="Arial"/>
          <w:color w:val="auto"/>
          <w:sz w:val="32"/>
          <w:szCs w:val="32"/>
          <w:vertAlign w:val="subscript"/>
        </w:rPr>
        <w:t>3</w:t>
      </w:r>
      <w:r>
        <w:rPr>
          <w:color w:val="auto"/>
          <w:sz w:val="20"/>
          <w:szCs w:val="20"/>
        </w:rPr>
        <w:tab/>
      </w:r>
      <w:r>
        <w:rPr>
          <w:rFonts w:ascii="Arial" w:hAnsi="Arial" w:eastAsia="Arial" w:cs="Arial"/>
          <w:color w:val="auto"/>
          <w:sz w:val="23"/>
          <w:szCs w:val="23"/>
        </w:rPr>
        <w:t>14</w:t>
      </w:r>
    </w:p>
    <w:p>
      <w:pPr>
        <w:spacing w:after="0" w:line="245" w:lineRule="exact"/>
        <w:rPr>
          <w:color w:val="auto"/>
          <w:sz w:val="20"/>
          <w:szCs w:val="20"/>
        </w:rPr>
      </w:pPr>
    </w:p>
    <w:p>
      <w:pPr>
        <w:tabs>
          <w:tab w:val="left" w:pos="1060"/>
          <w:tab w:val="left" w:leader="dot" w:pos="9080"/>
        </w:tabs>
        <w:spacing w:after="0"/>
        <w:ind w:left="720"/>
        <w:rPr>
          <w:color w:val="auto"/>
          <w:sz w:val="20"/>
          <w:szCs w:val="20"/>
        </w:rPr>
      </w:pPr>
      <w:r>
        <w:rPr>
          <w:rFonts w:ascii="Arial" w:hAnsi="Arial" w:eastAsia="Arial" w:cs="Arial"/>
          <w:color w:val="auto"/>
          <w:sz w:val="24"/>
          <w:szCs w:val="24"/>
        </w:rPr>
        <w:t>2.</w:t>
      </w:r>
      <w:r>
        <w:rPr>
          <w:rFonts w:ascii="Arial" w:hAnsi="Arial" w:eastAsia="Arial" w:cs="Arial"/>
          <w:color w:val="auto"/>
          <w:sz w:val="24"/>
          <w:szCs w:val="24"/>
        </w:rPr>
        <w:tab/>
      </w:r>
      <w:r>
        <w:rPr>
          <w:rFonts w:ascii="Arial" w:hAnsi="Arial" w:eastAsia="Arial" w:cs="Arial"/>
          <w:color w:val="auto"/>
          <w:sz w:val="24"/>
          <w:szCs w:val="24"/>
        </w:rPr>
        <w:t>Synthesis of Calcitriol</w:t>
      </w:r>
      <w:r>
        <w:rPr>
          <w:color w:val="auto"/>
          <w:sz w:val="20"/>
          <w:szCs w:val="20"/>
        </w:rPr>
        <w:tab/>
      </w:r>
      <w:r>
        <w:rPr>
          <w:rFonts w:ascii="Arial" w:hAnsi="Arial" w:eastAsia="Arial" w:cs="Arial"/>
          <w:color w:val="auto"/>
          <w:sz w:val="23"/>
          <w:szCs w:val="23"/>
        </w:rPr>
        <w:t>17</w:t>
      </w:r>
    </w:p>
    <w:p>
      <w:pPr>
        <w:spacing w:after="0" w:line="259" w:lineRule="exact"/>
        <w:rPr>
          <w:color w:val="auto"/>
          <w:sz w:val="20"/>
          <w:szCs w:val="20"/>
        </w:rPr>
      </w:pPr>
    </w:p>
    <w:p>
      <w:pPr>
        <w:tabs>
          <w:tab w:val="left" w:leader="dot" w:pos="9080"/>
        </w:tabs>
        <w:spacing w:after="0" w:line="276" w:lineRule="exact"/>
        <w:ind w:left="720"/>
        <w:rPr>
          <w:color w:val="auto"/>
          <w:sz w:val="20"/>
          <w:szCs w:val="20"/>
        </w:rPr>
      </w:pPr>
      <w:r>
        <w:rPr>
          <w:rFonts w:ascii="Arial" w:hAnsi="Arial" w:eastAsia="Arial" w:cs="Arial"/>
          <w:color w:val="auto"/>
          <w:sz w:val="24"/>
          <w:szCs w:val="24"/>
        </w:rPr>
        <w:t>3</w:t>
      </w:r>
      <w:r>
        <w:rPr>
          <w:rFonts w:ascii="MS PGothic" w:hAnsi="MS PGothic" w:eastAsia="MS PGothic" w:cs="MS PGothic"/>
          <w:color w:val="auto"/>
          <w:sz w:val="24"/>
          <w:szCs w:val="24"/>
        </w:rPr>
        <w:t>．</w:t>
      </w:r>
      <w:r>
        <w:rPr>
          <w:rFonts w:ascii="Arial" w:hAnsi="Arial" w:eastAsia="Arial" w:cs="Arial"/>
          <w:color w:val="auto"/>
          <w:sz w:val="24"/>
          <w:szCs w:val="24"/>
        </w:rPr>
        <w:t>Mechanism of Vitamin D Activity in Cell</w:t>
      </w:r>
      <w:r>
        <w:rPr>
          <w:color w:val="auto"/>
          <w:sz w:val="20"/>
          <w:szCs w:val="20"/>
        </w:rPr>
        <w:tab/>
      </w:r>
      <w:r>
        <w:rPr>
          <w:rFonts w:ascii="Arial" w:hAnsi="Arial" w:eastAsia="Arial" w:cs="Arial"/>
          <w:color w:val="auto"/>
          <w:sz w:val="23"/>
          <w:szCs w:val="23"/>
        </w:rPr>
        <w:t>18</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3" w:lineRule="exact"/>
        <w:rPr>
          <w:color w:val="auto"/>
          <w:sz w:val="20"/>
          <w:szCs w:val="20"/>
        </w:rPr>
      </w:pPr>
    </w:p>
    <w:p>
      <w:pPr>
        <w:spacing w:after="0"/>
        <w:ind w:left="4960"/>
        <w:rPr>
          <w:color w:val="auto"/>
          <w:sz w:val="20"/>
          <w:szCs w:val="20"/>
        </w:rPr>
      </w:pPr>
      <w:r>
        <w:rPr>
          <w:rFonts w:ascii="Calibri" w:hAnsi="Calibri" w:eastAsia="Calibri" w:cs="Calibri"/>
          <w:color w:val="auto"/>
          <w:sz w:val="22"/>
          <w:szCs w:val="22"/>
        </w:rPr>
        <w:t>ix</w:t>
      </w:r>
    </w:p>
    <w:p>
      <w:pPr>
        <w:sectPr>
          <w:pgSz w:w="12240" w:h="15840"/>
          <w:pgMar w:top="1435" w:right="1440" w:bottom="162" w:left="1440" w:header="0" w:footer="0" w:gutter="0"/>
          <w:cols w:equalWidth="0" w:num="1">
            <w:col w:w="9360"/>
          </w:cols>
        </w:sectPr>
      </w:pPr>
    </w:p>
    <w:p>
      <w:pPr>
        <w:spacing w:after="0" w:line="200" w:lineRule="exact"/>
        <w:rPr>
          <w:color w:val="auto"/>
          <w:sz w:val="20"/>
          <w:szCs w:val="20"/>
        </w:rPr>
      </w:pPr>
      <w:bookmarkStart w:id="5" w:name="page11"/>
      <w:bookmarkEnd w:id="5"/>
    </w:p>
    <w:p>
      <w:pPr>
        <w:spacing w:after="0" w:line="200" w:lineRule="exact"/>
        <w:rPr>
          <w:color w:val="auto"/>
          <w:sz w:val="20"/>
          <w:szCs w:val="20"/>
        </w:rPr>
      </w:pPr>
    </w:p>
    <w:p>
      <w:pPr>
        <w:spacing w:after="0" w:line="332" w:lineRule="exact"/>
        <w:rPr>
          <w:color w:val="auto"/>
          <w:sz w:val="20"/>
          <w:szCs w:val="20"/>
        </w:rPr>
      </w:pPr>
    </w:p>
    <w:p>
      <w:pPr>
        <w:spacing w:after="0"/>
        <w:ind w:left="4200"/>
        <w:rPr>
          <w:color w:val="auto"/>
          <w:sz w:val="20"/>
          <w:szCs w:val="20"/>
        </w:rPr>
      </w:pPr>
      <w:r>
        <w:rPr>
          <w:rFonts w:ascii="Arial" w:hAnsi="Arial" w:eastAsia="Arial" w:cs="Arial"/>
          <w:b/>
          <w:bCs/>
          <w:color w:val="auto"/>
          <w:sz w:val="28"/>
          <w:szCs w:val="28"/>
        </w:rPr>
        <w:t>CHAPTER 1</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4" w:lineRule="exact"/>
        <w:rPr>
          <w:color w:val="auto"/>
          <w:sz w:val="20"/>
          <w:szCs w:val="20"/>
        </w:rPr>
      </w:pPr>
    </w:p>
    <w:p>
      <w:pPr>
        <w:spacing w:after="0"/>
        <w:ind w:left="4080"/>
        <w:rPr>
          <w:color w:val="auto"/>
          <w:sz w:val="20"/>
          <w:szCs w:val="20"/>
        </w:rPr>
      </w:pPr>
      <w:r>
        <w:rPr>
          <w:rFonts w:ascii="Arial" w:hAnsi="Arial" w:eastAsia="Arial" w:cs="Arial"/>
          <w:b/>
          <w:bCs/>
          <w:color w:val="auto"/>
          <w:sz w:val="28"/>
          <w:szCs w:val="28"/>
        </w:rPr>
        <w:t>INTRODUCTION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8" w:lineRule="exact"/>
        <w:rPr>
          <w:color w:val="auto"/>
          <w:sz w:val="20"/>
          <w:szCs w:val="20"/>
        </w:rPr>
      </w:pPr>
    </w:p>
    <w:p>
      <w:pPr>
        <w:spacing w:after="0" w:line="477" w:lineRule="auto"/>
        <w:ind w:left="720" w:right="262" w:firstLine="660"/>
        <w:rPr>
          <w:color w:val="auto"/>
          <w:sz w:val="20"/>
          <w:szCs w:val="20"/>
        </w:rPr>
      </w:pPr>
      <w:r>
        <w:rPr>
          <w:rFonts w:ascii="Arial" w:hAnsi="Arial" w:eastAsia="Arial" w:cs="Arial"/>
          <w:color w:val="auto"/>
          <w:sz w:val="22"/>
          <w:szCs w:val="22"/>
        </w:rPr>
        <w:t>Although the role of vitamin D in bone health is well known, recent studies have described new, nonskeletal roles for vitamin D in human health, including a role in preventing chronic diseases such as cardiovascular disease, diabetes and cancer. (Wang, 2008; Mohr, 2008; Holick, 2004a; Holick, 2004b)</w:t>
      </w:r>
    </w:p>
    <w:p>
      <w:pPr>
        <w:spacing w:after="0" w:line="200" w:lineRule="exact"/>
        <w:rPr>
          <w:color w:val="auto"/>
          <w:sz w:val="20"/>
          <w:szCs w:val="20"/>
        </w:rPr>
      </w:pPr>
    </w:p>
    <w:p>
      <w:pPr>
        <w:spacing w:after="0" w:line="319" w:lineRule="exact"/>
        <w:rPr>
          <w:color w:val="auto"/>
          <w:sz w:val="20"/>
          <w:szCs w:val="20"/>
        </w:rPr>
      </w:pPr>
    </w:p>
    <w:p>
      <w:pPr>
        <w:spacing w:after="0" w:line="479" w:lineRule="auto"/>
        <w:ind w:left="720" w:right="42" w:firstLine="660"/>
        <w:rPr>
          <w:color w:val="auto"/>
          <w:sz w:val="20"/>
          <w:szCs w:val="20"/>
        </w:rPr>
      </w:pPr>
      <w:r>
        <w:rPr>
          <w:rFonts w:ascii="Arial" w:hAnsi="Arial" w:eastAsia="Arial" w:cs="Arial"/>
          <w:color w:val="auto"/>
          <w:sz w:val="22"/>
          <w:szCs w:val="22"/>
        </w:rPr>
        <w:t>In addition to these chronic diseases, vitamin D status may also be linked to asthma, although this area of research is relatively new (Black, 2005, Burns 2006, Camargo, 2007). Asthma is a common chronic lung disease that involves inflammation of the pulmonary airways and bronchial hyper-responsiveness, which manifests as lower airway obstruction (Expert Panel Report 3, 2007). Asthma is a common disease worldwide and affects 22 million people in the United States alone. Although the overall mortality rate for asthma has declined and asthma-related hospitalizations have remained constant since 1995 (Centers for Disease Control and Prevention asthma surveillance data; Moorman 2007), asthma nonetheless contributes substantially to morbidity. Children and African Americans are especially affected by asthma; the prevalence of asthma is twice as high in these groups as in other groups (Centers for Disease Control and Prevention asthma surveillance data; Moorman 2007). The cost of treating asthma continues to be a large burden in health care costs for both adults and children.</w:t>
      </w:r>
    </w:p>
    <w:p>
      <w:pPr>
        <w:spacing w:after="0" w:line="355"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1</w:t>
      </w:r>
    </w:p>
    <w:p>
      <w:pPr>
        <w:sectPr>
          <w:pgSz w:w="12240" w:h="15842"/>
          <w:pgMar w:top="1440" w:right="1440" w:bottom="412" w:left="1440" w:header="0" w:footer="0" w:gutter="0"/>
          <w:cols w:equalWidth="0" w:num="1">
            <w:col w:w="9362"/>
          </w:cols>
        </w:sectPr>
      </w:pPr>
    </w:p>
    <w:p>
      <w:pPr>
        <w:spacing w:after="0" w:line="6" w:lineRule="exact"/>
        <w:rPr>
          <w:color w:val="auto"/>
          <w:sz w:val="20"/>
          <w:szCs w:val="20"/>
        </w:rPr>
      </w:pPr>
      <w:bookmarkStart w:id="6" w:name="page12"/>
      <w:bookmarkEnd w:id="6"/>
    </w:p>
    <w:p>
      <w:pPr>
        <w:spacing w:after="0" w:line="479" w:lineRule="auto"/>
        <w:ind w:left="720" w:firstLine="660"/>
        <w:rPr>
          <w:rFonts w:ascii="Arial" w:hAnsi="Arial" w:eastAsia="Arial" w:cs="Arial"/>
          <w:color w:val="auto"/>
          <w:sz w:val="22"/>
          <w:szCs w:val="22"/>
        </w:rPr>
      </w:pPr>
      <w:r>
        <w:rPr>
          <w:rFonts w:ascii="Arial" w:hAnsi="Arial" w:eastAsia="Arial" w:cs="Arial"/>
          <w:color w:val="auto"/>
          <w:sz w:val="22"/>
          <w:szCs w:val="22"/>
        </w:rPr>
        <w:t xml:space="preserve">The prevalence of asthma increased throughout the late 1980s in developed countries, leading to many hypotheses that attempted to explain this increase. One hypothesis, the ―hygiene hypothesis,‖ suggested that declining family size reduced exposure to infectious pathogens in early childhood, and higher standards of cleanliness, compromise development of immune function which then increases susceptibility to </w:t>
      </w:r>
      <w:r>
        <w:fldChar w:fldCharType="begin"/>
      </w:r>
      <w:r>
        <w:instrText xml:space="preserve"> HYPERLINK "http://en.wikipedia.org/wiki/Allergy" \h </w:instrText>
      </w:r>
      <w:r>
        <w:fldChar w:fldCharType="separate"/>
      </w:r>
      <w:r>
        <w:rPr>
          <w:rFonts w:ascii="Arial" w:hAnsi="Arial" w:eastAsia="Arial" w:cs="Arial"/>
          <w:color w:val="auto"/>
          <w:sz w:val="22"/>
          <w:szCs w:val="22"/>
        </w:rPr>
        <w:t xml:space="preserve">allergic </w:t>
      </w:r>
      <w:r>
        <w:rPr>
          <w:rFonts w:ascii="Arial" w:hAnsi="Arial" w:eastAsia="Arial" w:cs="Arial"/>
          <w:color w:val="auto"/>
          <w:sz w:val="22"/>
          <w:szCs w:val="22"/>
        </w:rPr>
        <w:fldChar w:fldCharType="end"/>
      </w:r>
      <w:r>
        <w:rPr>
          <w:rFonts w:ascii="Arial" w:hAnsi="Arial" w:eastAsia="Arial" w:cs="Arial"/>
          <w:color w:val="auto"/>
          <w:sz w:val="22"/>
          <w:szCs w:val="22"/>
        </w:rPr>
        <w:t>diseases (Strachan, 1989), including asthma. Although this phenomenon may account for some of the increase in asthma prevalence, it does not completely explain the asthma epidemic. Other factors, including urban poverty (Platts-Mills, 2001), obesity (Ford, 2005) and dietary components also appear to play a role (Raviv, 2010).</w:t>
      </w:r>
    </w:p>
    <w:p>
      <w:pPr>
        <w:spacing w:after="0" w:line="200" w:lineRule="exact"/>
        <w:rPr>
          <w:color w:val="auto"/>
          <w:sz w:val="20"/>
          <w:szCs w:val="20"/>
        </w:rPr>
      </w:pPr>
    </w:p>
    <w:p>
      <w:pPr>
        <w:spacing w:after="0" w:line="316" w:lineRule="exact"/>
        <w:rPr>
          <w:color w:val="auto"/>
          <w:sz w:val="20"/>
          <w:szCs w:val="20"/>
        </w:rPr>
      </w:pPr>
    </w:p>
    <w:p>
      <w:pPr>
        <w:spacing w:after="0" w:line="478" w:lineRule="auto"/>
        <w:ind w:left="720" w:right="460" w:firstLine="660"/>
        <w:rPr>
          <w:color w:val="auto"/>
          <w:sz w:val="20"/>
          <w:szCs w:val="20"/>
        </w:rPr>
      </w:pPr>
      <w:r>
        <w:rPr>
          <w:rFonts w:ascii="Arial" w:hAnsi="Arial" w:eastAsia="Arial" w:cs="Arial"/>
          <w:color w:val="auto"/>
          <w:sz w:val="22"/>
          <w:szCs w:val="22"/>
        </w:rPr>
        <w:t>Litonjua and Weiss (2007) recently offered a new hypothesis to explain the asthma epidemic. They hypothesized that vitamin D status influences asthma risk, although they had direct evidence of a relationship only among pregnant women and their offspring. Whether vitamin D status is associated with adult asthma remains unclear. The main goal of the current project is to assess the relationship between vitamin D status and asthma in young adult women.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7"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2</w:t>
      </w:r>
    </w:p>
    <w:p>
      <w:pPr>
        <w:sectPr>
          <w:pgSz w:w="12240" w:h="15842"/>
          <w:pgMar w:top="1440" w:right="1382" w:bottom="119" w:left="1440" w:header="0" w:footer="0" w:gutter="0"/>
          <w:cols w:equalWidth="0" w:num="1">
            <w:col w:w="9420"/>
          </w:cols>
        </w:sectPr>
      </w:pPr>
    </w:p>
    <w:p>
      <w:pPr>
        <w:spacing w:after="0" w:line="200" w:lineRule="exact"/>
        <w:rPr>
          <w:color w:val="auto"/>
          <w:sz w:val="20"/>
          <w:szCs w:val="20"/>
        </w:rPr>
      </w:pPr>
      <w:bookmarkStart w:id="7" w:name="page13"/>
      <w:bookmarkEnd w:id="7"/>
    </w:p>
    <w:p>
      <w:pPr>
        <w:spacing w:after="0" w:line="200" w:lineRule="exact"/>
        <w:rPr>
          <w:color w:val="auto"/>
          <w:sz w:val="20"/>
          <w:szCs w:val="20"/>
        </w:rPr>
      </w:pPr>
    </w:p>
    <w:p>
      <w:pPr>
        <w:spacing w:after="0" w:line="239" w:lineRule="exact"/>
        <w:rPr>
          <w:color w:val="auto"/>
          <w:sz w:val="20"/>
          <w:szCs w:val="20"/>
        </w:rPr>
      </w:pPr>
    </w:p>
    <w:p>
      <w:pPr>
        <w:spacing w:after="0"/>
        <w:ind w:left="4240"/>
        <w:rPr>
          <w:color w:val="auto"/>
          <w:sz w:val="20"/>
          <w:szCs w:val="20"/>
        </w:rPr>
      </w:pPr>
      <w:r>
        <w:rPr>
          <w:rFonts w:ascii="Arial" w:hAnsi="Arial" w:eastAsia="Arial" w:cs="Arial"/>
          <w:b/>
          <w:bCs/>
          <w:color w:val="auto"/>
          <w:sz w:val="28"/>
          <w:szCs w:val="28"/>
        </w:rPr>
        <w:t>CHAPTER 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ind w:left="4440"/>
        <w:rPr>
          <w:color w:val="auto"/>
          <w:sz w:val="20"/>
          <w:szCs w:val="20"/>
        </w:rPr>
      </w:pPr>
      <w:r>
        <w:rPr>
          <w:rFonts w:ascii="Arial" w:hAnsi="Arial" w:eastAsia="Arial" w:cs="Arial"/>
          <w:b/>
          <w:bCs/>
          <w:color w:val="auto"/>
          <w:sz w:val="28"/>
          <w:szCs w:val="28"/>
        </w:rPr>
        <w:t>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9" w:lineRule="exact"/>
        <w:rPr>
          <w:color w:val="auto"/>
          <w:sz w:val="20"/>
          <w:szCs w:val="20"/>
        </w:rPr>
      </w:pPr>
    </w:p>
    <w:p>
      <w:pPr>
        <w:spacing w:after="0" w:line="479" w:lineRule="auto"/>
        <w:ind w:left="720" w:right="102" w:firstLine="660"/>
        <w:rPr>
          <w:color w:val="auto"/>
          <w:sz w:val="20"/>
          <w:szCs w:val="20"/>
        </w:rPr>
      </w:pPr>
      <w:r>
        <w:rPr>
          <w:rFonts w:ascii="Arial" w:hAnsi="Arial" w:eastAsia="Arial" w:cs="Arial"/>
          <w:color w:val="auto"/>
          <w:sz w:val="22"/>
          <w:szCs w:val="22"/>
        </w:rPr>
        <w:t>The term "asthma" comes from the ancient Greek language; it means ―to breathe hard." Current medical terminology defines this condition as the reversible obstructive airway disease (ROAD). ―Asthma is a chronic lung air way disorder, characterized by episodic and reversible airflow obstruction, bronchial hyper- responsiveness and underlying inflammation‖ (Expert Panel Report 3, 2007).The symptoms are highly variable both among and within patients, ranging from mild illness to death. Clinical manifestations include wheezing, coughing, and shortness of breath (Expert Panel Report 3, 2007). Asthma can resolve spontaneously or require treatment.</w:t>
      </w:r>
    </w:p>
    <w:p>
      <w:pPr>
        <w:spacing w:after="0" w:line="200" w:lineRule="exact"/>
        <w:rPr>
          <w:color w:val="auto"/>
          <w:sz w:val="20"/>
          <w:szCs w:val="20"/>
        </w:rPr>
      </w:pPr>
    </w:p>
    <w:p>
      <w:pPr>
        <w:spacing w:after="0" w:line="314" w:lineRule="exact"/>
        <w:rPr>
          <w:color w:val="auto"/>
          <w:sz w:val="20"/>
          <w:szCs w:val="20"/>
        </w:rPr>
      </w:pPr>
    </w:p>
    <w:p>
      <w:pPr>
        <w:spacing w:after="0" w:line="479" w:lineRule="auto"/>
        <w:ind w:left="720" w:right="242" w:firstLine="660"/>
        <w:rPr>
          <w:color w:val="auto"/>
          <w:sz w:val="20"/>
          <w:szCs w:val="20"/>
        </w:rPr>
      </w:pPr>
      <w:r>
        <w:rPr>
          <w:rFonts w:ascii="Arial" w:hAnsi="Arial" w:eastAsia="Arial" w:cs="Arial"/>
          <w:color w:val="auto"/>
          <w:sz w:val="22"/>
          <w:szCs w:val="22"/>
        </w:rPr>
        <w:t xml:space="preserve">According to the Center for Disease Control and Prevention data, from 1980 to 2004, the prevalence of asthma continued increasing in the United States. Asthma increased in prevalence during 1980-1996, but since 1997 no discernable change has been identified in asthma attack estimates. The overall prevalence of asthma in the general population was about 7% in 2006. For the three-year period 2001-2003, 20 million people annually had diagnosed asthma in the United States. Of these, approximately 6.2 million were children (aged &lt;18 years) and 13.8 million were adults. Approximately 2 million persons were aged </w:t>
      </w:r>
      <w:r>
        <w:rPr>
          <w:rFonts w:ascii="Arial" w:hAnsi="Arial" w:eastAsia="Arial" w:cs="Arial"/>
          <w:color w:val="auto"/>
          <w:sz w:val="22"/>
          <w:szCs w:val="22"/>
          <w:u w:val="single" w:color="auto"/>
        </w:rPr>
        <w:t>&gt;</w:t>
      </w:r>
      <w:r>
        <w:rPr>
          <w:rFonts w:ascii="Arial" w:hAnsi="Arial" w:eastAsia="Arial" w:cs="Arial"/>
          <w:color w:val="auto"/>
          <w:sz w:val="22"/>
          <w:szCs w:val="22"/>
        </w:rPr>
        <w:t>65 years. Overall mortality rates have declined and hospitalizations have remained constant since 1995 due to advances in diagnosis and treatment. The incidence of asthma is greater in children of all races as</w:t>
      </w:r>
    </w:p>
    <w:p>
      <w:pPr>
        <w:spacing w:after="0" w:line="200" w:lineRule="exact"/>
        <w:rPr>
          <w:color w:val="auto"/>
          <w:sz w:val="20"/>
          <w:szCs w:val="20"/>
        </w:rPr>
      </w:pPr>
    </w:p>
    <w:p>
      <w:pPr>
        <w:spacing w:after="0" w:line="305"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3</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8" w:name="page14"/>
      <w:bookmarkEnd w:id="8"/>
    </w:p>
    <w:p>
      <w:pPr>
        <w:spacing w:after="0" w:line="477" w:lineRule="auto"/>
        <w:ind w:left="720" w:right="142"/>
        <w:jc w:val="both"/>
        <w:rPr>
          <w:color w:val="auto"/>
          <w:sz w:val="20"/>
          <w:szCs w:val="20"/>
        </w:rPr>
      </w:pPr>
      <w:r>
        <w:rPr>
          <w:rFonts w:ascii="Arial" w:hAnsi="Arial" w:eastAsia="Arial" w:cs="Arial"/>
          <w:color w:val="auto"/>
          <w:sz w:val="22"/>
          <w:szCs w:val="22"/>
        </w:rPr>
        <w:t>well as in African-Americans. Among children under the age of 10, asthma affects twice as many boys as girls. But with increasing age, women are more likely to have asthma compared to men (Stachan, 1996). Half of all cases first occur in children younger than age 10. There are no clear explanations to explain the differentiations occur in age and gender.</w:t>
      </w:r>
    </w:p>
    <w:p>
      <w:pPr>
        <w:spacing w:after="0" w:line="200" w:lineRule="exact"/>
        <w:rPr>
          <w:color w:val="auto"/>
          <w:sz w:val="20"/>
          <w:szCs w:val="20"/>
        </w:rPr>
      </w:pPr>
    </w:p>
    <w:p>
      <w:pPr>
        <w:spacing w:after="0" w:line="322" w:lineRule="exact"/>
        <w:rPr>
          <w:color w:val="auto"/>
          <w:sz w:val="20"/>
          <w:szCs w:val="20"/>
        </w:rPr>
      </w:pPr>
    </w:p>
    <w:p>
      <w:pPr>
        <w:spacing w:after="0" w:line="478" w:lineRule="auto"/>
        <w:ind w:left="720" w:right="62" w:firstLine="660"/>
        <w:rPr>
          <w:color w:val="auto"/>
          <w:sz w:val="20"/>
          <w:szCs w:val="20"/>
        </w:rPr>
      </w:pPr>
      <w:r>
        <w:rPr>
          <w:rFonts w:ascii="Arial" w:hAnsi="Arial" w:eastAsia="Arial" w:cs="Arial"/>
          <w:color w:val="auto"/>
          <w:sz w:val="22"/>
          <w:szCs w:val="22"/>
        </w:rPr>
        <w:t>No single instrument can be used to identify asthma with certainty. Asthma is a clinical diagnosis made by physicians on the basis of a patient‘s medical history, physical examination, assessment of reversibility of airway obstruction and exclusion of alternative diagnoses that can mimic asthma (EPR 3, 2007). Since each physician has a different diagnosis level, this causes difficulty in asthma research and data collection. Sometimes changes in asthma prevalence can be at least partly attributable to subjective changes in diagnostic labeling.</w:t>
      </w:r>
    </w:p>
    <w:p>
      <w:pPr>
        <w:spacing w:after="0" w:line="200" w:lineRule="exact"/>
        <w:rPr>
          <w:color w:val="auto"/>
          <w:sz w:val="20"/>
          <w:szCs w:val="20"/>
        </w:rPr>
      </w:pPr>
    </w:p>
    <w:p>
      <w:pPr>
        <w:spacing w:after="0" w:line="310"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The Pathophysiology of Asthma</w:t>
      </w:r>
    </w:p>
    <w:p>
      <w:pPr>
        <w:spacing w:after="0" w:line="287" w:lineRule="exact"/>
        <w:rPr>
          <w:color w:val="auto"/>
          <w:sz w:val="20"/>
          <w:szCs w:val="20"/>
        </w:rPr>
      </w:pPr>
    </w:p>
    <w:p>
      <w:pPr>
        <w:spacing w:after="0" w:line="476" w:lineRule="auto"/>
        <w:ind w:left="720" w:right="882" w:firstLine="660"/>
        <w:rPr>
          <w:color w:val="auto"/>
          <w:sz w:val="20"/>
          <w:szCs w:val="20"/>
        </w:rPr>
      </w:pPr>
      <w:r>
        <w:rPr>
          <w:rFonts w:ascii="Arial" w:hAnsi="Arial" w:eastAsia="Arial" w:cs="Arial"/>
          <w:color w:val="auto"/>
          <w:sz w:val="22"/>
          <w:szCs w:val="22"/>
        </w:rPr>
        <w:t>The pathophysiology of asthma is complex and involves three main characteristics: inflammation, reversible airway obstruction and bronchial hyper-responsiveness. (Busse, 2001)</w:t>
      </w:r>
    </w:p>
    <w:p>
      <w:pPr>
        <w:spacing w:after="0" w:line="200" w:lineRule="exact"/>
        <w:rPr>
          <w:color w:val="auto"/>
          <w:sz w:val="20"/>
          <w:szCs w:val="20"/>
        </w:rPr>
      </w:pPr>
    </w:p>
    <w:p>
      <w:pPr>
        <w:spacing w:after="0" w:line="310"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Inflammation</w:t>
      </w:r>
    </w:p>
    <w:p>
      <w:pPr>
        <w:spacing w:after="0" w:line="262" w:lineRule="exact"/>
        <w:rPr>
          <w:color w:val="auto"/>
          <w:sz w:val="20"/>
          <w:szCs w:val="20"/>
        </w:rPr>
      </w:pPr>
    </w:p>
    <w:p>
      <w:pPr>
        <w:spacing w:after="0" w:line="478" w:lineRule="auto"/>
        <w:ind w:left="720" w:right="82" w:firstLine="660"/>
        <w:rPr>
          <w:color w:val="auto"/>
          <w:sz w:val="20"/>
          <w:szCs w:val="20"/>
        </w:rPr>
      </w:pPr>
      <w:r>
        <w:rPr>
          <w:rFonts w:ascii="Arial" w:hAnsi="Arial" w:eastAsia="Arial" w:cs="Arial"/>
          <w:color w:val="auto"/>
          <w:sz w:val="22"/>
          <w:szCs w:val="22"/>
        </w:rPr>
        <w:t>Inflammation plays the central role in development and expression of asthma. Inflammation not only causes the airway obstruction, but also contributes to airway hyper-responsiveness, which enhances susceptibility to bronchospasm. The model that infections could trigger and aggravate asthma in already sensitized individuals has been well established. (Cohn, 2004).</w:t>
      </w:r>
    </w:p>
    <w:p>
      <w:pPr>
        <w:spacing w:after="0" w:line="200" w:lineRule="exact"/>
        <w:rPr>
          <w:color w:val="auto"/>
          <w:sz w:val="20"/>
          <w:szCs w:val="20"/>
        </w:rPr>
      </w:pPr>
    </w:p>
    <w:p>
      <w:pPr>
        <w:spacing w:after="0" w:line="200" w:lineRule="exact"/>
        <w:rPr>
          <w:color w:val="auto"/>
          <w:sz w:val="20"/>
          <w:szCs w:val="20"/>
        </w:rPr>
      </w:pPr>
    </w:p>
    <w:p>
      <w:pPr>
        <w:spacing w:after="0" w:line="335"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4</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9" w:name="page15"/>
      <w:bookmarkEnd w:id="9"/>
    </w:p>
    <w:p>
      <w:pPr>
        <w:spacing w:after="0" w:line="479" w:lineRule="auto"/>
        <w:ind w:left="720" w:right="42" w:firstLine="660"/>
        <w:rPr>
          <w:color w:val="auto"/>
          <w:sz w:val="20"/>
          <w:szCs w:val="20"/>
        </w:rPr>
      </w:pPr>
      <w:r>
        <w:rPr>
          <w:rFonts w:ascii="Arial" w:hAnsi="Arial" w:eastAsia="Arial" w:cs="Arial"/>
          <w:color w:val="auto"/>
          <w:sz w:val="22"/>
          <w:szCs w:val="22"/>
        </w:rPr>
        <w:t>Inflammation in asthma is the result of a complex process that involves the participation of different cell types in various tissues comprising the respiratory tract. The cellular profile and the response of structural cells in asthma are quite consistent regardless of differences in asthma presentation. Some of the principal cells identified in airway inflammation include mast cells, eosinophils, epithelial cells, macrophages, and activated T lymphocytes. T lymphocytes play the most important role in the regulation of airway inflammation because they release numerous cytokines that regulate immune function (Roberto, 2006; Busse, 1996).</w:t>
      </w:r>
    </w:p>
    <w:p>
      <w:pPr>
        <w:spacing w:after="0" w:line="200" w:lineRule="exact"/>
        <w:rPr>
          <w:color w:val="auto"/>
          <w:sz w:val="20"/>
          <w:szCs w:val="20"/>
        </w:rPr>
      </w:pPr>
    </w:p>
    <w:p>
      <w:pPr>
        <w:spacing w:after="0" w:line="314" w:lineRule="exact"/>
        <w:rPr>
          <w:color w:val="auto"/>
          <w:sz w:val="20"/>
          <w:szCs w:val="20"/>
        </w:rPr>
      </w:pPr>
    </w:p>
    <w:p>
      <w:pPr>
        <w:spacing w:after="0" w:line="478" w:lineRule="auto"/>
        <w:ind w:left="720" w:right="542" w:firstLine="660"/>
        <w:rPr>
          <w:color w:val="auto"/>
          <w:sz w:val="20"/>
          <w:szCs w:val="20"/>
        </w:rPr>
      </w:pPr>
      <w:r>
        <w:rPr>
          <w:rFonts w:ascii="Arial" w:hAnsi="Arial" w:eastAsia="Arial" w:cs="Arial"/>
          <w:color w:val="auto"/>
          <w:sz w:val="22"/>
          <w:szCs w:val="22"/>
        </w:rPr>
        <w:t>The pattern of inflammation with viral infections and its effect on asthma are distinct from that associated with allergen activation. Exposure to allergens causes airway eosinophilic responses that are the end step controlled by the T cell immune response, whereas viral infections elicit neutrophilic responses (Abu-Harb, 1999; Pizzichini, 1998)</w:t>
      </w:r>
    </w:p>
    <w:p>
      <w:pPr>
        <w:spacing w:after="0" w:line="200" w:lineRule="exact"/>
        <w:rPr>
          <w:color w:val="auto"/>
          <w:sz w:val="20"/>
          <w:szCs w:val="20"/>
        </w:rPr>
      </w:pPr>
    </w:p>
    <w:p>
      <w:pPr>
        <w:spacing w:after="0" w:line="317" w:lineRule="exact"/>
        <w:rPr>
          <w:color w:val="auto"/>
          <w:sz w:val="20"/>
          <w:szCs w:val="20"/>
        </w:rPr>
      </w:pPr>
    </w:p>
    <w:p>
      <w:pPr>
        <w:spacing w:after="0" w:line="477" w:lineRule="auto"/>
        <w:ind w:left="720" w:right="62" w:firstLine="660"/>
        <w:rPr>
          <w:color w:val="auto"/>
          <w:sz w:val="20"/>
          <w:szCs w:val="20"/>
        </w:rPr>
      </w:pPr>
      <w:r>
        <w:rPr>
          <w:rFonts w:ascii="Arial" w:hAnsi="Arial" w:eastAsia="Arial" w:cs="Arial"/>
          <w:color w:val="auto"/>
          <w:sz w:val="22"/>
          <w:szCs w:val="22"/>
        </w:rPr>
        <w:t>The presence and absence of infections may explain variation over time in susceptibility to asthma in an individual. The chronic inflammation causing airway remodeling in some patients may be associated with permanent alterations in the airway structure (Buss, 2001). This can lead to more severe asthma later in life.</w:t>
      </w:r>
    </w:p>
    <w:p>
      <w:pPr>
        <w:spacing w:after="0" w:line="200" w:lineRule="exact"/>
        <w:rPr>
          <w:color w:val="auto"/>
          <w:sz w:val="20"/>
          <w:szCs w:val="20"/>
        </w:rPr>
      </w:pPr>
    </w:p>
    <w:p>
      <w:pPr>
        <w:spacing w:after="0" w:line="308"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Bronchial hyperresponsiveness</w:t>
      </w:r>
    </w:p>
    <w:p>
      <w:pPr>
        <w:spacing w:after="0" w:line="264" w:lineRule="exact"/>
        <w:rPr>
          <w:color w:val="auto"/>
          <w:sz w:val="20"/>
          <w:szCs w:val="20"/>
        </w:rPr>
      </w:pPr>
    </w:p>
    <w:p>
      <w:pPr>
        <w:spacing w:after="0" w:line="477" w:lineRule="auto"/>
        <w:ind w:left="720" w:right="22" w:firstLine="660"/>
        <w:rPr>
          <w:color w:val="auto"/>
          <w:sz w:val="20"/>
          <w:szCs w:val="20"/>
        </w:rPr>
      </w:pPr>
      <w:r>
        <w:rPr>
          <w:rFonts w:ascii="Arial" w:hAnsi="Arial" w:eastAsia="Arial" w:cs="Arial"/>
          <w:color w:val="auto"/>
          <w:sz w:val="22"/>
          <w:szCs w:val="22"/>
        </w:rPr>
        <w:t>Airway hyper-responsiveness is an exaggerated response to both exogenous and endogenous stimuli. It leads to clinical symptoms, airway narrowing and subsequent interference with airflow. The mechanisms involved include direct stimulation of airway smooth muscle and indirect stimulation by physiologically active substances from mediator-secreting cells, such as mast cells (Hargreave, 1981). Measurements of airway</w:t>
      </w:r>
    </w:p>
    <w:p>
      <w:pPr>
        <w:spacing w:after="0" w:line="279"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5</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10" w:name="page16"/>
      <w:bookmarkEnd w:id="10"/>
    </w:p>
    <w:p>
      <w:pPr>
        <w:spacing w:after="0" w:line="476" w:lineRule="auto"/>
        <w:ind w:left="720" w:right="342"/>
        <w:rPr>
          <w:color w:val="auto"/>
          <w:sz w:val="20"/>
          <w:szCs w:val="20"/>
        </w:rPr>
      </w:pPr>
      <w:r>
        <w:rPr>
          <w:rFonts w:ascii="Arial" w:hAnsi="Arial" w:eastAsia="Arial" w:cs="Arial"/>
          <w:color w:val="auto"/>
          <w:sz w:val="22"/>
          <w:szCs w:val="22"/>
        </w:rPr>
        <w:t>responsiveness appear to reflect the activity and severity of asthma at the time of measurement rather than to define the prevalence of the illness over a specific period (EPR3, 2007).</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Reversible airway obstruction</w:t>
      </w:r>
    </w:p>
    <w:p>
      <w:pPr>
        <w:spacing w:after="0" w:line="264" w:lineRule="exact"/>
        <w:rPr>
          <w:color w:val="auto"/>
          <w:sz w:val="20"/>
          <w:szCs w:val="20"/>
        </w:rPr>
      </w:pPr>
    </w:p>
    <w:p>
      <w:pPr>
        <w:spacing w:after="0" w:line="479" w:lineRule="auto"/>
        <w:ind w:left="720" w:right="22" w:firstLine="660"/>
        <w:rPr>
          <w:color w:val="auto"/>
          <w:sz w:val="20"/>
          <w:szCs w:val="20"/>
        </w:rPr>
      </w:pPr>
      <w:r>
        <w:rPr>
          <w:rFonts w:ascii="Arial" w:hAnsi="Arial" w:eastAsia="Arial" w:cs="Arial"/>
          <w:color w:val="auto"/>
          <w:sz w:val="22"/>
          <w:szCs w:val="22"/>
        </w:rPr>
        <w:t>Airflow obstruction can be caused by a variety of changes, including acute bronchoconstriction, airway edema, airway hyper-responsiveness, and airway remodeling (Finucane, 1985). Acute bronchoconstriction is the consequence of immunoglobulin E–dependent mediator release following exposure to aeroallergens and is the primary component of the early asthmatic response. Airway edema occurs 6-24 hours following an allergen challenge and is referred to as the late asthmatic response. Airway hyper-responsiveness involves narrowing of the airway when exposed to stimuli, such as food and medicine. Airway remodeling is associated with structural changes due to long-standing inflammation and may profoundly affect airway obstruction. (Holgate, 2000)</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Etiology (Pathogenesis)</w:t>
      </w:r>
    </w:p>
    <w:p>
      <w:pPr>
        <w:spacing w:after="0" w:line="287" w:lineRule="exact"/>
        <w:rPr>
          <w:color w:val="auto"/>
          <w:sz w:val="20"/>
          <w:szCs w:val="20"/>
        </w:rPr>
      </w:pPr>
    </w:p>
    <w:p>
      <w:pPr>
        <w:spacing w:after="0" w:line="478" w:lineRule="auto"/>
        <w:ind w:left="720" w:right="202" w:firstLine="660"/>
        <w:rPr>
          <w:color w:val="auto"/>
          <w:sz w:val="20"/>
          <w:szCs w:val="20"/>
        </w:rPr>
      </w:pPr>
      <w:r>
        <w:rPr>
          <w:rFonts w:ascii="Arial" w:hAnsi="Arial" w:eastAsia="Arial" w:cs="Arial"/>
          <w:color w:val="auto"/>
          <w:sz w:val="22"/>
          <w:szCs w:val="22"/>
        </w:rPr>
        <w:t>Although the pathophysiology of asthma is fairly well understood, the exact etiology of asthma is still not known. For many patients, the disease has its roots in infancy. Both host factor and environmental factors influence the development and exacerbation of asthma. Although environmental factors impact asthmatic conditions in children, susceptibility to asthma is influenced by genetic factors as well (Holgate, 1999a).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8"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6</w:t>
      </w:r>
    </w:p>
    <w:p>
      <w:pPr>
        <w:sectPr>
          <w:pgSz w:w="12240" w:h="15842"/>
          <w:pgMar w:top="1440" w:right="1440" w:bottom="119" w:left="1440" w:header="0" w:footer="0" w:gutter="0"/>
          <w:cols w:equalWidth="0" w:num="1">
            <w:col w:w="9362"/>
          </w:cols>
        </w:sectPr>
      </w:pPr>
    </w:p>
    <w:p>
      <w:pPr>
        <w:spacing w:after="0"/>
        <w:ind w:left="720"/>
        <w:rPr>
          <w:color w:val="auto"/>
          <w:sz w:val="20"/>
          <w:szCs w:val="20"/>
        </w:rPr>
      </w:pPr>
      <w:bookmarkStart w:id="11" w:name="page17"/>
      <w:bookmarkEnd w:id="11"/>
      <w:r>
        <w:rPr>
          <w:rFonts w:ascii="Arial" w:hAnsi="Arial" w:eastAsia="Arial" w:cs="Arial"/>
          <w:b/>
          <w:bCs/>
          <w:color w:val="auto"/>
          <w:sz w:val="22"/>
          <w:szCs w:val="22"/>
        </w:rPr>
        <w:t>Host Factors</w:t>
      </w:r>
    </w:p>
    <w:p>
      <w:pPr>
        <w:spacing w:after="0" w:line="262" w:lineRule="exact"/>
        <w:rPr>
          <w:color w:val="auto"/>
          <w:sz w:val="20"/>
          <w:szCs w:val="20"/>
        </w:rPr>
      </w:pPr>
    </w:p>
    <w:p>
      <w:pPr>
        <w:spacing w:after="0" w:line="479" w:lineRule="auto"/>
        <w:ind w:left="720" w:right="220" w:firstLine="662"/>
        <w:rPr>
          <w:color w:val="auto"/>
          <w:sz w:val="20"/>
          <w:szCs w:val="20"/>
        </w:rPr>
      </w:pPr>
      <w:r>
        <w:rPr>
          <w:rFonts w:ascii="Arial" w:hAnsi="Arial" w:eastAsia="Arial" w:cs="Arial"/>
          <w:b/>
          <w:bCs/>
          <w:color w:val="auto"/>
          <w:sz w:val="22"/>
          <w:szCs w:val="22"/>
        </w:rPr>
        <w:t>Genetics</w:t>
      </w:r>
      <w:r>
        <w:rPr>
          <w:rFonts w:ascii="Arial" w:hAnsi="Arial" w:eastAsia="Arial" w:cs="Arial"/>
          <w:color w:val="auto"/>
          <w:sz w:val="22"/>
          <w:szCs w:val="22"/>
        </w:rPr>
        <w:t xml:space="preserve"> Many genes have been found that either are involved in or linked to the presence of asthma. Asthma is known as a "complex" heritable disease. This means that there are a number of genes that contribute toward a person's susceptibility to a disease. Researchers cannot find one exact gene that results in asthma; rather, genes on chromosomes 5, 6, 11, 12, and 14 have all been implicated (Holgate, 1999a), especially for allergen-induced asthma. According to the latest Expert Panel Report (EPR) in 2007, the genetic predisposition for the development of an IgE-mediated response to common aeroallergens is the strongest identifiable predisposing factor for developing asthma."</w:t>
      </w:r>
    </w:p>
    <w:p>
      <w:pPr>
        <w:spacing w:after="0" w:line="200" w:lineRule="exact"/>
        <w:rPr>
          <w:color w:val="auto"/>
          <w:sz w:val="20"/>
          <w:szCs w:val="20"/>
        </w:rPr>
      </w:pPr>
    </w:p>
    <w:p>
      <w:pPr>
        <w:spacing w:after="0" w:line="318" w:lineRule="exact"/>
        <w:rPr>
          <w:color w:val="auto"/>
          <w:sz w:val="20"/>
          <w:szCs w:val="20"/>
        </w:rPr>
      </w:pPr>
    </w:p>
    <w:p>
      <w:pPr>
        <w:spacing w:after="0" w:line="472" w:lineRule="auto"/>
        <w:ind w:left="720" w:firstLine="660"/>
        <w:rPr>
          <w:color w:val="auto"/>
          <w:sz w:val="20"/>
          <w:szCs w:val="20"/>
        </w:rPr>
      </w:pPr>
      <w:r>
        <w:rPr>
          <w:rFonts w:ascii="Arial" w:hAnsi="Arial" w:eastAsia="Arial" w:cs="Arial"/>
          <w:color w:val="auto"/>
          <w:sz w:val="22"/>
          <w:szCs w:val="22"/>
        </w:rPr>
        <w:t>Genetics may also contribute to asthma by influencing genes involved in immunity. Airway inflammation in asthma may represent a loss of normal balance between two</w:t>
      </w:r>
    </w:p>
    <w:p>
      <w:pPr>
        <w:spacing w:after="0" w:line="59" w:lineRule="exact"/>
        <w:rPr>
          <w:color w:val="auto"/>
          <w:sz w:val="20"/>
          <w:szCs w:val="20"/>
        </w:rPr>
      </w:pPr>
    </w:p>
    <w:p>
      <w:pPr>
        <w:spacing w:after="0" w:line="473" w:lineRule="auto"/>
        <w:ind w:left="720"/>
        <w:rPr>
          <w:color w:val="auto"/>
          <w:sz w:val="20"/>
          <w:szCs w:val="20"/>
        </w:rPr>
      </w:pPr>
      <w:r>
        <w:rPr>
          <w:rFonts w:ascii="Arial" w:hAnsi="Arial" w:eastAsia="Arial" w:cs="Arial"/>
          <w:color w:val="auto"/>
          <w:sz w:val="22"/>
          <w:szCs w:val="22"/>
        </w:rPr>
        <w:t>populations of Th lymphocytes, Th1 and Th2. Th1 cells produce IL-2 and IFN-</w:t>
      </w:r>
      <w:r>
        <w:rPr>
          <w:rFonts w:ascii="Lucida Sans Unicode" w:hAnsi="Lucida Sans Unicode" w:eastAsia="Lucida Sans Unicode" w:cs="Lucida Sans Unicode"/>
          <w:color w:val="auto"/>
          <w:sz w:val="22"/>
          <w:szCs w:val="22"/>
        </w:rPr>
        <w:t>Ɣ</w:t>
      </w:r>
      <w:r>
        <w:rPr>
          <w:rFonts w:ascii="Arial" w:hAnsi="Arial" w:eastAsia="Arial" w:cs="Arial"/>
          <w:color w:val="auto"/>
          <w:sz w:val="22"/>
          <w:szCs w:val="22"/>
        </w:rPr>
        <w:t>, which are critical in cellular defense mechanisms in response to infection. Th2 cells, in contrast, generate a family of cytokines that can mediate allergic inflammation, and asthma is characterized by a shift toward cytokine-like disease. Therefore this cytokine imbalance toward Th2 is caused either by overexpression of Th2-type cytokines or underexpression of Th1-type cytokines (Sundeep, 2001). This genetic background will promote the production of antibody to key environmental antigens, and then increase an individual‘s susceptibility to asthma (Larche, 2003).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4"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7</w:t>
      </w:r>
    </w:p>
    <w:p>
      <w:pPr>
        <w:sectPr>
          <w:pgSz w:w="12240" w:h="15842"/>
          <w:pgMar w:top="1435" w:right="1382" w:bottom="119" w:left="1440" w:header="0" w:footer="0" w:gutter="0"/>
          <w:cols w:equalWidth="0" w:num="1">
            <w:col w:w="9420"/>
          </w:cols>
        </w:sectPr>
      </w:pPr>
    </w:p>
    <w:p>
      <w:pPr>
        <w:spacing w:after="0" w:line="3" w:lineRule="exact"/>
        <w:rPr>
          <w:color w:val="auto"/>
          <w:sz w:val="20"/>
          <w:szCs w:val="20"/>
        </w:rPr>
      </w:pPr>
      <w:bookmarkStart w:id="12" w:name="page18"/>
      <w:bookmarkEnd w:id="12"/>
    </w:p>
    <w:p>
      <w:pPr>
        <w:spacing w:after="0" w:line="477" w:lineRule="auto"/>
        <w:ind w:left="720" w:right="122" w:firstLine="662"/>
        <w:rPr>
          <w:color w:val="auto"/>
          <w:sz w:val="20"/>
          <w:szCs w:val="20"/>
        </w:rPr>
      </w:pPr>
      <w:r>
        <w:rPr>
          <w:rFonts w:ascii="Arial" w:hAnsi="Arial" w:eastAsia="Arial" w:cs="Arial"/>
          <w:b/>
          <w:bCs/>
          <w:color w:val="auto"/>
          <w:sz w:val="22"/>
          <w:szCs w:val="22"/>
        </w:rPr>
        <w:t>Sex</w:t>
      </w:r>
      <w:r>
        <w:rPr>
          <w:rFonts w:ascii="Arial" w:hAnsi="Arial" w:eastAsia="Arial" w:cs="Arial"/>
          <w:color w:val="auto"/>
          <w:sz w:val="22"/>
          <w:szCs w:val="22"/>
        </w:rPr>
        <w:t xml:space="preserve"> In early life, the prevalence of asthma is higher in boys, with a male-to-female ratio of 2:1 until adolescence. After that time, asthma prevalence is greater in females, and the majority of adult-onset cases diagnosed in persons who are older than 40 years occur in women (Fagan,2001).</w:t>
      </w:r>
    </w:p>
    <w:p>
      <w:pPr>
        <w:spacing w:after="0" w:line="200" w:lineRule="exact"/>
        <w:rPr>
          <w:color w:val="auto"/>
          <w:sz w:val="20"/>
          <w:szCs w:val="20"/>
        </w:rPr>
      </w:pPr>
    </w:p>
    <w:p>
      <w:pPr>
        <w:spacing w:after="0" w:line="319" w:lineRule="exact"/>
        <w:rPr>
          <w:color w:val="auto"/>
          <w:sz w:val="20"/>
          <w:szCs w:val="20"/>
        </w:rPr>
      </w:pPr>
    </w:p>
    <w:p>
      <w:pPr>
        <w:spacing w:after="0" w:line="477" w:lineRule="auto"/>
        <w:ind w:left="720" w:right="502" w:firstLine="662"/>
        <w:jc w:val="both"/>
        <w:rPr>
          <w:color w:val="auto"/>
          <w:sz w:val="20"/>
          <w:szCs w:val="20"/>
        </w:rPr>
      </w:pPr>
      <w:r>
        <w:rPr>
          <w:rFonts w:ascii="Arial" w:hAnsi="Arial" w:eastAsia="Arial" w:cs="Arial"/>
          <w:b/>
          <w:bCs/>
          <w:color w:val="auto"/>
          <w:sz w:val="22"/>
          <w:szCs w:val="22"/>
        </w:rPr>
        <w:t>Race</w:t>
      </w:r>
      <w:r>
        <w:rPr>
          <w:rFonts w:ascii="Arial" w:hAnsi="Arial" w:eastAsia="Arial" w:cs="Arial"/>
          <w:color w:val="auto"/>
          <w:sz w:val="22"/>
          <w:szCs w:val="22"/>
        </w:rPr>
        <w:t xml:space="preserve"> Asthma occurs in people of all races worldwide. In the United States, asthma prevalence as well as its morbidity and mortality are higher in blacks than in whites (ERP 3, 2007).</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Environmental factors</w:t>
      </w:r>
    </w:p>
    <w:p>
      <w:pPr>
        <w:spacing w:after="0" w:line="264" w:lineRule="exact"/>
        <w:rPr>
          <w:color w:val="auto"/>
          <w:sz w:val="20"/>
          <w:szCs w:val="20"/>
        </w:rPr>
      </w:pPr>
    </w:p>
    <w:p>
      <w:pPr>
        <w:spacing w:after="0" w:line="476" w:lineRule="auto"/>
        <w:ind w:left="720" w:right="362" w:firstLine="660"/>
        <w:rPr>
          <w:color w:val="auto"/>
          <w:sz w:val="20"/>
          <w:szCs w:val="20"/>
        </w:rPr>
      </w:pPr>
      <w:r>
        <w:rPr>
          <w:rFonts w:ascii="Arial" w:hAnsi="Arial" w:eastAsia="Arial" w:cs="Arial"/>
          <w:color w:val="auto"/>
          <w:sz w:val="22"/>
          <w:szCs w:val="22"/>
        </w:rPr>
        <w:t>Three environmental factors appear to be involved in the development and the persistence of asthma. They do not work separately but interactively in the eventual development of asthma.</w:t>
      </w:r>
    </w:p>
    <w:p>
      <w:pPr>
        <w:spacing w:after="0" w:line="12" w:lineRule="exact"/>
        <w:rPr>
          <w:color w:val="auto"/>
          <w:sz w:val="20"/>
          <w:szCs w:val="20"/>
        </w:rPr>
      </w:pPr>
    </w:p>
    <w:p>
      <w:pPr>
        <w:spacing w:after="0" w:line="477" w:lineRule="auto"/>
        <w:ind w:left="720" w:right="442" w:firstLine="662"/>
        <w:rPr>
          <w:color w:val="auto"/>
          <w:sz w:val="20"/>
          <w:szCs w:val="20"/>
        </w:rPr>
      </w:pPr>
      <w:r>
        <w:rPr>
          <w:rFonts w:ascii="Arial" w:hAnsi="Arial" w:eastAsia="Arial" w:cs="Arial"/>
          <w:b/>
          <w:bCs/>
          <w:color w:val="auto"/>
          <w:sz w:val="22"/>
          <w:szCs w:val="22"/>
        </w:rPr>
        <w:t>Allergens</w:t>
      </w:r>
      <w:r>
        <w:rPr>
          <w:rFonts w:ascii="Arial" w:hAnsi="Arial" w:eastAsia="Arial" w:cs="Arial"/>
          <w:color w:val="auto"/>
          <w:sz w:val="22"/>
          <w:szCs w:val="22"/>
        </w:rPr>
        <w:t xml:space="preserve"> House dust mites, animal allergens (especially cat and dog), cockroach allergens, and fungi are the most commonly reported allergens. Sensitization and frequency of exposure to allergens are important factors in the development of asthma in children (Busse, 2001; McConnell, 2002)).</w:t>
      </w:r>
    </w:p>
    <w:p>
      <w:pPr>
        <w:spacing w:after="0" w:line="200" w:lineRule="exact"/>
        <w:rPr>
          <w:color w:val="auto"/>
          <w:sz w:val="20"/>
          <w:szCs w:val="20"/>
        </w:rPr>
      </w:pPr>
    </w:p>
    <w:p>
      <w:pPr>
        <w:spacing w:after="0" w:line="310" w:lineRule="exact"/>
        <w:rPr>
          <w:color w:val="auto"/>
          <w:sz w:val="20"/>
          <w:szCs w:val="20"/>
        </w:rPr>
      </w:pPr>
    </w:p>
    <w:p>
      <w:pPr>
        <w:tabs>
          <w:tab w:val="left" w:pos="5020"/>
        </w:tabs>
        <w:spacing w:after="0"/>
        <w:ind w:left="1380"/>
        <w:rPr>
          <w:color w:val="auto"/>
          <w:sz w:val="20"/>
          <w:szCs w:val="20"/>
        </w:rPr>
      </w:pPr>
      <w:r>
        <w:rPr>
          <w:rFonts w:ascii="Arial" w:hAnsi="Arial" w:eastAsia="Arial" w:cs="Arial"/>
          <w:b/>
          <w:bCs/>
          <w:color w:val="auto"/>
          <w:sz w:val="22"/>
          <w:szCs w:val="22"/>
        </w:rPr>
        <w:t>Respiratory infections</w:t>
      </w:r>
      <w:r>
        <w:rPr>
          <w:color w:val="auto"/>
          <w:sz w:val="20"/>
          <w:szCs w:val="20"/>
        </w:rPr>
        <w:tab/>
      </w:r>
      <w:r>
        <w:rPr>
          <w:rFonts w:ascii="Arial" w:hAnsi="Arial" w:eastAsia="Arial" w:cs="Arial"/>
          <w:color w:val="auto"/>
          <w:sz w:val="22"/>
          <w:szCs w:val="22"/>
        </w:rPr>
        <w:t>Viral infections can exert influence on both</w:t>
      </w:r>
    </w:p>
    <w:p>
      <w:pPr>
        <w:spacing w:after="0" w:line="262" w:lineRule="exact"/>
        <w:rPr>
          <w:color w:val="auto"/>
          <w:sz w:val="20"/>
          <w:szCs w:val="20"/>
        </w:rPr>
      </w:pPr>
    </w:p>
    <w:p>
      <w:pPr>
        <w:spacing w:after="0" w:line="504" w:lineRule="auto"/>
        <w:ind w:left="720" w:right="162"/>
        <w:rPr>
          <w:color w:val="auto"/>
          <w:sz w:val="20"/>
          <w:szCs w:val="20"/>
        </w:rPr>
      </w:pPr>
      <w:r>
        <w:rPr>
          <w:rFonts w:ascii="Arial" w:hAnsi="Arial" w:eastAsia="Arial" w:cs="Arial"/>
          <w:color w:val="auto"/>
          <w:sz w:val="21"/>
          <w:szCs w:val="21"/>
        </w:rPr>
        <w:t>the development and the severity of asthma. They are an important cause of acute wheezing in infancy, and viruses are detected in most exacerbations of asthma throughout childhood. Furthermore, infants who develop severe viral respiratory infections are more likely to have asthma later in childhood. (Pelaia,2006; Gern, 2002 ).</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8"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8</w:t>
      </w:r>
    </w:p>
    <w:p>
      <w:pPr>
        <w:sectPr>
          <w:pgSz w:w="12240" w:h="15842"/>
          <w:pgMar w:top="1440" w:right="1440" w:bottom="119" w:left="1440" w:header="0" w:footer="0" w:gutter="0"/>
          <w:cols w:equalWidth="0" w:num="1">
            <w:col w:w="9362"/>
          </w:cols>
        </w:sectPr>
      </w:pPr>
    </w:p>
    <w:p>
      <w:pPr>
        <w:spacing w:after="0" w:line="3" w:lineRule="exact"/>
        <w:rPr>
          <w:color w:val="auto"/>
          <w:sz w:val="20"/>
          <w:szCs w:val="20"/>
        </w:rPr>
      </w:pPr>
      <w:bookmarkStart w:id="13" w:name="page19"/>
      <w:bookmarkEnd w:id="13"/>
    </w:p>
    <w:p>
      <w:pPr>
        <w:spacing w:after="0" w:line="478" w:lineRule="auto"/>
        <w:ind w:left="720" w:right="122" w:firstLine="662"/>
        <w:rPr>
          <w:color w:val="auto"/>
          <w:sz w:val="20"/>
          <w:szCs w:val="20"/>
        </w:rPr>
      </w:pPr>
      <w:r>
        <w:rPr>
          <w:rFonts w:ascii="Arial" w:hAnsi="Arial" w:eastAsia="Arial" w:cs="Arial"/>
          <w:b/>
          <w:bCs/>
          <w:color w:val="auto"/>
          <w:sz w:val="22"/>
          <w:szCs w:val="22"/>
        </w:rPr>
        <w:t>Other environmental exposures</w:t>
      </w:r>
      <w:r>
        <w:rPr>
          <w:rFonts w:ascii="Arial" w:hAnsi="Arial" w:eastAsia="Arial" w:cs="Arial"/>
          <w:color w:val="auto"/>
          <w:sz w:val="22"/>
          <w:szCs w:val="22"/>
        </w:rPr>
        <w:t xml:space="preserve"> Research has concluded that maternal smoking can contribute to asthma or other impairment of infant lung function, even before the child is born. Continued exposure to cigarette smoking can irritate the respiratory tract and make infants and children particularly vulnerable to allergic asthma (Ulrik, 2001).</w:t>
      </w:r>
    </w:p>
    <w:p>
      <w:pPr>
        <w:spacing w:after="0" w:line="200" w:lineRule="exact"/>
        <w:rPr>
          <w:color w:val="auto"/>
          <w:sz w:val="20"/>
          <w:szCs w:val="20"/>
        </w:rPr>
      </w:pPr>
    </w:p>
    <w:p>
      <w:pPr>
        <w:spacing w:after="0" w:line="319" w:lineRule="exact"/>
        <w:rPr>
          <w:color w:val="auto"/>
          <w:sz w:val="20"/>
          <w:szCs w:val="20"/>
        </w:rPr>
      </w:pPr>
    </w:p>
    <w:p>
      <w:pPr>
        <w:spacing w:after="0" w:line="477" w:lineRule="auto"/>
        <w:ind w:left="720" w:right="182" w:firstLine="660"/>
        <w:rPr>
          <w:color w:val="auto"/>
          <w:sz w:val="20"/>
          <w:szCs w:val="20"/>
        </w:rPr>
      </w:pPr>
      <w:r>
        <w:rPr>
          <w:rFonts w:ascii="Arial" w:hAnsi="Arial" w:eastAsia="Arial" w:cs="Arial"/>
          <w:color w:val="auto"/>
          <w:sz w:val="22"/>
          <w:szCs w:val="22"/>
        </w:rPr>
        <w:t>It has been suggested that changes in dietary habits in recent years may influence asthma development. Diets that are deficient in antioxidants such as vitamins C and E may explain some of the rise in asthma and allergy prevalence (Weiss, 1997; Romieu, 2001).</w:t>
      </w:r>
    </w:p>
    <w:p>
      <w:pPr>
        <w:spacing w:after="0" w:line="200" w:lineRule="exact"/>
        <w:rPr>
          <w:color w:val="auto"/>
          <w:sz w:val="20"/>
          <w:szCs w:val="20"/>
        </w:rPr>
      </w:pPr>
    </w:p>
    <w:p>
      <w:pPr>
        <w:spacing w:after="0" w:line="319" w:lineRule="exact"/>
        <w:rPr>
          <w:color w:val="auto"/>
          <w:sz w:val="20"/>
          <w:szCs w:val="20"/>
        </w:rPr>
      </w:pPr>
    </w:p>
    <w:p>
      <w:pPr>
        <w:spacing w:after="0" w:line="477" w:lineRule="auto"/>
        <w:ind w:left="720" w:right="182" w:firstLine="660"/>
        <w:rPr>
          <w:color w:val="auto"/>
          <w:sz w:val="20"/>
          <w:szCs w:val="20"/>
        </w:rPr>
      </w:pPr>
      <w:r>
        <w:rPr>
          <w:rFonts w:ascii="Arial" w:hAnsi="Arial" w:eastAsia="Arial" w:cs="Arial"/>
          <w:color w:val="auto"/>
          <w:sz w:val="22"/>
          <w:szCs w:val="22"/>
        </w:rPr>
        <w:t>Epidemiologic studies have shown that the prevalence of obesity and that of asthma are increasing together. The prevalence of asthma is higher in obese than lean individuals (Ford, 2005). The reason for this association is still unknown. The possible suggested mechanisms include reduced chest wall by obesity or immune function change by obesity–related hormones (Shore, 2008).</w:t>
      </w:r>
    </w:p>
    <w:p>
      <w:pPr>
        <w:spacing w:after="0" w:line="200" w:lineRule="exact"/>
        <w:rPr>
          <w:color w:val="auto"/>
          <w:sz w:val="20"/>
          <w:szCs w:val="20"/>
        </w:rPr>
      </w:pPr>
    </w:p>
    <w:p>
      <w:pPr>
        <w:spacing w:after="0" w:line="323" w:lineRule="exact"/>
        <w:rPr>
          <w:color w:val="auto"/>
          <w:sz w:val="20"/>
          <w:szCs w:val="20"/>
        </w:rPr>
      </w:pPr>
    </w:p>
    <w:p>
      <w:pPr>
        <w:spacing w:after="0" w:line="475" w:lineRule="auto"/>
        <w:ind w:left="720" w:right="422" w:firstLine="660"/>
        <w:rPr>
          <w:color w:val="auto"/>
          <w:sz w:val="20"/>
          <w:szCs w:val="20"/>
        </w:rPr>
      </w:pPr>
      <w:r>
        <w:rPr>
          <w:rFonts w:ascii="Arial" w:hAnsi="Arial" w:eastAsia="Arial" w:cs="Arial"/>
          <w:color w:val="auto"/>
          <w:sz w:val="22"/>
          <w:szCs w:val="22"/>
        </w:rPr>
        <w:t>Exposure to air pollution has also been associated with an increased risk for onset of asthma, although the association is not as clear as the relationship between allergens and respiratory infection (Peden, 2001).</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5" w:lineRule="exact"/>
        <w:rPr>
          <w:color w:val="auto"/>
          <w:sz w:val="20"/>
          <w:szCs w:val="20"/>
        </w:rPr>
      </w:pPr>
    </w:p>
    <w:p>
      <w:pPr>
        <w:spacing w:after="0"/>
        <w:ind w:left="4980"/>
        <w:rPr>
          <w:color w:val="auto"/>
          <w:sz w:val="20"/>
          <w:szCs w:val="20"/>
        </w:rPr>
      </w:pPr>
      <w:r>
        <w:rPr>
          <w:rFonts w:ascii="Calibri" w:hAnsi="Calibri" w:eastAsia="Calibri" w:cs="Calibri"/>
          <w:color w:val="auto"/>
          <w:sz w:val="24"/>
          <w:szCs w:val="24"/>
        </w:rPr>
        <w:t>9</w:t>
      </w:r>
    </w:p>
    <w:p>
      <w:pPr>
        <w:sectPr>
          <w:pgSz w:w="12240" w:h="15842"/>
          <w:pgMar w:top="1440" w:right="1440" w:bottom="119" w:left="1440" w:header="0" w:footer="0" w:gutter="0"/>
          <w:cols w:equalWidth="0" w:num="1">
            <w:col w:w="9362"/>
          </w:cols>
        </w:sectPr>
      </w:pPr>
    </w:p>
    <w:p>
      <w:pPr>
        <w:spacing w:after="0"/>
        <w:ind w:left="720"/>
        <w:rPr>
          <w:color w:val="auto"/>
          <w:sz w:val="20"/>
          <w:szCs w:val="20"/>
        </w:rPr>
      </w:pPr>
      <w:bookmarkStart w:id="14" w:name="page20"/>
      <w:bookmarkEnd w:id="14"/>
      <w:r>
        <w:rPr>
          <w:rFonts w:ascii="Arial" w:hAnsi="Arial" w:eastAsia="Arial" w:cs="Arial"/>
          <w:b/>
          <w:bCs/>
          <w:color w:val="auto"/>
          <w:sz w:val="24"/>
          <w:szCs w:val="24"/>
          <w:u w:val="single" w:color="auto"/>
        </w:rPr>
        <w:t>Classification of Asthma</w:t>
      </w:r>
    </w:p>
    <w:p>
      <w:pPr>
        <w:spacing w:after="0" w:line="287" w:lineRule="exact"/>
        <w:rPr>
          <w:color w:val="auto"/>
          <w:sz w:val="20"/>
          <w:szCs w:val="20"/>
        </w:rPr>
      </w:pPr>
    </w:p>
    <w:p>
      <w:pPr>
        <w:spacing w:after="0" w:line="477" w:lineRule="auto"/>
        <w:ind w:left="720" w:right="2" w:firstLine="660"/>
        <w:rPr>
          <w:rFonts w:ascii="Arial" w:hAnsi="Arial" w:eastAsia="Arial" w:cs="Arial"/>
          <w:color w:val="auto"/>
          <w:sz w:val="22"/>
          <w:szCs w:val="22"/>
        </w:rPr>
      </w:pPr>
      <w:r>
        <w:rPr>
          <w:rFonts w:ascii="Arial" w:hAnsi="Arial" w:eastAsia="Arial" w:cs="Arial"/>
          <w:color w:val="auto"/>
          <w:sz w:val="22"/>
          <w:szCs w:val="22"/>
        </w:rPr>
        <w:t xml:space="preserve">Over the years, asthma has been classified using different classification schemes, each of which has its own advantages and disadvantages. The most common classification divides asthma into two general categories: </w:t>
      </w:r>
      <w:r>
        <w:fldChar w:fldCharType="begin"/>
      </w:r>
      <w:r>
        <w:instrText xml:space="preserve"> HYPERLINK "http://www.buteyko.co.nz/asthma/facts/types.cfm#ex" \h </w:instrText>
      </w:r>
      <w:r>
        <w:fldChar w:fldCharType="separate"/>
      </w:r>
      <w:r>
        <w:rPr>
          <w:rFonts w:ascii="Arial" w:hAnsi="Arial" w:eastAsia="Arial" w:cs="Arial"/>
          <w:color w:val="auto"/>
          <w:sz w:val="22"/>
          <w:szCs w:val="22"/>
        </w:rPr>
        <w:t xml:space="preserve">extrinsic </w:t>
      </w:r>
      <w:r>
        <w:rPr>
          <w:rFonts w:ascii="Arial" w:hAnsi="Arial" w:eastAsia="Arial" w:cs="Arial"/>
          <w:color w:val="auto"/>
          <w:sz w:val="22"/>
          <w:szCs w:val="22"/>
        </w:rPr>
        <w:fldChar w:fldCharType="end"/>
      </w:r>
      <w:r>
        <w:rPr>
          <w:rFonts w:ascii="Arial" w:hAnsi="Arial" w:eastAsia="Arial" w:cs="Arial"/>
          <w:color w:val="auto"/>
          <w:sz w:val="22"/>
          <w:szCs w:val="22"/>
        </w:rPr>
        <w:t xml:space="preserve">(allergic) asthma and </w:t>
      </w:r>
      <w:r>
        <w:fldChar w:fldCharType="begin"/>
      </w:r>
      <w:r>
        <w:instrText xml:space="preserve"> HYPERLINK "http://www.buteyko.co.nz/asthma/facts/types.cfm#in" \h </w:instrText>
      </w:r>
      <w:r>
        <w:fldChar w:fldCharType="separate"/>
      </w:r>
      <w:r>
        <w:rPr>
          <w:rFonts w:ascii="Arial" w:hAnsi="Arial" w:eastAsia="Arial" w:cs="Arial"/>
          <w:color w:val="auto"/>
          <w:sz w:val="22"/>
          <w:szCs w:val="22"/>
        </w:rPr>
        <w:t xml:space="preserve">intrinsic </w:t>
      </w:r>
      <w:r>
        <w:rPr>
          <w:rFonts w:ascii="Arial" w:hAnsi="Arial" w:eastAsia="Arial" w:cs="Arial"/>
          <w:color w:val="auto"/>
          <w:sz w:val="22"/>
          <w:szCs w:val="22"/>
        </w:rPr>
        <w:fldChar w:fldCharType="end"/>
      </w:r>
      <w:r>
        <w:rPr>
          <w:rFonts w:ascii="Arial" w:hAnsi="Arial" w:eastAsia="Arial" w:cs="Arial"/>
          <w:color w:val="auto"/>
          <w:sz w:val="22"/>
          <w:szCs w:val="22"/>
        </w:rPr>
        <w:t>(non-allergic) asthma, depending on the types of stimuli that trigger attacks (Busse, 1996).</w:t>
      </w:r>
    </w:p>
    <w:p>
      <w:pPr>
        <w:spacing w:after="0" w:line="200" w:lineRule="exact"/>
        <w:rPr>
          <w:color w:val="auto"/>
          <w:sz w:val="20"/>
          <w:szCs w:val="20"/>
        </w:rPr>
      </w:pPr>
    </w:p>
    <w:p>
      <w:pPr>
        <w:spacing w:after="0" w:line="320" w:lineRule="exact"/>
        <w:rPr>
          <w:color w:val="auto"/>
          <w:sz w:val="20"/>
          <w:szCs w:val="20"/>
        </w:rPr>
      </w:pPr>
    </w:p>
    <w:p>
      <w:pPr>
        <w:spacing w:after="0" w:line="478" w:lineRule="auto"/>
        <w:ind w:left="720" w:right="142" w:firstLine="662"/>
        <w:rPr>
          <w:color w:val="auto"/>
          <w:sz w:val="20"/>
          <w:szCs w:val="20"/>
        </w:rPr>
      </w:pPr>
      <w:r>
        <w:rPr>
          <w:rFonts w:ascii="Arial" w:hAnsi="Arial" w:eastAsia="Arial" w:cs="Arial"/>
          <w:b/>
          <w:bCs/>
          <w:color w:val="auto"/>
          <w:sz w:val="22"/>
          <w:szCs w:val="22"/>
        </w:rPr>
        <w:t>Extrinsic asthma (allergic asthma)</w:t>
      </w:r>
      <w:r>
        <w:rPr>
          <w:rFonts w:ascii="Arial" w:hAnsi="Arial" w:eastAsia="Arial" w:cs="Arial"/>
          <w:color w:val="auto"/>
          <w:sz w:val="22"/>
          <w:szCs w:val="22"/>
        </w:rPr>
        <w:t xml:space="preserve"> Extrinsic asthma is a result of an antigen\antibody reaction involving mast cells in the respiratory tract. The allergen is an antigen that elicits IgE antibodies that are normally used to attack parasitic worms. This allergen and antibody reaction causes the release of inflammatory mediators from mast cells that elicit the clinical response associated with an asthma attack. Most childhood asthma is considered an allergic type of asthma (Busse, 1996).</w:t>
      </w:r>
    </w:p>
    <w:p>
      <w:pPr>
        <w:spacing w:after="0" w:line="200" w:lineRule="exact"/>
        <w:rPr>
          <w:color w:val="auto"/>
          <w:sz w:val="20"/>
          <w:szCs w:val="20"/>
        </w:rPr>
      </w:pPr>
    </w:p>
    <w:p>
      <w:pPr>
        <w:spacing w:after="0" w:line="322" w:lineRule="exact"/>
        <w:rPr>
          <w:color w:val="auto"/>
          <w:sz w:val="20"/>
          <w:szCs w:val="20"/>
        </w:rPr>
      </w:pPr>
    </w:p>
    <w:p>
      <w:pPr>
        <w:spacing w:after="0" w:line="478" w:lineRule="auto"/>
        <w:ind w:left="720" w:right="22" w:firstLine="660"/>
        <w:rPr>
          <w:color w:val="auto"/>
          <w:sz w:val="20"/>
          <w:szCs w:val="20"/>
        </w:rPr>
      </w:pPr>
      <w:r>
        <w:rPr>
          <w:rFonts w:ascii="Arial" w:hAnsi="Arial" w:eastAsia="Arial" w:cs="Arial"/>
          <w:color w:val="auto"/>
          <w:sz w:val="22"/>
          <w:szCs w:val="22"/>
        </w:rPr>
        <w:t>In allergic individuals, injection of protein just under the skin triggers an immediate skin reaction, such as swelling or redness. An individual that has this type of reaction is described as "atopic‖. Often extrinsic asthma is also called atopic or "allergic" asthma (Holgate, 1999). People with allergic asthma and their families frequently have other allergy-related problems. A positive family history of this type of reaction frequently exists in patients with allergic asthma. Allergic asthma usually responds quite well to the use of inhaled steroids, which suppress the immune system, particularly in the lungs where the reaction is created (Holgate, 1999b).</w:t>
      </w:r>
    </w:p>
    <w:p>
      <w:pPr>
        <w:spacing w:after="0" w:line="200" w:lineRule="exact"/>
        <w:rPr>
          <w:color w:val="auto"/>
          <w:sz w:val="20"/>
          <w:szCs w:val="20"/>
        </w:rPr>
      </w:pPr>
    </w:p>
    <w:p>
      <w:pPr>
        <w:spacing w:after="0" w:line="323" w:lineRule="exact"/>
        <w:rPr>
          <w:color w:val="auto"/>
          <w:sz w:val="20"/>
          <w:szCs w:val="20"/>
        </w:rPr>
      </w:pPr>
    </w:p>
    <w:p>
      <w:pPr>
        <w:spacing w:after="0" w:line="505" w:lineRule="auto"/>
        <w:ind w:left="720" w:right="342" w:firstLine="660"/>
        <w:jc w:val="both"/>
        <w:rPr>
          <w:color w:val="auto"/>
          <w:sz w:val="20"/>
          <w:szCs w:val="20"/>
        </w:rPr>
      </w:pPr>
      <w:r>
        <w:rPr>
          <w:rFonts w:ascii="Arial" w:hAnsi="Arial" w:eastAsia="Arial" w:cs="Arial"/>
          <w:color w:val="auto"/>
          <w:sz w:val="21"/>
          <w:szCs w:val="21"/>
        </w:rPr>
        <w:t>Infants and young children have a high response to food allergies that produce wheeze, but this response becomes much less frequent by the time the child reaches age 10. From about 4 years of age, children develop allergies to inhaled substances,</w:t>
      </w:r>
    </w:p>
    <w:p>
      <w:pPr>
        <w:spacing w:after="0" w:line="210"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10</w:t>
      </w:r>
    </w:p>
    <w:p>
      <w:pPr>
        <w:sectPr>
          <w:pgSz w:w="12240" w:h="15842"/>
          <w:pgMar w:top="1435" w:right="1440" w:bottom="119" w:left="1440" w:header="0" w:footer="0" w:gutter="0"/>
          <w:cols w:equalWidth="0" w:num="1">
            <w:col w:w="9362"/>
          </w:cols>
        </w:sectPr>
      </w:pPr>
    </w:p>
    <w:p>
      <w:pPr>
        <w:spacing w:after="0" w:line="6" w:lineRule="exact"/>
        <w:rPr>
          <w:color w:val="auto"/>
          <w:sz w:val="20"/>
          <w:szCs w:val="20"/>
        </w:rPr>
      </w:pPr>
      <w:bookmarkStart w:id="15" w:name="page21"/>
      <w:bookmarkEnd w:id="15"/>
    </w:p>
    <w:p>
      <w:pPr>
        <w:spacing w:after="0" w:line="472" w:lineRule="auto"/>
        <w:ind w:left="720" w:right="62"/>
        <w:rPr>
          <w:color w:val="auto"/>
          <w:sz w:val="20"/>
          <w:szCs w:val="20"/>
        </w:rPr>
      </w:pPr>
      <w:r>
        <w:rPr>
          <w:rFonts w:ascii="Arial" w:hAnsi="Arial" w:eastAsia="Arial" w:cs="Arial"/>
          <w:color w:val="auto"/>
          <w:sz w:val="22"/>
          <w:szCs w:val="22"/>
        </w:rPr>
        <w:t>and this response may stay with the person for a lifetime. After young adulthood, allergic reactions often decrease and so does the asthmatic response (Holgate, 1999b).</w:t>
      </w:r>
    </w:p>
    <w:p>
      <w:pPr>
        <w:spacing w:after="0" w:line="200" w:lineRule="exact"/>
        <w:rPr>
          <w:color w:val="auto"/>
          <w:sz w:val="20"/>
          <w:szCs w:val="20"/>
        </w:rPr>
      </w:pPr>
    </w:p>
    <w:p>
      <w:pPr>
        <w:spacing w:after="0" w:line="319" w:lineRule="exact"/>
        <w:rPr>
          <w:color w:val="auto"/>
          <w:sz w:val="20"/>
          <w:szCs w:val="20"/>
        </w:rPr>
      </w:pPr>
    </w:p>
    <w:p>
      <w:pPr>
        <w:spacing w:after="0" w:line="495" w:lineRule="auto"/>
        <w:ind w:left="720" w:right="42" w:firstLine="662"/>
        <w:rPr>
          <w:color w:val="auto"/>
          <w:sz w:val="20"/>
          <w:szCs w:val="20"/>
        </w:rPr>
      </w:pPr>
      <w:r>
        <w:rPr>
          <w:rFonts w:ascii="Arial" w:hAnsi="Arial" w:eastAsia="Arial" w:cs="Arial"/>
          <w:b/>
          <w:bCs/>
          <w:color w:val="auto"/>
          <w:sz w:val="22"/>
          <w:szCs w:val="22"/>
        </w:rPr>
        <w:t>Intrinsic Asthma</w:t>
      </w:r>
      <w:r>
        <w:rPr>
          <w:rFonts w:ascii="Arial" w:hAnsi="Arial" w:eastAsia="Arial" w:cs="Arial"/>
          <w:color w:val="auto"/>
          <w:sz w:val="22"/>
          <w:szCs w:val="22"/>
        </w:rPr>
        <w:t xml:space="preserve"> Intrinsic asthma is not allergy-related. In fact, it can be caused by substances that are not proteins. Possible causes of intrinsic asthma symptoms include respiratory irritants such as perfumes, cleaning agents, fumes, smoke and cold air, upper respiratory infections, and gastroesophageal reflux (GERD) (Holgate, 1999b)</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2" w:lineRule="exact"/>
        <w:rPr>
          <w:color w:val="auto"/>
          <w:sz w:val="20"/>
          <w:szCs w:val="20"/>
        </w:rPr>
      </w:pPr>
    </w:p>
    <w:p>
      <w:pPr>
        <w:spacing w:after="0" w:line="479" w:lineRule="auto"/>
        <w:ind w:left="720" w:right="142" w:firstLine="660"/>
        <w:rPr>
          <w:color w:val="auto"/>
          <w:sz w:val="20"/>
          <w:szCs w:val="20"/>
        </w:rPr>
      </w:pPr>
      <w:r>
        <w:rPr>
          <w:rFonts w:ascii="Arial" w:hAnsi="Arial" w:eastAsia="Arial" w:cs="Arial"/>
          <w:color w:val="auto"/>
          <w:sz w:val="22"/>
          <w:szCs w:val="22"/>
        </w:rPr>
        <w:t>Antibodies are not produced and antigen skin testing shows no reaction. With intrinsic asthma, an asthmatics' airways are unusually sensitive or "hyper-reactive,‖ and an attack may be triggered by an irritation to the nerves or muscles in the airways. Despite the differences in triggers, both intrinsic and extrinsic asthma present with similar symptoms. Intrinsic asthma is not likely to develop in children; its typical onset occurs after age 40 (Buss, 2001). Prevention and treatment of intrinsic asthma are not easy. Since it is difficult to identify the asthma triggers, avoiding those triggers can be virtually impossible.</w:t>
      </w:r>
    </w:p>
    <w:p>
      <w:pPr>
        <w:spacing w:after="0" w:line="200" w:lineRule="exact"/>
        <w:rPr>
          <w:color w:val="auto"/>
          <w:sz w:val="20"/>
          <w:szCs w:val="20"/>
        </w:rPr>
      </w:pPr>
    </w:p>
    <w:p>
      <w:pPr>
        <w:spacing w:after="0" w:line="306"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Symptoms and Diagnosis of Asthma</w:t>
      </w:r>
    </w:p>
    <w:p>
      <w:pPr>
        <w:spacing w:after="0" w:line="287" w:lineRule="exact"/>
        <w:rPr>
          <w:color w:val="auto"/>
          <w:sz w:val="20"/>
          <w:szCs w:val="20"/>
        </w:rPr>
      </w:pPr>
    </w:p>
    <w:p>
      <w:pPr>
        <w:spacing w:after="0" w:line="477" w:lineRule="auto"/>
        <w:ind w:left="720" w:right="62" w:firstLine="660"/>
        <w:rPr>
          <w:color w:val="auto"/>
          <w:sz w:val="20"/>
          <w:szCs w:val="20"/>
        </w:rPr>
      </w:pPr>
      <w:r>
        <w:rPr>
          <w:rFonts w:ascii="Arial" w:hAnsi="Arial" w:eastAsia="Arial" w:cs="Arial"/>
          <w:color w:val="auto"/>
          <w:sz w:val="22"/>
          <w:szCs w:val="22"/>
        </w:rPr>
        <w:t>The common symptoms of an asthma episode include wheezing, chest tightness, coughing, and shortness of breath, although these symptoms are present only some of the time (Holgate, 1999b). Asthma is a clinical diagnosis made by physicians on the basis of a patient‘s medical history, physical examination, assessment of reversibility of airway obstruction and exclusion of alternative diagnoses that mimic 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11</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16" w:name="page22"/>
      <w:bookmarkEnd w:id="16"/>
    </w:p>
    <w:p>
      <w:pPr>
        <w:spacing w:after="0" w:line="477" w:lineRule="auto"/>
        <w:ind w:left="720" w:right="302" w:firstLine="660"/>
        <w:rPr>
          <w:color w:val="auto"/>
          <w:sz w:val="20"/>
          <w:szCs w:val="20"/>
        </w:rPr>
      </w:pPr>
      <w:r>
        <w:rPr>
          <w:rFonts w:ascii="Arial" w:hAnsi="Arial" w:eastAsia="Arial" w:cs="Arial"/>
          <w:color w:val="auto"/>
          <w:sz w:val="22"/>
          <w:szCs w:val="22"/>
        </w:rPr>
        <w:t>In order to help treat asthma more effectively, in 1997 the National Heart, Lung and Blood Institute identified four levels of asthma severity based on the frequency of symptoms and exacerbations, effects on activity level, and lung function study results: mild intermittent, mild persistent, moderate persistent, and severe persistent. This classification is still used by most physicians.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476250</wp:posOffset>
            </wp:positionH>
            <wp:positionV relativeFrom="paragraph">
              <wp:posOffset>6350</wp:posOffset>
            </wp:positionV>
            <wp:extent cx="5238750" cy="348615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4"/>
                    <a:srcRect/>
                    <a:stretch>
                      <a:fillRect/>
                    </a:stretch>
                  </pic:blipFill>
                  <pic:spPr>
                    <a:xfrm>
                      <a:off x="0" y="0"/>
                      <a:ext cx="5238750" cy="34861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12</w:t>
      </w:r>
    </w:p>
    <w:p>
      <w:pPr>
        <w:sectPr>
          <w:pgSz w:w="12240" w:h="15842"/>
          <w:pgMar w:top="1440" w:right="1440" w:bottom="119" w:left="1440" w:header="0" w:footer="0" w:gutter="0"/>
          <w:cols w:equalWidth="0" w:num="1">
            <w:col w:w="9362"/>
          </w:cols>
        </w:sectPr>
      </w:pPr>
    </w:p>
    <w:p>
      <w:pPr>
        <w:spacing w:after="0" w:line="200" w:lineRule="exact"/>
        <w:rPr>
          <w:color w:val="auto"/>
          <w:sz w:val="20"/>
          <w:szCs w:val="20"/>
        </w:rPr>
      </w:pPr>
      <w:bookmarkStart w:id="17" w:name="page23"/>
      <w:bookmarkEnd w:id="17"/>
    </w:p>
    <w:p>
      <w:pPr>
        <w:spacing w:after="0" w:line="200" w:lineRule="exact"/>
        <w:rPr>
          <w:color w:val="auto"/>
          <w:sz w:val="20"/>
          <w:szCs w:val="20"/>
        </w:rPr>
      </w:pPr>
    </w:p>
    <w:p>
      <w:pPr>
        <w:spacing w:after="0" w:line="332" w:lineRule="exact"/>
        <w:rPr>
          <w:color w:val="auto"/>
          <w:sz w:val="20"/>
          <w:szCs w:val="20"/>
        </w:rPr>
      </w:pPr>
    </w:p>
    <w:p>
      <w:pPr>
        <w:spacing w:after="0"/>
        <w:ind w:right="-79"/>
        <w:jc w:val="center"/>
        <w:rPr>
          <w:color w:val="auto"/>
          <w:sz w:val="20"/>
          <w:szCs w:val="20"/>
        </w:rPr>
      </w:pPr>
      <w:r>
        <w:rPr>
          <w:rFonts w:ascii="Arial" w:hAnsi="Arial" w:eastAsia="Arial" w:cs="Arial"/>
          <w:b/>
          <w:bCs/>
          <w:color w:val="auto"/>
          <w:sz w:val="28"/>
          <w:szCs w:val="28"/>
        </w:rPr>
        <w:t>CHAPTER 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8" w:lineRule="exact"/>
        <w:rPr>
          <w:color w:val="auto"/>
          <w:sz w:val="20"/>
          <w:szCs w:val="20"/>
        </w:rPr>
      </w:pPr>
    </w:p>
    <w:p>
      <w:pPr>
        <w:spacing w:after="0"/>
        <w:ind w:right="-179"/>
        <w:jc w:val="center"/>
        <w:rPr>
          <w:color w:val="auto"/>
          <w:sz w:val="20"/>
          <w:szCs w:val="20"/>
        </w:rPr>
      </w:pPr>
      <w:r>
        <w:rPr>
          <w:rFonts w:ascii="Arial" w:hAnsi="Arial" w:eastAsia="Arial" w:cs="Arial"/>
          <w:b/>
          <w:bCs/>
          <w:color w:val="auto"/>
          <w:sz w:val="28"/>
          <w:szCs w:val="28"/>
        </w:rPr>
        <w:t>VITAMIN 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5"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Introduction</w:t>
      </w:r>
    </w:p>
    <w:p>
      <w:pPr>
        <w:spacing w:after="0" w:line="287" w:lineRule="exact"/>
        <w:rPr>
          <w:color w:val="auto"/>
          <w:sz w:val="20"/>
          <w:szCs w:val="20"/>
        </w:rPr>
      </w:pPr>
    </w:p>
    <w:p>
      <w:pPr>
        <w:spacing w:after="0" w:line="478" w:lineRule="auto"/>
        <w:ind w:left="720" w:right="120" w:firstLine="660"/>
        <w:rPr>
          <w:color w:val="auto"/>
          <w:sz w:val="20"/>
          <w:szCs w:val="20"/>
        </w:rPr>
      </w:pPr>
      <w:r>
        <w:rPr>
          <w:rFonts w:ascii="Arial" w:hAnsi="Arial" w:eastAsia="Arial" w:cs="Arial"/>
          <w:color w:val="auto"/>
          <w:sz w:val="22"/>
          <w:szCs w:val="22"/>
        </w:rPr>
        <w:t>Vitamin D was first discovered in 1920 by Mellanby. It was originally described as a ―vitamin‖ that is essential for normal skeletal development and maintenance of calcium homeostasis in the body. With further research, it was discovered that vitamin D does not strictly meet the definition of a vitamin since it can be synthesized in the body from exposure to sunlight. Instead, vitamin D behaves more like a steroid hormone than a vitamin, and its effects on health and disease depend on this hormonal action.</w:t>
      </w:r>
    </w:p>
    <w:p>
      <w:pPr>
        <w:spacing w:after="0" w:line="200" w:lineRule="exact"/>
        <w:rPr>
          <w:color w:val="auto"/>
          <w:sz w:val="20"/>
          <w:szCs w:val="20"/>
        </w:rPr>
      </w:pPr>
    </w:p>
    <w:p>
      <w:pPr>
        <w:spacing w:after="0" w:line="320" w:lineRule="exact"/>
        <w:rPr>
          <w:color w:val="auto"/>
          <w:sz w:val="20"/>
          <w:szCs w:val="20"/>
        </w:rPr>
      </w:pPr>
    </w:p>
    <w:p>
      <w:pPr>
        <w:spacing w:after="0" w:line="441" w:lineRule="auto"/>
        <w:ind w:left="720" w:firstLine="660"/>
        <w:rPr>
          <w:color w:val="auto"/>
          <w:sz w:val="20"/>
          <w:szCs w:val="20"/>
        </w:rPr>
      </w:pPr>
      <w:r>
        <w:rPr>
          <w:rFonts w:ascii="Arial" w:hAnsi="Arial" w:eastAsia="Arial" w:cs="Arial"/>
          <w:color w:val="auto"/>
          <w:sz w:val="22"/>
          <w:szCs w:val="22"/>
        </w:rPr>
        <w:t>Vitamin D can be obtained from dietary sources or can be synthesized in the body. Dietary vitamin D is available in two forms: vitamin D</w:t>
      </w:r>
      <w:r>
        <w:rPr>
          <w:rFonts w:ascii="Arial" w:hAnsi="Arial" w:eastAsia="Arial" w:cs="Arial"/>
          <w:color w:val="auto"/>
          <w:sz w:val="27"/>
          <w:szCs w:val="27"/>
          <w:vertAlign w:val="subscript"/>
        </w:rPr>
        <w:t>2</w:t>
      </w:r>
      <w:r>
        <w:rPr>
          <w:rFonts w:ascii="Arial" w:hAnsi="Arial" w:eastAsia="Arial" w:cs="Arial"/>
          <w:color w:val="auto"/>
          <w:sz w:val="22"/>
          <w:szCs w:val="22"/>
        </w:rPr>
        <w:t xml:space="preserve"> (ergocalciferol) from plant sources and 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(cholecalciferol) from animal sources, both of which are collectively called vitamin D. However, dietary sources of vitamin D account for a very small amount of the total vitamin D in the body since few foods naturally contain vitamin D. Most vitamin D circulating in the bloodstream is synthesized in the skin from 7-dehydrocholesterol (7-DHC) when it is exposed to ultraviolet B light. Vitamin D</w:t>
      </w:r>
      <w:r>
        <w:rPr>
          <w:rFonts w:ascii="Arial" w:hAnsi="Arial" w:eastAsia="Arial" w:cs="Arial"/>
          <w:color w:val="auto"/>
          <w:sz w:val="27"/>
          <w:szCs w:val="27"/>
          <w:vertAlign w:val="subscript"/>
        </w:rPr>
        <w:t>2</w:t>
      </w:r>
      <w:r>
        <w:rPr>
          <w:rFonts w:ascii="Arial" w:hAnsi="Arial" w:eastAsia="Arial" w:cs="Arial"/>
          <w:color w:val="auto"/>
          <w:sz w:val="22"/>
          <w:szCs w:val="22"/>
        </w:rPr>
        <w:t xml:space="preserve"> and 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have only a slight structural difference in their side chain. Neither vitamin form has biological activity; both need to be activated to exert vitamin D-related effects.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1"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13</w:t>
      </w:r>
    </w:p>
    <w:p>
      <w:pPr>
        <w:sectPr>
          <w:pgSz w:w="12240" w:h="15842"/>
          <w:pgMar w:top="1440" w:right="1382" w:bottom="119" w:left="1440" w:header="0" w:footer="0" w:gutter="0"/>
          <w:cols w:equalWidth="0" w:num="1">
            <w:col w:w="9420"/>
          </w:cols>
        </w:sectPr>
      </w:pPr>
    </w:p>
    <w:p>
      <w:pPr>
        <w:spacing w:after="0"/>
        <w:ind w:left="720"/>
        <w:rPr>
          <w:color w:val="auto"/>
          <w:sz w:val="20"/>
          <w:szCs w:val="20"/>
        </w:rPr>
      </w:pPr>
      <w:bookmarkStart w:id="18" w:name="page24"/>
      <w:bookmarkEnd w:id="18"/>
      <w:r>
        <w:rPr>
          <w:rFonts w:ascii="Arial" w:hAnsi="Arial" w:eastAsia="Arial" w:cs="Arial"/>
          <w:b/>
          <w:bCs/>
          <w:color w:val="auto"/>
          <w:sz w:val="21"/>
          <w:szCs w:val="21"/>
        </w:rPr>
        <w:t>Figure 3.1 Structures of vitamin D2 and D</w:t>
      </w:r>
      <w:r>
        <w:rPr>
          <w:rFonts w:ascii="Arial" w:hAnsi="Arial" w:eastAsia="Arial" w:cs="Arial"/>
          <w:b/>
          <w:bCs/>
          <w:color w:val="auto"/>
          <w:sz w:val="27"/>
          <w:szCs w:val="27"/>
          <w:vertAlign w:val="subscript"/>
        </w:rPr>
        <w:t>3</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457200</wp:posOffset>
            </wp:positionH>
            <wp:positionV relativeFrom="paragraph">
              <wp:posOffset>316230</wp:posOffset>
            </wp:positionV>
            <wp:extent cx="4917440" cy="2571115"/>
            <wp:effectExtent l="0" t="0" r="16510" b="63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5"/>
                    <a:srcRect/>
                    <a:stretch>
                      <a:fillRect/>
                    </a:stretch>
                  </pic:blipFill>
                  <pic:spPr>
                    <a:xfrm>
                      <a:off x="0" y="0"/>
                      <a:ext cx="4917440" cy="257111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1" w:lineRule="exact"/>
        <w:rPr>
          <w:color w:val="auto"/>
          <w:sz w:val="20"/>
          <w:szCs w:val="20"/>
        </w:rPr>
      </w:pPr>
    </w:p>
    <w:p>
      <w:pPr>
        <w:tabs>
          <w:tab w:val="left" w:pos="4820"/>
        </w:tabs>
        <w:spacing w:after="0"/>
        <w:ind w:left="720"/>
        <w:rPr>
          <w:color w:val="auto"/>
          <w:sz w:val="20"/>
          <w:szCs w:val="20"/>
        </w:rPr>
      </w:pPr>
      <w:r>
        <w:rPr>
          <w:rFonts w:ascii="Arial" w:hAnsi="Arial" w:eastAsia="Arial" w:cs="Arial"/>
          <w:color w:val="auto"/>
          <w:sz w:val="22"/>
          <w:szCs w:val="22"/>
        </w:rPr>
        <w:t>Vitamin D</w:t>
      </w:r>
      <w:r>
        <w:rPr>
          <w:rFonts w:ascii="Arial" w:hAnsi="Arial" w:eastAsia="Arial" w:cs="Arial"/>
          <w:color w:val="auto"/>
          <w:sz w:val="27"/>
          <w:szCs w:val="27"/>
          <w:vertAlign w:val="subscript"/>
        </w:rPr>
        <w:t>2</w:t>
      </w:r>
      <w:r>
        <w:rPr>
          <w:rFonts w:ascii="Arial" w:hAnsi="Arial" w:eastAsia="Arial" w:cs="Arial"/>
          <w:color w:val="auto"/>
          <w:sz w:val="22"/>
          <w:szCs w:val="22"/>
        </w:rPr>
        <w:t xml:space="preserve"> (ergocalciferol)</w:t>
      </w:r>
      <w:r>
        <w:rPr>
          <w:color w:val="auto"/>
          <w:sz w:val="20"/>
          <w:szCs w:val="20"/>
        </w:rPr>
        <w:tab/>
      </w:r>
      <w:r>
        <w:rPr>
          <w:rFonts w:ascii="Arial" w:hAnsi="Arial" w:eastAsia="Arial" w:cs="Arial"/>
          <w:color w:val="auto"/>
          <w:sz w:val="21"/>
          <w:szCs w:val="21"/>
        </w:rPr>
        <w:t>Vitamin D</w:t>
      </w:r>
      <w:r>
        <w:rPr>
          <w:rFonts w:ascii="Arial" w:hAnsi="Arial" w:eastAsia="Arial" w:cs="Arial"/>
          <w:color w:val="auto"/>
          <w:sz w:val="26"/>
          <w:szCs w:val="26"/>
          <w:vertAlign w:val="subscript"/>
        </w:rPr>
        <w:t>3</w:t>
      </w:r>
      <w:r>
        <w:rPr>
          <w:rFonts w:ascii="Arial" w:hAnsi="Arial" w:eastAsia="Arial" w:cs="Arial"/>
          <w:color w:val="auto"/>
          <w:sz w:val="21"/>
          <w:szCs w:val="21"/>
        </w:rPr>
        <w:t xml:space="preserve"> (cholecalciferol)</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14</w:t>
      </w:r>
    </w:p>
    <w:p>
      <w:pPr>
        <w:sectPr>
          <w:pgSz w:w="12240" w:h="15842"/>
          <w:pgMar w:top="1356" w:right="1440" w:bottom="119" w:left="1440" w:header="0" w:footer="0" w:gutter="0"/>
          <w:cols w:equalWidth="0" w:num="1">
            <w:col w:w="9362"/>
          </w:cols>
        </w:sectPr>
      </w:pPr>
    </w:p>
    <w:p>
      <w:pPr>
        <w:spacing w:after="0"/>
        <w:ind w:left="720"/>
        <w:rPr>
          <w:color w:val="auto"/>
          <w:sz w:val="20"/>
          <w:szCs w:val="20"/>
        </w:rPr>
      </w:pPr>
      <w:bookmarkStart w:id="19" w:name="page25"/>
      <w:bookmarkEnd w:id="19"/>
      <w:r>
        <w:rPr>
          <w:rFonts w:ascii="Arial" w:hAnsi="Arial" w:eastAsia="Arial" w:cs="Arial"/>
          <w:b/>
          <w:bCs/>
          <w:color w:val="auto"/>
          <w:sz w:val="24"/>
          <w:szCs w:val="24"/>
          <w:u w:val="single" w:color="auto"/>
        </w:rPr>
        <w:t>Sources of Vitamin D</w:t>
      </w:r>
    </w:p>
    <w:p>
      <w:pPr>
        <w:spacing w:after="0" w:line="276"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Diet</w:t>
      </w:r>
    </w:p>
    <w:p>
      <w:pPr>
        <w:spacing w:after="0" w:line="264" w:lineRule="exact"/>
        <w:rPr>
          <w:color w:val="auto"/>
          <w:sz w:val="20"/>
          <w:szCs w:val="20"/>
        </w:rPr>
      </w:pPr>
    </w:p>
    <w:p>
      <w:pPr>
        <w:spacing w:after="0" w:line="478" w:lineRule="auto"/>
        <w:ind w:left="720" w:right="120" w:firstLine="660"/>
        <w:rPr>
          <w:color w:val="auto"/>
          <w:sz w:val="20"/>
          <w:szCs w:val="20"/>
        </w:rPr>
      </w:pPr>
      <w:r>
        <w:rPr>
          <w:rFonts w:ascii="Arial" w:hAnsi="Arial" w:eastAsia="Arial" w:cs="Arial"/>
          <w:color w:val="auto"/>
          <w:sz w:val="22"/>
          <w:szCs w:val="22"/>
        </w:rPr>
        <w:t>As mentioned above, vitamin D is derived from two main sources: the diet and cutaneous synthesis. Fatty fish and cod liver oil are among the few foods that naturally contain vitamin D. In the U.S., milk and some dairy foods, juices and cereals are fortified with vitamin D, although fortification is not common in other parts of the world. Vitamin D is also available in supplements, either alone or with calcium and other nutrients (Holick, 2008). Table 3.1 lists the vitamin D content in various foods.</w:t>
      </w:r>
    </w:p>
    <w:p>
      <w:pPr>
        <w:spacing w:after="0" w:line="200" w:lineRule="exact"/>
        <w:rPr>
          <w:color w:val="auto"/>
          <w:sz w:val="20"/>
          <w:szCs w:val="20"/>
        </w:rPr>
      </w:pPr>
    </w:p>
    <w:p>
      <w:pPr>
        <w:spacing w:after="0" w:line="309" w:lineRule="exact"/>
        <w:rPr>
          <w:color w:val="auto"/>
          <w:sz w:val="20"/>
          <w:szCs w:val="20"/>
        </w:rPr>
      </w:pPr>
    </w:p>
    <w:p>
      <w:pPr>
        <w:spacing w:after="0"/>
        <w:ind w:left="720"/>
        <w:rPr>
          <w:color w:val="auto"/>
          <w:sz w:val="20"/>
          <w:szCs w:val="20"/>
        </w:rPr>
      </w:pPr>
      <w:r>
        <w:rPr>
          <w:rFonts w:ascii="Arial" w:hAnsi="Arial" w:eastAsia="Arial" w:cs="Arial"/>
          <w:b/>
          <w:bCs/>
          <w:color w:val="auto"/>
          <w:sz w:val="21"/>
          <w:szCs w:val="21"/>
        </w:rPr>
        <w:t>Table 3.1 Vitamin D Content of Selected Foods and Supplements</w:t>
      </w:r>
    </w:p>
    <w:p>
      <w:pPr>
        <w:spacing w:after="0" w:line="226" w:lineRule="exact"/>
        <w:rPr>
          <w:color w:val="auto"/>
          <w:sz w:val="20"/>
          <w:szCs w:val="20"/>
        </w:rPr>
      </w:pPr>
    </w:p>
    <w:tbl>
      <w:tblPr>
        <w:tblStyle w:val="3"/>
        <w:tblW w:w="0" w:type="auto"/>
        <w:tblInd w:w="610" w:type="dxa"/>
        <w:tblLayout w:type="fixed"/>
        <w:tblCellMar>
          <w:top w:w="0" w:type="dxa"/>
          <w:left w:w="0" w:type="dxa"/>
          <w:bottom w:w="0" w:type="dxa"/>
          <w:right w:w="0" w:type="dxa"/>
        </w:tblCellMar>
      </w:tblPr>
      <w:tblGrid>
        <w:gridCol w:w="1460"/>
        <w:gridCol w:w="3000"/>
        <w:gridCol w:w="4440"/>
      </w:tblGrid>
      <w:tr>
        <w:tblPrEx>
          <w:tblCellMar>
            <w:top w:w="0" w:type="dxa"/>
            <w:left w:w="0" w:type="dxa"/>
            <w:bottom w:w="0" w:type="dxa"/>
            <w:right w:w="0" w:type="dxa"/>
          </w:tblCellMar>
        </w:tblPrEx>
        <w:trPr>
          <w:trHeight w:val="236" w:hRule="atLeast"/>
        </w:trPr>
        <w:tc>
          <w:tcPr>
            <w:tcW w:w="1460" w:type="dxa"/>
            <w:tcBorders>
              <w:top w:val="single" w:color="auto" w:sz="8" w:space="0"/>
              <w:left w:val="single" w:color="auto" w:sz="8" w:space="0"/>
              <w:bottom w:val="single" w:color="auto" w:sz="8" w:space="0"/>
            </w:tcBorders>
            <w:vAlign w:val="bottom"/>
          </w:tcPr>
          <w:p>
            <w:pPr>
              <w:spacing w:after="0"/>
              <w:ind w:left="120"/>
              <w:rPr>
                <w:color w:val="auto"/>
                <w:sz w:val="20"/>
                <w:szCs w:val="20"/>
              </w:rPr>
            </w:pPr>
            <w:r>
              <w:rPr>
                <w:rFonts w:ascii="Arial" w:hAnsi="Arial" w:eastAsia="Arial" w:cs="Arial"/>
                <w:b/>
                <w:bCs/>
                <w:color w:val="auto"/>
                <w:sz w:val="20"/>
                <w:szCs w:val="20"/>
              </w:rPr>
              <w:t>Source</w:t>
            </w:r>
          </w:p>
        </w:tc>
        <w:tc>
          <w:tcPr>
            <w:tcW w:w="3000" w:type="dxa"/>
            <w:tcBorders>
              <w:top w:val="single" w:color="auto" w:sz="8" w:space="0"/>
              <w:bottom w:val="single" w:color="auto" w:sz="8" w:space="0"/>
              <w:right w:val="single" w:color="auto" w:sz="8" w:space="0"/>
            </w:tcBorders>
            <w:vAlign w:val="bottom"/>
          </w:tcPr>
          <w:p>
            <w:pPr>
              <w:spacing w:after="0"/>
              <w:rPr>
                <w:color w:val="auto"/>
                <w:sz w:val="20"/>
                <w:szCs w:val="20"/>
              </w:rPr>
            </w:pPr>
          </w:p>
        </w:tc>
        <w:tc>
          <w:tcPr>
            <w:tcW w:w="4440" w:type="dxa"/>
            <w:tcBorders>
              <w:top w:val="single" w:color="auto" w:sz="8" w:space="0"/>
              <w:bottom w:val="single" w:color="auto" w:sz="8" w:space="0"/>
              <w:right w:val="single" w:color="auto" w:sz="8" w:space="0"/>
            </w:tcBorders>
            <w:vAlign w:val="bottom"/>
          </w:tcPr>
          <w:p>
            <w:pPr>
              <w:spacing w:after="0"/>
              <w:ind w:left="80"/>
              <w:rPr>
                <w:color w:val="auto"/>
                <w:sz w:val="20"/>
                <w:szCs w:val="20"/>
              </w:rPr>
            </w:pPr>
            <w:r>
              <w:rPr>
                <w:rFonts w:ascii="Arial" w:hAnsi="Arial" w:eastAsia="Arial" w:cs="Arial"/>
                <w:b/>
                <w:bCs/>
                <w:color w:val="auto"/>
                <w:sz w:val="20"/>
                <w:szCs w:val="20"/>
              </w:rPr>
              <w:t>Vitamin D content (IU)</w:t>
            </w:r>
          </w:p>
        </w:tc>
      </w:tr>
      <w:tr>
        <w:tblPrEx>
          <w:tblCellMar>
            <w:top w:w="0" w:type="dxa"/>
            <w:left w:w="0" w:type="dxa"/>
            <w:bottom w:w="0" w:type="dxa"/>
            <w:right w:w="0" w:type="dxa"/>
          </w:tblCellMar>
        </w:tblPrEx>
        <w:trPr>
          <w:trHeight w:val="221" w:hRule="atLeast"/>
        </w:trPr>
        <w:tc>
          <w:tcPr>
            <w:tcW w:w="1460" w:type="dxa"/>
            <w:tcBorders>
              <w:left w:val="single" w:color="auto" w:sz="8" w:space="0"/>
              <w:bottom w:val="single" w:color="auto" w:sz="8" w:space="0"/>
            </w:tcBorders>
            <w:vAlign w:val="bottom"/>
          </w:tcPr>
          <w:p>
            <w:pPr>
              <w:spacing w:after="0" w:line="220" w:lineRule="exact"/>
              <w:ind w:left="120"/>
              <w:rPr>
                <w:color w:val="auto"/>
                <w:sz w:val="20"/>
                <w:szCs w:val="20"/>
              </w:rPr>
            </w:pPr>
            <w:r>
              <w:rPr>
                <w:rFonts w:ascii="Arial" w:hAnsi="Arial" w:eastAsia="Arial" w:cs="Arial"/>
                <w:color w:val="auto"/>
                <w:sz w:val="20"/>
                <w:szCs w:val="20"/>
              </w:rPr>
              <w:t>Natural source</w:t>
            </w:r>
          </w:p>
        </w:tc>
        <w:tc>
          <w:tcPr>
            <w:tcW w:w="3000" w:type="dxa"/>
            <w:tcBorders>
              <w:bottom w:val="single" w:color="auto" w:sz="8" w:space="0"/>
              <w:right w:val="single" w:color="auto" w:sz="8" w:space="0"/>
            </w:tcBorders>
            <w:vAlign w:val="bottom"/>
          </w:tcPr>
          <w:p>
            <w:pPr>
              <w:spacing w:after="0"/>
              <w:rPr>
                <w:color w:val="auto"/>
                <w:sz w:val="19"/>
                <w:szCs w:val="19"/>
              </w:rPr>
            </w:pPr>
          </w:p>
        </w:tc>
        <w:tc>
          <w:tcPr>
            <w:tcW w:w="4440" w:type="dxa"/>
            <w:tcBorders>
              <w:bottom w:val="single" w:color="auto" w:sz="8" w:space="0"/>
              <w:right w:val="single" w:color="auto" w:sz="8" w:space="0"/>
            </w:tcBorders>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Salmon  Fresh, wild( 3.5oz)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600-1000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960"/>
              <w:rPr>
                <w:color w:val="auto"/>
                <w:sz w:val="20"/>
                <w:szCs w:val="20"/>
              </w:rPr>
            </w:pPr>
            <w:r>
              <w:rPr>
                <w:rFonts w:ascii="Arial" w:hAnsi="Arial" w:eastAsia="Arial" w:cs="Arial"/>
                <w:color w:val="auto"/>
                <w:sz w:val="20"/>
                <w:szCs w:val="20"/>
              </w:rPr>
              <w:t>Fresh, farmed( 3.5oz)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100-200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960"/>
              <w:rPr>
                <w:color w:val="auto"/>
                <w:sz w:val="20"/>
                <w:szCs w:val="20"/>
              </w:rPr>
            </w:pPr>
            <w:r>
              <w:rPr>
                <w:rFonts w:ascii="Arial" w:hAnsi="Arial" w:eastAsia="Arial" w:cs="Arial"/>
                <w:color w:val="auto"/>
                <w:sz w:val="20"/>
                <w:szCs w:val="20"/>
              </w:rPr>
              <w:t>Canned( 3.5oz)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300-600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Mackerel, canned( 3.5 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250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Tuna, canned (3.6 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230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Cod liver oil ( 1 tsp)</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400-1000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Shiitake mushrooms  Fresh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1460" w:type="dxa"/>
            <w:tcBorders>
              <w:left w:val="single" w:color="auto" w:sz="8" w:space="0"/>
              <w:bottom w:val="single" w:color="auto" w:sz="8" w:space="0"/>
            </w:tcBorders>
            <w:vAlign w:val="bottom"/>
          </w:tcPr>
          <w:p>
            <w:pPr>
              <w:spacing w:after="0"/>
              <w:rPr>
                <w:color w:val="auto"/>
                <w:sz w:val="19"/>
                <w:szCs w:val="19"/>
              </w:rPr>
            </w:pPr>
          </w:p>
        </w:tc>
        <w:tc>
          <w:tcPr>
            <w:tcW w:w="3000" w:type="dxa"/>
            <w:tcBorders>
              <w:bottom w:val="single" w:color="auto" w:sz="8" w:space="0"/>
              <w:right w:val="single" w:color="auto" w:sz="8" w:space="0"/>
            </w:tcBorders>
            <w:vAlign w:val="bottom"/>
          </w:tcPr>
          <w:p>
            <w:pPr>
              <w:spacing w:after="0" w:line="220" w:lineRule="exact"/>
              <w:ind w:left="100"/>
              <w:rPr>
                <w:color w:val="auto"/>
                <w:sz w:val="20"/>
                <w:szCs w:val="20"/>
              </w:rPr>
            </w:pPr>
            <w:r>
              <w:rPr>
                <w:rFonts w:ascii="Arial" w:hAnsi="Arial" w:eastAsia="Arial" w:cs="Arial"/>
                <w:color w:val="auto"/>
                <w:sz w:val="20"/>
                <w:szCs w:val="20"/>
              </w:rPr>
              <w:t>Sun-dried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1600</w:t>
            </w:r>
          </w:p>
        </w:tc>
      </w:tr>
      <w:tr>
        <w:tblPrEx>
          <w:tblCellMar>
            <w:top w:w="0" w:type="dxa"/>
            <w:left w:w="0" w:type="dxa"/>
            <w:bottom w:w="0" w:type="dxa"/>
            <w:right w:w="0" w:type="dxa"/>
          </w:tblCellMar>
        </w:tblPrEx>
        <w:trPr>
          <w:trHeight w:val="220" w:hRule="atLeast"/>
        </w:trPr>
        <w:tc>
          <w:tcPr>
            <w:tcW w:w="1460" w:type="dxa"/>
            <w:tcBorders>
              <w:left w:val="single" w:color="auto" w:sz="8" w:space="0"/>
              <w:bottom w:val="single" w:color="auto" w:sz="8" w:space="0"/>
            </w:tcBorders>
            <w:vAlign w:val="bottom"/>
          </w:tcPr>
          <w:p>
            <w:pPr>
              <w:spacing w:after="0" w:line="220" w:lineRule="exact"/>
              <w:ind w:left="120"/>
              <w:rPr>
                <w:color w:val="auto"/>
                <w:sz w:val="20"/>
                <w:szCs w:val="20"/>
              </w:rPr>
            </w:pPr>
            <w:r>
              <w:rPr>
                <w:rFonts w:ascii="Arial" w:hAnsi="Arial" w:eastAsia="Arial" w:cs="Arial"/>
                <w:color w:val="auto"/>
                <w:sz w:val="20"/>
                <w:szCs w:val="20"/>
              </w:rPr>
              <w:t>Fortified foods</w:t>
            </w:r>
          </w:p>
        </w:tc>
        <w:tc>
          <w:tcPr>
            <w:tcW w:w="3000" w:type="dxa"/>
            <w:tcBorders>
              <w:bottom w:val="single" w:color="auto" w:sz="8" w:space="0"/>
              <w:right w:val="single" w:color="auto" w:sz="8" w:space="0"/>
            </w:tcBorders>
            <w:vAlign w:val="bottom"/>
          </w:tcPr>
          <w:p>
            <w:pPr>
              <w:spacing w:after="0"/>
              <w:rPr>
                <w:color w:val="auto"/>
                <w:sz w:val="19"/>
                <w:szCs w:val="19"/>
              </w:rPr>
            </w:pPr>
          </w:p>
        </w:tc>
        <w:tc>
          <w:tcPr>
            <w:tcW w:w="4440" w:type="dxa"/>
            <w:tcBorders>
              <w:bottom w:val="single" w:color="auto" w:sz="8" w:space="0"/>
              <w:right w:val="single" w:color="auto" w:sz="8" w:space="0"/>
            </w:tcBorders>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milk ( 1 cup)</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orange juice ( 1 cup)</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yogurts( 1 cup)</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breakfast cereals ( 1 cup)</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butter ( 3.5oz)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50</w:t>
            </w:r>
          </w:p>
        </w:tc>
      </w:tr>
      <w:tr>
        <w:tblPrEx>
          <w:tblCellMar>
            <w:top w:w="0" w:type="dxa"/>
            <w:left w:w="0" w:type="dxa"/>
            <w:bottom w:w="0" w:type="dxa"/>
            <w:right w:w="0" w:type="dxa"/>
          </w:tblCellMar>
        </w:tblPrEx>
        <w:trPr>
          <w:trHeight w:val="220" w:hRule="atLeast"/>
        </w:trPr>
        <w:tc>
          <w:tcPr>
            <w:tcW w:w="4460" w:type="dxa"/>
            <w:gridSpan w:val="2"/>
            <w:tcBorders>
              <w:left w:val="single" w:color="auto" w:sz="8" w:space="0"/>
              <w:bottom w:val="single" w:color="auto" w:sz="8" w:space="0"/>
              <w:right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Fortified cheese ( 3.5oz)</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100</w:t>
            </w:r>
          </w:p>
        </w:tc>
      </w:tr>
      <w:tr>
        <w:tblPrEx>
          <w:tblCellMar>
            <w:top w:w="0" w:type="dxa"/>
            <w:left w:w="0" w:type="dxa"/>
            <w:bottom w:w="0" w:type="dxa"/>
            <w:right w:w="0" w:type="dxa"/>
          </w:tblCellMar>
        </w:tblPrEx>
        <w:trPr>
          <w:trHeight w:val="220" w:hRule="atLeast"/>
        </w:trPr>
        <w:tc>
          <w:tcPr>
            <w:tcW w:w="1460" w:type="dxa"/>
            <w:tcBorders>
              <w:left w:val="single" w:color="auto" w:sz="8" w:space="0"/>
              <w:bottom w:val="single" w:color="auto" w:sz="8" w:space="0"/>
            </w:tcBorders>
            <w:vAlign w:val="bottom"/>
          </w:tcPr>
          <w:p>
            <w:pPr>
              <w:spacing w:after="0" w:line="220" w:lineRule="exact"/>
              <w:ind w:left="120"/>
              <w:rPr>
                <w:color w:val="auto"/>
                <w:sz w:val="20"/>
                <w:szCs w:val="20"/>
              </w:rPr>
            </w:pPr>
            <w:r>
              <w:rPr>
                <w:rFonts w:ascii="Arial" w:hAnsi="Arial" w:eastAsia="Arial" w:cs="Arial"/>
                <w:color w:val="auto"/>
                <w:sz w:val="20"/>
                <w:szCs w:val="20"/>
              </w:rPr>
              <w:t>Supplements</w:t>
            </w:r>
          </w:p>
        </w:tc>
        <w:tc>
          <w:tcPr>
            <w:tcW w:w="3000" w:type="dxa"/>
            <w:tcBorders>
              <w:bottom w:val="single" w:color="auto" w:sz="8" w:space="0"/>
              <w:right w:val="single" w:color="auto" w:sz="8" w:space="0"/>
            </w:tcBorders>
            <w:vAlign w:val="bottom"/>
          </w:tcPr>
          <w:p>
            <w:pPr>
              <w:spacing w:after="0"/>
              <w:rPr>
                <w:color w:val="auto"/>
                <w:sz w:val="19"/>
                <w:szCs w:val="19"/>
              </w:rPr>
            </w:pPr>
          </w:p>
        </w:tc>
        <w:tc>
          <w:tcPr>
            <w:tcW w:w="4440" w:type="dxa"/>
            <w:tcBorders>
              <w:bottom w:val="single" w:color="auto" w:sz="8" w:space="0"/>
              <w:right w:val="single" w:color="auto" w:sz="8" w:space="0"/>
            </w:tcBorders>
            <w:vAlign w:val="bottom"/>
          </w:tcPr>
          <w:p>
            <w:pPr>
              <w:spacing w:after="0"/>
              <w:rPr>
                <w:color w:val="auto"/>
                <w:sz w:val="19"/>
                <w:szCs w:val="19"/>
              </w:rPr>
            </w:pPr>
          </w:p>
        </w:tc>
      </w:tr>
      <w:tr>
        <w:tblPrEx>
          <w:tblCellMar>
            <w:top w:w="0" w:type="dxa"/>
            <w:left w:w="0" w:type="dxa"/>
            <w:bottom w:w="0" w:type="dxa"/>
            <w:right w:w="0" w:type="dxa"/>
          </w:tblCellMar>
        </w:tblPrEx>
        <w:trPr>
          <w:trHeight w:val="223" w:hRule="atLeast"/>
        </w:trPr>
        <w:tc>
          <w:tcPr>
            <w:tcW w:w="1460" w:type="dxa"/>
            <w:tcBorders>
              <w:left w:val="single" w:color="auto" w:sz="8" w:space="0"/>
              <w:bottom w:val="single" w:color="auto" w:sz="8" w:space="0"/>
            </w:tcBorders>
            <w:vAlign w:val="bottom"/>
          </w:tcPr>
          <w:p>
            <w:pPr>
              <w:spacing w:after="0" w:line="220" w:lineRule="exact"/>
              <w:ind w:left="340"/>
              <w:rPr>
                <w:color w:val="auto"/>
                <w:sz w:val="20"/>
                <w:szCs w:val="20"/>
              </w:rPr>
            </w:pPr>
            <w:r>
              <w:rPr>
                <w:rFonts w:ascii="Arial" w:hAnsi="Arial" w:eastAsia="Arial" w:cs="Arial"/>
                <w:color w:val="auto"/>
                <w:sz w:val="20"/>
                <w:szCs w:val="20"/>
              </w:rPr>
              <w:t>Prescription</w:t>
            </w:r>
          </w:p>
        </w:tc>
        <w:tc>
          <w:tcPr>
            <w:tcW w:w="3000" w:type="dxa"/>
            <w:tcBorders>
              <w:bottom w:val="single" w:color="auto" w:sz="8" w:space="0"/>
              <w:right w:val="single" w:color="auto" w:sz="8" w:space="0"/>
            </w:tcBorders>
            <w:vAlign w:val="bottom"/>
          </w:tcPr>
          <w:p>
            <w:pPr>
              <w:spacing w:after="0" w:line="223" w:lineRule="exact"/>
              <w:ind w:left="160"/>
              <w:rPr>
                <w:color w:val="auto"/>
                <w:sz w:val="20"/>
                <w:szCs w:val="20"/>
              </w:rPr>
            </w:pPr>
            <w:r>
              <w:rPr>
                <w:rFonts w:ascii="Arial" w:hAnsi="Arial" w:eastAsia="Arial" w:cs="Arial"/>
                <w:color w:val="auto"/>
                <w:sz w:val="20"/>
                <w:szCs w:val="20"/>
              </w:rPr>
              <w:t>vitamin D</w:t>
            </w:r>
            <w:r>
              <w:rPr>
                <w:rFonts w:ascii="Arial" w:hAnsi="Arial" w:eastAsia="Arial" w:cs="Arial"/>
                <w:color w:val="auto"/>
                <w:sz w:val="25"/>
                <w:szCs w:val="25"/>
                <w:vertAlign w:val="subscript"/>
              </w:rPr>
              <w:t>2</w:t>
            </w: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50,000</w:t>
            </w:r>
          </w:p>
        </w:tc>
      </w:tr>
      <w:tr>
        <w:tblPrEx>
          <w:tblCellMar>
            <w:top w:w="0" w:type="dxa"/>
            <w:left w:w="0" w:type="dxa"/>
            <w:bottom w:w="0" w:type="dxa"/>
            <w:right w:w="0" w:type="dxa"/>
          </w:tblCellMar>
        </w:tblPrEx>
        <w:trPr>
          <w:trHeight w:val="218" w:hRule="atLeast"/>
        </w:trPr>
        <w:tc>
          <w:tcPr>
            <w:tcW w:w="1460" w:type="dxa"/>
            <w:tcBorders>
              <w:left w:val="single" w:color="auto" w:sz="8" w:space="0"/>
              <w:bottom w:val="single" w:color="auto" w:sz="8" w:space="0"/>
            </w:tcBorders>
            <w:vAlign w:val="bottom"/>
          </w:tcPr>
          <w:p>
            <w:pPr>
              <w:spacing w:after="0" w:line="218" w:lineRule="exact"/>
              <w:ind w:left="340"/>
              <w:rPr>
                <w:color w:val="auto"/>
                <w:sz w:val="20"/>
                <w:szCs w:val="20"/>
              </w:rPr>
            </w:pPr>
            <w:r>
              <w:rPr>
                <w:rFonts w:ascii="Arial" w:hAnsi="Arial" w:eastAsia="Arial" w:cs="Arial"/>
                <w:color w:val="auto"/>
                <w:sz w:val="20"/>
                <w:szCs w:val="20"/>
              </w:rPr>
              <w:t>Prescription</w:t>
            </w:r>
          </w:p>
        </w:tc>
        <w:tc>
          <w:tcPr>
            <w:tcW w:w="3000" w:type="dxa"/>
            <w:tcBorders>
              <w:bottom w:val="single" w:color="auto" w:sz="8" w:space="0"/>
              <w:right w:val="single" w:color="auto" w:sz="8" w:space="0"/>
            </w:tcBorders>
            <w:vAlign w:val="bottom"/>
          </w:tcPr>
          <w:p>
            <w:pPr>
              <w:spacing w:after="0" w:line="218" w:lineRule="exact"/>
              <w:ind w:left="40"/>
              <w:rPr>
                <w:color w:val="auto"/>
                <w:sz w:val="20"/>
                <w:szCs w:val="20"/>
              </w:rPr>
            </w:pPr>
            <w:r>
              <w:rPr>
                <w:rFonts w:ascii="Arial" w:hAnsi="Arial" w:eastAsia="Arial" w:cs="Arial"/>
                <w:color w:val="auto"/>
                <w:sz w:val="20"/>
                <w:szCs w:val="20"/>
              </w:rPr>
              <w:t>drisdol liquid supplements</w:t>
            </w:r>
          </w:p>
        </w:tc>
        <w:tc>
          <w:tcPr>
            <w:tcW w:w="4440" w:type="dxa"/>
            <w:tcBorders>
              <w:bottom w:val="single" w:color="auto" w:sz="8" w:space="0"/>
              <w:right w:val="single" w:color="auto" w:sz="8" w:space="0"/>
            </w:tcBorders>
            <w:vAlign w:val="bottom"/>
          </w:tcPr>
          <w:p>
            <w:pPr>
              <w:spacing w:after="0" w:line="218" w:lineRule="exact"/>
              <w:ind w:left="80"/>
              <w:rPr>
                <w:color w:val="auto"/>
                <w:sz w:val="20"/>
                <w:szCs w:val="20"/>
              </w:rPr>
            </w:pPr>
            <w:r>
              <w:rPr>
                <w:rFonts w:ascii="Arial" w:hAnsi="Arial" w:eastAsia="Arial" w:cs="Arial"/>
                <w:color w:val="auto"/>
                <w:sz w:val="20"/>
                <w:szCs w:val="20"/>
              </w:rPr>
              <w:t>8000</w:t>
            </w:r>
          </w:p>
        </w:tc>
      </w:tr>
      <w:tr>
        <w:tblPrEx>
          <w:tblCellMar>
            <w:top w:w="0" w:type="dxa"/>
            <w:left w:w="0" w:type="dxa"/>
            <w:bottom w:w="0" w:type="dxa"/>
            <w:right w:w="0" w:type="dxa"/>
          </w:tblCellMar>
        </w:tblPrEx>
        <w:trPr>
          <w:trHeight w:val="223" w:hRule="atLeast"/>
        </w:trPr>
        <w:tc>
          <w:tcPr>
            <w:tcW w:w="1460" w:type="dxa"/>
            <w:tcBorders>
              <w:left w:val="single" w:color="auto" w:sz="8" w:space="0"/>
              <w:bottom w:val="single" w:color="auto" w:sz="8" w:space="0"/>
            </w:tcBorders>
            <w:vAlign w:val="bottom"/>
          </w:tcPr>
          <w:p>
            <w:pPr>
              <w:spacing w:after="0" w:line="223" w:lineRule="exact"/>
              <w:ind w:left="340"/>
              <w:rPr>
                <w:color w:val="auto"/>
                <w:sz w:val="20"/>
                <w:szCs w:val="20"/>
              </w:rPr>
            </w:pPr>
            <w:r>
              <w:rPr>
                <w:rFonts w:ascii="Arial" w:hAnsi="Arial" w:eastAsia="Arial" w:cs="Arial"/>
                <w:color w:val="auto"/>
                <w:sz w:val="20"/>
                <w:szCs w:val="20"/>
              </w:rPr>
              <w:t>Vitamin D</w:t>
            </w:r>
            <w:r>
              <w:rPr>
                <w:rFonts w:ascii="Arial" w:hAnsi="Arial" w:eastAsia="Arial" w:cs="Arial"/>
                <w:color w:val="auto"/>
                <w:sz w:val="25"/>
                <w:szCs w:val="25"/>
                <w:vertAlign w:val="subscript"/>
              </w:rPr>
              <w:t>3</w:t>
            </w:r>
          </w:p>
        </w:tc>
        <w:tc>
          <w:tcPr>
            <w:tcW w:w="3000" w:type="dxa"/>
            <w:tcBorders>
              <w:bottom w:val="single" w:color="auto" w:sz="8" w:space="0"/>
              <w:right w:val="single" w:color="auto" w:sz="8" w:space="0"/>
            </w:tcBorders>
            <w:vAlign w:val="bottom"/>
          </w:tcPr>
          <w:p>
            <w:pPr>
              <w:spacing w:after="0"/>
              <w:rPr>
                <w:color w:val="auto"/>
                <w:sz w:val="19"/>
                <w:szCs w:val="19"/>
              </w:rPr>
            </w:pPr>
          </w:p>
        </w:tc>
        <w:tc>
          <w:tcPr>
            <w:tcW w:w="4440" w:type="dxa"/>
            <w:tcBorders>
              <w:bottom w:val="single" w:color="auto" w:sz="8" w:space="0"/>
              <w:right w:val="single" w:color="auto" w:sz="8" w:space="0"/>
            </w:tcBorders>
            <w:vAlign w:val="bottom"/>
          </w:tcPr>
          <w:p>
            <w:pPr>
              <w:spacing w:after="0" w:line="220" w:lineRule="exact"/>
              <w:ind w:left="80"/>
              <w:rPr>
                <w:color w:val="auto"/>
                <w:sz w:val="20"/>
                <w:szCs w:val="20"/>
              </w:rPr>
            </w:pPr>
            <w:r>
              <w:rPr>
                <w:rFonts w:ascii="Arial" w:hAnsi="Arial" w:eastAsia="Arial" w:cs="Arial"/>
                <w:color w:val="auto"/>
                <w:sz w:val="20"/>
                <w:szCs w:val="20"/>
              </w:rPr>
              <w:t>400,900,1000,2000</w:t>
            </w:r>
          </w:p>
        </w:tc>
      </w:tr>
      <w:tr>
        <w:tblPrEx>
          <w:tblCellMar>
            <w:top w:w="0" w:type="dxa"/>
            <w:left w:w="0" w:type="dxa"/>
            <w:bottom w:w="0" w:type="dxa"/>
            <w:right w:w="0" w:type="dxa"/>
          </w:tblCellMar>
        </w:tblPrEx>
        <w:trPr>
          <w:trHeight w:val="217" w:hRule="atLeast"/>
        </w:trPr>
        <w:tc>
          <w:tcPr>
            <w:tcW w:w="1460" w:type="dxa"/>
            <w:tcBorders>
              <w:left w:val="single" w:color="auto" w:sz="8" w:space="0"/>
              <w:bottom w:val="single" w:color="auto" w:sz="8" w:space="0"/>
            </w:tcBorders>
            <w:vAlign w:val="bottom"/>
          </w:tcPr>
          <w:p>
            <w:pPr>
              <w:spacing w:after="0" w:line="217" w:lineRule="exact"/>
              <w:ind w:left="340"/>
              <w:rPr>
                <w:color w:val="auto"/>
                <w:sz w:val="20"/>
                <w:szCs w:val="20"/>
              </w:rPr>
            </w:pPr>
            <w:r>
              <w:rPr>
                <w:rFonts w:ascii="Arial" w:hAnsi="Arial" w:eastAsia="Arial" w:cs="Arial"/>
                <w:color w:val="auto"/>
                <w:sz w:val="20"/>
                <w:szCs w:val="20"/>
              </w:rPr>
              <w:t>Multivitamin</w:t>
            </w:r>
          </w:p>
        </w:tc>
        <w:tc>
          <w:tcPr>
            <w:tcW w:w="3000" w:type="dxa"/>
            <w:tcBorders>
              <w:bottom w:val="single" w:color="auto" w:sz="8" w:space="0"/>
              <w:right w:val="single" w:color="auto" w:sz="8" w:space="0"/>
            </w:tcBorders>
            <w:vAlign w:val="bottom"/>
          </w:tcPr>
          <w:p>
            <w:pPr>
              <w:spacing w:after="0"/>
              <w:rPr>
                <w:color w:val="auto"/>
                <w:sz w:val="18"/>
                <w:szCs w:val="18"/>
              </w:rPr>
            </w:pPr>
          </w:p>
        </w:tc>
        <w:tc>
          <w:tcPr>
            <w:tcW w:w="4440" w:type="dxa"/>
            <w:tcBorders>
              <w:bottom w:val="single" w:color="auto" w:sz="8" w:space="0"/>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400</w:t>
            </w:r>
          </w:p>
        </w:tc>
      </w:tr>
    </w:tbl>
    <w:p>
      <w:pPr>
        <w:spacing w:after="0" w:line="202" w:lineRule="auto"/>
        <w:ind w:left="720"/>
        <w:rPr>
          <w:color w:val="auto"/>
          <w:sz w:val="20"/>
          <w:szCs w:val="20"/>
        </w:rPr>
      </w:pPr>
      <w:r>
        <w:rPr>
          <w:rFonts w:ascii="Arial" w:hAnsi="Arial" w:eastAsia="Arial" w:cs="Arial"/>
          <w:color w:val="auto"/>
          <w:sz w:val="20"/>
          <w:szCs w:val="20"/>
        </w:rPr>
        <w:t>40 IU=1 ug vitamin D</w:t>
      </w:r>
      <w:r>
        <w:rPr>
          <w:rFonts w:ascii="Arial" w:hAnsi="Arial" w:eastAsia="Arial" w:cs="Arial"/>
          <w:color w:val="auto"/>
          <w:sz w:val="25"/>
          <w:szCs w:val="25"/>
          <w:vertAlign w:val="subscript"/>
        </w:rPr>
        <w:t>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15</w:t>
      </w:r>
    </w:p>
    <w:p>
      <w:pPr>
        <w:sectPr>
          <w:pgSz w:w="12240" w:h="15842"/>
          <w:pgMar w:top="1435" w:right="1322" w:bottom="134" w:left="1440" w:header="0" w:footer="0" w:gutter="0"/>
          <w:cols w:equalWidth="0" w:num="1">
            <w:col w:w="9480"/>
          </w:cols>
        </w:sectPr>
      </w:pPr>
    </w:p>
    <w:p>
      <w:pPr>
        <w:spacing w:after="0"/>
        <w:ind w:left="720"/>
        <w:rPr>
          <w:color w:val="auto"/>
          <w:sz w:val="20"/>
          <w:szCs w:val="20"/>
        </w:rPr>
      </w:pPr>
      <w:bookmarkStart w:id="20" w:name="page26"/>
      <w:bookmarkEnd w:id="20"/>
      <w:r>
        <w:rPr>
          <w:rFonts w:ascii="Arial" w:hAnsi="Arial" w:eastAsia="Arial" w:cs="Arial"/>
          <w:b/>
          <w:bCs/>
          <w:color w:val="auto"/>
          <w:sz w:val="22"/>
          <w:szCs w:val="22"/>
        </w:rPr>
        <w:t>Cutaneous synthesis of vitamin D</w:t>
      </w:r>
    </w:p>
    <w:p>
      <w:pPr>
        <w:spacing w:after="0" w:line="264" w:lineRule="exact"/>
        <w:rPr>
          <w:color w:val="auto"/>
          <w:sz w:val="20"/>
          <w:szCs w:val="20"/>
        </w:rPr>
      </w:pPr>
    </w:p>
    <w:p>
      <w:pPr>
        <w:spacing w:after="0" w:line="430" w:lineRule="auto"/>
        <w:ind w:left="720" w:right="62" w:firstLine="660"/>
        <w:rPr>
          <w:color w:val="auto"/>
          <w:sz w:val="20"/>
          <w:szCs w:val="20"/>
        </w:rPr>
      </w:pPr>
      <w:r>
        <w:rPr>
          <w:rFonts w:ascii="Arial" w:hAnsi="Arial" w:eastAsia="Arial" w:cs="Arial"/>
          <w:color w:val="auto"/>
          <w:sz w:val="22"/>
          <w:szCs w:val="22"/>
        </w:rPr>
        <w:t>Because few foods contain vitamin D, most of the vitamin in circulation is derived from cutaneous synthesis. Humans (and most animals) can synthesize vitamin D in the skin when it is exposed to ultraviolet radiation. Solar ultraviolet B radiation (wavelength between 290 to 315 nm) causes 7-dehydrocholesterol to isomerize to previtamin D</w:t>
      </w:r>
      <w:r>
        <w:rPr>
          <w:rFonts w:ascii="Arial" w:hAnsi="Arial" w:eastAsia="Arial" w:cs="Arial"/>
          <w:color w:val="auto"/>
          <w:sz w:val="27"/>
          <w:szCs w:val="27"/>
        </w:rPr>
        <w:t xml:space="preserve"> </w:t>
      </w:r>
      <w:r>
        <w:rPr>
          <w:rFonts w:ascii="Arial" w:hAnsi="Arial" w:eastAsia="Arial" w:cs="Arial"/>
          <w:color w:val="auto"/>
          <w:sz w:val="27"/>
          <w:szCs w:val="27"/>
          <w:vertAlign w:val="subscript"/>
        </w:rPr>
        <w:t>3</w:t>
      </w:r>
      <w:r>
        <w:rPr>
          <w:rFonts w:ascii="Arial" w:hAnsi="Arial" w:eastAsia="Arial" w:cs="Arial"/>
          <w:color w:val="auto"/>
          <w:sz w:val="22"/>
          <w:szCs w:val="22"/>
        </w:rPr>
        <w:t>, which at body temperature thermally isomerizes to vitamin D</w:t>
      </w:r>
      <w:r>
        <w:rPr>
          <w:rFonts w:ascii="Arial" w:hAnsi="Arial" w:eastAsia="Arial" w:cs="Arial"/>
          <w:color w:val="auto"/>
          <w:sz w:val="27"/>
          <w:szCs w:val="27"/>
        </w:rPr>
        <w:t xml:space="preserve"> </w:t>
      </w:r>
      <w:r>
        <w:rPr>
          <w:rFonts w:ascii="Arial" w:hAnsi="Arial" w:eastAsia="Arial" w:cs="Arial"/>
          <w:color w:val="auto"/>
          <w:sz w:val="27"/>
          <w:szCs w:val="27"/>
          <w:vertAlign w:val="subscript"/>
        </w:rPr>
        <w:t>3.</w:t>
      </w:r>
      <w:r>
        <w:rPr>
          <w:rFonts w:ascii="Arial" w:hAnsi="Arial" w:eastAsia="Arial" w:cs="Arial"/>
          <w:color w:val="auto"/>
          <w:sz w:val="22"/>
          <w:szCs w:val="22"/>
        </w:rPr>
        <w:t xml:space="preserve"> The whole isomerization procedure may require one hour to days to produce vitamin D</w:t>
      </w:r>
      <w:r>
        <w:rPr>
          <w:rFonts w:ascii="Arial" w:hAnsi="Arial" w:eastAsia="Arial" w:cs="Arial"/>
          <w:color w:val="auto"/>
          <w:sz w:val="27"/>
          <w:szCs w:val="27"/>
          <w:vertAlign w:val="subscript"/>
        </w:rPr>
        <w:t>3</w:t>
      </w:r>
      <w:r>
        <w:rPr>
          <w:rFonts w:ascii="Arial" w:hAnsi="Arial" w:eastAsia="Arial" w:cs="Arial"/>
          <w:color w:val="auto"/>
          <w:sz w:val="22"/>
          <w:szCs w:val="22"/>
        </w:rPr>
        <w:t>. In ideal conditions, nearly 3000 IU of vitamin D can be synthesized cutaneously following an average of 5 to 10 minutes of UVB exposure of the arms and legs. Excess exposure to sunlight will not cause toxicity since solar UV radiation will degrade the extra previtamin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and 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into inactive photoproducts (Holick, 2004).</w:t>
      </w:r>
    </w:p>
    <w:p>
      <w:pPr>
        <w:spacing w:after="0" w:line="200" w:lineRule="exact"/>
        <w:rPr>
          <w:color w:val="auto"/>
          <w:sz w:val="20"/>
          <w:szCs w:val="20"/>
        </w:rPr>
      </w:pPr>
    </w:p>
    <w:p>
      <w:pPr>
        <w:spacing w:after="0" w:line="319" w:lineRule="exact"/>
        <w:rPr>
          <w:color w:val="auto"/>
          <w:sz w:val="20"/>
          <w:szCs w:val="20"/>
        </w:rPr>
      </w:pPr>
    </w:p>
    <w:p>
      <w:pPr>
        <w:spacing w:after="0" w:line="499" w:lineRule="auto"/>
        <w:ind w:left="720" w:right="22" w:firstLine="660"/>
        <w:rPr>
          <w:color w:val="auto"/>
          <w:sz w:val="20"/>
          <w:szCs w:val="20"/>
        </w:rPr>
      </w:pPr>
      <w:r>
        <w:rPr>
          <w:rFonts w:ascii="Arial" w:hAnsi="Arial" w:eastAsia="Arial" w:cs="Arial"/>
          <w:color w:val="auto"/>
          <w:sz w:val="21"/>
          <w:szCs w:val="21"/>
        </w:rPr>
        <w:t>Numerous factors influence cutaneous vitamin D synthesis. First, only a narrow range of wavelengths (290-315 nm ultraviolet B) can stimulate cutaneous synthesis. Consequently, any geographical area above a latitude of 37 degrees in the northern hemisphere or below 37 degrees in the southern hemisphere does not receive the appropriate wavelength of ultraviolet B during the winter months ( such as November through February in the Boston area ), since most UV-B is absorbed by the ozone layer at that period. Therefore, vitamin D is not synthesized during winter. Second, public health messages concerning the association between sun exposure and skin cancer has led to widespread use of sunscreens. However, any sunscreen with a skin protection factor (SPF) of 8 or more inhibits vitamin D synthesis by absorbing UV-B radiation. Melanin in skin also inhibits cutaneous vitamin D synthesis, and dark skinned persons need up to 10 times as much sun exposure as lightly pigmented persons to synthesize an equivalent amount of vitamin D</w:t>
      </w:r>
      <w:r>
        <w:rPr>
          <w:rFonts w:ascii="Arial" w:hAnsi="Arial" w:eastAsia="Arial" w:cs="Arial"/>
          <w:color w:val="auto"/>
          <w:sz w:val="26"/>
          <w:szCs w:val="26"/>
          <w:vertAlign w:val="subscript"/>
        </w:rPr>
        <w:t>3</w:t>
      </w:r>
      <w:r>
        <w:rPr>
          <w:rFonts w:ascii="Arial" w:hAnsi="Arial" w:eastAsia="Arial" w:cs="Arial"/>
          <w:color w:val="auto"/>
          <w:sz w:val="21"/>
          <w:szCs w:val="21"/>
        </w:rPr>
        <w:t>. Third, clothing can also impede vitamin D synthesis,</w:t>
      </w:r>
    </w:p>
    <w:p>
      <w:pPr>
        <w:spacing w:after="0" w:line="200" w:lineRule="exact"/>
        <w:rPr>
          <w:color w:val="auto"/>
          <w:sz w:val="20"/>
          <w:szCs w:val="20"/>
        </w:rPr>
      </w:pPr>
    </w:p>
    <w:p>
      <w:pPr>
        <w:spacing w:after="0" w:line="200" w:lineRule="exact"/>
        <w:rPr>
          <w:color w:val="auto"/>
          <w:sz w:val="20"/>
          <w:szCs w:val="20"/>
        </w:rPr>
      </w:pPr>
    </w:p>
    <w:p>
      <w:pPr>
        <w:spacing w:after="0" w:line="28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16</w:t>
      </w:r>
    </w:p>
    <w:p>
      <w:pPr>
        <w:sectPr>
          <w:pgSz w:w="12240" w:h="15842"/>
          <w:pgMar w:top="1435" w:right="1440" w:bottom="134" w:left="1440" w:header="0" w:footer="0" w:gutter="0"/>
          <w:cols w:equalWidth="0" w:num="1">
            <w:col w:w="9362"/>
          </w:cols>
        </w:sectPr>
      </w:pPr>
    </w:p>
    <w:p>
      <w:pPr>
        <w:spacing w:after="0" w:line="6" w:lineRule="exact"/>
        <w:rPr>
          <w:color w:val="auto"/>
          <w:sz w:val="20"/>
          <w:szCs w:val="20"/>
        </w:rPr>
      </w:pPr>
      <w:bookmarkStart w:id="21" w:name="page27"/>
      <w:bookmarkEnd w:id="21"/>
    </w:p>
    <w:p>
      <w:pPr>
        <w:spacing w:after="0" w:line="476" w:lineRule="auto"/>
        <w:ind w:left="720"/>
        <w:rPr>
          <w:color w:val="auto"/>
          <w:sz w:val="20"/>
          <w:szCs w:val="20"/>
        </w:rPr>
      </w:pPr>
      <w:r>
        <w:rPr>
          <w:rFonts w:ascii="Arial" w:hAnsi="Arial" w:eastAsia="Arial" w:cs="Arial"/>
          <w:color w:val="auto"/>
          <w:sz w:val="22"/>
          <w:szCs w:val="22"/>
        </w:rPr>
        <w:t>and women in some parts of the world who wear veils and other concealing clothing for cultural reasons have a limited ability to obtain vitamin D by cutaneous synthesis ( Holick, 2007).</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Metabolism of Vitamin D</w:t>
      </w:r>
    </w:p>
    <w:p>
      <w:pPr>
        <w:spacing w:after="0" w:line="209" w:lineRule="exact"/>
        <w:rPr>
          <w:color w:val="auto"/>
          <w:sz w:val="20"/>
          <w:szCs w:val="20"/>
        </w:rPr>
      </w:pPr>
    </w:p>
    <w:p>
      <w:pPr>
        <w:spacing w:after="0"/>
        <w:ind w:right="-639"/>
        <w:jc w:val="center"/>
        <w:rPr>
          <w:color w:val="auto"/>
          <w:sz w:val="20"/>
          <w:szCs w:val="20"/>
        </w:rPr>
      </w:pPr>
      <w:r>
        <w:rPr>
          <w:rFonts w:ascii="Arial" w:hAnsi="Arial" w:eastAsia="Arial" w:cs="Arial"/>
          <w:color w:val="auto"/>
          <w:sz w:val="22"/>
          <w:szCs w:val="22"/>
        </w:rPr>
        <w:t>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and Vitamin D</w:t>
      </w:r>
      <w:r>
        <w:rPr>
          <w:rFonts w:ascii="Arial" w:hAnsi="Arial" w:eastAsia="Arial" w:cs="Arial"/>
          <w:color w:val="auto"/>
          <w:sz w:val="27"/>
          <w:szCs w:val="27"/>
          <w:vertAlign w:val="subscript"/>
        </w:rPr>
        <w:t>2</w:t>
      </w:r>
      <w:r>
        <w:rPr>
          <w:rFonts w:ascii="Arial" w:hAnsi="Arial" w:eastAsia="Arial" w:cs="Arial"/>
          <w:color w:val="auto"/>
          <w:sz w:val="22"/>
          <w:szCs w:val="22"/>
        </w:rPr>
        <w:t xml:space="preserve"> from dietary sources or cutaneous synthesis are</w:t>
      </w:r>
    </w:p>
    <w:p>
      <w:pPr>
        <w:spacing w:after="0" w:line="274" w:lineRule="exact"/>
        <w:rPr>
          <w:color w:val="auto"/>
          <w:sz w:val="20"/>
          <w:szCs w:val="20"/>
        </w:rPr>
      </w:pPr>
    </w:p>
    <w:p>
      <w:pPr>
        <w:spacing w:after="0" w:line="449" w:lineRule="auto"/>
        <w:ind w:left="720"/>
        <w:rPr>
          <w:color w:val="auto"/>
          <w:sz w:val="20"/>
          <w:szCs w:val="20"/>
        </w:rPr>
      </w:pPr>
      <w:r>
        <w:rPr>
          <w:rFonts w:ascii="Arial" w:hAnsi="Arial" w:eastAsia="Arial" w:cs="Arial"/>
          <w:color w:val="auto"/>
          <w:sz w:val="22"/>
          <w:szCs w:val="22"/>
        </w:rPr>
        <w:t>transported together to the venous circulation by the lymphatic system. In the circulation, it binds to the vitamin D binding protein (DBP), which transports the vitamin to target cells for metabolism. In the liver, vitamin D is converted by the enzyme 25-hydroxylase to 25-hydroxyvitamin D</w:t>
      </w:r>
      <w:r>
        <w:rPr>
          <w:rFonts w:ascii="Arial" w:hAnsi="Arial" w:eastAsia="Arial" w:cs="Arial"/>
          <w:color w:val="auto"/>
          <w:sz w:val="27"/>
          <w:szCs w:val="27"/>
          <w:vertAlign w:val="subscript"/>
        </w:rPr>
        <w:t>3</w:t>
      </w:r>
      <w:r>
        <w:rPr>
          <w:rFonts w:ascii="Arial" w:hAnsi="Arial" w:eastAsia="Arial" w:cs="Arial"/>
          <w:color w:val="auto"/>
          <w:sz w:val="22"/>
          <w:szCs w:val="22"/>
        </w:rPr>
        <w:t xml:space="preserve"> [25(OH)D], which is the main circulating form of the vitamin D. However, 25(OH)D remains biologically inactive until it is further hydroxylated to 1,25(OH)</w:t>
      </w:r>
      <w:r>
        <w:rPr>
          <w:rFonts w:ascii="Arial" w:hAnsi="Arial" w:eastAsia="Arial" w:cs="Arial"/>
          <w:color w:val="auto"/>
          <w:sz w:val="27"/>
          <w:szCs w:val="27"/>
        </w:rPr>
        <w:t xml:space="preserve"> </w:t>
      </w:r>
      <w:r>
        <w:rPr>
          <w:rFonts w:ascii="Arial" w:hAnsi="Arial" w:eastAsia="Arial" w:cs="Arial"/>
          <w:color w:val="auto"/>
          <w:sz w:val="27"/>
          <w:szCs w:val="27"/>
          <w:vertAlign w:val="subscript"/>
        </w:rPr>
        <w:t>2</w:t>
      </w:r>
      <w:r>
        <w:rPr>
          <w:rFonts w:ascii="Arial" w:hAnsi="Arial" w:eastAsia="Arial" w:cs="Arial"/>
          <w:color w:val="auto"/>
          <w:sz w:val="22"/>
          <w:szCs w:val="22"/>
        </w:rPr>
        <w:t>D</w:t>
      </w:r>
      <w:r>
        <w:rPr>
          <w:rFonts w:ascii="Arial" w:hAnsi="Arial" w:eastAsia="Arial" w:cs="Arial"/>
          <w:color w:val="auto"/>
          <w:sz w:val="27"/>
          <w:szCs w:val="27"/>
          <w:vertAlign w:val="subscript"/>
        </w:rPr>
        <w:t>3</w:t>
      </w:r>
      <w:r>
        <w:rPr>
          <w:rFonts w:ascii="Arial" w:hAnsi="Arial" w:eastAsia="Arial" w:cs="Arial"/>
          <w:color w:val="auto"/>
          <w:sz w:val="22"/>
          <w:szCs w:val="22"/>
        </w:rPr>
        <w:t xml:space="preserve"> (also known as calcitriol), the active form of the vitamin, by 1α–hydroxylase, which is found primarily in the kidney . Calcitriol then generates biological responses in over 30 target tissues. Activation of vitamin D is outlined in Figure 3.2</w:t>
      </w:r>
    </w:p>
    <w:p>
      <w:pPr>
        <w:spacing w:after="0" w:line="38" w:lineRule="exact"/>
        <w:rPr>
          <w:color w:val="auto"/>
          <w:sz w:val="20"/>
          <w:szCs w:val="20"/>
        </w:rPr>
      </w:pPr>
    </w:p>
    <w:p>
      <w:pPr>
        <w:spacing w:after="0"/>
        <w:ind w:left="720"/>
        <w:rPr>
          <w:color w:val="auto"/>
          <w:sz w:val="20"/>
          <w:szCs w:val="20"/>
        </w:rPr>
      </w:pPr>
      <w:r>
        <w:rPr>
          <w:rFonts w:ascii="Arial" w:hAnsi="Arial" w:eastAsia="Arial" w:cs="Arial"/>
          <w:b/>
          <w:bCs/>
          <w:color w:val="auto"/>
          <w:sz w:val="21"/>
          <w:szCs w:val="21"/>
        </w:rPr>
        <w:t>Figure 3.2 Synthesis of calcitriol</w:t>
      </w:r>
    </w:p>
    <w:p>
      <w:pPr>
        <w:spacing w:after="0" w:line="238" w:lineRule="auto"/>
        <w:ind w:left="1780"/>
        <w:rPr>
          <w:color w:val="auto"/>
          <w:sz w:val="20"/>
          <w:szCs w:val="20"/>
        </w:rPr>
      </w:pPr>
      <w:r>
        <w:rPr>
          <w:rFonts w:ascii="Arial" w:hAnsi="Arial" w:eastAsia="Arial" w:cs="Arial"/>
          <w:b/>
          <w:bCs/>
          <w:color w:val="auto"/>
          <w:sz w:val="21"/>
          <w:szCs w:val="21"/>
        </w:rPr>
        <w:t>Cited from Mineral mechanism in nephropal .com</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476250</wp:posOffset>
            </wp:positionH>
            <wp:positionV relativeFrom="paragraph">
              <wp:posOffset>3810</wp:posOffset>
            </wp:positionV>
            <wp:extent cx="5029200" cy="29146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6"/>
                    <a:srcRect/>
                    <a:stretch>
                      <a:fillRect/>
                    </a:stretch>
                  </pic:blipFill>
                  <pic:spPr>
                    <a:xfrm>
                      <a:off x="0" y="0"/>
                      <a:ext cx="5029200" cy="29146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8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17</w:t>
      </w:r>
    </w:p>
    <w:p>
      <w:pPr>
        <w:sectPr>
          <w:pgSz w:w="12240" w:h="15842"/>
          <w:pgMar w:top="1440" w:right="1382" w:bottom="134" w:left="1440" w:header="0" w:footer="0" w:gutter="0"/>
          <w:cols w:equalWidth="0" w:num="1">
            <w:col w:w="9420"/>
          </w:cols>
        </w:sectPr>
      </w:pPr>
    </w:p>
    <w:p>
      <w:pPr>
        <w:spacing w:after="0" w:line="6" w:lineRule="exact"/>
        <w:rPr>
          <w:color w:val="auto"/>
          <w:sz w:val="20"/>
          <w:szCs w:val="20"/>
        </w:rPr>
      </w:pPr>
      <w:bookmarkStart w:id="22" w:name="page28"/>
      <w:bookmarkEnd w:id="22"/>
    </w:p>
    <w:p>
      <w:pPr>
        <w:spacing w:after="0" w:line="479" w:lineRule="auto"/>
        <w:ind w:left="720" w:right="2" w:firstLine="660"/>
        <w:rPr>
          <w:color w:val="auto"/>
          <w:sz w:val="20"/>
          <w:szCs w:val="20"/>
        </w:rPr>
      </w:pPr>
      <w:r>
        <w:rPr>
          <w:rFonts w:ascii="Arial" w:hAnsi="Arial" w:eastAsia="Arial" w:cs="Arial"/>
          <w:color w:val="auto"/>
          <w:sz w:val="22"/>
          <w:szCs w:val="22"/>
        </w:rPr>
        <w:t>Calcitriol works as a switch that can turn genes ―on‖ or ―off.‖ The vitamin D receptor (VDR) works as a transcription factor inside the cell. Once bound by calcitriol, the activated VDR binds to a companion protein, the retinoid-x receptor (RXR), forming a heterodimer that binds to a specific region of the cell‘s DNA near to the target gene. Attachment of the heterodimer to the DNA induces the cellular machinery to begin transcribing the nearby gene into mRNA that the cell will translate into a protein. By causing a cell to make a particular protein, calcitrol alters cellular function, and this ability to trigger gene activity in different cells is the basis of vitamin D‗s physiological effect (Norman et al, 2001; Figure 3.2)</w:t>
      </w:r>
    </w:p>
    <w:p>
      <w:pPr>
        <w:spacing w:after="0" w:line="200" w:lineRule="exact"/>
        <w:rPr>
          <w:color w:val="auto"/>
          <w:sz w:val="20"/>
          <w:szCs w:val="20"/>
        </w:rPr>
      </w:pPr>
    </w:p>
    <w:p>
      <w:pPr>
        <w:spacing w:after="0" w:line="316" w:lineRule="exact"/>
        <w:rPr>
          <w:color w:val="auto"/>
          <w:sz w:val="20"/>
          <w:szCs w:val="20"/>
        </w:rPr>
      </w:pPr>
    </w:p>
    <w:p>
      <w:pPr>
        <w:spacing w:after="0" w:line="438" w:lineRule="auto"/>
        <w:ind w:left="5280" w:right="42" w:firstLine="660"/>
        <w:rPr>
          <w:color w:val="auto"/>
          <w:sz w:val="20"/>
          <w:szCs w:val="20"/>
        </w:rPr>
      </w:pPr>
      <w:r>
        <w:rPr>
          <w:rFonts w:ascii="Arial" w:hAnsi="Arial" w:eastAsia="Arial" w:cs="Arial"/>
          <w:color w:val="auto"/>
          <w:sz w:val="22"/>
          <w:szCs w:val="22"/>
        </w:rPr>
        <w:t>At least 1000 different genes are believed to be regulated by 1,25(OH)</w:t>
      </w:r>
      <w:r>
        <w:rPr>
          <w:rFonts w:ascii="Arial" w:hAnsi="Arial" w:eastAsia="Arial" w:cs="Arial"/>
          <w:color w:val="auto"/>
          <w:sz w:val="27"/>
          <w:szCs w:val="27"/>
        </w:rPr>
        <w:t xml:space="preserve"> </w:t>
      </w:r>
      <w:r>
        <w:rPr>
          <w:rFonts w:ascii="Arial" w:hAnsi="Arial" w:eastAsia="Arial" w:cs="Arial"/>
          <w:color w:val="auto"/>
          <w:sz w:val="27"/>
          <w:szCs w:val="27"/>
          <w:vertAlign w:val="subscript"/>
        </w:rPr>
        <w:t>2</w:t>
      </w:r>
      <w:r>
        <w:rPr>
          <w:rFonts w:ascii="Arial" w:hAnsi="Arial" w:eastAsia="Arial" w:cs="Arial"/>
          <w:color w:val="auto"/>
          <w:sz w:val="22"/>
          <w:szCs w:val="22"/>
        </w:rPr>
        <w:t>D</w:t>
      </w:r>
      <w:r>
        <w:rPr>
          <w:rFonts w:ascii="Arial" w:hAnsi="Arial" w:eastAsia="Arial" w:cs="Arial"/>
          <w:color w:val="auto"/>
          <w:sz w:val="27"/>
          <w:szCs w:val="27"/>
          <w:vertAlign w:val="subscript"/>
        </w:rPr>
        <w:t>3</w:t>
      </w:r>
      <w:r>
        <w:rPr>
          <w:rFonts w:ascii="Arial" w:hAnsi="Arial" w:eastAsia="Arial" w:cs="Arial"/>
          <w:color w:val="auto"/>
          <w:sz w:val="22"/>
          <w:szCs w:val="22"/>
        </w:rPr>
        <w:t>, including several involved in vitamin D‘s traditional role in calcium and bone metabolism and other newly identified roles in other conditions. (Tavera, 2007)</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476250</wp:posOffset>
            </wp:positionH>
            <wp:positionV relativeFrom="paragraph">
              <wp:posOffset>-1804670</wp:posOffset>
            </wp:positionV>
            <wp:extent cx="2755265" cy="2857500"/>
            <wp:effectExtent l="0" t="0" r="698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7"/>
                    <a:srcRect/>
                    <a:stretch>
                      <a:fillRect/>
                    </a:stretch>
                  </pic:blipFill>
                  <pic:spPr>
                    <a:xfrm>
                      <a:off x="0" y="0"/>
                      <a:ext cx="2755265" cy="2857500"/>
                    </a:xfrm>
                    <a:prstGeom prst="rect">
                      <a:avLst/>
                    </a:prstGeom>
                    <a:noFill/>
                  </pic:spPr>
                </pic:pic>
              </a:graphicData>
            </a:graphic>
          </wp:anchor>
        </w:drawing>
      </w:r>
    </w:p>
    <w:p>
      <w:pPr>
        <w:spacing w:after="0" w:line="200" w:lineRule="exact"/>
        <w:rPr>
          <w:color w:val="auto"/>
          <w:sz w:val="20"/>
          <w:szCs w:val="20"/>
        </w:rPr>
      </w:pPr>
    </w:p>
    <w:p>
      <w:pPr>
        <w:spacing w:after="0" w:line="332" w:lineRule="exact"/>
        <w:rPr>
          <w:color w:val="auto"/>
          <w:sz w:val="20"/>
          <w:szCs w:val="20"/>
        </w:rPr>
      </w:pPr>
    </w:p>
    <w:p>
      <w:pPr>
        <w:spacing w:after="0"/>
        <w:ind w:left="5280"/>
        <w:rPr>
          <w:color w:val="auto"/>
          <w:sz w:val="20"/>
          <w:szCs w:val="20"/>
        </w:rPr>
      </w:pPr>
      <w:r>
        <w:rPr>
          <w:rFonts w:ascii="Arial" w:hAnsi="Arial" w:eastAsia="Arial" w:cs="Arial"/>
          <w:b/>
          <w:bCs/>
          <w:color w:val="auto"/>
          <w:sz w:val="22"/>
          <w:szCs w:val="22"/>
        </w:rPr>
        <w:t>Figure 3.3 Mechanism of Vitamin D</w:t>
      </w:r>
    </w:p>
    <w:p>
      <w:pPr>
        <w:spacing w:after="0" w:line="253" w:lineRule="exact"/>
        <w:rPr>
          <w:color w:val="auto"/>
          <w:sz w:val="20"/>
          <w:szCs w:val="20"/>
        </w:rPr>
      </w:pPr>
    </w:p>
    <w:p>
      <w:pPr>
        <w:spacing w:after="0"/>
        <w:ind w:left="5280"/>
        <w:rPr>
          <w:color w:val="auto"/>
          <w:sz w:val="20"/>
          <w:szCs w:val="20"/>
        </w:rPr>
      </w:pPr>
      <w:r>
        <w:rPr>
          <w:rFonts w:ascii="Arial" w:hAnsi="Arial" w:eastAsia="Arial" w:cs="Arial"/>
          <w:b/>
          <w:bCs/>
          <w:color w:val="auto"/>
          <w:sz w:val="22"/>
          <w:szCs w:val="22"/>
        </w:rPr>
        <w:t>Activity in Cell</w:t>
      </w:r>
    </w:p>
    <w:p>
      <w:pPr>
        <w:spacing w:after="0" w:line="343"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Cited from Parathyroid Hormone in nephropal .com</w:t>
      </w:r>
    </w:p>
    <w:p>
      <w:pPr>
        <w:spacing w:after="0" w:line="200" w:lineRule="exact"/>
        <w:rPr>
          <w:color w:val="auto"/>
          <w:sz w:val="20"/>
          <w:szCs w:val="20"/>
        </w:rPr>
      </w:pPr>
    </w:p>
    <w:p>
      <w:pPr>
        <w:spacing w:after="0" w:line="200" w:lineRule="exact"/>
        <w:rPr>
          <w:color w:val="auto"/>
          <w:sz w:val="20"/>
          <w:szCs w:val="20"/>
        </w:rPr>
      </w:pPr>
    </w:p>
    <w:p>
      <w:pPr>
        <w:spacing w:after="0" w:line="371" w:lineRule="exact"/>
        <w:rPr>
          <w:color w:val="auto"/>
          <w:sz w:val="20"/>
          <w:szCs w:val="20"/>
        </w:rPr>
      </w:pPr>
    </w:p>
    <w:p>
      <w:pPr>
        <w:spacing w:after="0" w:line="503" w:lineRule="auto"/>
        <w:ind w:left="720" w:right="122" w:firstLine="660"/>
        <w:rPr>
          <w:color w:val="auto"/>
          <w:sz w:val="20"/>
          <w:szCs w:val="20"/>
        </w:rPr>
      </w:pPr>
      <w:r>
        <w:rPr>
          <w:rFonts w:ascii="Arial" w:hAnsi="Arial" w:eastAsia="Arial" w:cs="Arial"/>
          <w:color w:val="auto"/>
          <w:sz w:val="21"/>
          <w:szCs w:val="21"/>
        </w:rPr>
        <w:t>Although most 25-hydroxylase activity is located in the liver, the enzyme is also found in substantially lower quantities in the intestine, adrenal gland, lung, kidney and bone. In addition, although circulating levels of 1,25(OH)2 D are the result of renal 1α– hydroxylation, calcitriol is also synthesized ―locally‖ by 1α-hydroxylases in colon, breast,</w:t>
      </w:r>
    </w:p>
    <w:p>
      <w:pPr>
        <w:spacing w:after="0" w:line="200" w:lineRule="exact"/>
        <w:rPr>
          <w:color w:val="auto"/>
          <w:sz w:val="20"/>
          <w:szCs w:val="20"/>
        </w:rPr>
      </w:pPr>
    </w:p>
    <w:p>
      <w:pPr>
        <w:spacing w:after="0" w:line="200" w:lineRule="exact"/>
        <w:rPr>
          <w:color w:val="auto"/>
          <w:sz w:val="20"/>
          <w:szCs w:val="20"/>
        </w:rPr>
      </w:pPr>
    </w:p>
    <w:p>
      <w:pPr>
        <w:spacing w:after="0" w:line="263"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18</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23" w:name="page29"/>
      <w:bookmarkEnd w:id="23"/>
    </w:p>
    <w:p>
      <w:pPr>
        <w:spacing w:after="0" w:line="477" w:lineRule="auto"/>
        <w:ind w:left="720" w:right="302"/>
        <w:rPr>
          <w:color w:val="auto"/>
          <w:sz w:val="20"/>
          <w:szCs w:val="20"/>
        </w:rPr>
      </w:pPr>
      <w:r>
        <w:rPr>
          <w:rFonts w:ascii="Arial" w:hAnsi="Arial" w:eastAsia="Arial" w:cs="Arial"/>
          <w:color w:val="auto"/>
          <w:sz w:val="22"/>
          <w:szCs w:val="22"/>
        </w:rPr>
        <w:t>prostate, lung, activated macrophages and parathyroid (Holick, 2004). Calcitriol produced by the kidney functions as an endocrine hormone, regulating serum calcium concentrations, while locally produced calcitriol acts in an autocrine and paracrine manner, specifically with respect to cell differentiation (Lips, 2006).</w:t>
      </w:r>
    </w:p>
    <w:p>
      <w:pPr>
        <w:spacing w:after="0" w:line="200" w:lineRule="exact"/>
        <w:rPr>
          <w:color w:val="auto"/>
          <w:sz w:val="20"/>
          <w:szCs w:val="20"/>
        </w:rPr>
      </w:pPr>
    </w:p>
    <w:p>
      <w:pPr>
        <w:spacing w:after="0" w:line="308"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Physiologic Role of Calcitriol</w:t>
      </w:r>
    </w:p>
    <w:p>
      <w:pPr>
        <w:spacing w:after="0" w:line="276"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Calcium homeostasis and bone metabolism</w:t>
      </w:r>
    </w:p>
    <w:p>
      <w:pPr>
        <w:spacing w:after="0" w:line="265" w:lineRule="exact"/>
        <w:rPr>
          <w:color w:val="auto"/>
          <w:sz w:val="20"/>
          <w:szCs w:val="20"/>
        </w:rPr>
      </w:pPr>
    </w:p>
    <w:p>
      <w:pPr>
        <w:spacing w:after="0" w:line="478" w:lineRule="auto"/>
        <w:ind w:left="720" w:right="102" w:firstLine="660"/>
        <w:rPr>
          <w:color w:val="auto"/>
          <w:sz w:val="20"/>
          <w:szCs w:val="20"/>
        </w:rPr>
      </w:pPr>
      <w:r>
        <w:rPr>
          <w:rFonts w:ascii="Arial" w:hAnsi="Arial" w:eastAsia="Arial" w:cs="Arial"/>
          <w:color w:val="auto"/>
          <w:sz w:val="22"/>
          <w:szCs w:val="22"/>
        </w:rPr>
        <w:t>The endocrine hormone role of vitamin D on calcium homeostasis is the first discovered function of vitamin D. Plasma calcium concentrations are usually tightly maintained between 8.5-10.5 mg/dL. When serum calcium levels drop below 8.5 mg/dL, the parathyroid gland responds by releasing parathyroid hormone (PTH), which triggers a number of processes that help restore serum calcium level back to normal. PTH results in the activation of the renal 1α-hydroxylase, subsequently increasing the production of calcitriol from 25-hydroxyvitamin D. Calcitriol then increases absorption of calcium from small intestine, increases bone resorption by activation of osteoclasts, and increases renal calcium re-absorption (Holick, 2004).</w:t>
      </w:r>
    </w:p>
    <w:p>
      <w:pPr>
        <w:spacing w:after="0" w:line="200" w:lineRule="exact"/>
        <w:rPr>
          <w:color w:val="auto"/>
          <w:sz w:val="20"/>
          <w:szCs w:val="20"/>
        </w:rPr>
      </w:pPr>
    </w:p>
    <w:p>
      <w:pPr>
        <w:spacing w:after="0" w:line="325" w:lineRule="exact"/>
        <w:rPr>
          <w:color w:val="auto"/>
          <w:sz w:val="20"/>
          <w:szCs w:val="20"/>
        </w:rPr>
      </w:pPr>
    </w:p>
    <w:p>
      <w:pPr>
        <w:spacing w:after="0" w:line="472" w:lineRule="auto"/>
        <w:ind w:left="720" w:right="582" w:firstLine="660"/>
        <w:rPr>
          <w:color w:val="auto"/>
          <w:sz w:val="20"/>
          <w:szCs w:val="20"/>
        </w:rPr>
      </w:pPr>
      <w:r>
        <w:rPr>
          <w:rFonts w:ascii="Arial" w:hAnsi="Arial" w:eastAsia="Arial" w:cs="Arial"/>
          <w:color w:val="auto"/>
          <w:sz w:val="22"/>
          <w:szCs w:val="22"/>
        </w:rPr>
        <w:t>Calcitriol works in several ways to increase serum calcium concentrations to normal levels. Calcitriol:</w:t>
      </w:r>
    </w:p>
    <w:p>
      <w:pPr>
        <w:spacing w:after="0" w:line="18" w:lineRule="exact"/>
        <w:rPr>
          <w:color w:val="auto"/>
          <w:sz w:val="20"/>
          <w:szCs w:val="20"/>
        </w:rPr>
      </w:pPr>
    </w:p>
    <w:p>
      <w:pPr>
        <w:spacing w:after="0" w:line="502" w:lineRule="auto"/>
        <w:ind w:left="720" w:right="322" w:firstLine="660"/>
        <w:rPr>
          <w:color w:val="auto"/>
          <w:sz w:val="20"/>
          <w:szCs w:val="20"/>
        </w:rPr>
      </w:pPr>
      <w:r>
        <w:rPr>
          <w:rFonts w:ascii="Arial" w:hAnsi="Arial" w:eastAsia="Arial" w:cs="Arial"/>
          <w:color w:val="auto"/>
          <w:sz w:val="21"/>
          <w:szCs w:val="21"/>
        </w:rPr>
        <w:t>— binds to VDRs on intestinal enterocytes. It increases expression of epithelial calcium channels and increases synthesis of calbindin and other proteins, which will facilitate calcium transport across the enterocyte into the circulation (Holick, 2004).</w:t>
      </w:r>
    </w:p>
    <w:p>
      <w:pPr>
        <w:spacing w:after="0"/>
        <w:ind w:left="1380"/>
        <w:rPr>
          <w:color w:val="auto"/>
          <w:sz w:val="20"/>
          <w:szCs w:val="20"/>
        </w:rPr>
      </w:pPr>
      <w:r>
        <w:rPr>
          <w:rFonts w:ascii="Arial" w:hAnsi="Arial" w:eastAsia="Arial" w:cs="Arial"/>
          <w:color w:val="auto"/>
          <w:sz w:val="22"/>
          <w:szCs w:val="22"/>
        </w:rPr>
        <w:t>— similarly binds to VDRs on renal cells to reduce renal calcium excretion.</w:t>
      </w:r>
    </w:p>
    <w:p>
      <w:pPr>
        <w:spacing w:after="0" w:line="261" w:lineRule="exact"/>
        <w:rPr>
          <w:color w:val="auto"/>
          <w:sz w:val="20"/>
          <w:szCs w:val="20"/>
        </w:rPr>
      </w:pPr>
    </w:p>
    <w:p>
      <w:pPr>
        <w:spacing w:after="0" w:line="476" w:lineRule="auto"/>
        <w:ind w:left="720" w:right="462" w:firstLine="660"/>
        <w:rPr>
          <w:color w:val="auto"/>
          <w:sz w:val="20"/>
          <w:szCs w:val="20"/>
        </w:rPr>
      </w:pPr>
      <w:r>
        <w:rPr>
          <w:rFonts w:ascii="Arial" w:hAnsi="Arial" w:eastAsia="Arial" w:cs="Arial"/>
          <w:color w:val="auto"/>
          <w:sz w:val="22"/>
          <w:szCs w:val="22"/>
        </w:rPr>
        <w:t>— works with PTH to cause an increase in bone resorption. Calcitriol binds to VDRs expressed in osteoblasts, causing them to release factors that lead to the differentiation of precursor cells into mature osteoclasts. As osteoclasts break down</w:t>
      </w:r>
    </w:p>
    <w:p>
      <w:pPr>
        <w:spacing w:after="0" w:line="215"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19</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24" w:name="page30"/>
      <w:bookmarkEnd w:id="24"/>
    </w:p>
    <w:p>
      <w:pPr>
        <w:spacing w:after="0" w:line="476" w:lineRule="auto"/>
        <w:ind w:left="720" w:right="600"/>
        <w:rPr>
          <w:color w:val="auto"/>
          <w:sz w:val="20"/>
          <w:szCs w:val="20"/>
        </w:rPr>
      </w:pPr>
      <w:r>
        <w:rPr>
          <w:rFonts w:ascii="Arial" w:hAnsi="Arial" w:eastAsia="Arial" w:cs="Arial"/>
          <w:color w:val="auto"/>
          <w:sz w:val="22"/>
          <w:szCs w:val="22"/>
        </w:rPr>
        <w:t>bone by releasing hydrochloric acid and collagenase, calcium is freed from hydroxyapatite, the bone mineral complex, and released into the circulation (Holick, 2004).</w:t>
      </w:r>
    </w:p>
    <w:p>
      <w:pPr>
        <w:spacing w:after="0" w:line="200" w:lineRule="exact"/>
        <w:rPr>
          <w:color w:val="auto"/>
          <w:sz w:val="20"/>
          <w:szCs w:val="20"/>
        </w:rPr>
      </w:pPr>
    </w:p>
    <w:p>
      <w:pPr>
        <w:spacing w:after="0" w:line="318" w:lineRule="exact"/>
        <w:rPr>
          <w:color w:val="auto"/>
          <w:sz w:val="20"/>
          <w:szCs w:val="20"/>
        </w:rPr>
      </w:pPr>
    </w:p>
    <w:p>
      <w:pPr>
        <w:spacing w:after="0" w:line="472" w:lineRule="auto"/>
        <w:ind w:left="720" w:right="440" w:firstLine="660"/>
        <w:rPr>
          <w:color w:val="auto"/>
          <w:sz w:val="20"/>
          <w:szCs w:val="20"/>
        </w:rPr>
      </w:pPr>
      <w:r>
        <w:rPr>
          <w:rFonts w:ascii="Arial" w:hAnsi="Arial" w:eastAsia="Arial" w:cs="Arial"/>
          <w:color w:val="auto"/>
          <w:sz w:val="22"/>
          <w:szCs w:val="22"/>
        </w:rPr>
        <w:t>The metabolic responses to prolonged vitamin D deficiency result in increased bone resorption and skeletal weakening.</w:t>
      </w:r>
    </w:p>
    <w:p>
      <w:pPr>
        <w:spacing w:after="0" w:line="200" w:lineRule="exact"/>
        <w:rPr>
          <w:color w:val="auto"/>
          <w:sz w:val="20"/>
          <w:szCs w:val="20"/>
        </w:rPr>
      </w:pPr>
    </w:p>
    <w:p>
      <w:pPr>
        <w:spacing w:after="0" w:line="314"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Nonskeletal function</w:t>
      </w:r>
    </w:p>
    <w:p>
      <w:pPr>
        <w:spacing w:after="0" w:line="264" w:lineRule="exact"/>
        <w:rPr>
          <w:color w:val="auto"/>
          <w:sz w:val="20"/>
          <w:szCs w:val="20"/>
        </w:rPr>
      </w:pPr>
    </w:p>
    <w:p>
      <w:pPr>
        <w:spacing w:after="0" w:line="478" w:lineRule="auto"/>
        <w:ind w:left="720" w:firstLine="660"/>
        <w:rPr>
          <w:color w:val="auto"/>
          <w:sz w:val="20"/>
          <w:szCs w:val="20"/>
        </w:rPr>
      </w:pPr>
      <w:r>
        <w:rPr>
          <w:rFonts w:ascii="Arial" w:hAnsi="Arial" w:eastAsia="Arial" w:cs="Arial"/>
          <w:color w:val="auto"/>
          <w:sz w:val="22"/>
          <w:szCs w:val="22"/>
        </w:rPr>
        <w:t>Recent research has identified numerous tissues, including immune cells, colon, placenta, breast, prostate, pancreas and the skin, that express the 1α-hydroxylase enzyme and are therefore capable of producing calcitriol (Martini &amp; Wood, 2006). The VDR has also been identified in a number of cells and organs, such as activated T cells and B cells, β-islet cells, and cells in the prostate, breast, colon, and other organs (Holick, 2004a). These new discoveries shed light on the nonskeletal functions of vitamin D, in which it acts as an autocrine and paracrine hormone.</w:t>
      </w:r>
    </w:p>
    <w:p>
      <w:pPr>
        <w:spacing w:after="0" w:line="200" w:lineRule="exact"/>
        <w:rPr>
          <w:color w:val="auto"/>
          <w:sz w:val="20"/>
          <w:szCs w:val="20"/>
        </w:rPr>
      </w:pPr>
    </w:p>
    <w:p>
      <w:pPr>
        <w:spacing w:after="0" w:line="309"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Cell proliferation and differentiation in relation to cancer</w:t>
      </w:r>
    </w:p>
    <w:p>
      <w:pPr>
        <w:spacing w:after="0" w:line="264" w:lineRule="exact"/>
        <w:rPr>
          <w:color w:val="auto"/>
          <w:sz w:val="20"/>
          <w:szCs w:val="20"/>
        </w:rPr>
      </w:pPr>
    </w:p>
    <w:p>
      <w:pPr>
        <w:spacing w:after="0" w:line="479" w:lineRule="auto"/>
        <w:ind w:left="720" w:right="280" w:firstLine="660"/>
        <w:rPr>
          <w:color w:val="auto"/>
          <w:sz w:val="20"/>
          <w:szCs w:val="20"/>
        </w:rPr>
      </w:pPr>
      <w:r>
        <w:rPr>
          <w:rFonts w:ascii="Arial" w:hAnsi="Arial" w:eastAsia="Arial" w:cs="Arial"/>
          <w:color w:val="auto"/>
          <w:sz w:val="22"/>
          <w:szCs w:val="22"/>
        </w:rPr>
        <w:t>Since the 1980s, evidence from various cell lines has demonstrated that vitamin D may protect against various cancers, including colon, prostate and breast (Holick, 2008c;Holick 2006). Many epidemiologic studies have also shown a strong inverse relation between exposure to sunlight and the incidence of certain types of cancer. Tanaka et al. (1982) found that calcitriol at concentrations of 0.12 nmol/L and above inhibited the proliferation of human leukemic cells by 50% and induced their differentiation into mature granulocytes. Since then, the anti-proliferative effect of calcitriol has been confirmed in many other cell types (Trump, 2004.). Investigators</w:t>
      </w:r>
    </w:p>
    <w:p>
      <w:pPr>
        <w:spacing w:after="0" w:line="200" w:lineRule="exact"/>
        <w:rPr>
          <w:color w:val="auto"/>
          <w:sz w:val="20"/>
          <w:szCs w:val="20"/>
        </w:rPr>
      </w:pPr>
    </w:p>
    <w:p>
      <w:pPr>
        <w:spacing w:after="0" w:line="200" w:lineRule="exact"/>
        <w:rPr>
          <w:color w:val="auto"/>
          <w:sz w:val="20"/>
          <w:szCs w:val="20"/>
        </w:rPr>
      </w:pPr>
    </w:p>
    <w:p>
      <w:pPr>
        <w:spacing w:after="0" w:line="36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20</w:t>
      </w:r>
    </w:p>
    <w:p>
      <w:pPr>
        <w:sectPr>
          <w:pgSz w:w="12240" w:h="15842"/>
          <w:pgMar w:top="1440" w:right="1382" w:bottom="134" w:left="1440" w:header="0" w:footer="0" w:gutter="0"/>
          <w:cols w:equalWidth="0" w:num="1">
            <w:col w:w="9420"/>
          </w:cols>
        </w:sectPr>
      </w:pPr>
    </w:p>
    <w:p>
      <w:pPr>
        <w:spacing w:after="0" w:line="6" w:lineRule="exact"/>
        <w:rPr>
          <w:color w:val="auto"/>
          <w:sz w:val="20"/>
          <w:szCs w:val="20"/>
        </w:rPr>
      </w:pPr>
      <w:bookmarkStart w:id="25" w:name="page31"/>
      <w:bookmarkEnd w:id="25"/>
    </w:p>
    <w:p>
      <w:pPr>
        <w:spacing w:after="0" w:line="476" w:lineRule="auto"/>
        <w:ind w:left="720" w:right="242"/>
        <w:rPr>
          <w:color w:val="auto"/>
          <w:sz w:val="20"/>
          <w:szCs w:val="20"/>
        </w:rPr>
      </w:pPr>
      <w:r>
        <w:rPr>
          <w:rFonts w:ascii="Arial" w:hAnsi="Arial" w:eastAsia="Arial" w:cs="Arial"/>
          <w:color w:val="auto"/>
          <w:sz w:val="22"/>
          <w:szCs w:val="22"/>
        </w:rPr>
        <w:t>found that calcitriol works through both autocrine and pararcrine mechanisms to inhibit proliferation and induce differentiation of normal and some types of cancerous cells (Holick, 2004a).</w:t>
      </w:r>
    </w:p>
    <w:p>
      <w:pPr>
        <w:spacing w:after="0" w:line="200" w:lineRule="exact"/>
        <w:rPr>
          <w:color w:val="auto"/>
          <w:sz w:val="20"/>
          <w:szCs w:val="20"/>
        </w:rPr>
      </w:pPr>
    </w:p>
    <w:p>
      <w:pPr>
        <w:spacing w:after="0" w:line="318" w:lineRule="exact"/>
        <w:rPr>
          <w:color w:val="auto"/>
          <w:sz w:val="20"/>
          <w:szCs w:val="20"/>
        </w:rPr>
      </w:pPr>
    </w:p>
    <w:p>
      <w:pPr>
        <w:spacing w:after="0" w:line="478" w:lineRule="auto"/>
        <w:ind w:left="720" w:right="22" w:firstLine="660"/>
        <w:rPr>
          <w:color w:val="auto"/>
          <w:sz w:val="20"/>
          <w:szCs w:val="20"/>
        </w:rPr>
      </w:pPr>
      <w:r>
        <w:rPr>
          <w:rFonts w:ascii="Arial" w:hAnsi="Arial" w:eastAsia="Arial" w:cs="Arial"/>
          <w:color w:val="auto"/>
          <w:sz w:val="22"/>
          <w:szCs w:val="22"/>
        </w:rPr>
        <w:t>Based on these findings, researchers hypothesized that calcitriol may have anti-tumorigenic properties and that calcitriol and its analogues could be useful in treatment of cancer. However, tumors develop several different ways to prevent antiproliferative activity of calcitriol. For example, some human prostate cancer cells can up- regulate the 24-hydroxylase, which degrades of calcitriol, thereby inhibiting the effects of calcitriol on proliferation and differentiation. (Chen and Holick, 2003)</w:t>
      </w:r>
    </w:p>
    <w:p>
      <w:pPr>
        <w:spacing w:after="0" w:line="200" w:lineRule="exact"/>
        <w:rPr>
          <w:color w:val="auto"/>
          <w:sz w:val="20"/>
          <w:szCs w:val="20"/>
        </w:rPr>
      </w:pPr>
    </w:p>
    <w:p>
      <w:pPr>
        <w:spacing w:after="0" w:line="309"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Heart disease</w:t>
      </w:r>
    </w:p>
    <w:p>
      <w:pPr>
        <w:spacing w:after="0" w:line="264" w:lineRule="exact"/>
        <w:rPr>
          <w:color w:val="auto"/>
          <w:sz w:val="20"/>
          <w:szCs w:val="20"/>
        </w:rPr>
      </w:pPr>
    </w:p>
    <w:p>
      <w:pPr>
        <w:spacing w:after="0" w:line="478" w:lineRule="auto"/>
        <w:ind w:left="720" w:right="102" w:firstLine="660"/>
        <w:rPr>
          <w:color w:val="auto"/>
          <w:sz w:val="20"/>
          <w:szCs w:val="20"/>
        </w:rPr>
      </w:pPr>
      <w:r>
        <w:rPr>
          <w:rFonts w:ascii="Arial" w:hAnsi="Arial" w:eastAsia="Arial" w:cs="Arial"/>
          <w:color w:val="auto"/>
          <w:sz w:val="22"/>
          <w:szCs w:val="22"/>
        </w:rPr>
        <w:t>In 1997, Rostand (1997) first reported that living at ahigh latitude correlated with hypertension. Hypertensive patients exposed to UVB had lower systolic and diastolic blood pressure, which was also accompanied by a 180% increase in 25 (OH) D levels. The mechanism supporting this observation was provided by Li et al (2002). They found calcitriol may suppress renin in a mouse model. Renin is an enzyme that triggers a series of events that result in the production of angiotensin II, which increases blood pressure. This may help to explain the antihypertensive function of vitamin D.</w:t>
      </w:r>
    </w:p>
    <w:p>
      <w:pPr>
        <w:spacing w:after="0" w:line="200" w:lineRule="exact"/>
        <w:rPr>
          <w:color w:val="auto"/>
          <w:sz w:val="20"/>
          <w:szCs w:val="20"/>
        </w:rPr>
      </w:pPr>
    </w:p>
    <w:p>
      <w:pPr>
        <w:spacing w:after="0" w:line="321" w:lineRule="exact"/>
        <w:rPr>
          <w:color w:val="auto"/>
          <w:sz w:val="20"/>
          <w:szCs w:val="20"/>
        </w:rPr>
      </w:pPr>
    </w:p>
    <w:p>
      <w:pPr>
        <w:spacing w:after="0" w:line="478" w:lineRule="auto"/>
        <w:ind w:left="720" w:right="102" w:firstLine="660"/>
        <w:rPr>
          <w:color w:val="auto"/>
          <w:sz w:val="20"/>
          <w:szCs w:val="20"/>
        </w:rPr>
      </w:pPr>
      <w:r>
        <w:rPr>
          <w:rFonts w:ascii="Arial" w:hAnsi="Arial" w:eastAsia="Arial" w:cs="Arial"/>
          <w:color w:val="auto"/>
          <w:sz w:val="22"/>
          <w:szCs w:val="22"/>
        </w:rPr>
        <w:t>Other studies reported that vitamin D deficiency increases the risk of developing type 2 diabetes (Carbone, 2007), which can exacerbate lipoprotein disorders and increase the risk of cardiovascular diseases. Moreover, Wang et al. (2008) reported that vitamin D deficiency was associated with a 50% increase in the risk of dying from myocardial infarction. Therefore, it is possible that vitamin D deficiency contributes to CVD through its association with risk factors, such as diabetes and hypertension.</w:t>
      </w:r>
    </w:p>
    <w:p>
      <w:pPr>
        <w:spacing w:after="0" w:line="262"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21</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26" w:name="page32"/>
      <w:bookmarkEnd w:id="26"/>
    </w:p>
    <w:p>
      <w:pPr>
        <w:spacing w:after="0" w:line="477" w:lineRule="auto"/>
        <w:ind w:left="720" w:right="82" w:firstLine="660"/>
        <w:rPr>
          <w:color w:val="auto"/>
          <w:sz w:val="20"/>
          <w:szCs w:val="20"/>
        </w:rPr>
      </w:pPr>
      <w:r>
        <w:rPr>
          <w:rFonts w:ascii="Arial" w:hAnsi="Arial" w:eastAsia="Arial" w:cs="Arial"/>
          <w:color w:val="auto"/>
          <w:sz w:val="22"/>
          <w:szCs w:val="22"/>
        </w:rPr>
        <w:t>Direct effects of vitamin D on the cardiovascular system may also be involved. The VDR is expressed in cardiomyocytes, vascular smooth muscle cells and endothelial cells, and vitamin D has been shown to affect inflammation, cell proliferation and differentiation, which also contribute to heart disease, although the precise relationship has not been described.</w:t>
      </w:r>
    </w:p>
    <w:p>
      <w:pPr>
        <w:spacing w:after="0" w:line="200" w:lineRule="exact"/>
        <w:rPr>
          <w:color w:val="auto"/>
          <w:sz w:val="20"/>
          <w:szCs w:val="20"/>
        </w:rPr>
      </w:pPr>
    </w:p>
    <w:p>
      <w:pPr>
        <w:spacing w:after="0" w:line="311"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Diabetes</w:t>
      </w:r>
    </w:p>
    <w:p>
      <w:pPr>
        <w:spacing w:after="0" w:line="265" w:lineRule="exact"/>
        <w:rPr>
          <w:color w:val="auto"/>
          <w:sz w:val="20"/>
          <w:szCs w:val="20"/>
        </w:rPr>
      </w:pPr>
    </w:p>
    <w:p>
      <w:pPr>
        <w:spacing w:after="0" w:line="478" w:lineRule="auto"/>
        <w:ind w:left="720" w:right="82" w:firstLine="660"/>
        <w:rPr>
          <w:color w:val="auto"/>
          <w:sz w:val="20"/>
          <w:szCs w:val="20"/>
        </w:rPr>
      </w:pPr>
      <w:r>
        <w:rPr>
          <w:rFonts w:ascii="Arial" w:hAnsi="Arial" w:eastAsia="Arial" w:cs="Arial"/>
          <w:color w:val="auto"/>
          <w:sz w:val="22"/>
          <w:szCs w:val="22"/>
        </w:rPr>
        <w:t>The presence of 1α-hydroxylase in the pancreas and the expression of the VDR in pancreatic β-cells suggests that calcitriol may be involved in the insulin response. In a study conducted in 51 regions worldwide, researchers showed a relationship between vitamin D deficiency and increased risk of developing type 1diabetes (Mohr, 2008). Furthermore, higher vitamin D intake in early childhood may be associated with decreased risk of developing type 1 diabetes mellitus (Holick, 2008b). Ayesha et al (2001) also found vitamin D deficiency reduces insulin secretion and turnover in rats.</w:t>
      </w:r>
    </w:p>
    <w:p>
      <w:pPr>
        <w:spacing w:after="0" w:line="200" w:lineRule="exact"/>
        <w:rPr>
          <w:color w:val="auto"/>
          <w:sz w:val="20"/>
          <w:szCs w:val="20"/>
        </w:rPr>
      </w:pPr>
    </w:p>
    <w:p>
      <w:pPr>
        <w:spacing w:after="0" w:line="309"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Autoimmune diseases</w:t>
      </w:r>
    </w:p>
    <w:p>
      <w:pPr>
        <w:spacing w:after="0" w:line="264" w:lineRule="exact"/>
        <w:rPr>
          <w:color w:val="auto"/>
          <w:sz w:val="20"/>
          <w:szCs w:val="20"/>
        </w:rPr>
      </w:pPr>
    </w:p>
    <w:p>
      <w:pPr>
        <w:spacing w:after="0" w:line="476" w:lineRule="auto"/>
        <w:ind w:left="720" w:right="222" w:firstLine="881"/>
        <w:jc w:val="both"/>
        <w:rPr>
          <w:color w:val="auto"/>
          <w:sz w:val="20"/>
          <w:szCs w:val="20"/>
        </w:rPr>
      </w:pPr>
      <w:r>
        <w:rPr>
          <w:rFonts w:ascii="Arial" w:hAnsi="Arial" w:eastAsia="Arial" w:cs="Arial"/>
          <w:color w:val="auto"/>
          <w:sz w:val="22"/>
          <w:szCs w:val="22"/>
        </w:rPr>
        <w:t>Resting T cells and B cells do not express the VDR, but VDR is expressed in activated B cell, T cells and macrophages, which suggests that vitamin D is involved in immune system regulation on some level (Van and Mathieu, 2005)</w:t>
      </w:r>
    </w:p>
    <w:p>
      <w:pPr>
        <w:spacing w:after="0" w:line="200" w:lineRule="exact"/>
        <w:rPr>
          <w:color w:val="auto"/>
          <w:sz w:val="20"/>
          <w:szCs w:val="20"/>
        </w:rPr>
      </w:pPr>
    </w:p>
    <w:p>
      <w:pPr>
        <w:spacing w:after="0" w:line="319" w:lineRule="exact"/>
        <w:rPr>
          <w:color w:val="auto"/>
          <w:sz w:val="20"/>
          <w:szCs w:val="20"/>
        </w:rPr>
      </w:pPr>
    </w:p>
    <w:p>
      <w:pPr>
        <w:spacing w:after="0" w:line="504" w:lineRule="auto"/>
        <w:ind w:left="720" w:right="282" w:firstLine="660"/>
        <w:rPr>
          <w:color w:val="auto"/>
          <w:sz w:val="20"/>
          <w:szCs w:val="20"/>
        </w:rPr>
      </w:pPr>
      <w:r>
        <w:rPr>
          <w:rFonts w:ascii="Arial" w:hAnsi="Arial" w:eastAsia="Arial" w:cs="Arial"/>
          <w:color w:val="auto"/>
          <w:sz w:val="21"/>
          <w:szCs w:val="21"/>
        </w:rPr>
        <w:t>Multiple sclerosis, Crohn‘s disease, inflammatory bowel disease, and ulcerative colitis are all autoimmune diseases. Epidemiologic evidence suggests that these conditions may be related to vitamin D deficiency (Holick, 2004; Sentongo, 2001)</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22</w:t>
      </w:r>
    </w:p>
    <w:p>
      <w:pPr>
        <w:sectPr>
          <w:pgSz w:w="12240" w:h="15842"/>
          <w:pgMar w:top="1440" w:right="1440" w:bottom="134" w:left="1440" w:header="0" w:footer="0" w:gutter="0"/>
          <w:cols w:equalWidth="0" w:num="1">
            <w:col w:w="9362"/>
          </w:cols>
        </w:sectPr>
      </w:pPr>
    </w:p>
    <w:p>
      <w:pPr>
        <w:spacing w:after="0"/>
        <w:ind w:left="720"/>
        <w:rPr>
          <w:color w:val="auto"/>
          <w:sz w:val="20"/>
          <w:szCs w:val="20"/>
        </w:rPr>
      </w:pPr>
      <w:bookmarkStart w:id="27" w:name="page33"/>
      <w:bookmarkEnd w:id="27"/>
      <w:r>
        <w:rPr>
          <w:rFonts w:ascii="Arial" w:hAnsi="Arial" w:eastAsia="Arial" w:cs="Arial"/>
          <w:b/>
          <w:bCs/>
          <w:color w:val="auto"/>
          <w:sz w:val="22"/>
          <w:szCs w:val="22"/>
        </w:rPr>
        <w:t>Infection and inflammation</w:t>
      </w:r>
    </w:p>
    <w:p>
      <w:pPr>
        <w:spacing w:after="0" w:line="264" w:lineRule="exact"/>
        <w:rPr>
          <w:color w:val="auto"/>
          <w:sz w:val="20"/>
          <w:szCs w:val="20"/>
        </w:rPr>
      </w:pPr>
    </w:p>
    <w:p>
      <w:pPr>
        <w:spacing w:after="0" w:line="479" w:lineRule="auto"/>
        <w:ind w:left="720" w:firstLine="660"/>
        <w:rPr>
          <w:color w:val="auto"/>
          <w:sz w:val="20"/>
          <w:szCs w:val="20"/>
        </w:rPr>
      </w:pPr>
      <w:r>
        <w:rPr>
          <w:rFonts w:ascii="Arial" w:hAnsi="Arial" w:eastAsia="Arial" w:cs="Arial"/>
          <w:color w:val="auto"/>
          <w:sz w:val="22"/>
          <w:szCs w:val="22"/>
        </w:rPr>
        <w:t>The immune system is responsible for protecting the host from infection. There are two main divisions of the immune system: innate immunity, which provides an immediate, but non-specific response to foreign substances; and adaptive immunity, which is activated after the innate response is initiated. Vitamin D is involved primarily with innate immunity, which includes the production of antimicrobial peptides, such as B-defensins and cathelicidins, which are capable of killing viruses, bacteria and fungi. These two particular peptides are produced by epithelial surfaces and within circulating leukocytes (Adams, 2002). Human cathelicidin antimicrobial protein hCAP18, which is the sole cathelicidin protein in humans, is encoded by CAMP. Liu et al (2006) found that hCAP18 is a multifunctional protein with receptor –mediated vitamin D-dependent effects. (Gombart, 2009)</w:t>
      </w:r>
    </w:p>
    <w:p>
      <w:pPr>
        <w:spacing w:after="0" w:line="200" w:lineRule="exact"/>
        <w:rPr>
          <w:color w:val="auto"/>
          <w:sz w:val="20"/>
          <w:szCs w:val="20"/>
        </w:rPr>
      </w:pPr>
    </w:p>
    <w:p>
      <w:pPr>
        <w:spacing w:after="0" w:line="319" w:lineRule="exact"/>
        <w:rPr>
          <w:color w:val="auto"/>
          <w:sz w:val="20"/>
          <w:szCs w:val="20"/>
        </w:rPr>
      </w:pPr>
    </w:p>
    <w:p>
      <w:pPr>
        <w:spacing w:after="0" w:line="478" w:lineRule="auto"/>
        <w:ind w:left="720" w:right="80" w:firstLine="660"/>
        <w:rPr>
          <w:color w:val="auto"/>
          <w:sz w:val="20"/>
          <w:szCs w:val="20"/>
        </w:rPr>
      </w:pPr>
      <w:r>
        <w:rPr>
          <w:rFonts w:ascii="Arial" w:hAnsi="Arial" w:eastAsia="Arial" w:cs="Arial"/>
          <w:color w:val="auto"/>
          <w:sz w:val="22"/>
          <w:szCs w:val="22"/>
        </w:rPr>
        <w:t>The expression of VDR and the 1-α- hydroxylase gene is up-regulated when receptors in human macrophages are activated, which increases the amount of 1, 25(OH) D in the cell. Thus, calcitriol is able to interact with the promoter region on the cathelicidin gene, enhancing hCAP-18 production and subsequent pathogen destruction. This mechanism has also been demonstrated in myeloid cells (Gombart, 2005), bronchial epithelial cells (Yim, 2007) and keratinocytes ( Weber ,2005). Weber found that 25(OH) D could also induce intracellular hCAP-18 through autocrine induction of the 1-α- hydroxylase enzyme.</w:t>
      </w:r>
    </w:p>
    <w:p>
      <w:pPr>
        <w:spacing w:after="0" w:line="200" w:lineRule="exact"/>
        <w:rPr>
          <w:color w:val="auto"/>
          <w:sz w:val="20"/>
          <w:szCs w:val="20"/>
        </w:rPr>
      </w:pPr>
    </w:p>
    <w:p>
      <w:pPr>
        <w:spacing w:after="0" w:line="323" w:lineRule="exact"/>
        <w:rPr>
          <w:color w:val="auto"/>
          <w:sz w:val="20"/>
          <w:szCs w:val="20"/>
        </w:rPr>
      </w:pPr>
    </w:p>
    <w:p>
      <w:pPr>
        <w:spacing w:after="0" w:line="503" w:lineRule="auto"/>
        <w:ind w:left="720" w:right="240" w:firstLine="660"/>
        <w:rPr>
          <w:color w:val="auto"/>
          <w:sz w:val="20"/>
          <w:szCs w:val="20"/>
        </w:rPr>
      </w:pPr>
      <w:r>
        <w:rPr>
          <w:rFonts w:ascii="Arial" w:hAnsi="Arial" w:eastAsia="Arial" w:cs="Arial"/>
          <w:color w:val="auto"/>
          <w:sz w:val="21"/>
          <w:szCs w:val="21"/>
        </w:rPr>
        <w:t>Liu et al ( 2006) observed that cathelicidin messenger RNA induction is lower in African-American individuals, who are known to have increased susceptibility to tuberculosis (Matsuoka, 1991) and are more likely to have low 25-hydroxyvitamin D status (Stead, 1990). Differences in the ability of human populations to produce vitamin</w:t>
      </w:r>
    </w:p>
    <w:p>
      <w:pPr>
        <w:spacing w:after="0" w:line="24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23</w:t>
      </w:r>
    </w:p>
    <w:p>
      <w:pPr>
        <w:sectPr>
          <w:pgSz w:w="12240" w:h="15842"/>
          <w:pgMar w:top="1435" w:right="1382" w:bottom="134" w:left="1440" w:header="0" w:footer="0" w:gutter="0"/>
          <w:cols w:equalWidth="0" w:num="1">
            <w:col w:w="9420"/>
          </w:cols>
        </w:sectPr>
      </w:pPr>
    </w:p>
    <w:p>
      <w:pPr>
        <w:spacing w:after="0" w:line="6" w:lineRule="exact"/>
        <w:rPr>
          <w:color w:val="auto"/>
          <w:sz w:val="20"/>
          <w:szCs w:val="20"/>
        </w:rPr>
      </w:pPr>
      <w:bookmarkStart w:id="28" w:name="page34"/>
      <w:bookmarkEnd w:id="28"/>
    </w:p>
    <w:p>
      <w:pPr>
        <w:spacing w:after="0" w:line="476" w:lineRule="auto"/>
        <w:ind w:left="720" w:right="160"/>
        <w:rPr>
          <w:color w:val="auto"/>
          <w:sz w:val="20"/>
          <w:szCs w:val="20"/>
        </w:rPr>
      </w:pPr>
      <w:r>
        <w:rPr>
          <w:rFonts w:ascii="Arial" w:hAnsi="Arial" w:eastAsia="Arial" w:cs="Arial"/>
          <w:color w:val="auto"/>
          <w:sz w:val="22"/>
          <w:szCs w:val="22"/>
        </w:rPr>
        <w:t>D may contribute to susceptibility to microbial infection and inflammatory processes. The relationship between vitamin D status and immune function may help to explain the reported association between vitamin D status and asthma.</w:t>
      </w:r>
    </w:p>
    <w:p>
      <w:pPr>
        <w:spacing w:after="0" w:line="200" w:lineRule="exact"/>
        <w:rPr>
          <w:color w:val="auto"/>
          <w:sz w:val="20"/>
          <w:szCs w:val="20"/>
        </w:rPr>
      </w:pPr>
    </w:p>
    <w:p>
      <w:pPr>
        <w:spacing w:after="0" w:line="318" w:lineRule="exact"/>
        <w:rPr>
          <w:color w:val="auto"/>
          <w:sz w:val="20"/>
          <w:szCs w:val="20"/>
        </w:rPr>
      </w:pPr>
    </w:p>
    <w:p>
      <w:pPr>
        <w:spacing w:after="0" w:line="461" w:lineRule="auto"/>
        <w:ind w:left="720" w:right="220" w:firstLine="660"/>
        <w:rPr>
          <w:color w:val="auto"/>
          <w:sz w:val="20"/>
          <w:szCs w:val="20"/>
        </w:rPr>
      </w:pPr>
      <w:r>
        <w:rPr>
          <w:rFonts w:ascii="Arial" w:hAnsi="Arial" w:eastAsia="Arial" w:cs="Arial"/>
          <w:color w:val="auto"/>
          <w:sz w:val="22"/>
          <w:szCs w:val="22"/>
        </w:rPr>
        <w:t>Vitamin D also has functions in the adaptive immune system. VDR was found to be expressed in activated T and B lymphocytes. (Bhalla, 1983) 1, 25(OH) D suppresses T helper cell proliferation and modulates their cytokine production such as IL-2 , IL10.( Lemire, 1985). It was also found that 1, 25(OH) D has the ability to inhibit T</w:t>
      </w:r>
      <w:r>
        <w:rPr>
          <w:rFonts w:ascii="Arial" w:hAnsi="Arial" w:eastAsia="Arial" w:cs="Arial"/>
          <w:color w:val="auto"/>
          <w:sz w:val="27"/>
          <w:szCs w:val="27"/>
          <w:vertAlign w:val="subscript"/>
        </w:rPr>
        <w:t>H</w:t>
      </w:r>
      <w:r>
        <w:rPr>
          <w:rFonts w:ascii="Arial" w:hAnsi="Arial" w:eastAsia="Arial" w:cs="Arial"/>
          <w:color w:val="auto"/>
          <w:sz w:val="22"/>
          <w:szCs w:val="22"/>
        </w:rPr>
        <w:t xml:space="preserve"> 1 cytokines production (Lemire, 1995) and enhance TH 2 cytokines (Boonstra, 2001), but it suggested that high levels of vitamin D would be associated with asthma, the opposite function in compare with vitamin function in the innate immune system</w:t>
      </w:r>
    </w:p>
    <w:p>
      <w:pPr>
        <w:spacing w:after="0" w:line="200" w:lineRule="exact"/>
        <w:rPr>
          <w:color w:val="auto"/>
          <w:sz w:val="20"/>
          <w:szCs w:val="20"/>
        </w:rPr>
      </w:pPr>
    </w:p>
    <w:p>
      <w:pPr>
        <w:spacing w:after="0" w:line="327"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Intake Recommendations</w:t>
      </w:r>
    </w:p>
    <w:p>
      <w:pPr>
        <w:spacing w:after="0" w:line="287" w:lineRule="exact"/>
        <w:rPr>
          <w:color w:val="auto"/>
          <w:sz w:val="20"/>
          <w:szCs w:val="20"/>
        </w:rPr>
      </w:pPr>
    </w:p>
    <w:p>
      <w:pPr>
        <w:spacing w:after="0" w:line="477" w:lineRule="auto"/>
        <w:ind w:left="720" w:right="360" w:firstLine="660"/>
        <w:rPr>
          <w:color w:val="auto"/>
          <w:sz w:val="20"/>
          <w:szCs w:val="20"/>
        </w:rPr>
      </w:pPr>
      <w:r>
        <w:rPr>
          <w:rFonts w:ascii="Arial" w:hAnsi="Arial" w:eastAsia="Arial" w:cs="Arial"/>
          <w:color w:val="auto"/>
          <w:sz w:val="22"/>
          <w:szCs w:val="22"/>
        </w:rPr>
        <w:t>The Food and Nutrition Board (FNB) established Adequate Intake levels (AI) for vitamin D that represent a daily intake that is thought to be sufficient to maintain bone health and normal calcium metabolism in healthy persons. The AI for Vitamin D for different ages, which was established in 1997, is shown in Table 3-2.</w:t>
      </w:r>
    </w:p>
    <w:p>
      <w:pPr>
        <w:spacing w:after="0" w:line="1" w:lineRule="exact"/>
        <w:rPr>
          <w:color w:val="auto"/>
          <w:sz w:val="20"/>
          <w:szCs w:val="20"/>
        </w:rPr>
      </w:pPr>
    </w:p>
    <w:p>
      <w:pPr>
        <w:spacing w:after="0"/>
        <w:ind w:left="720"/>
        <w:rPr>
          <w:color w:val="auto"/>
          <w:sz w:val="20"/>
          <w:szCs w:val="20"/>
        </w:rPr>
      </w:pPr>
      <w:r>
        <w:rPr>
          <w:rFonts w:ascii="Arial" w:hAnsi="Arial" w:eastAsia="Arial" w:cs="Arial"/>
          <w:b/>
          <w:bCs/>
          <w:color w:val="auto"/>
          <w:sz w:val="21"/>
          <w:szCs w:val="21"/>
        </w:rPr>
        <w:t>Table3-2: Adequate Intakes (AIs) for Vitamin D</w:t>
      </w:r>
    </w:p>
    <w:p>
      <w:pPr>
        <w:spacing w:after="0" w:line="238" w:lineRule="exact"/>
        <w:rPr>
          <w:color w:val="auto"/>
          <w:sz w:val="20"/>
          <w:szCs w:val="20"/>
        </w:rPr>
      </w:pPr>
    </w:p>
    <w:tbl>
      <w:tblPr>
        <w:tblStyle w:val="3"/>
        <w:tblW w:w="0" w:type="auto"/>
        <w:tblInd w:w="610" w:type="dxa"/>
        <w:tblLayout w:type="fixed"/>
        <w:tblCellMar>
          <w:top w:w="0" w:type="dxa"/>
          <w:left w:w="0" w:type="dxa"/>
          <w:bottom w:w="0" w:type="dxa"/>
          <w:right w:w="0" w:type="dxa"/>
        </w:tblCellMar>
      </w:tblPr>
      <w:tblGrid>
        <w:gridCol w:w="1500"/>
        <w:gridCol w:w="1480"/>
        <w:gridCol w:w="1480"/>
        <w:gridCol w:w="1480"/>
        <w:gridCol w:w="1460"/>
        <w:gridCol w:w="1500"/>
        <w:gridCol w:w="360"/>
      </w:tblGrid>
      <w:tr>
        <w:tblPrEx>
          <w:tblCellMar>
            <w:top w:w="0" w:type="dxa"/>
            <w:left w:w="0" w:type="dxa"/>
            <w:bottom w:w="0" w:type="dxa"/>
            <w:right w:w="0" w:type="dxa"/>
          </w:tblCellMar>
        </w:tblPrEx>
        <w:trPr>
          <w:trHeight w:val="236" w:hRule="atLeast"/>
        </w:trPr>
        <w:tc>
          <w:tcPr>
            <w:tcW w:w="1500" w:type="dxa"/>
            <w:tcBorders>
              <w:top w:val="single" w:color="auto" w:sz="8" w:space="0"/>
              <w:left w:val="single" w:color="auto" w:sz="8" w:space="0"/>
              <w:bottom w:val="single" w:color="auto" w:sz="8" w:space="0"/>
              <w:right w:val="single" w:color="auto" w:sz="8" w:space="0"/>
            </w:tcBorders>
            <w:vAlign w:val="bottom"/>
          </w:tcPr>
          <w:p>
            <w:pPr>
              <w:spacing w:after="0"/>
              <w:ind w:left="560"/>
              <w:rPr>
                <w:color w:val="auto"/>
                <w:sz w:val="20"/>
                <w:szCs w:val="20"/>
              </w:rPr>
            </w:pPr>
            <w:r>
              <w:rPr>
                <w:rFonts w:ascii="Arial" w:hAnsi="Arial" w:eastAsia="Arial" w:cs="Arial"/>
                <w:b/>
                <w:bCs/>
                <w:color w:val="auto"/>
                <w:sz w:val="20"/>
                <w:szCs w:val="20"/>
              </w:rPr>
              <w:t>Age</w:t>
            </w:r>
          </w:p>
        </w:tc>
        <w:tc>
          <w:tcPr>
            <w:tcW w:w="1480" w:type="dxa"/>
            <w:tcBorders>
              <w:top w:val="single" w:color="auto" w:sz="8" w:space="0"/>
              <w:bottom w:val="single" w:color="auto" w:sz="8" w:space="0"/>
              <w:right w:val="single" w:color="auto" w:sz="8" w:space="0"/>
            </w:tcBorders>
            <w:vAlign w:val="bottom"/>
          </w:tcPr>
          <w:p>
            <w:pPr>
              <w:spacing w:after="0"/>
              <w:ind w:left="320"/>
              <w:rPr>
                <w:color w:val="auto"/>
                <w:sz w:val="20"/>
                <w:szCs w:val="20"/>
              </w:rPr>
            </w:pPr>
            <w:r>
              <w:rPr>
                <w:rFonts w:ascii="Arial" w:hAnsi="Arial" w:eastAsia="Arial" w:cs="Arial"/>
                <w:b/>
                <w:bCs/>
                <w:color w:val="auto"/>
                <w:sz w:val="20"/>
                <w:szCs w:val="20"/>
              </w:rPr>
              <w:t>Children</w:t>
            </w:r>
          </w:p>
        </w:tc>
        <w:tc>
          <w:tcPr>
            <w:tcW w:w="1480" w:type="dxa"/>
            <w:tcBorders>
              <w:top w:val="single" w:color="auto" w:sz="8" w:space="0"/>
              <w:bottom w:val="single" w:color="auto" w:sz="8" w:space="0"/>
              <w:right w:val="single" w:color="auto" w:sz="8" w:space="0"/>
            </w:tcBorders>
            <w:vAlign w:val="bottom"/>
          </w:tcPr>
          <w:p>
            <w:pPr>
              <w:spacing w:after="0"/>
              <w:ind w:left="520"/>
              <w:rPr>
                <w:color w:val="auto"/>
                <w:sz w:val="20"/>
                <w:szCs w:val="20"/>
              </w:rPr>
            </w:pPr>
            <w:r>
              <w:rPr>
                <w:rFonts w:ascii="Arial" w:hAnsi="Arial" w:eastAsia="Arial" w:cs="Arial"/>
                <w:b/>
                <w:bCs/>
                <w:color w:val="auto"/>
                <w:sz w:val="20"/>
                <w:szCs w:val="20"/>
              </w:rPr>
              <w:t>Men</w:t>
            </w:r>
          </w:p>
        </w:tc>
        <w:tc>
          <w:tcPr>
            <w:tcW w:w="1480" w:type="dxa"/>
            <w:tcBorders>
              <w:top w:val="single" w:color="auto" w:sz="8" w:space="0"/>
              <w:bottom w:val="single" w:color="auto" w:sz="8" w:space="0"/>
              <w:right w:val="single" w:color="auto" w:sz="8" w:space="0"/>
            </w:tcBorders>
            <w:vAlign w:val="bottom"/>
          </w:tcPr>
          <w:p>
            <w:pPr>
              <w:spacing w:after="0"/>
              <w:ind w:left="360"/>
              <w:rPr>
                <w:color w:val="auto"/>
                <w:sz w:val="20"/>
                <w:szCs w:val="20"/>
              </w:rPr>
            </w:pPr>
            <w:r>
              <w:rPr>
                <w:rFonts w:ascii="Arial" w:hAnsi="Arial" w:eastAsia="Arial" w:cs="Arial"/>
                <w:b/>
                <w:bCs/>
                <w:color w:val="auto"/>
                <w:sz w:val="20"/>
                <w:szCs w:val="20"/>
              </w:rPr>
              <w:t>Women</w:t>
            </w:r>
          </w:p>
        </w:tc>
        <w:tc>
          <w:tcPr>
            <w:tcW w:w="1460" w:type="dxa"/>
            <w:tcBorders>
              <w:top w:val="single" w:color="auto" w:sz="8" w:space="0"/>
              <w:bottom w:val="single" w:color="auto" w:sz="8" w:space="0"/>
              <w:right w:val="single" w:color="auto" w:sz="8" w:space="0"/>
            </w:tcBorders>
            <w:vAlign w:val="bottom"/>
          </w:tcPr>
          <w:p>
            <w:pPr>
              <w:spacing w:after="0"/>
              <w:ind w:left="200"/>
              <w:rPr>
                <w:color w:val="auto"/>
                <w:sz w:val="20"/>
                <w:szCs w:val="20"/>
              </w:rPr>
            </w:pPr>
            <w:r>
              <w:rPr>
                <w:rFonts w:ascii="Arial" w:hAnsi="Arial" w:eastAsia="Arial" w:cs="Arial"/>
                <w:b/>
                <w:bCs/>
                <w:color w:val="auto"/>
                <w:sz w:val="20"/>
                <w:szCs w:val="20"/>
              </w:rPr>
              <w:t>Pregnancy</w:t>
            </w:r>
          </w:p>
        </w:tc>
        <w:tc>
          <w:tcPr>
            <w:tcW w:w="1500" w:type="dxa"/>
            <w:tcBorders>
              <w:top w:val="single" w:color="auto" w:sz="8" w:space="0"/>
              <w:bottom w:val="single" w:color="auto" w:sz="8" w:space="0"/>
              <w:right w:val="single" w:color="auto" w:sz="8" w:space="0"/>
            </w:tcBorders>
            <w:vAlign w:val="bottom"/>
          </w:tcPr>
          <w:p>
            <w:pPr>
              <w:spacing w:after="0"/>
              <w:ind w:left="280"/>
              <w:rPr>
                <w:color w:val="auto"/>
                <w:sz w:val="20"/>
                <w:szCs w:val="20"/>
              </w:rPr>
            </w:pPr>
            <w:r>
              <w:rPr>
                <w:rFonts w:ascii="Arial" w:hAnsi="Arial" w:eastAsia="Arial" w:cs="Arial"/>
                <w:b/>
                <w:bCs/>
                <w:color w:val="auto"/>
                <w:sz w:val="20"/>
                <w:szCs w:val="20"/>
              </w:rPr>
              <w:t>Lactation</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8" w:hRule="atLeast"/>
        </w:trPr>
        <w:tc>
          <w:tcPr>
            <w:tcW w:w="1500" w:type="dxa"/>
            <w:tcBorders>
              <w:left w:val="single" w:color="auto" w:sz="8" w:space="0"/>
              <w:right w:val="single" w:color="auto" w:sz="8" w:space="0"/>
            </w:tcBorders>
            <w:vAlign w:val="bottom"/>
          </w:tcPr>
          <w:p>
            <w:pPr>
              <w:spacing w:after="0" w:line="218" w:lineRule="exact"/>
              <w:ind w:left="120"/>
              <w:rPr>
                <w:color w:val="auto"/>
                <w:sz w:val="20"/>
                <w:szCs w:val="20"/>
              </w:rPr>
            </w:pPr>
            <w:r>
              <w:rPr>
                <w:rFonts w:ascii="Arial" w:hAnsi="Arial" w:eastAsia="Arial" w:cs="Arial"/>
                <w:color w:val="auto"/>
                <w:sz w:val="20"/>
                <w:szCs w:val="20"/>
              </w:rPr>
              <w:t>Birth to 13</w:t>
            </w:r>
          </w:p>
        </w:tc>
        <w:tc>
          <w:tcPr>
            <w:tcW w:w="1480" w:type="dxa"/>
            <w:tcBorders>
              <w:right w:val="single" w:color="auto" w:sz="8" w:space="0"/>
            </w:tcBorders>
            <w:vAlign w:val="bottom"/>
          </w:tcPr>
          <w:p>
            <w:pPr>
              <w:spacing w:after="0" w:line="218" w:lineRule="exact"/>
              <w:ind w:left="100"/>
              <w:rPr>
                <w:color w:val="auto"/>
                <w:sz w:val="20"/>
                <w:szCs w:val="20"/>
              </w:rPr>
            </w:pPr>
            <w:r>
              <w:rPr>
                <w:rFonts w:ascii="Arial" w:hAnsi="Arial" w:eastAsia="Arial" w:cs="Arial"/>
                <w:color w:val="auto"/>
                <w:sz w:val="20"/>
                <w:szCs w:val="20"/>
              </w:rPr>
              <w:t>5 mcg</w:t>
            </w:r>
          </w:p>
        </w:tc>
        <w:tc>
          <w:tcPr>
            <w:tcW w:w="1480" w:type="dxa"/>
            <w:tcBorders>
              <w:right w:val="single" w:color="auto" w:sz="8" w:space="0"/>
            </w:tcBorders>
            <w:vAlign w:val="bottom"/>
          </w:tcPr>
          <w:p>
            <w:pPr>
              <w:spacing w:after="0"/>
              <w:rPr>
                <w:color w:val="auto"/>
                <w:sz w:val="18"/>
                <w:szCs w:val="18"/>
              </w:rPr>
            </w:pPr>
          </w:p>
        </w:tc>
        <w:tc>
          <w:tcPr>
            <w:tcW w:w="1480" w:type="dxa"/>
            <w:tcBorders>
              <w:right w:val="single" w:color="auto" w:sz="8" w:space="0"/>
            </w:tcBorders>
            <w:vAlign w:val="bottom"/>
          </w:tcPr>
          <w:p>
            <w:pPr>
              <w:spacing w:after="0"/>
              <w:rPr>
                <w:color w:val="auto"/>
                <w:sz w:val="18"/>
                <w:szCs w:val="18"/>
              </w:rPr>
            </w:pPr>
          </w:p>
        </w:tc>
        <w:tc>
          <w:tcPr>
            <w:tcW w:w="1460" w:type="dxa"/>
            <w:tcBorders>
              <w:right w:val="single" w:color="auto" w:sz="8" w:space="0"/>
            </w:tcBorders>
            <w:vAlign w:val="bottom"/>
          </w:tcPr>
          <w:p>
            <w:pPr>
              <w:spacing w:after="0"/>
              <w:rPr>
                <w:color w:val="auto"/>
                <w:sz w:val="18"/>
                <w:szCs w:val="18"/>
              </w:rPr>
            </w:pPr>
          </w:p>
        </w:tc>
        <w:tc>
          <w:tcPr>
            <w:tcW w:w="1500" w:type="dxa"/>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34" w:hRule="atLeast"/>
        </w:trPr>
        <w:tc>
          <w:tcPr>
            <w:tcW w:w="1500" w:type="dxa"/>
            <w:tcBorders>
              <w:left w:val="single" w:color="auto" w:sz="8" w:space="0"/>
              <w:bottom w:val="single" w:color="auto" w:sz="8" w:space="0"/>
              <w:right w:val="single" w:color="auto" w:sz="8" w:space="0"/>
            </w:tcBorders>
            <w:vAlign w:val="bottom"/>
          </w:tcPr>
          <w:p>
            <w:pPr>
              <w:spacing w:after="0"/>
              <w:ind w:left="120"/>
              <w:rPr>
                <w:color w:val="auto"/>
                <w:sz w:val="20"/>
                <w:szCs w:val="20"/>
              </w:rPr>
            </w:pPr>
            <w:r>
              <w:rPr>
                <w:rFonts w:ascii="Arial" w:hAnsi="Arial" w:eastAsia="Arial" w:cs="Arial"/>
                <w:color w:val="auto"/>
                <w:sz w:val="20"/>
                <w:szCs w:val="20"/>
              </w:rPr>
              <w:t>years</w:t>
            </w:r>
          </w:p>
        </w:tc>
        <w:tc>
          <w:tcPr>
            <w:tcW w:w="1480" w:type="dxa"/>
            <w:tcBorders>
              <w:bottom w:val="single" w:color="auto" w:sz="8" w:space="0"/>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(200 IU)</w:t>
            </w:r>
          </w:p>
        </w:tc>
        <w:tc>
          <w:tcPr>
            <w:tcW w:w="1480" w:type="dxa"/>
            <w:tcBorders>
              <w:bottom w:val="single" w:color="auto" w:sz="8" w:space="0"/>
              <w:right w:val="single" w:color="auto" w:sz="8" w:space="0"/>
            </w:tcBorders>
            <w:vAlign w:val="bottom"/>
          </w:tcPr>
          <w:p>
            <w:pPr>
              <w:spacing w:after="0"/>
              <w:rPr>
                <w:color w:val="auto"/>
                <w:sz w:val="20"/>
                <w:szCs w:val="20"/>
              </w:rPr>
            </w:pPr>
          </w:p>
        </w:tc>
        <w:tc>
          <w:tcPr>
            <w:tcW w:w="1480" w:type="dxa"/>
            <w:tcBorders>
              <w:bottom w:val="single" w:color="auto" w:sz="8" w:space="0"/>
              <w:right w:val="single" w:color="auto" w:sz="8" w:space="0"/>
            </w:tcBorders>
            <w:vAlign w:val="bottom"/>
          </w:tcPr>
          <w:p>
            <w:pPr>
              <w:spacing w:after="0"/>
              <w:rPr>
                <w:color w:val="auto"/>
                <w:sz w:val="20"/>
                <w:szCs w:val="20"/>
              </w:rPr>
            </w:pPr>
          </w:p>
        </w:tc>
        <w:tc>
          <w:tcPr>
            <w:tcW w:w="1460" w:type="dxa"/>
            <w:tcBorders>
              <w:bottom w:val="single" w:color="auto" w:sz="8" w:space="0"/>
              <w:right w:val="single" w:color="auto" w:sz="8" w:space="0"/>
            </w:tcBorders>
            <w:vAlign w:val="bottom"/>
          </w:tcPr>
          <w:p>
            <w:pPr>
              <w:spacing w:after="0"/>
              <w:rPr>
                <w:color w:val="auto"/>
                <w:sz w:val="20"/>
                <w:szCs w:val="20"/>
              </w:rPr>
            </w:pPr>
          </w:p>
        </w:tc>
        <w:tc>
          <w:tcPr>
            <w:tcW w:w="1500" w:type="dxa"/>
            <w:tcBorders>
              <w:bottom w:val="single" w:color="auto" w:sz="8" w:space="0"/>
              <w:right w:val="single" w:color="auto" w:sz="8" w:space="0"/>
            </w:tcBorders>
            <w:vAlign w:val="bottom"/>
          </w:tcPr>
          <w:p>
            <w:pPr>
              <w:spacing w:after="0"/>
              <w:rPr>
                <w:color w:val="auto"/>
                <w:sz w:val="20"/>
                <w:szCs w:val="2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7" w:hRule="atLeast"/>
        </w:trPr>
        <w:tc>
          <w:tcPr>
            <w:tcW w:w="1500" w:type="dxa"/>
            <w:vMerge w:val="restart"/>
            <w:tcBorders>
              <w:left w:val="single" w:color="auto" w:sz="8" w:space="0"/>
              <w:right w:val="single" w:color="auto" w:sz="8" w:space="0"/>
            </w:tcBorders>
            <w:vAlign w:val="bottom"/>
          </w:tcPr>
          <w:p>
            <w:pPr>
              <w:spacing w:after="0"/>
              <w:ind w:left="120"/>
              <w:rPr>
                <w:color w:val="auto"/>
                <w:sz w:val="20"/>
                <w:szCs w:val="20"/>
              </w:rPr>
            </w:pPr>
            <w:r>
              <w:rPr>
                <w:rFonts w:ascii="Arial" w:hAnsi="Arial" w:eastAsia="Arial" w:cs="Arial"/>
                <w:color w:val="auto"/>
                <w:sz w:val="20"/>
                <w:szCs w:val="20"/>
              </w:rPr>
              <w:t>14-18 years</w:t>
            </w:r>
          </w:p>
        </w:tc>
        <w:tc>
          <w:tcPr>
            <w:tcW w:w="1480" w:type="dxa"/>
            <w:tcBorders>
              <w:right w:val="single" w:color="auto" w:sz="8" w:space="0"/>
            </w:tcBorders>
            <w:vAlign w:val="bottom"/>
          </w:tcPr>
          <w:p>
            <w:pPr>
              <w:spacing w:after="0"/>
              <w:rPr>
                <w:color w:val="auto"/>
                <w:sz w:val="18"/>
                <w:szCs w:val="18"/>
              </w:rPr>
            </w:pPr>
          </w:p>
        </w:tc>
        <w:tc>
          <w:tcPr>
            <w:tcW w:w="1480" w:type="dxa"/>
            <w:tcBorders>
              <w:right w:val="single" w:color="auto" w:sz="8" w:space="0"/>
            </w:tcBorders>
            <w:vAlign w:val="bottom"/>
          </w:tcPr>
          <w:p>
            <w:pPr>
              <w:spacing w:after="0" w:line="217" w:lineRule="exact"/>
              <w:ind w:left="100"/>
              <w:rPr>
                <w:color w:val="auto"/>
                <w:sz w:val="20"/>
                <w:szCs w:val="20"/>
              </w:rPr>
            </w:pPr>
            <w:r>
              <w:rPr>
                <w:rFonts w:ascii="Arial" w:hAnsi="Arial" w:eastAsia="Arial" w:cs="Arial"/>
                <w:color w:val="auto"/>
                <w:sz w:val="20"/>
                <w:szCs w:val="20"/>
              </w:rPr>
              <w:t>5 mcg</w:t>
            </w:r>
          </w:p>
        </w:tc>
        <w:tc>
          <w:tcPr>
            <w:tcW w:w="1480" w:type="dxa"/>
            <w:tcBorders>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5 mcg</w:t>
            </w:r>
          </w:p>
        </w:tc>
        <w:tc>
          <w:tcPr>
            <w:tcW w:w="1460" w:type="dxa"/>
            <w:tcBorders>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5 mcg</w:t>
            </w:r>
          </w:p>
        </w:tc>
        <w:tc>
          <w:tcPr>
            <w:tcW w:w="1500" w:type="dxa"/>
            <w:tcBorders>
              <w:right w:val="single" w:color="auto" w:sz="8" w:space="0"/>
            </w:tcBorders>
            <w:vAlign w:val="bottom"/>
          </w:tcPr>
          <w:p>
            <w:pPr>
              <w:spacing w:after="0" w:line="217" w:lineRule="exact"/>
              <w:ind w:left="100"/>
              <w:rPr>
                <w:color w:val="auto"/>
                <w:sz w:val="20"/>
                <w:szCs w:val="20"/>
              </w:rPr>
            </w:pPr>
            <w:r>
              <w:rPr>
                <w:rFonts w:ascii="Arial" w:hAnsi="Arial" w:eastAsia="Arial" w:cs="Arial"/>
                <w:color w:val="auto"/>
                <w:sz w:val="20"/>
                <w:szCs w:val="20"/>
              </w:rPr>
              <w:t>5 mcg</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500" w:type="dxa"/>
            <w:vMerge w:val="continue"/>
            <w:tcBorders>
              <w:left w:val="single" w:color="auto" w:sz="8" w:space="0"/>
              <w:right w:val="single" w:color="auto" w:sz="8" w:space="0"/>
            </w:tcBorders>
            <w:vAlign w:val="bottom"/>
          </w:tcPr>
          <w:p>
            <w:pPr>
              <w:spacing w:after="0"/>
              <w:rPr>
                <w:color w:val="auto"/>
                <w:sz w:val="10"/>
                <w:szCs w:val="10"/>
              </w:rPr>
            </w:pPr>
          </w:p>
        </w:tc>
        <w:tc>
          <w:tcPr>
            <w:tcW w:w="1480" w:type="dxa"/>
            <w:tcBorders>
              <w:right w:val="single" w:color="auto" w:sz="8" w:space="0"/>
            </w:tcBorders>
            <w:vAlign w:val="bottom"/>
          </w:tcPr>
          <w:p>
            <w:pPr>
              <w:spacing w:after="0"/>
              <w:rPr>
                <w:color w:val="auto"/>
                <w:sz w:val="10"/>
                <w:szCs w:val="10"/>
              </w:rPr>
            </w:pPr>
          </w:p>
        </w:tc>
        <w:tc>
          <w:tcPr>
            <w:tcW w:w="1480" w:type="dxa"/>
            <w:vMerge w:val="restart"/>
            <w:tcBorders>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(200 IU)</w:t>
            </w:r>
          </w:p>
        </w:tc>
        <w:tc>
          <w:tcPr>
            <w:tcW w:w="1480" w:type="dxa"/>
            <w:vMerge w:val="restart"/>
            <w:tcBorders>
              <w:right w:val="single" w:color="auto" w:sz="8" w:space="0"/>
            </w:tcBorders>
            <w:vAlign w:val="bottom"/>
          </w:tcPr>
          <w:p>
            <w:pPr>
              <w:spacing w:after="0"/>
              <w:ind w:left="80"/>
              <w:rPr>
                <w:color w:val="auto"/>
                <w:sz w:val="20"/>
                <w:szCs w:val="20"/>
              </w:rPr>
            </w:pPr>
            <w:r>
              <w:rPr>
                <w:rFonts w:ascii="Arial" w:hAnsi="Arial" w:eastAsia="Arial" w:cs="Arial"/>
                <w:color w:val="auto"/>
                <w:sz w:val="20"/>
                <w:szCs w:val="20"/>
              </w:rPr>
              <w:t>(200 IU)</w:t>
            </w:r>
          </w:p>
        </w:tc>
        <w:tc>
          <w:tcPr>
            <w:tcW w:w="1460" w:type="dxa"/>
            <w:vMerge w:val="restart"/>
            <w:tcBorders>
              <w:right w:val="single" w:color="auto" w:sz="8" w:space="0"/>
            </w:tcBorders>
            <w:vAlign w:val="bottom"/>
          </w:tcPr>
          <w:p>
            <w:pPr>
              <w:spacing w:after="0"/>
              <w:ind w:left="80"/>
              <w:rPr>
                <w:color w:val="auto"/>
                <w:sz w:val="20"/>
                <w:szCs w:val="20"/>
              </w:rPr>
            </w:pPr>
            <w:r>
              <w:rPr>
                <w:rFonts w:ascii="Arial" w:hAnsi="Arial" w:eastAsia="Arial" w:cs="Arial"/>
                <w:color w:val="auto"/>
                <w:sz w:val="20"/>
                <w:szCs w:val="20"/>
              </w:rPr>
              <w:t>(200 IU)</w:t>
            </w:r>
          </w:p>
        </w:tc>
        <w:tc>
          <w:tcPr>
            <w:tcW w:w="1500" w:type="dxa"/>
            <w:vMerge w:val="restart"/>
            <w:tcBorders>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(200 IU)</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8" w:hRule="atLeast"/>
        </w:trPr>
        <w:tc>
          <w:tcPr>
            <w:tcW w:w="1500" w:type="dxa"/>
            <w:tcBorders>
              <w:left w:val="single" w:color="auto" w:sz="8" w:space="0"/>
              <w:bottom w:val="single" w:color="auto" w:sz="8" w:space="0"/>
              <w:right w:val="single" w:color="auto" w:sz="8" w:space="0"/>
            </w:tcBorders>
            <w:vAlign w:val="bottom"/>
          </w:tcPr>
          <w:p>
            <w:pPr>
              <w:spacing w:after="0"/>
              <w:rPr>
                <w:color w:val="auto"/>
                <w:sz w:val="10"/>
                <w:szCs w:val="10"/>
              </w:rPr>
            </w:pPr>
          </w:p>
        </w:tc>
        <w:tc>
          <w:tcPr>
            <w:tcW w:w="1480" w:type="dxa"/>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60" w:type="dxa"/>
            <w:vMerge w:val="continue"/>
            <w:tcBorders>
              <w:bottom w:val="single" w:color="auto" w:sz="8" w:space="0"/>
              <w:right w:val="single" w:color="auto" w:sz="8" w:space="0"/>
            </w:tcBorders>
            <w:vAlign w:val="bottom"/>
          </w:tcPr>
          <w:p>
            <w:pPr>
              <w:spacing w:after="0"/>
              <w:rPr>
                <w:color w:val="auto"/>
                <w:sz w:val="10"/>
                <w:szCs w:val="10"/>
              </w:rPr>
            </w:pPr>
          </w:p>
        </w:tc>
        <w:tc>
          <w:tcPr>
            <w:tcW w:w="1500" w:type="dxa"/>
            <w:vMerge w:val="continue"/>
            <w:tcBorders>
              <w:bottom w:val="single" w:color="auto" w:sz="8" w:space="0"/>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7" w:hRule="atLeast"/>
        </w:trPr>
        <w:tc>
          <w:tcPr>
            <w:tcW w:w="1500" w:type="dxa"/>
            <w:vMerge w:val="restart"/>
            <w:tcBorders>
              <w:left w:val="single" w:color="auto" w:sz="8" w:space="0"/>
              <w:right w:val="single" w:color="auto" w:sz="8" w:space="0"/>
            </w:tcBorders>
            <w:vAlign w:val="bottom"/>
          </w:tcPr>
          <w:p>
            <w:pPr>
              <w:spacing w:after="0"/>
              <w:ind w:left="120"/>
              <w:rPr>
                <w:color w:val="auto"/>
                <w:sz w:val="20"/>
                <w:szCs w:val="20"/>
              </w:rPr>
            </w:pPr>
            <w:r>
              <w:rPr>
                <w:rFonts w:ascii="Arial" w:hAnsi="Arial" w:eastAsia="Arial" w:cs="Arial"/>
                <w:color w:val="auto"/>
                <w:sz w:val="20"/>
                <w:szCs w:val="20"/>
              </w:rPr>
              <w:t>19-50 years</w:t>
            </w:r>
          </w:p>
        </w:tc>
        <w:tc>
          <w:tcPr>
            <w:tcW w:w="1480" w:type="dxa"/>
            <w:tcBorders>
              <w:right w:val="single" w:color="auto" w:sz="8" w:space="0"/>
            </w:tcBorders>
            <w:vAlign w:val="bottom"/>
          </w:tcPr>
          <w:p>
            <w:pPr>
              <w:spacing w:after="0"/>
              <w:rPr>
                <w:color w:val="auto"/>
                <w:sz w:val="18"/>
                <w:szCs w:val="18"/>
              </w:rPr>
            </w:pPr>
          </w:p>
        </w:tc>
        <w:tc>
          <w:tcPr>
            <w:tcW w:w="1480" w:type="dxa"/>
            <w:tcBorders>
              <w:right w:val="single" w:color="auto" w:sz="8" w:space="0"/>
            </w:tcBorders>
            <w:vAlign w:val="bottom"/>
          </w:tcPr>
          <w:p>
            <w:pPr>
              <w:spacing w:after="0" w:line="217" w:lineRule="exact"/>
              <w:ind w:left="100"/>
              <w:rPr>
                <w:color w:val="auto"/>
                <w:sz w:val="20"/>
                <w:szCs w:val="20"/>
              </w:rPr>
            </w:pPr>
            <w:r>
              <w:rPr>
                <w:rFonts w:ascii="Arial" w:hAnsi="Arial" w:eastAsia="Arial" w:cs="Arial"/>
                <w:color w:val="auto"/>
                <w:sz w:val="20"/>
                <w:szCs w:val="20"/>
              </w:rPr>
              <w:t>5 mcg</w:t>
            </w:r>
          </w:p>
        </w:tc>
        <w:tc>
          <w:tcPr>
            <w:tcW w:w="1480" w:type="dxa"/>
            <w:tcBorders>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5 mcg</w:t>
            </w:r>
          </w:p>
        </w:tc>
        <w:tc>
          <w:tcPr>
            <w:tcW w:w="1460" w:type="dxa"/>
            <w:tcBorders>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5 mcg</w:t>
            </w:r>
          </w:p>
        </w:tc>
        <w:tc>
          <w:tcPr>
            <w:tcW w:w="1500" w:type="dxa"/>
            <w:tcBorders>
              <w:right w:val="single" w:color="auto" w:sz="8" w:space="0"/>
            </w:tcBorders>
            <w:vAlign w:val="bottom"/>
          </w:tcPr>
          <w:p>
            <w:pPr>
              <w:spacing w:after="0" w:line="217" w:lineRule="exact"/>
              <w:ind w:left="100"/>
              <w:rPr>
                <w:color w:val="auto"/>
                <w:sz w:val="20"/>
                <w:szCs w:val="20"/>
              </w:rPr>
            </w:pPr>
            <w:r>
              <w:rPr>
                <w:rFonts w:ascii="Arial" w:hAnsi="Arial" w:eastAsia="Arial" w:cs="Arial"/>
                <w:color w:val="auto"/>
                <w:sz w:val="20"/>
                <w:szCs w:val="20"/>
              </w:rPr>
              <w:t>5 mcg</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500" w:type="dxa"/>
            <w:vMerge w:val="continue"/>
            <w:tcBorders>
              <w:left w:val="single" w:color="auto" w:sz="8" w:space="0"/>
              <w:right w:val="single" w:color="auto" w:sz="8" w:space="0"/>
            </w:tcBorders>
            <w:vAlign w:val="bottom"/>
          </w:tcPr>
          <w:p>
            <w:pPr>
              <w:spacing w:after="0"/>
              <w:rPr>
                <w:color w:val="auto"/>
                <w:sz w:val="10"/>
                <w:szCs w:val="10"/>
              </w:rPr>
            </w:pPr>
          </w:p>
        </w:tc>
        <w:tc>
          <w:tcPr>
            <w:tcW w:w="1480" w:type="dxa"/>
            <w:tcBorders>
              <w:right w:val="single" w:color="auto" w:sz="8" w:space="0"/>
            </w:tcBorders>
            <w:vAlign w:val="bottom"/>
          </w:tcPr>
          <w:p>
            <w:pPr>
              <w:spacing w:after="0"/>
              <w:rPr>
                <w:color w:val="auto"/>
                <w:sz w:val="10"/>
                <w:szCs w:val="10"/>
              </w:rPr>
            </w:pPr>
          </w:p>
        </w:tc>
        <w:tc>
          <w:tcPr>
            <w:tcW w:w="1480" w:type="dxa"/>
            <w:vMerge w:val="restart"/>
            <w:tcBorders>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(200 IU)</w:t>
            </w:r>
          </w:p>
        </w:tc>
        <w:tc>
          <w:tcPr>
            <w:tcW w:w="1480" w:type="dxa"/>
            <w:vMerge w:val="restart"/>
            <w:tcBorders>
              <w:right w:val="single" w:color="auto" w:sz="8" w:space="0"/>
            </w:tcBorders>
            <w:vAlign w:val="bottom"/>
          </w:tcPr>
          <w:p>
            <w:pPr>
              <w:spacing w:after="0"/>
              <w:ind w:left="80"/>
              <w:rPr>
                <w:color w:val="auto"/>
                <w:sz w:val="20"/>
                <w:szCs w:val="20"/>
              </w:rPr>
            </w:pPr>
            <w:r>
              <w:rPr>
                <w:rFonts w:ascii="Arial" w:hAnsi="Arial" w:eastAsia="Arial" w:cs="Arial"/>
                <w:color w:val="auto"/>
                <w:sz w:val="20"/>
                <w:szCs w:val="20"/>
              </w:rPr>
              <w:t>(200 IU)</w:t>
            </w:r>
          </w:p>
        </w:tc>
        <w:tc>
          <w:tcPr>
            <w:tcW w:w="1460" w:type="dxa"/>
            <w:vMerge w:val="restart"/>
            <w:tcBorders>
              <w:right w:val="single" w:color="auto" w:sz="8" w:space="0"/>
            </w:tcBorders>
            <w:vAlign w:val="bottom"/>
          </w:tcPr>
          <w:p>
            <w:pPr>
              <w:spacing w:after="0"/>
              <w:ind w:left="80"/>
              <w:rPr>
                <w:color w:val="auto"/>
                <w:sz w:val="20"/>
                <w:szCs w:val="20"/>
              </w:rPr>
            </w:pPr>
            <w:r>
              <w:rPr>
                <w:rFonts w:ascii="Arial" w:hAnsi="Arial" w:eastAsia="Arial" w:cs="Arial"/>
                <w:color w:val="auto"/>
                <w:sz w:val="20"/>
                <w:szCs w:val="20"/>
              </w:rPr>
              <w:t>(200 IU)</w:t>
            </w:r>
          </w:p>
        </w:tc>
        <w:tc>
          <w:tcPr>
            <w:tcW w:w="1500" w:type="dxa"/>
            <w:vMerge w:val="restart"/>
            <w:tcBorders>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(200 IU)</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7" w:hRule="atLeast"/>
        </w:trPr>
        <w:tc>
          <w:tcPr>
            <w:tcW w:w="1500" w:type="dxa"/>
            <w:tcBorders>
              <w:left w:val="single" w:color="auto" w:sz="8" w:space="0"/>
              <w:bottom w:val="single" w:color="auto" w:sz="8" w:space="0"/>
              <w:right w:val="single" w:color="auto" w:sz="8" w:space="0"/>
            </w:tcBorders>
            <w:vAlign w:val="bottom"/>
          </w:tcPr>
          <w:p>
            <w:pPr>
              <w:spacing w:after="0"/>
              <w:rPr>
                <w:color w:val="auto"/>
                <w:sz w:val="10"/>
                <w:szCs w:val="10"/>
              </w:rPr>
            </w:pPr>
          </w:p>
        </w:tc>
        <w:tc>
          <w:tcPr>
            <w:tcW w:w="1480" w:type="dxa"/>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60" w:type="dxa"/>
            <w:vMerge w:val="continue"/>
            <w:tcBorders>
              <w:bottom w:val="single" w:color="auto" w:sz="8" w:space="0"/>
              <w:right w:val="single" w:color="auto" w:sz="8" w:space="0"/>
            </w:tcBorders>
            <w:vAlign w:val="bottom"/>
          </w:tcPr>
          <w:p>
            <w:pPr>
              <w:spacing w:after="0"/>
              <w:rPr>
                <w:color w:val="auto"/>
                <w:sz w:val="10"/>
                <w:szCs w:val="10"/>
              </w:rPr>
            </w:pPr>
          </w:p>
        </w:tc>
        <w:tc>
          <w:tcPr>
            <w:tcW w:w="1500" w:type="dxa"/>
            <w:vMerge w:val="continue"/>
            <w:tcBorders>
              <w:bottom w:val="single" w:color="auto" w:sz="8" w:space="0"/>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8" w:hRule="atLeast"/>
        </w:trPr>
        <w:tc>
          <w:tcPr>
            <w:tcW w:w="1500" w:type="dxa"/>
            <w:vMerge w:val="restart"/>
            <w:tcBorders>
              <w:left w:val="single" w:color="auto" w:sz="8" w:space="0"/>
              <w:right w:val="single" w:color="auto" w:sz="8" w:space="0"/>
            </w:tcBorders>
            <w:vAlign w:val="bottom"/>
          </w:tcPr>
          <w:p>
            <w:pPr>
              <w:spacing w:after="0"/>
              <w:ind w:left="120"/>
              <w:rPr>
                <w:color w:val="auto"/>
                <w:sz w:val="20"/>
                <w:szCs w:val="20"/>
              </w:rPr>
            </w:pPr>
            <w:r>
              <w:rPr>
                <w:rFonts w:ascii="Arial" w:hAnsi="Arial" w:eastAsia="Arial" w:cs="Arial"/>
                <w:color w:val="auto"/>
                <w:sz w:val="20"/>
                <w:szCs w:val="20"/>
              </w:rPr>
              <w:t>51-70 years</w:t>
            </w:r>
          </w:p>
        </w:tc>
        <w:tc>
          <w:tcPr>
            <w:tcW w:w="1480" w:type="dxa"/>
            <w:tcBorders>
              <w:right w:val="single" w:color="auto" w:sz="8" w:space="0"/>
            </w:tcBorders>
            <w:vAlign w:val="bottom"/>
          </w:tcPr>
          <w:p>
            <w:pPr>
              <w:spacing w:after="0"/>
              <w:rPr>
                <w:color w:val="auto"/>
                <w:sz w:val="18"/>
                <w:szCs w:val="18"/>
              </w:rPr>
            </w:pPr>
          </w:p>
        </w:tc>
        <w:tc>
          <w:tcPr>
            <w:tcW w:w="1480" w:type="dxa"/>
            <w:tcBorders>
              <w:right w:val="single" w:color="auto" w:sz="8" w:space="0"/>
            </w:tcBorders>
            <w:vAlign w:val="bottom"/>
          </w:tcPr>
          <w:p>
            <w:pPr>
              <w:spacing w:after="0" w:line="218" w:lineRule="exact"/>
              <w:ind w:left="100"/>
              <w:rPr>
                <w:color w:val="auto"/>
                <w:sz w:val="20"/>
                <w:szCs w:val="20"/>
              </w:rPr>
            </w:pPr>
            <w:r>
              <w:rPr>
                <w:rFonts w:ascii="Arial" w:hAnsi="Arial" w:eastAsia="Arial" w:cs="Arial"/>
                <w:color w:val="auto"/>
                <w:sz w:val="20"/>
                <w:szCs w:val="20"/>
              </w:rPr>
              <w:t>10 mcg</w:t>
            </w:r>
          </w:p>
        </w:tc>
        <w:tc>
          <w:tcPr>
            <w:tcW w:w="1480" w:type="dxa"/>
            <w:tcBorders>
              <w:right w:val="single" w:color="auto" w:sz="8" w:space="0"/>
            </w:tcBorders>
            <w:vAlign w:val="bottom"/>
          </w:tcPr>
          <w:p>
            <w:pPr>
              <w:spacing w:after="0" w:line="218" w:lineRule="exact"/>
              <w:ind w:left="80"/>
              <w:rPr>
                <w:color w:val="auto"/>
                <w:sz w:val="20"/>
                <w:szCs w:val="20"/>
              </w:rPr>
            </w:pPr>
            <w:r>
              <w:rPr>
                <w:rFonts w:ascii="Arial" w:hAnsi="Arial" w:eastAsia="Arial" w:cs="Arial"/>
                <w:color w:val="auto"/>
                <w:sz w:val="20"/>
                <w:szCs w:val="20"/>
              </w:rPr>
              <w:t>10 mcg</w:t>
            </w:r>
          </w:p>
        </w:tc>
        <w:tc>
          <w:tcPr>
            <w:tcW w:w="1460" w:type="dxa"/>
            <w:tcBorders>
              <w:right w:val="single" w:color="auto" w:sz="8" w:space="0"/>
            </w:tcBorders>
            <w:vAlign w:val="bottom"/>
          </w:tcPr>
          <w:p>
            <w:pPr>
              <w:spacing w:after="0"/>
              <w:rPr>
                <w:color w:val="auto"/>
                <w:sz w:val="18"/>
                <w:szCs w:val="18"/>
              </w:rPr>
            </w:pPr>
          </w:p>
        </w:tc>
        <w:tc>
          <w:tcPr>
            <w:tcW w:w="1500" w:type="dxa"/>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500" w:type="dxa"/>
            <w:vMerge w:val="continue"/>
            <w:tcBorders>
              <w:left w:val="single" w:color="auto" w:sz="8" w:space="0"/>
              <w:right w:val="single" w:color="auto" w:sz="8" w:space="0"/>
            </w:tcBorders>
            <w:vAlign w:val="bottom"/>
          </w:tcPr>
          <w:p>
            <w:pPr>
              <w:spacing w:after="0"/>
              <w:rPr>
                <w:color w:val="auto"/>
                <w:sz w:val="10"/>
                <w:szCs w:val="10"/>
              </w:rPr>
            </w:pPr>
          </w:p>
        </w:tc>
        <w:tc>
          <w:tcPr>
            <w:tcW w:w="1480" w:type="dxa"/>
            <w:tcBorders>
              <w:right w:val="single" w:color="auto" w:sz="8" w:space="0"/>
            </w:tcBorders>
            <w:vAlign w:val="bottom"/>
          </w:tcPr>
          <w:p>
            <w:pPr>
              <w:spacing w:after="0"/>
              <w:rPr>
                <w:color w:val="auto"/>
                <w:sz w:val="10"/>
                <w:szCs w:val="10"/>
              </w:rPr>
            </w:pPr>
          </w:p>
        </w:tc>
        <w:tc>
          <w:tcPr>
            <w:tcW w:w="1480" w:type="dxa"/>
            <w:vMerge w:val="restart"/>
            <w:tcBorders>
              <w:right w:val="single" w:color="auto" w:sz="8" w:space="0"/>
            </w:tcBorders>
            <w:vAlign w:val="bottom"/>
          </w:tcPr>
          <w:p>
            <w:pPr>
              <w:spacing w:after="0" w:line="228" w:lineRule="exact"/>
              <w:ind w:left="100"/>
              <w:rPr>
                <w:color w:val="auto"/>
                <w:sz w:val="20"/>
                <w:szCs w:val="20"/>
              </w:rPr>
            </w:pPr>
            <w:r>
              <w:rPr>
                <w:rFonts w:ascii="Arial" w:hAnsi="Arial" w:eastAsia="Arial" w:cs="Arial"/>
                <w:color w:val="auto"/>
                <w:sz w:val="20"/>
                <w:szCs w:val="20"/>
              </w:rPr>
              <w:t>(400 IU)</w:t>
            </w:r>
          </w:p>
        </w:tc>
        <w:tc>
          <w:tcPr>
            <w:tcW w:w="1480" w:type="dxa"/>
            <w:vMerge w:val="restart"/>
            <w:tcBorders>
              <w:right w:val="single" w:color="auto" w:sz="8" w:space="0"/>
            </w:tcBorders>
            <w:vAlign w:val="bottom"/>
          </w:tcPr>
          <w:p>
            <w:pPr>
              <w:spacing w:after="0" w:line="228" w:lineRule="exact"/>
              <w:ind w:left="80"/>
              <w:rPr>
                <w:color w:val="auto"/>
                <w:sz w:val="20"/>
                <w:szCs w:val="20"/>
              </w:rPr>
            </w:pPr>
            <w:r>
              <w:rPr>
                <w:rFonts w:ascii="Arial" w:hAnsi="Arial" w:eastAsia="Arial" w:cs="Arial"/>
                <w:color w:val="auto"/>
                <w:sz w:val="20"/>
                <w:szCs w:val="20"/>
              </w:rPr>
              <w:t>(400 IU)</w:t>
            </w:r>
          </w:p>
        </w:tc>
        <w:tc>
          <w:tcPr>
            <w:tcW w:w="1460" w:type="dxa"/>
            <w:tcBorders>
              <w:right w:val="single" w:color="auto" w:sz="8" w:space="0"/>
            </w:tcBorders>
            <w:vAlign w:val="bottom"/>
          </w:tcPr>
          <w:p>
            <w:pPr>
              <w:spacing w:after="0"/>
              <w:rPr>
                <w:color w:val="auto"/>
                <w:sz w:val="10"/>
                <w:szCs w:val="10"/>
              </w:rPr>
            </w:pPr>
          </w:p>
        </w:tc>
        <w:tc>
          <w:tcPr>
            <w:tcW w:w="1500" w:type="dxa"/>
            <w:tcBorders>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6" w:hRule="atLeast"/>
        </w:trPr>
        <w:tc>
          <w:tcPr>
            <w:tcW w:w="1500" w:type="dxa"/>
            <w:tcBorders>
              <w:left w:val="single" w:color="auto" w:sz="8" w:space="0"/>
              <w:bottom w:val="single" w:color="auto" w:sz="8" w:space="0"/>
              <w:right w:val="single" w:color="auto" w:sz="8" w:space="0"/>
            </w:tcBorders>
            <w:vAlign w:val="bottom"/>
          </w:tcPr>
          <w:p>
            <w:pPr>
              <w:spacing w:after="0"/>
              <w:rPr>
                <w:color w:val="auto"/>
                <w:sz w:val="10"/>
                <w:szCs w:val="10"/>
              </w:rPr>
            </w:pPr>
          </w:p>
        </w:tc>
        <w:tc>
          <w:tcPr>
            <w:tcW w:w="1480" w:type="dxa"/>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60" w:type="dxa"/>
            <w:tcBorders>
              <w:bottom w:val="single" w:color="auto" w:sz="8" w:space="0"/>
              <w:right w:val="single" w:color="auto" w:sz="8" w:space="0"/>
            </w:tcBorders>
            <w:vAlign w:val="bottom"/>
          </w:tcPr>
          <w:p>
            <w:pPr>
              <w:spacing w:after="0"/>
              <w:rPr>
                <w:color w:val="auto"/>
                <w:sz w:val="10"/>
                <w:szCs w:val="10"/>
              </w:rPr>
            </w:pPr>
          </w:p>
        </w:tc>
        <w:tc>
          <w:tcPr>
            <w:tcW w:w="1500" w:type="dxa"/>
            <w:tcBorders>
              <w:bottom w:val="single" w:color="auto" w:sz="8" w:space="0"/>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7" w:hRule="atLeast"/>
        </w:trPr>
        <w:tc>
          <w:tcPr>
            <w:tcW w:w="1500" w:type="dxa"/>
            <w:vMerge w:val="restart"/>
            <w:tcBorders>
              <w:left w:val="single" w:color="auto" w:sz="8" w:space="0"/>
              <w:right w:val="single" w:color="auto" w:sz="8" w:space="0"/>
            </w:tcBorders>
            <w:vAlign w:val="bottom"/>
          </w:tcPr>
          <w:p>
            <w:pPr>
              <w:spacing w:after="0"/>
              <w:ind w:left="120"/>
              <w:rPr>
                <w:color w:val="auto"/>
                <w:sz w:val="20"/>
                <w:szCs w:val="20"/>
              </w:rPr>
            </w:pPr>
            <w:r>
              <w:rPr>
                <w:rFonts w:ascii="Arial" w:hAnsi="Arial" w:eastAsia="Arial" w:cs="Arial"/>
                <w:color w:val="auto"/>
                <w:sz w:val="20"/>
                <w:szCs w:val="20"/>
              </w:rPr>
              <w:t>71+ years</w:t>
            </w:r>
          </w:p>
        </w:tc>
        <w:tc>
          <w:tcPr>
            <w:tcW w:w="1480" w:type="dxa"/>
            <w:tcBorders>
              <w:right w:val="single" w:color="auto" w:sz="8" w:space="0"/>
            </w:tcBorders>
            <w:vAlign w:val="bottom"/>
          </w:tcPr>
          <w:p>
            <w:pPr>
              <w:spacing w:after="0"/>
              <w:rPr>
                <w:color w:val="auto"/>
                <w:sz w:val="18"/>
                <w:szCs w:val="18"/>
              </w:rPr>
            </w:pPr>
          </w:p>
        </w:tc>
        <w:tc>
          <w:tcPr>
            <w:tcW w:w="1480" w:type="dxa"/>
            <w:tcBorders>
              <w:right w:val="single" w:color="auto" w:sz="8" w:space="0"/>
            </w:tcBorders>
            <w:vAlign w:val="bottom"/>
          </w:tcPr>
          <w:p>
            <w:pPr>
              <w:spacing w:after="0" w:line="217" w:lineRule="exact"/>
              <w:ind w:left="100"/>
              <w:rPr>
                <w:color w:val="auto"/>
                <w:sz w:val="20"/>
                <w:szCs w:val="20"/>
              </w:rPr>
            </w:pPr>
            <w:r>
              <w:rPr>
                <w:rFonts w:ascii="Arial" w:hAnsi="Arial" w:eastAsia="Arial" w:cs="Arial"/>
                <w:color w:val="auto"/>
                <w:sz w:val="20"/>
                <w:szCs w:val="20"/>
              </w:rPr>
              <w:t>15 mcg</w:t>
            </w:r>
          </w:p>
        </w:tc>
        <w:tc>
          <w:tcPr>
            <w:tcW w:w="1480" w:type="dxa"/>
            <w:tcBorders>
              <w:right w:val="single" w:color="auto" w:sz="8" w:space="0"/>
            </w:tcBorders>
            <w:vAlign w:val="bottom"/>
          </w:tcPr>
          <w:p>
            <w:pPr>
              <w:spacing w:after="0" w:line="217" w:lineRule="exact"/>
              <w:ind w:left="80"/>
              <w:rPr>
                <w:color w:val="auto"/>
                <w:sz w:val="20"/>
                <w:szCs w:val="20"/>
              </w:rPr>
            </w:pPr>
            <w:r>
              <w:rPr>
                <w:rFonts w:ascii="Arial" w:hAnsi="Arial" w:eastAsia="Arial" w:cs="Arial"/>
                <w:color w:val="auto"/>
                <w:sz w:val="20"/>
                <w:szCs w:val="20"/>
              </w:rPr>
              <w:t>15 mcg</w:t>
            </w:r>
          </w:p>
        </w:tc>
        <w:tc>
          <w:tcPr>
            <w:tcW w:w="1460" w:type="dxa"/>
            <w:tcBorders>
              <w:right w:val="single" w:color="auto" w:sz="8" w:space="0"/>
            </w:tcBorders>
            <w:vAlign w:val="bottom"/>
          </w:tcPr>
          <w:p>
            <w:pPr>
              <w:spacing w:after="0"/>
              <w:rPr>
                <w:color w:val="auto"/>
                <w:sz w:val="18"/>
                <w:szCs w:val="18"/>
              </w:rPr>
            </w:pPr>
          </w:p>
        </w:tc>
        <w:tc>
          <w:tcPr>
            <w:tcW w:w="1500" w:type="dxa"/>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500" w:type="dxa"/>
            <w:vMerge w:val="continue"/>
            <w:tcBorders>
              <w:left w:val="single" w:color="auto" w:sz="8" w:space="0"/>
              <w:right w:val="single" w:color="auto" w:sz="8" w:space="0"/>
            </w:tcBorders>
            <w:vAlign w:val="bottom"/>
          </w:tcPr>
          <w:p>
            <w:pPr>
              <w:spacing w:after="0"/>
              <w:rPr>
                <w:color w:val="auto"/>
                <w:sz w:val="10"/>
                <w:szCs w:val="10"/>
              </w:rPr>
            </w:pPr>
          </w:p>
        </w:tc>
        <w:tc>
          <w:tcPr>
            <w:tcW w:w="1480" w:type="dxa"/>
            <w:tcBorders>
              <w:right w:val="single" w:color="auto" w:sz="8" w:space="0"/>
            </w:tcBorders>
            <w:vAlign w:val="bottom"/>
          </w:tcPr>
          <w:p>
            <w:pPr>
              <w:spacing w:after="0"/>
              <w:rPr>
                <w:color w:val="auto"/>
                <w:sz w:val="10"/>
                <w:szCs w:val="10"/>
              </w:rPr>
            </w:pPr>
          </w:p>
        </w:tc>
        <w:tc>
          <w:tcPr>
            <w:tcW w:w="1480" w:type="dxa"/>
            <w:vMerge w:val="restart"/>
            <w:tcBorders>
              <w:right w:val="single" w:color="auto" w:sz="8" w:space="0"/>
            </w:tcBorders>
            <w:vAlign w:val="bottom"/>
          </w:tcPr>
          <w:p>
            <w:pPr>
              <w:spacing w:after="0"/>
              <w:ind w:left="100"/>
              <w:rPr>
                <w:color w:val="auto"/>
                <w:sz w:val="20"/>
                <w:szCs w:val="20"/>
              </w:rPr>
            </w:pPr>
            <w:r>
              <w:rPr>
                <w:rFonts w:ascii="Arial" w:hAnsi="Arial" w:eastAsia="Arial" w:cs="Arial"/>
                <w:color w:val="auto"/>
                <w:sz w:val="20"/>
                <w:szCs w:val="20"/>
              </w:rPr>
              <w:t>(600 IU)</w:t>
            </w:r>
          </w:p>
        </w:tc>
        <w:tc>
          <w:tcPr>
            <w:tcW w:w="1480" w:type="dxa"/>
            <w:vMerge w:val="restart"/>
            <w:tcBorders>
              <w:right w:val="single" w:color="auto" w:sz="8" w:space="0"/>
            </w:tcBorders>
            <w:vAlign w:val="bottom"/>
          </w:tcPr>
          <w:p>
            <w:pPr>
              <w:spacing w:after="0"/>
              <w:ind w:left="80"/>
              <w:rPr>
                <w:color w:val="auto"/>
                <w:sz w:val="20"/>
                <w:szCs w:val="20"/>
              </w:rPr>
            </w:pPr>
            <w:r>
              <w:rPr>
                <w:rFonts w:ascii="Arial" w:hAnsi="Arial" w:eastAsia="Arial" w:cs="Arial"/>
                <w:color w:val="auto"/>
                <w:sz w:val="20"/>
                <w:szCs w:val="20"/>
              </w:rPr>
              <w:t>(600 IU)</w:t>
            </w:r>
          </w:p>
        </w:tc>
        <w:tc>
          <w:tcPr>
            <w:tcW w:w="1460" w:type="dxa"/>
            <w:tcBorders>
              <w:right w:val="single" w:color="auto" w:sz="8" w:space="0"/>
            </w:tcBorders>
            <w:vAlign w:val="bottom"/>
          </w:tcPr>
          <w:p>
            <w:pPr>
              <w:spacing w:after="0"/>
              <w:rPr>
                <w:color w:val="auto"/>
                <w:sz w:val="10"/>
                <w:szCs w:val="10"/>
              </w:rPr>
            </w:pPr>
          </w:p>
        </w:tc>
        <w:tc>
          <w:tcPr>
            <w:tcW w:w="1500" w:type="dxa"/>
            <w:tcBorders>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8" w:hRule="atLeast"/>
        </w:trPr>
        <w:tc>
          <w:tcPr>
            <w:tcW w:w="1500" w:type="dxa"/>
            <w:tcBorders>
              <w:left w:val="single" w:color="auto" w:sz="8" w:space="0"/>
              <w:bottom w:val="single" w:color="auto" w:sz="8" w:space="0"/>
              <w:right w:val="single" w:color="auto" w:sz="8" w:space="0"/>
            </w:tcBorders>
            <w:vAlign w:val="bottom"/>
          </w:tcPr>
          <w:p>
            <w:pPr>
              <w:spacing w:after="0"/>
              <w:rPr>
                <w:color w:val="auto"/>
                <w:sz w:val="10"/>
                <w:szCs w:val="10"/>
              </w:rPr>
            </w:pPr>
          </w:p>
        </w:tc>
        <w:tc>
          <w:tcPr>
            <w:tcW w:w="1480" w:type="dxa"/>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80" w:type="dxa"/>
            <w:vMerge w:val="continue"/>
            <w:tcBorders>
              <w:bottom w:val="single" w:color="auto" w:sz="8" w:space="0"/>
              <w:right w:val="single" w:color="auto" w:sz="8" w:space="0"/>
            </w:tcBorders>
            <w:vAlign w:val="bottom"/>
          </w:tcPr>
          <w:p>
            <w:pPr>
              <w:spacing w:after="0"/>
              <w:rPr>
                <w:color w:val="auto"/>
                <w:sz w:val="10"/>
                <w:szCs w:val="10"/>
              </w:rPr>
            </w:pPr>
          </w:p>
        </w:tc>
        <w:tc>
          <w:tcPr>
            <w:tcW w:w="1460" w:type="dxa"/>
            <w:tcBorders>
              <w:bottom w:val="single" w:color="auto" w:sz="8" w:space="0"/>
              <w:right w:val="single" w:color="auto" w:sz="8" w:space="0"/>
            </w:tcBorders>
            <w:vAlign w:val="bottom"/>
          </w:tcPr>
          <w:p>
            <w:pPr>
              <w:spacing w:after="0"/>
              <w:rPr>
                <w:color w:val="auto"/>
                <w:sz w:val="10"/>
                <w:szCs w:val="10"/>
              </w:rPr>
            </w:pPr>
          </w:p>
        </w:tc>
        <w:tc>
          <w:tcPr>
            <w:tcW w:w="1500" w:type="dxa"/>
            <w:tcBorders>
              <w:bottom w:val="single" w:color="auto" w:sz="8" w:space="0"/>
              <w:right w:val="single" w:color="auto" w:sz="8" w:space="0"/>
            </w:tcBorders>
            <w:vAlign w:val="bottom"/>
          </w:tcPr>
          <w:p>
            <w:pPr>
              <w:spacing w:after="0"/>
              <w:rPr>
                <w:color w:val="auto"/>
                <w:sz w:val="10"/>
                <w:szCs w:val="10"/>
              </w:rPr>
            </w:pPr>
          </w:p>
        </w:tc>
        <w:tc>
          <w:tcPr>
            <w:tcW w:w="0" w:type="dxa"/>
            <w:vAlign w:val="bottom"/>
          </w:tcPr>
          <w:p>
            <w:pPr>
              <w:spacing w:after="0"/>
              <w:rPr>
                <w:color w:val="auto"/>
                <w:sz w:val="1"/>
                <w:szCs w:val="1"/>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24</w:t>
      </w:r>
    </w:p>
    <w:p>
      <w:pPr>
        <w:sectPr>
          <w:pgSz w:w="12240" w:h="15842"/>
          <w:pgMar w:top="1440" w:right="1322" w:bottom="134" w:left="1440" w:header="0" w:footer="0" w:gutter="0"/>
          <w:cols w:equalWidth="0" w:num="1">
            <w:col w:w="9480"/>
          </w:cols>
        </w:sectPr>
      </w:pPr>
    </w:p>
    <w:p>
      <w:pPr>
        <w:spacing w:after="0" w:line="6" w:lineRule="exact"/>
        <w:rPr>
          <w:color w:val="auto"/>
          <w:sz w:val="20"/>
          <w:szCs w:val="20"/>
        </w:rPr>
      </w:pPr>
      <w:bookmarkStart w:id="29" w:name="page35"/>
      <w:bookmarkEnd w:id="29"/>
    </w:p>
    <w:p>
      <w:pPr>
        <w:spacing w:after="0" w:line="479" w:lineRule="auto"/>
        <w:ind w:left="720" w:right="62" w:firstLine="660"/>
        <w:rPr>
          <w:color w:val="auto"/>
          <w:sz w:val="20"/>
          <w:szCs w:val="20"/>
        </w:rPr>
      </w:pPr>
      <w:r>
        <w:rPr>
          <w:rFonts w:ascii="Arial" w:hAnsi="Arial" w:eastAsia="Arial" w:cs="Arial"/>
          <w:color w:val="auto"/>
          <w:sz w:val="22"/>
          <w:szCs w:val="22"/>
        </w:rPr>
        <w:t>In October of 2008, the American Academy of Pediatrics released new guidelines concerning vitamin D for infants, children and adolescents that doubled the recommended minimum intake of vitamin D from 200 international units (IU) to 400 IU per day because medical conditions attributable to low vitamin D levels appear to be on the rise in the U.S. The FNB also established an expert committee in 2008 to review the DRIs for vitamin D. In recent years, many vitamin D experts have indicated that current AI for vitamin D intake is too low, suggesting that the amount should be increased to 1000 IU/day to raise serum vitamin D to optimal levels (Tangpricha et al.2003) The FNB expects to issue its report, updating as appropriate the DRIs for vitamin D in 2010.</w:t>
      </w:r>
    </w:p>
    <w:p>
      <w:pPr>
        <w:spacing w:after="0" w:line="200" w:lineRule="exact"/>
        <w:rPr>
          <w:color w:val="auto"/>
          <w:sz w:val="20"/>
          <w:szCs w:val="20"/>
        </w:rPr>
      </w:pPr>
    </w:p>
    <w:p>
      <w:pPr>
        <w:spacing w:after="0" w:line="305"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Assessment of Vitamin D Status</w:t>
      </w:r>
    </w:p>
    <w:p>
      <w:pPr>
        <w:spacing w:after="0" w:line="287" w:lineRule="exact"/>
        <w:rPr>
          <w:color w:val="auto"/>
          <w:sz w:val="20"/>
          <w:szCs w:val="20"/>
        </w:rPr>
      </w:pPr>
    </w:p>
    <w:p>
      <w:pPr>
        <w:spacing w:after="0" w:line="477" w:lineRule="auto"/>
        <w:ind w:left="720" w:right="22" w:firstLine="660"/>
        <w:rPr>
          <w:color w:val="auto"/>
          <w:sz w:val="20"/>
          <w:szCs w:val="20"/>
        </w:rPr>
      </w:pPr>
      <w:r>
        <w:rPr>
          <w:rFonts w:ascii="Arial" w:hAnsi="Arial" w:eastAsia="Arial" w:cs="Arial"/>
          <w:color w:val="auto"/>
          <w:sz w:val="21"/>
          <w:szCs w:val="21"/>
        </w:rPr>
        <w:t>Vitamin D status in the body is assessed by the measuring circulating levels of 25(OH)D</w:t>
      </w:r>
      <w:r>
        <w:rPr>
          <w:rFonts w:ascii="Arial" w:hAnsi="Arial" w:eastAsia="Arial" w:cs="Arial"/>
          <w:color w:val="auto"/>
          <w:sz w:val="26"/>
          <w:szCs w:val="26"/>
          <w:vertAlign w:val="subscript"/>
        </w:rPr>
        <w:t>3</w:t>
      </w:r>
      <w:r>
        <w:rPr>
          <w:rFonts w:ascii="Arial" w:hAnsi="Arial" w:eastAsia="Arial" w:cs="Arial"/>
          <w:color w:val="auto"/>
          <w:sz w:val="21"/>
          <w:szCs w:val="21"/>
        </w:rPr>
        <w:t xml:space="preserve"> . The traditional deficiency values were defined by The Institute of Medicine in 1997s as less than 27.5 nmol/L in children and less than 37.5 nmol/L in adults. However, many scientists have suggested that the criteria used to define deficiency status should be revised since these levels were set based on adequate amounts to prevent rickets in children and osteomalacia in adults, and not the nonskeletal functions of vitamin D, such as its role in cancer, autoimmunity and heart disease (Heaney, 2003). Because vitamin D plays a central role in calcium homeostasis and skeletal health, most researchers agreed that optimal range of circulating 25(OH)D</w:t>
      </w:r>
      <w:r>
        <w:rPr>
          <w:rFonts w:ascii="Arial" w:hAnsi="Arial" w:eastAsia="Arial" w:cs="Arial"/>
          <w:color w:val="auto"/>
          <w:sz w:val="26"/>
          <w:szCs w:val="26"/>
          <w:vertAlign w:val="subscript"/>
        </w:rPr>
        <w:t>3</w:t>
      </w:r>
      <w:r>
        <w:rPr>
          <w:rFonts w:ascii="Arial" w:hAnsi="Arial" w:eastAsia="Arial" w:cs="Arial"/>
          <w:color w:val="auto"/>
          <w:sz w:val="21"/>
          <w:szCs w:val="21"/>
        </w:rPr>
        <w:t xml:space="preserve"> should be the range that reduces PTH levels to a minimum and maximizes calcium absorption (Dawson-Hughes et al. 2005). Several studies have shown that circulating 25(OH)D</w:t>
      </w:r>
      <w:r>
        <w:rPr>
          <w:rFonts w:ascii="Arial" w:hAnsi="Arial" w:eastAsia="Arial" w:cs="Arial"/>
          <w:color w:val="auto"/>
          <w:sz w:val="26"/>
          <w:szCs w:val="26"/>
          <w:vertAlign w:val="subscript"/>
        </w:rPr>
        <w:t>3</w:t>
      </w:r>
      <w:r>
        <w:rPr>
          <w:rFonts w:ascii="Arial" w:hAnsi="Arial" w:eastAsia="Arial" w:cs="Arial"/>
          <w:color w:val="auto"/>
          <w:sz w:val="21"/>
          <w:szCs w:val="21"/>
        </w:rPr>
        <w:t xml:space="preserve"> levels of approximately 75 nmol/L are sufficient to optimize vitamin D status. (Chapuy, 1997; Holick, 2005,Heaney, 2003).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1"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25</w:t>
      </w:r>
    </w:p>
    <w:p>
      <w:pPr>
        <w:sectPr>
          <w:pgSz w:w="12240" w:h="15842"/>
          <w:pgMar w:top="1440" w:right="1440" w:bottom="134" w:left="1440" w:header="0" w:footer="0" w:gutter="0"/>
          <w:cols w:equalWidth="0" w:num="1">
            <w:col w:w="9362"/>
          </w:cols>
        </w:sectPr>
      </w:pPr>
    </w:p>
    <w:p>
      <w:pPr>
        <w:spacing w:after="0"/>
        <w:ind w:left="720"/>
        <w:rPr>
          <w:color w:val="auto"/>
          <w:sz w:val="20"/>
          <w:szCs w:val="20"/>
        </w:rPr>
      </w:pPr>
      <w:bookmarkStart w:id="30" w:name="page36"/>
      <w:bookmarkEnd w:id="30"/>
      <w:r>
        <w:rPr>
          <w:rFonts w:ascii="Arial" w:hAnsi="Arial" w:eastAsia="Arial" w:cs="Arial"/>
          <w:b/>
          <w:bCs/>
          <w:color w:val="auto"/>
          <w:sz w:val="24"/>
          <w:szCs w:val="24"/>
          <w:u w:val="single" w:color="auto"/>
        </w:rPr>
        <w:t>Vitamin D deficiency</w:t>
      </w:r>
    </w:p>
    <w:p>
      <w:pPr>
        <w:spacing w:after="0" w:line="287" w:lineRule="exact"/>
        <w:rPr>
          <w:color w:val="auto"/>
          <w:sz w:val="20"/>
          <w:szCs w:val="20"/>
        </w:rPr>
      </w:pPr>
    </w:p>
    <w:p>
      <w:pPr>
        <w:spacing w:after="0" w:line="479" w:lineRule="auto"/>
        <w:ind w:left="720" w:right="22" w:firstLine="660"/>
        <w:rPr>
          <w:color w:val="auto"/>
          <w:sz w:val="20"/>
          <w:szCs w:val="20"/>
        </w:rPr>
      </w:pPr>
      <w:r>
        <w:rPr>
          <w:rFonts w:ascii="Arial" w:hAnsi="Arial" w:eastAsia="Arial" w:cs="Arial"/>
          <w:color w:val="auto"/>
          <w:sz w:val="22"/>
          <w:szCs w:val="22"/>
        </w:rPr>
        <w:t>Because humans can synthesize vitamin D from sun exposure, the potential for widespread deficiency was previously thought to be quite small. However, recent studies have begun to reveal the unrecognized high prevalence of vitamin D deficiency in many populations worldwide (Ginde, 2009;Gordon, 2004; Looker, 2002; Kinyamu, 1997; Chapuy, 1997). Vitamin D inadequacy and deficiency are reported in a wide variety of apparently healthy populations, including children, adolescents, young adults, and middle-aged and elderly adults. Dark-skinned and older persons are at the highest risk of deficiency because pigment in dark skin reduces the amount of UVB that reaches 7-dehydrocholesterol and the level of 7-dehydrocholesterol in the skin declines with age (Holick, 2004a).</w:t>
      </w:r>
    </w:p>
    <w:p>
      <w:pPr>
        <w:spacing w:after="0" w:line="200" w:lineRule="exact"/>
        <w:rPr>
          <w:color w:val="auto"/>
          <w:sz w:val="20"/>
          <w:szCs w:val="20"/>
        </w:rPr>
      </w:pPr>
    </w:p>
    <w:p>
      <w:pPr>
        <w:spacing w:after="0" w:line="317" w:lineRule="exact"/>
        <w:rPr>
          <w:color w:val="auto"/>
          <w:sz w:val="20"/>
          <w:szCs w:val="20"/>
        </w:rPr>
      </w:pPr>
    </w:p>
    <w:p>
      <w:pPr>
        <w:spacing w:after="0" w:line="478" w:lineRule="auto"/>
        <w:ind w:left="720" w:right="122" w:firstLine="660"/>
        <w:rPr>
          <w:color w:val="auto"/>
          <w:sz w:val="20"/>
          <w:szCs w:val="20"/>
        </w:rPr>
      </w:pPr>
      <w:r>
        <w:rPr>
          <w:rFonts w:ascii="Arial" w:hAnsi="Arial" w:eastAsia="Arial" w:cs="Arial"/>
          <w:color w:val="auto"/>
          <w:sz w:val="22"/>
          <w:szCs w:val="22"/>
        </w:rPr>
        <w:t>The reasons for widespread vitamin D deficiency are not completely understood, but researchers believe that changes in lifestyle play an important role. Most people do not spend sufficient time in the sun without wearing sunscreen to produce enough vitamin D. In addition, as discussed previously, few foods are naturally rich in vitamin D and only a handful of foods are fortified, so dietary intake of the vitamin is frequently inadequate.</w:t>
      </w:r>
    </w:p>
    <w:p>
      <w:pPr>
        <w:spacing w:after="0" w:line="200" w:lineRule="exact"/>
        <w:rPr>
          <w:color w:val="auto"/>
          <w:sz w:val="20"/>
          <w:szCs w:val="20"/>
        </w:rPr>
      </w:pPr>
    </w:p>
    <w:p>
      <w:pPr>
        <w:spacing w:after="0" w:line="320" w:lineRule="exact"/>
        <w:rPr>
          <w:color w:val="auto"/>
          <w:sz w:val="20"/>
          <w:szCs w:val="20"/>
        </w:rPr>
      </w:pPr>
    </w:p>
    <w:p>
      <w:pPr>
        <w:spacing w:after="0" w:line="478" w:lineRule="auto"/>
        <w:ind w:left="720" w:right="22" w:firstLine="660"/>
        <w:rPr>
          <w:color w:val="auto"/>
          <w:sz w:val="20"/>
          <w:szCs w:val="20"/>
        </w:rPr>
      </w:pPr>
      <w:r>
        <w:rPr>
          <w:rFonts w:ascii="Arial" w:hAnsi="Arial" w:eastAsia="Arial" w:cs="Arial"/>
          <w:color w:val="auto"/>
          <w:sz w:val="22"/>
          <w:szCs w:val="22"/>
        </w:rPr>
        <w:t>Prolonged vitamin D deficiency decreases calcium absorption, leading to bone abnormalities, such as rickets in children and osteomalacia in adults. (Lips, 2001). Rickets is characterized by softening and weakening of bones, leading to bowed legs, knocked knees and rib bone malformation. The prevalence of rickets was extremely high in the nineteenth century due to industrialization and child labor practices that frequently limited sun exposure. Although rickets is rare in developed countries, numerous cases</w:t>
      </w:r>
    </w:p>
    <w:p>
      <w:pPr>
        <w:spacing w:after="0" w:line="200" w:lineRule="exact"/>
        <w:rPr>
          <w:color w:val="auto"/>
          <w:sz w:val="20"/>
          <w:szCs w:val="20"/>
        </w:rPr>
      </w:pPr>
    </w:p>
    <w:p>
      <w:pPr>
        <w:spacing w:after="0" w:line="200" w:lineRule="exact"/>
        <w:rPr>
          <w:color w:val="auto"/>
          <w:sz w:val="20"/>
          <w:szCs w:val="20"/>
        </w:rPr>
      </w:pPr>
    </w:p>
    <w:p>
      <w:pPr>
        <w:spacing w:after="0" w:line="321"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26</w:t>
      </w:r>
    </w:p>
    <w:p>
      <w:pPr>
        <w:sectPr>
          <w:pgSz w:w="12240" w:h="15842"/>
          <w:pgMar w:top="1435" w:right="1440" w:bottom="134" w:left="1440" w:header="0" w:footer="0" w:gutter="0"/>
          <w:cols w:equalWidth="0" w:num="1">
            <w:col w:w="9362"/>
          </w:cols>
        </w:sectPr>
      </w:pPr>
    </w:p>
    <w:p>
      <w:pPr>
        <w:spacing w:after="0" w:line="6" w:lineRule="exact"/>
        <w:rPr>
          <w:color w:val="auto"/>
          <w:sz w:val="20"/>
          <w:szCs w:val="20"/>
        </w:rPr>
      </w:pPr>
      <w:bookmarkStart w:id="31" w:name="page37"/>
      <w:bookmarkEnd w:id="31"/>
    </w:p>
    <w:p>
      <w:pPr>
        <w:spacing w:after="0" w:line="476" w:lineRule="auto"/>
        <w:ind w:left="720" w:right="82" w:firstLine="62"/>
        <w:rPr>
          <w:color w:val="auto"/>
          <w:sz w:val="20"/>
          <w:szCs w:val="20"/>
        </w:rPr>
      </w:pPr>
      <w:r>
        <w:rPr>
          <w:rFonts w:ascii="Arial" w:hAnsi="Arial" w:eastAsia="Arial" w:cs="Arial"/>
          <w:color w:val="auto"/>
          <w:sz w:val="22"/>
          <w:szCs w:val="22"/>
        </w:rPr>
        <w:t>have been reported in exclusively breastfed infants, particularly African-Americans, and the condition continues to be a problem in developing countries. Osteomalacia is a similar condition that occurs in adults and contributes to fractures. (Thacher et al., 2006)</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0"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27</w:t>
      </w:r>
    </w:p>
    <w:p>
      <w:pPr>
        <w:sectPr>
          <w:pgSz w:w="12240" w:h="15842"/>
          <w:pgMar w:top="1440" w:right="1440" w:bottom="134" w:left="1440" w:header="0" w:footer="0" w:gutter="0"/>
          <w:cols w:equalWidth="0" w:num="1">
            <w:col w:w="9362"/>
          </w:cols>
        </w:sectPr>
      </w:pPr>
    </w:p>
    <w:p>
      <w:pPr>
        <w:spacing w:after="0" w:line="200" w:lineRule="exact"/>
        <w:rPr>
          <w:color w:val="auto"/>
          <w:sz w:val="20"/>
          <w:szCs w:val="20"/>
        </w:rPr>
      </w:pPr>
      <w:bookmarkStart w:id="32" w:name="page38"/>
      <w:bookmarkEnd w:id="32"/>
    </w:p>
    <w:p>
      <w:pPr>
        <w:spacing w:after="0" w:line="200" w:lineRule="exact"/>
        <w:rPr>
          <w:color w:val="auto"/>
          <w:sz w:val="20"/>
          <w:szCs w:val="20"/>
        </w:rPr>
      </w:pPr>
    </w:p>
    <w:p>
      <w:pPr>
        <w:spacing w:after="0" w:line="239" w:lineRule="exact"/>
        <w:rPr>
          <w:color w:val="auto"/>
          <w:sz w:val="20"/>
          <w:szCs w:val="20"/>
        </w:rPr>
      </w:pPr>
    </w:p>
    <w:p>
      <w:pPr>
        <w:spacing w:after="0"/>
        <w:ind w:right="-357"/>
        <w:jc w:val="center"/>
        <w:rPr>
          <w:color w:val="auto"/>
          <w:sz w:val="20"/>
          <w:szCs w:val="20"/>
        </w:rPr>
      </w:pPr>
      <w:r>
        <w:rPr>
          <w:rFonts w:ascii="Arial" w:hAnsi="Arial" w:eastAsia="Arial" w:cs="Arial"/>
          <w:b/>
          <w:bCs/>
          <w:color w:val="auto"/>
          <w:sz w:val="28"/>
          <w:szCs w:val="28"/>
        </w:rPr>
        <w:t>CHAPTER 4</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ind w:left="3340"/>
        <w:rPr>
          <w:color w:val="auto"/>
          <w:sz w:val="20"/>
          <w:szCs w:val="20"/>
        </w:rPr>
      </w:pPr>
      <w:r>
        <w:rPr>
          <w:rFonts w:ascii="Arial" w:hAnsi="Arial" w:eastAsia="Arial" w:cs="Arial"/>
          <w:b/>
          <w:bCs/>
          <w:color w:val="auto"/>
          <w:sz w:val="28"/>
          <w:szCs w:val="28"/>
        </w:rPr>
        <w:t>VITAMIN D AND 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8" w:lineRule="exact"/>
        <w:rPr>
          <w:color w:val="auto"/>
          <w:sz w:val="20"/>
          <w:szCs w:val="20"/>
        </w:rPr>
      </w:pPr>
    </w:p>
    <w:p>
      <w:pPr>
        <w:spacing w:after="0" w:line="503" w:lineRule="auto"/>
        <w:ind w:left="720" w:right="202" w:firstLine="660"/>
        <w:rPr>
          <w:color w:val="auto"/>
          <w:sz w:val="20"/>
          <w:szCs w:val="20"/>
        </w:rPr>
      </w:pPr>
      <w:r>
        <w:rPr>
          <w:rFonts w:ascii="Arial" w:hAnsi="Arial" w:eastAsia="Arial" w:cs="Arial"/>
          <w:color w:val="auto"/>
          <w:sz w:val="21"/>
          <w:szCs w:val="21"/>
        </w:rPr>
        <w:t>The possible relationship between asthma and vitamin D deficiency was first put forward by Litonjua and Weiss in 2007. It is a new area of research, and few studies have examined the potential relationship, but results from these studies provide evidence that vitamin D status may influence the risk of developing asthma (Camargo, 2007; Devereux, 2007; Erkkola 2009; Camargo, 2006; Hypponen, 2004; Gale, 2007).</w:t>
      </w:r>
    </w:p>
    <w:p>
      <w:pPr>
        <w:spacing w:after="0" w:line="200" w:lineRule="exact"/>
        <w:rPr>
          <w:color w:val="auto"/>
          <w:sz w:val="20"/>
          <w:szCs w:val="20"/>
        </w:rPr>
      </w:pPr>
    </w:p>
    <w:p>
      <w:pPr>
        <w:spacing w:after="0" w:line="295"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Innate Immunity, Infection and Vitamin D</w:t>
      </w:r>
    </w:p>
    <w:p>
      <w:pPr>
        <w:spacing w:after="0" w:line="287" w:lineRule="exact"/>
        <w:rPr>
          <w:color w:val="auto"/>
          <w:sz w:val="20"/>
          <w:szCs w:val="20"/>
        </w:rPr>
      </w:pPr>
    </w:p>
    <w:p>
      <w:pPr>
        <w:spacing w:after="0" w:line="479" w:lineRule="auto"/>
        <w:ind w:left="720" w:right="62" w:firstLine="660"/>
        <w:rPr>
          <w:rFonts w:ascii="Arial" w:hAnsi="Arial" w:eastAsia="Arial" w:cs="Arial"/>
          <w:color w:val="auto"/>
          <w:sz w:val="22"/>
          <w:szCs w:val="22"/>
        </w:rPr>
      </w:pPr>
      <w:r>
        <w:rPr>
          <w:rFonts w:ascii="Arial" w:hAnsi="Arial" w:eastAsia="Arial" w:cs="Arial"/>
          <w:color w:val="auto"/>
          <w:sz w:val="22"/>
          <w:szCs w:val="22"/>
        </w:rPr>
        <w:t xml:space="preserve">Human infections are caused by viruses, bacteria, and fungi. When potential pathogens enter in the body, the innate immune system is designed to recognize non-specific pathogen associated molecular patterns (PAMP‘s). The vast majority of microorganisms are destroyed within minutes or hours by innate defenses. The adaptive immune response comes into play only with specific signaling of the innate immune system. Innate immunity, therefore, is the first line of defense against infection (Fleer, 2007). Toll-like receptors (TLRs) are a class of </w:t>
      </w:r>
      <w:r>
        <w:fldChar w:fldCharType="begin"/>
      </w:r>
      <w:r>
        <w:instrText xml:space="preserve"> HYPERLINK "http://en.wikipedia.org/wiki/Protein" \h </w:instrText>
      </w:r>
      <w:r>
        <w:fldChar w:fldCharType="separate"/>
      </w:r>
      <w:r>
        <w:rPr>
          <w:rFonts w:ascii="Arial" w:hAnsi="Arial" w:eastAsia="Arial" w:cs="Arial"/>
          <w:color w:val="auto"/>
          <w:sz w:val="22"/>
          <w:szCs w:val="22"/>
        </w:rPr>
        <w:t xml:space="preserve">proteins </w:t>
      </w:r>
      <w:r>
        <w:rPr>
          <w:rFonts w:ascii="Arial" w:hAnsi="Arial" w:eastAsia="Arial" w:cs="Arial"/>
          <w:color w:val="auto"/>
          <w:sz w:val="22"/>
          <w:szCs w:val="22"/>
        </w:rPr>
        <w:fldChar w:fldCharType="end"/>
      </w:r>
      <w:r>
        <w:rPr>
          <w:rFonts w:ascii="Arial" w:hAnsi="Arial" w:eastAsia="Arial" w:cs="Arial"/>
          <w:color w:val="auto"/>
          <w:sz w:val="22"/>
          <w:szCs w:val="22"/>
        </w:rPr>
        <w:t xml:space="preserve">that play a key role in the </w:t>
      </w:r>
      <w:r>
        <w:fldChar w:fldCharType="begin"/>
      </w:r>
      <w:r>
        <w:instrText xml:space="preserve"> HYPERLINK "http://en.wikipedia.org/wiki/Innate_immune_system" \h </w:instrText>
      </w:r>
      <w:r>
        <w:fldChar w:fldCharType="separate"/>
      </w:r>
      <w:r>
        <w:rPr>
          <w:rFonts w:ascii="Arial" w:hAnsi="Arial" w:eastAsia="Arial" w:cs="Arial"/>
          <w:color w:val="auto"/>
          <w:sz w:val="22"/>
          <w:szCs w:val="22"/>
        </w:rPr>
        <w:t>innate</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"http://en.wikipedia.org/wiki/Innate_immune_system" \h </w:instrText>
      </w:r>
      <w:r>
        <w:fldChar w:fldCharType="separate"/>
      </w:r>
      <w:r>
        <w:rPr>
          <w:rFonts w:ascii="Arial" w:hAnsi="Arial" w:eastAsia="Arial" w:cs="Arial"/>
          <w:color w:val="auto"/>
          <w:sz w:val="22"/>
          <w:szCs w:val="22"/>
        </w:rPr>
        <w:t xml:space="preserve">immune system. </w:t>
      </w:r>
      <w:r>
        <w:rPr>
          <w:rFonts w:ascii="Arial" w:hAnsi="Arial" w:eastAsia="Arial" w:cs="Arial"/>
          <w:color w:val="auto"/>
          <w:sz w:val="22"/>
          <w:szCs w:val="22"/>
        </w:rPr>
        <w:fldChar w:fldCharType="end"/>
      </w:r>
      <w:r>
        <w:rPr>
          <w:rFonts w:ascii="Arial" w:hAnsi="Arial" w:eastAsia="Arial" w:cs="Arial"/>
          <w:color w:val="auto"/>
          <w:sz w:val="22"/>
          <w:szCs w:val="22"/>
        </w:rPr>
        <w:t xml:space="preserve">They are single membrane-spanning, non-catalytic </w:t>
      </w:r>
      <w:r>
        <w:fldChar w:fldCharType="begin"/>
      </w:r>
      <w:r>
        <w:instrText xml:space="preserve"> HYPERLINK "http://en.wikipedia.org/wiki/Receptor_%28biochemistry%29" \h </w:instrText>
      </w:r>
      <w:r>
        <w:fldChar w:fldCharType="separate"/>
      </w:r>
      <w:r>
        <w:rPr>
          <w:rFonts w:ascii="Arial" w:hAnsi="Arial" w:eastAsia="Arial" w:cs="Arial"/>
          <w:color w:val="auto"/>
          <w:sz w:val="22"/>
          <w:szCs w:val="22"/>
        </w:rPr>
        <w:t xml:space="preserve">receptors </w:t>
      </w:r>
      <w:r>
        <w:rPr>
          <w:rFonts w:ascii="Arial" w:hAnsi="Arial" w:eastAsia="Arial" w:cs="Arial"/>
          <w:color w:val="auto"/>
          <w:sz w:val="22"/>
          <w:szCs w:val="22"/>
        </w:rPr>
        <w:fldChar w:fldCharType="end"/>
      </w:r>
      <w:r>
        <w:rPr>
          <w:rFonts w:ascii="Arial" w:hAnsi="Arial" w:eastAsia="Arial" w:cs="Arial"/>
          <w:color w:val="auto"/>
          <w:sz w:val="22"/>
          <w:szCs w:val="22"/>
        </w:rPr>
        <w:t xml:space="preserve">that recognize structurally conserved molecules derived from </w:t>
      </w:r>
      <w:r>
        <w:fldChar w:fldCharType="begin"/>
      </w:r>
      <w:r>
        <w:instrText xml:space="preserve"> HYPERLINK "http://en.wikipedia.org/wiki/Microbes" \h </w:instrText>
      </w:r>
      <w:r>
        <w:fldChar w:fldCharType="separate"/>
      </w:r>
      <w:r>
        <w:rPr>
          <w:rFonts w:ascii="Arial" w:hAnsi="Arial" w:eastAsia="Arial" w:cs="Arial"/>
          <w:color w:val="auto"/>
          <w:sz w:val="22"/>
          <w:szCs w:val="22"/>
        </w:rPr>
        <w:t xml:space="preserve">microbes. </w:t>
      </w:r>
      <w:r>
        <w:rPr>
          <w:rFonts w:ascii="Arial" w:hAnsi="Arial" w:eastAsia="Arial" w:cs="Arial"/>
          <w:color w:val="auto"/>
          <w:sz w:val="22"/>
          <w:szCs w:val="22"/>
        </w:rPr>
        <w:fldChar w:fldCharType="end"/>
      </w:r>
      <w:r>
        <w:rPr>
          <w:rFonts w:ascii="Arial" w:hAnsi="Arial" w:eastAsia="Arial" w:cs="Arial"/>
          <w:color w:val="auto"/>
          <w:sz w:val="22"/>
          <w:szCs w:val="22"/>
        </w:rPr>
        <w:t xml:space="preserve">Once these microbes have breached physical barriers, such as the </w:t>
      </w:r>
      <w:r>
        <w:fldChar w:fldCharType="begin"/>
      </w:r>
      <w:r>
        <w:instrText xml:space="preserve"> HYPERLINK "http://en.wikipedia.org/wiki/Skin" \h </w:instrText>
      </w:r>
      <w:r>
        <w:fldChar w:fldCharType="separate"/>
      </w:r>
      <w:r>
        <w:rPr>
          <w:rFonts w:ascii="Arial" w:hAnsi="Arial" w:eastAsia="Arial" w:cs="Arial"/>
          <w:color w:val="auto"/>
          <w:sz w:val="22"/>
          <w:szCs w:val="22"/>
        </w:rPr>
        <w:t xml:space="preserve">skin, </w:t>
      </w:r>
      <w:r>
        <w:rPr>
          <w:rFonts w:ascii="Arial" w:hAnsi="Arial" w:eastAsia="Arial" w:cs="Arial"/>
          <w:color w:val="auto"/>
          <w:sz w:val="22"/>
          <w:szCs w:val="22"/>
        </w:rPr>
        <w:fldChar w:fldCharType="end"/>
      </w:r>
      <w:r>
        <w:rPr>
          <w:rFonts w:ascii="Arial" w:hAnsi="Arial" w:eastAsia="Arial" w:cs="Arial"/>
          <w:color w:val="auto"/>
          <w:sz w:val="22"/>
          <w:szCs w:val="22"/>
        </w:rPr>
        <w:t xml:space="preserve">lung epithelial surface or </w:t>
      </w:r>
      <w:r>
        <w:fldChar w:fldCharType="begin"/>
      </w:r>
      <w:r>
        <w:instrText xml:space="preserve"> HYPERLINK "http://en.wikipedia.org/wiki/Intestinal_tract" \h </w:instrText>
      </w:r>
      <w:r>
        <w:fldChar w:fldCharType="separate"/>
      </w:r>
      <w:r>
        <w:rPr>
          <w:rFonts w:ascii="Arial" w:hAnsi="Arial" w:eastAsia="Arial" w:cs="Arial"/>
          <w:color w:val="auto"/>
          <w:sz w:val="22"/>
          <w:szCs w:val="22"/>
        </w:rPr>
        <w:t xml:space="preserve">intestinal </w:t>
      </w:r>
      <w:r>
        <w:rPr>
          <w:rFonts w:ascii="Arial" w:hAnsi="Arial" w:eastAsia="Arial" w:cs="Arial"/>
          <w:color w:val="auto"/>
          <w:sz w:val="22"/>
          <w:szCs w:val="22"/>
        </w:rPr>
        <w:fldChar w:fldCharType="end"/>
      </w:r>
      <w:r>
        <w:fldChar w:fldCharType="begin"/>
      </w:r>
      <w:r>
        <w:instrText xml:space="preserve"> HYPERLINK "http://en.wikipedia.org/wiki/Mucosa" \h </w:instrText>
      </w:r>
      <w:r>
        <w:fldChar w:fldCharType="separate"/>
      </w:r>
      <w:r>
        <w:rPr>
          <w:rFonts w:ascii="Arial" w:hAnsi="Arial" w:eastAsia="Arial" w:cs="Arial"/>
          <w:color w:val="auto"/>
          <w:sz w:val="22"/>
          <w:szCs w:val="22"/>
        </w:rPr>
        <w:t xml:space="preserve">mucosa, </w:t>
      </w:r>
      <w:r>
        <w:rPr>
          <w:rFonts w:ascii="Arial" w:hAnsi="Arial" w:eastAsia="Arial" w:cs="Arial"/>
          <w:color w:val="auto"/>
          <w:sz w:val="22"/>
          <w:szCs w:val="22"/>
        </w:rPr>
        <w:fldChar w:fldCharType="end"/>
      </w:r>
      <w:r>
        <w:rPr>
          <w:rFonts w:ascii="Arial" w:hAnsi="Arial" w:eastAsia="Arial" w:cs="Arial"/>
          <w:color w:val="auto"/>
          <w:sz w:val="22"/>
          <w:szCs w:val="22"/>
        </w:rPr>
        <w:t xml:space="preserve">they are recognized by TLRs, which activates </w:t>
      </w:r>
      <w:r>
        <w:fldChar w:fldCharType="begin"/>
      </w:r>
      <w:r>
        <w:instrText xml:space="preserve"> HYPERLINK "http://en.wikipedia.org/wiki/Immune_cell" \h </w:instrText>
      </w:r>
      <w:r>
        <w:fldChar w:fldCharType="separate"/>
      </w:r>
      <w:r>
        <w:rPr>
          <w:rFonts w:ascii="Arial" w:hAnsi="Arial" w:eastAsia="Arial" w:cs="Arial"/>
          <w:color w:val="auto"/>
          <w:sz w:val="22"/>
          <w:szCs w:val="22"/>
        </w:rPr>
        <w:t xml:space="preserve">immune cell </w:t>
      </w:r>
      <w:r>
        <w:rPr>
          <w:rFonts w:ascii="Arial" w:hAnsi="Arial" w:eastAsia="Arial" w:cs="Arial"/>
          <w:color w:val="auto"/>
          <w:sz w:val="22"/>
          <w:szCs w:val="22"/>
        </w:rPr>
        <w:fldChar w:fldCharType="end"/>
      </w:r>
      <w:r>
        <w:rPr>
          <w:rFonts w:ascii="Arial" w:hAnsi="Arial" w:eastAsia="Arial" w:cs="Arial"/>
          <w:color w:val="auto"/>
          <w:sz w:val="22"/>
          <w:szCs w:val="22"/>
        </w:rPr>
        <w:t>responses (Hewison, 2008). Human cathelicidin antimicrobial protein hCAP18 is one of the TLR</w:t>
      </w: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76" w:lineRule="exact"/>
        <w:rPr>
          <w:rFonts w:ascii="Arial" w:hAnsi="Arial" w:eastAsia="Arial" w:cs="Arial"/>
          <w:color w:val="auto"/>
          <w:sz w:val="22"/>
          <w:szCs w:val="22"/>
        </w:rPr>
      </w:pPr>
    </w:p>
    <w:p>
      <w:pPr>
        <w:spacing w:after="0"/>
        <w:ind w:left="4920"/>
        <w:rPr>
          <w:color w:val="auto"/>
          <w:sz w:val="20"/>
          <w:szCs w:val="20"/>
        </w:rPr>
      </w:pPr>
      <w:r>
        <w:rPr>
          <w:rFonts w:ascii="Calibri" w:hAnsi="Calibri" w:eastAsia="Calibri" w:cs="Calibri"/>
          <w:color w:val="auto"/>
          <w:sz w:val="24"/>
          <w:szCs w:val="24"/>
        </w:rPr>
        <w:t>28</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33" w:name="page39"/>
      <w:bookmarkEnd w:id="33"/>
    </w:p>
    <w:p>
      <w:pPr>
        <w:spacing w:after="0" w:line="477" w:lineRule="auto"/>
        <w:ind w:left="720" w:right="42"/>
        <w:rPr>
          <w:color w:val="auto"/>
          <w:sz w:val="20"/>
          <w:szCs w:val="20"/>
        </w:rPr>
      </w:pPr>
      <w:r>
        <w:rPr>
          <w:rFonts w:ascii="Arial" w:hAnsi="Arial" w:eastAsia="Arial" w:cs="Arial"/>
          <w:color w:val="auto"/>
          <w:sz w:val="22"/>
          <w:szCs w:val="22"/>
        </w:rPr>
        <w:t>proteins in the innate immune system, and it is expressed in epithelial cells of the human lung (Bals, 1998). Immunohistochemistry has demonstrated that, in addition to bronchial epithelial cells, hCAP18 is located in alveolar macrophages and bronchial glands (Agerberth, 1999). This important antimicrobial peptide is mediated by vitamin D.</w:t>
      </w:r>
    </w:p>
    <w:p>
      <w:pPr>
        <w:spacing w:after="0" w:line="200" w:lineRule="exact"/>
        <w:rPr>
          <w:color w:val="auto"/>
          <w:sz w:val="20"/>
          <w:szCs w:val="20"/>
        </w:rPr>
      </w:pPr>
    </w:p>
    <w:p>
      <w:pPr>
        <w:spacing w:after="0" w:line="319" w:lineRule="exact"/>
        <w:rPr>
          <w:color w:val="auto"/>
          <w:sz w:val="20"/>
          <w:szCs w:val="20"/>
        </w:rPr>
      </w:pPr>
    </w:p>
    <w:p>
      <w:pPr>
        <w:spacing w:after="0" w:line="479" w:lineRule="auto"/>
        <w:ind w:left="720" w:right="62" w:firstLine="660"/>
        <w:rPr>
          <w:color w:val="auto"/>
          <w:sz w:val="20"/>
          <w:szCs w:val="20"/>
        </w:rPr>
      </w:pPr>
      <w:r>
        <w:rPr>
          <w:rFonts w:ascii="Arial" w:hAnsi="Arial" w:eastAsia="Arial" w:cs="Arial"/>
          <w:color w:val="auto"/>
          <w:sz w:val="22"/>
          <w:szCs w:val="22"/>
        </w:rPr>
        <w:t>Liu et al (2006) found that hCAP18 is has receptor–mediated vitamin D-dependent effects. The expression of the VDR and 1-α-hydroxylase genes is up-regulated when receptors in human macrophages are activated, which increases the amount of 1, 25(OH) D in the cell. Thus, locally produced calcitriol is able to interact with the promoter region on the cathelicidin gene, enhancing hCAP-18 production and subsequent ability to recognize pathogens. This mechanism has also been demonstrated in bronchial epithelial cells (Yim, 2007). Pathogens would be largely decreased through the action of hCAP-18.</w:t>
      </w:r>
    </w:p>
    <w:p>
      <w:pPr>
        <w:spacing w:after="0" w:line="200" w:lineRule="exact"/>
        <w:rPr>
          <w:color w:val="auto"/>
          <w:sz w:val="20"/>
          <w:szCs w:val="20"/>
        </w:rPr>
      </w:pPr>
    </w:p>
    <w:p>
      <w:pPr>
        <w:spacing w:after="0" w:line="304"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Studies Examining Vitamin D and Asthma</w:t>
      </w:r>
    </w:p>
    <w:p>
      <w:pPr>
        <w:spacing w:after="0" w:line="287" w:lineRule="exact"/>
        <w:rPr>
          <w:color w:val="auto"/>
          <w:sz w:val="20"/>
          <w:szCs w:val="20"/>
        </w:rPr>
      </w:pPr>
    </w:p>
    <w:p>
      <w:pPr>
        <w:spacing w:after="0" w:line="478" w:lineRule="auto"/>
        <w:ind w:left="720" w:right="262" w:firstLine="660"/>
        <w:rPr>
          <w:color w:val="auto"/>
          <w:sz w:val="20"/>
          <w:szCs w:val="20"/>
        </w:rPr>
      </w:pPr>
      <w:r>
        <w:rPr>
          <w:rFonts w:ascii="Arial" w:hAnsi="Arial" w:eastAsia="Arial" w:cs="Arial"/>
          <w:color w:val="auto"/>
          <w:sz w:val="22"/>
          <w:szCs w:val="22"/>
        </w:rPr>
        <w:t>Litonjua and Weiss first suggested that vitamin D deficiency in pregnant women and their offspring could at least partly explain the current rise in incident asthma. (Moorman, 2007) Although subsequent epidemiologic studies provided additional support for an association between vitamin D status and asthma, study results have been inconsistent, with some evidence suggesting no association and others even suggesting that vitamin D might be detrimental.</w:t>
      </w:r>
    </w:p>
    <w:p>
      <w:pPr>
        <w:spacing w:after="0" w:line="200" w:lineRule="exact"/>
        <w:rPr>
          <w:color w:val="auto"/>
          <w:sz w:val="20"/>
          <w:szCs w:val="20"/>
        </w:rPr>
      </w:pPr>
    </w:p>
    <w:p>
      <w:pPr>
        <w:spacing w:after="0" w:line="320" w:lineRule="exact"/>
        <w:rPr>
          <w:color w:val="auto"/>
          <w:sz w:val="20"/>
          <w:szCs w:val="20"/>
        </w:rPr>
      </w:pPr>
    </w:p>
    <w:p>
      <w:pPr>
        <w:spacing w:after="0" w:line="477" w:lineRule="auto"/>
        <w:ind w:left="720" w:right="102" w:firstLine="660"/>
        <w:rPr>
          <w:color w:val="auto"/>
          <w:sz w:val="20"/>
          <w:szCs w:val="20"/>
        </w:rPr>
      </w:pPr>
      <w:r>
        <w:rPr>
          <w:rFonts w:ascii="Arial" w:hAnsi="Arial" w:eastAsia="Arial" w:cs="Arial"/>
          <w:color w:val="auto"/>
          <w:sz w:val="22"/>
          <w:szCs w:val="22"/>
        </w:rPr>
        <w:t>A large cross-sectional study from the Third National Health and Nutrition Examination Survey in U.S. reported that vitamin D intakes and serum levels of 25 (OH) vitamin D were associated with lung function in adults (Black, 2005). Similar findings have been reported in Australian adolescents (Burns, 2006). In addition, an association</w:t>
      </w:r>
    </w:p>
    <w:p>
      <w:pPr>
        <w:spacing w:after="0" w:line="21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29</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34" w:name="page40"/>
      <w:bookmarkEnd w:id="34"/>
    </w:p>
    <w:p>
      <w:pPr>
        <w:spacing w:after="0" w:line="479" w:lineRule="auto"/>
        <w:ind w:left="720" w:right="42"/>
        <w:rPr>
          <w:color w:val="auto"/>
          <w:sz w:val="20"/>
          <w:szCs w:val="20"/>
        </w:rPr>
      </w:pPr>
      <w:r>
        <w:rPr>
          <w:rFonts w:ascii="Arial" w:hAnsi="Arial" w:eastAsia="Arial" w:cs="Arial"/>
          <w:color w:val="auto"/>
          <w:sz w:val="22"/>
          <w:szCs w:val="22"/>
        </w:rPr>
        <w:t>between low maternal intakes of vitamin D during pregnancy and early childhood wheezing has been reported in studies in the United States (Camargo, 2007) and Scotland (Devereux, 2007). Both studies had a large sample size (over 1000 pregnant participants) and showed that the risk of wheeze was more than 50% lower in offspring whose mother had higher vitamin D intake compared to those whose mothers had lower intake. However, although the Scottish study (Devereux, 2007) reported an association between low vitamin D intake and increased risk of respiratory infections and childhood wheezing, no association was observed between vitamin D intake and asthma diagnosed at the age 5. This finding is in contrast to the results of another recent birth cohort study, conducted in Finland among 1669 mother and child pairs (Erkkola 2009), which found that higher maternal vitamin D intake during pregnancy was associated with a reduced risk of asthma in 5-year-old children.</w:t>
      </w:r>
    </w:p>
    <w:p>
      <w:pPr>
        <w:spacing w:after="0" w:line="200" w:lineRule="exact"/>
        <w:rPr>
          <w:color w:val="auto"/>
          <w:sz w:val="20"/>
          <w:szCs w:val="20"/>
        </w:rPr>
      </w:pPr>
    </w:p>
    <w:p>
      <w:pPr>
        <w:spacing w:after="0" w:line="321" w:lineRule="exact"/>
        <w:rPr>
          <w:color w:val="auto"/>
          <w:sz w:val="20"/>
          <w:szCs w:val="20"/>
        </w:rPr>
      </w:pPr>
    </w:p>
    <w:p>
      <w:pPr>
        <w:spacing w:after="0" w:line="479" w:lineRule="auto"/>
        <w:ind w:left="720" w:right="42" w:firstLine="660"/>
        <w:rPr>
          <w:color w:val="auto"/>
          <w:sz w:val="20"/>
          <w:szCs w:val="20"/>
        </w:rPr>
      </w:pPr>
      <w:r>
        <w:rPr>
          <w:rFonts w:ascii="Arial" w:hAnsi="Arial" w:eastAsia="Arial" w:cs="Arial"/>
          <w:color w:val="auto"/>
          <w:sz w:val="22"/>
          <w:szCs w:val="22"/>
        </w:rPr>
        <w:t>An important weakness in these studies is that they all relied solely on food frequency assessment of vitamin D intake as their measure of vitamin D status; none of the studies measured serum 25 (OH) D level, which is a much more reliable measure of vitamin D status. Dietary vitamin D intake is actually poorly correlated with serum levels of 25-OH D, which is influenced by many non-dietary factors, such as skin pigmentation, latitude and the extent of sun exposure. Although these studies raise the possibility that dietary vitamin D intake may influence the risk of developing asthma, it is also possible that the observed associations may be confounded by other components in vitamin D-rich foods, such as omega-3 fatty acids, that may impact airway reactivity (Reisman et al., 2006). In addition, persons with asthma may adopt certain lifestyle characteristics, such as avoiding outdoor exercise and milk intake (Camargo, 2007), that could influence the occurrence of asthma or estimates of vitamin D intake. One study that did measure 25(OH) vitamin D also reported inconsistent findings. In a birth cohort study, conducted</w:t>
      </w:r>
    </w:p>
    <w:p>
      <w:pPr>
        <w:spacing w:after="0" w:line="262"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30</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35" w:name="page41"/>
      <w:bookmarkEnd w:id="35"/>
    </w:p>
    <w:p>
      <w:pPr>
        <w:spacing w:after="0" w:line="476" w:lineRule="auto"/>
        <w:ind w:left="720" w:right="82"/>
        <w:jc w:val="both"/>
        <w:rPr>
          <w:color w:val="auto"/>
          <w:sz w:val="20"/>
          <w:szCs w:val="20"/>
        </w:rPr>
      </w:pPr>
      <w:r>
        <w:rPr>
          <w:rFonts w:ascii="Arial" w:hAnsi="Arial" w:eastAsia="Arial" w:cs="Arial"/>
          <w:color w:val="auto"/>
          <w:sz w:val="22"/>
          <w:szCs w:val="22"/>
        </w:rPr>
        <w:t>among 922 infants in New Zealand (Camargo, 2008), low cord blood levels of 25(OH) D levels were associated with increased respiratory infections and childhood wheezing but not with asthma diagnosed at age 5.</w:t>
      </w:r>
    </w:p>
    <w:p>
      <w:pPr>
        <w:spacing w:after="0" w:line="200" w:lineRule="exact"/>
        <w:rPr>
          <w:color w:val="auto"/>
          <w:sz w:val="20"/>
          <w:szCs w:val="20"/>
        </w:rPr>
      </w:pPr>
    </w:p>
    <w:p>
      <w:pPr>
        <w:spacing w:after="0" w:line="318" w:lineRule="exact"/>
        <w:rPr>
          <w:color w:val="auto"/>
          <w:sz w:val="20"/>
          <w:szCs w:val="20"/>
        </w:rPr>
      </w:pPr>
    </w:p>
    <w:p>
      <w:pPr>
        <w:spacing w:after="0" w:line="479" w:lineRule="auto"/>
        <w:ind w:left="720" w:right="2" w:firstLine="660"/>
        <w:rPr>
          <w:color w:val="auto"/>
          <w:sz w:val="20"/>
          <w:szCs w:val="20"/>
        </w:rPr>
      </w:pPr>
      <w:r>
        <w:rPr>
          <w:rFonts w:ascii="Arial" w:hAnsi="Arial" w:eastAsia="Arial" w:cs="Arial"/>
          <w:color w:val="auto"/>
          <w:sz w:val="22"/>
          <w:szCs w:val="22"/>
        </w:rPr>
        <w:t>In addition to studies suggesting that vitamin D may protect against asthma or have no effect, a few studies have actually reported that vitamin D might increase asthma risk. Hypponen et al. (2004) reported that regular vitamin D supplementation (≥ 2000 IU/d) in the first year of life increased the risk of developing asthma by age 31 years (Hypponen, 2004). However, this study did not assess maternal vitamin D intake nor did it measure serum 25(OH) vitamin D levels in the subjects and their mothers. Therefore, we do not know whether the vitamin D supplementation increased the asthma risk or if the infant‘s asthma risk was influenced by maternal vitamin D status during pregnancy. It is also possible that the long follow-up period contributed to recall bias, which could affect estimates of the association. Another prospective study, conducted among 466 pregnant women in the United Kingdom, also reported that high 25(OH)-vitamin D concentration in the peripheral circulation during late pregnancy was associated with an increased risk of eczema at 9 months and asthma at age 9 years (Gale, 2007). A weakness of this study is that it had a large loss to follow up, with only 30% of the participants retained at the end, and it is possible that the vitamin D status or occurrence of asthma differed between those who were lost to follow up and those who completed the study. These studies suggest that maternal supplemental vitamin D and high serum vitamin D concentrations may somehow increase the risk of developing asthma in their offspring (Wjst, 2006).</w:t>
      </w:r>
    </w:p>
    <w:p>
      <w:pPr>
        <w:spacing w:after="0" w:line="200" w:lineRule="exact"/>
        <w:rPr>
          <w:color w:val="auto"/>
          <w:sz w:val="20"/>
          <w:szCs w:val="20"/>
        </w:rPr>
      </w:pPr>
    </w:p>
    <w:p>
      <w:pPr>
        <w:spacing w:after="0" w:line="330" w:lineRule="exact"/>
        <w:rPr>
          <w:color w:val="auto"/>
          <w:sz w:val="20"/>
          <w:szCs w:val="20"/>
        </w:rPr>
      </w:pPr>
    </w:p>
    <w:p>
      <w:pPr>
        <w:spacing w:after="0" w:line="470" w:lineRule="auto"/>
        <w:ind w:left="720" w:right="322" w:firstLine="660"/>
        <w:rPr>
          <w:color w:val="auto"/>
          <w:sz w:val="20"/>
          <w:szCs w:val="20"/>
        </w:rPr>
      </w:pPr>
      <w:r>
        <w:rPr>
          <w:rFonts w:ascii="Arial" w:hAnsi="Arial" w:eastAsia="Arial" w:cs="Arial"/>
          <w:color w:val="auto"/>
          <w:sz w:val="22"/>
          <w:szCs w:val="22"/>
        </w:rPr>
        <w:t>In addition to the development of asthma, some researchers have focused on examining the relationship between vitamin D and asthma severity in persons already</w:t>
      </w:r>
    </w:p>
    <w:p>
      <w:pPr>
        <w:spacing w:after="0" w:line="269"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31</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36" w:name="page42"/>
      <w:bookmarkEnd w:id="36"/>
    </w:p>
    <w:p>
      <w:pPr>
        <w:spacing w:after="0" w:line="479" w:lineRule="auto"/>
        <w:ind w:left="720" w:right="2"/>
        <w:rPr>
          <w:color w:val="auto"/>
          <w:sz w:val="20"/>
          <w:szCs w:val="20"/>
        </w:rPr>
      </w:pPr>
      <w:r>
        <w:rPr>
          <w:rFonts w:ascii="Arial" w:hAnsi="Arial" w:eastAsia="Arial" w:cs="Arial"/>
          <w:color w:val="auto"/>
          <w:sz w:val="22"/>
          <w:szCs w:val="22"/>
        </w:rPr>
        <w:t>diagnosed with asthma. Two studies involving a childhood asthma management program in the United States (Ciaccio,2010; Brehm, 2010) and one cross-sectional study in Costa Rica ( Brehm, 2009) all suggested that vitamin D insufficiency [serum 25(OH) D &lt;75 nmol/L] was common in children with severe asthma. One limitation of these studies is that none of them had data on respiratory tract infections. It is possible that vitamin D may work indirectly by helping to prevent respiratory tract infections rather than by modifying airway inflammation. However, Xystrakis et al (2006) reported in that vitamin D may enhance glucocorticoid responsiveness by increasing IL-10 production, which suggests that vitamin D may help to ameliorate the inflammatory symptoms associated with asthma. The inconsistency of the findings from these studies underscores the need for further research in this area to clarify the association between vitamin D status and 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7"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32</w:t>
      </w:r>
    </w:p>
    <w:p>
      <w:pPr>
        <w:sectPr>
          <w:pgSz w:w="12240" w:h="15842"/>
          <w:pgMar w:top="1440" w:right="1440" w:bottom="134" w:left="1440" w:header="0" w:footer="0" w:gutter="0"/>
          <w:cols w:equalWidth="0" w:num="1">
            <w:col w:w="9362"/>
          </w:cols>
        </w:sectPr>
      </w:pPr>
    </w:p>
    <w:p>
      <w:pPr>
        <w:spacing w:after="0" w:line="200" w:lineRule="exact"/>
        <w:rPr>
          <w:color w:val="auto"/>
          <w:sz w:val="20"/>
          <w:szCs w:val="20"/>
        </w:rPr>
      </w:pPr>
      <w:bookmarkStart w:id="37" w:name="page43"/>
      <w:bookmarkEnd w:id="37"/>
    </w:p>
    <w:p>
      <w:pPr>
        <w:spacing w:after="0" w:line="302" w:lineRule="exact"/>
        <w:rPr>
          <w:color w:val="auto"/>
          <w:sz w:val="20"/>
          <w:szCs w:val="20"/>
        </w:rPr>
      </w:pPr>
    </w:p>
    <w:p>
      <w:pPr>
        <w:spacing w:after="0"/>
        <w:ind w:left="4340"/>
        <w:rPr>
          <w:color w:val="auto"/>
          <w:sz w:val="20"/>
          <w:szCs w:val="20"/>
        </w:rPr>
      </w:pPr>
      <w:r>
        <w:rPr>
          <w:rFonts w:ascii="Arial" w:hAnsi="Arial" w:eastAsia="Arial" w:cs="Arial"/>
          <w:b/>
          <w:bCs/>
          <w:color w:val="auto"/>
          <w:sz w:val="28"/>
          <w:szCs w:val="28"/>
        </w:rPr>
        <w:t>CHAPTER 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4" w:lineRule="exact"/>
        <w:rPr>
          <w:color w:val="auto"/>
          <w:sz w:val="20"/>
          <w:szCs w:val="20"/>
        </w:rPr>
      </w:pPr>
    </w:p>
    <w:p>
      <w:pPr>
        <w:spacing w:after="0"/>
        <w:ind w:left="3300"/>
        <w:rPr>
          <w:color w:val="auto"/>
          <w:sz w:val="20"/>
          <w:szCs w:val="20"/>
        </w:rPr>
      </w:pPr>
      <w:r>
        <w:rPr>
          <w:rFonts w:ascii="Arial" w:hAnsi="Arial" w:eastAsia="Arial" w:cs="Arial"/>
          <w:b/>
          <w:bCs/>
          <w:color w:val="auto"/>
          <w:sz w:val="28"/>
          <w:szCs w:val="28"/>
        </w:rPr>
        <w:t>PURPOSE OF THE STUDY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0" w:lineRule="exact"/>
        <w:rPr>
          <w:color w:val="auto"/>
          <w:sz w:val="20"/>
          <w:szCs w:val="20"/>
        </w:rPr>
      </w:pPr>
    </w:p>
    <w:p>
      <w:pPr>
        <w:spacing w:after="0" w:line="477" w:lineRule="auto"/>
        <w:ind w:left="720" w:right="140" w:firstLine="660"/>
        <w:rPr>
          <w:color w:val="auto"/>
          <w:sz w:val="20"/>
          <w:szCs w:val="20"/>
        </w:rPr>
      </w:pPr>
      <w:r>
        <w:rPr>
          <w:rFonts w:ascii="Arial" w:hAnsi="Arial" w:eastAsia="Arial" w:cs="Arial"/>
          <w:color w:val="auto"/>
          <w:sz w:val="22"/>
          <w:szCs w:val="22"/>
        </w:rPr>
        <w:t>Asthma is a common condition throughout the world, contributing to both morbidity and healthcare costs. Vitamin D deficiency is also a world health problem, and recent evidence suggests that the two conditions may be related, although the data supporting an association are inconsistent and contradictory.</w:t>
      </w:r>
    </w:p>
    <w:p>
      <w:pPr>
        <w:spacing w:after="0" w:line="200" w:lineRule="exact"/>
        <w:rPr>
          <w:color w:val="auto"/>
          <w:sz w:val="20"/>
          <w:szCs w:val="20"/>
        </w:rPr>
      </w:pPr>
    </w:p>
    <w:p>
      <w:pPr>
        <w:spacing w:after="0" w:line="319" w:lineRule="exact"/>
        <w:rPr>
          <w:color w:val="auto"/>
          <w:sz w:val="20"/>
          <w:szCs w:val="20"/>
        </w:rPr>
      </w:pPr>
    </w:p>
    <w:p>
      <w:pPr>
        <w:spacing w:after="0" w:line="475" w:lineRule="auto"/>
        <w:ind w:left="720" w:firstLine="660"/>
        <w:rPr>
          <w:color w:val="auto"/>
          <w:sz w:val="20"/>
          <w:szCs w:val="20"/>
        </w:rPr>
      </w:pPr>
      <w:r>
        <w:rPr>
          <w:rFonts w:ascii="Arial" w:hAnsi="Arial" w:eastAsia="Arial" w:cs="Arial"/>
          <w:color w:val="auto"/>
          <w:sz w:val="22"/>
          <w:szCs w:val="22"/>
        </w:rPr>
        <w:t>The main objective of this research project is to assess the relationship between measures of vitamin D status and self-reported wheeze and asthma in a cohort of young, healthy women who participated in the UMass Vitamin D Status Study.</w:t>
      </w:r>
    </w:p>
    <w:p>
      <w:pPr>
        <w:spacing w:after="0" w:line="200" w:lineRule="exact"/>
        <w:rPr>
          <w:color w:val="auto"/>
          <w:sz w:val="20"/>
          <w:szCs w:val="20"/>
        </w:rPr>
      </w:pPr>
    </w:p>
    <w:p>
      <w:pPr>
        <w:spacing w:after="0" w:line="311"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Hypotheses and Specific Aims</w:t>
      </w:r>
    </w:p>
    <w:p>
      <w:pPr>
        <w:spacing w:after="0" w:line="276"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Hypotheses</w:t>
      </w:r>
    </w:p>
    <w:p>
      <w:pPr>
        <w:spacing w:after="0" w:line="264" w:lineRule="exact"/>
        <w:rPr>
          <w:color w:val="auto"/>
          <w:sz w:val="20"/>
          <w:szCs w:val="20"/>
        </w:rPr>
      </w:pPr>
    </w:p>
    <w:p>
      <w:pPr>
        <w:numPr>
          <w:ilvl w:val="0"/>
          <w:numId w:val="1"/>
        </w:numPr>
        <w:tabs>
          <w:tab w:val="left" w:pos="1080"/>
        </w:tabs>
        <w:spacing w:after="0" w:line="472" w:lineRule="auto"/>
        <w:ind w:left="1080" w:right="20" w:hanging="360"/>
        <w:rPr>
          <w:rFonts w:ascii="Arial" w:hAnsi="Arial" w:eastAsia="Arial" w:cs="Arial"/>
          <w:color w:val="auto"/>
          <w:sz w:val="22"/>
          <w:szCs w:val="22"/>
        </w:rPr>
      </w:pPr>
      <w:r>
        <w:rPr>
          <w:rFonts w:ascii="Arial" w:hAnsi="Arial" w:eastAsia="Arial" w:cs="Arial"/>
          <w:color w:val="auto"/>
          <w:sz w:val="22"/>
          <w:szCs w:val="22"/>
        </w:rPr>
        <w:t>Higher serum 25(OH)D3 concentration will be associated with reduced risk of wheeze and asthma.</w:t>
      </w:r>
    </w:p>
    <w:p>
      <w:pPr>
        <w:spacing w:after="0" w:line="16" w:lineRule="exact"/>
        <w:rPr>
          <w:rFonts w:ascii="Arial" w:hAnsi="Arial" w:eastAsia="Arial" w:cs="Arial"/>
          <w:color w:val="auto"/>
          <w:sz w:val="22"/>
          <w:szCs w:val="22"/>
        </w:rPr>
      </w:pPr>
    </w:p>
    <w:p>
      <w:pPr>
        <w:numPr>
          <w:ilvl w:val="0"/>
          <w:numId w:val="1"/>
        </w:numPr>
        <w:tabs>
          <w:tab w:val="left" w:pos="1080"/>
        </w:tabs>
        <w:spacing w:after="0" w:line="472" w:lineRule="auto"/>
        <w:ind w:left="1080" w:right="120" w:hanging="360"/>
        <w:rPr>
          <w:rFonts w:ascii="Arial" w:hAnsi="Arial" w:eastAsia="Arial" w:cs="Arial"/>
          <w:color w:val="auto"/>
          <w:sz w:val="22"/>
          <w:szCs w:val="22"/>
        </w:rPr>
      </w:pPr>
      <w:r>
        <w:rPr>
          <w:rFonts w:ascii="Arial" w:hAnsi="Arial" w:eastAsia="Arial" w:cs="Arial"/>
          <w:color w:val="auto"/>
          <w:sz w:val="22"/>
          <w:szCs w:val="22"/>
        </w:rPr>
        <w:t>Higher dietary intake of vitamin D will be associated with reduced risk of wheeze and asthma.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2"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33</w:t>
      </w:r>
    </w:p>
    <w:p>
      <w:pPr>
        <w:sectPr>
          <w:pgSz w:w="12240" w:h="15842"/>
          <w:pgMar w:top="1440" w:right="1382" w:bottom="134" w:left="1440" w:header="0" w:footer="0" w:gutter="0"/>
          <w:cols w:equalWidth="0" w:num="1">
            <w:col w:w="9420"/>
          </w:cols>
        </w:sectPr>
      </w:pPr>
    </w:p>
    <w:p>
      <w:pPr>
        <w:spacing w:after="0"/>
        <w:ind w:left="720"/>
        <w:rPr>
          <w:color w:val="auto"/>
          <w:sz w:val="20"/>
          <w:szCs w:val="20"/>
        </w:rPr>
      </w:pPr>
      <w:bookmarkStart w:id="38" w:name="page44"/>
      <w:bookmarkEnd w:id="38"/>
      <w:r>
        <w:rPr>
          <w:rFonts w:ascii="Arial" w:hAnsi="Arial" w:eastAsia="Arial" w:cs="Arial"/>
          <w:b/>
          <w:bCs/>
          <w:color w:val="auto"/>
          <w:sz w:val="22"/>
          <w:szCs w:val="22"/>
        </w:rPr>
        <w:t>Specific aims</w:t>
      </w:r>
    </w:p>
    <w:p>
      <w:pPr>
        <w:spacing w:after="0" w:line="264" w:lineRule="exact"/>
        <w:rPr>
          <w:color w:val="auto"/>
          <w:sz w:val="20"/>
          <w:szCs w:val="20"/>
        </w:rPr>
      </w:pPr>
    </w:p>
    <w:p>
      <w:pPr>
        <w:numPr>
          <w:ilvl w:val="0"/>
          <w:numId w:val="2"/>
        </w:numPr>
        <w:tabs>
          <w:tab w:val="left" w:pos="1027"/>
        </w:tabs>
        <w:spacing w:after="0" w:line="502" w:lineRule="auto"/>
        <w:ind w:left="720" w:right="562"/>
        <w:rPr>
          <w:rFonts w:ascii="Arial" w:hAnsi="Arial" w:eastAsia="Arial" w:cs="Arial"/>
          <w:color w:val="auto"/>
          <w:sz w:val="21"/>
          <w:szCs w:val="21"/>
        </w:rPr>
      </w:pPr>
      <w:r>
        <w:rPr>
          <w:rFonts w:ascii="Arial" w:hAnsi="Arial" w:eastAsia="Arial" w:cs="Arial"/>
          <w:color w:val="auto"/>
          <w:sz w:val="21"/>
          <w:szCs w:val="21"/>
        </w:rPr>
        <w:t>Determine the prevalence of suboptimal vitamin D status and vitamin Deficiency among subjects by measuring serum concentrations of 25 (OH) vitamins D.</w:t>
      </w:r>
    </w:p>
    <w:p>
      <w:pPr>
        <w:numPr>
          <w:ilvl w:val="0"/>
          <w:numId w:val="2"/>
        </w:numPr>
        <w:tabs>
          <w:tab w:val="left" w:pos="1027"/>
        </w:tabs>
        <w:spacing w:after="0" w:line="472" w:lineRule="auto"/>
        <w:ind w:left="720" w:right="262"/>
        <w:rPr>
          <w:rFonts w:ascii="Arial" w:hAnsi="Arial" w:eastAsia="Arial" w:cs="Arial"/>
          <w:color w:val="auto"/>
          <w:sz w:val="22"/>
          <w:szCs w:val="22"/>
        </w:rPr>
      </w:pPr>
      <w:r>
        <w:rPr>
          <w:rFonts w:ascii="Arial" w:hAnsi="Arial" w:eastAsia="Arial" w:cs="Arial"/>
          <w:color w:val="auto"/>
          <w:sz w:val="22"/>
          <w:szCs w:val="22"/>
        </w:rPr>
        <w:t>Assess the relationship between dietary intake of vitamin D and other nutrients and self-reported wheeze and asthma.</w:t>
      </w:r>
    </w:p>
    <w:p>
      <w:pPr>
        <w:spacing w:after="0" w:line="17" w:lineRule="exact"/>
        <w:rPr>
          <w:rFonts w:ascii="Arial" w:hAnsi="Arial" w:eastAsia="Arial" w:cs="Arial"/>
          <w:color w:val="auto"/>
          <w:sz w:val="22"/>
          <w:szCs w:val="22"/>
        </w:rPr>
      </w:pPr>
    </w:p>
    <w:p>
      <w:pPr>
        <w:numPr>
          <w:ilvl w:val="0"/>
          <w:numId w:val="2"/>
        </w:numPr>
        <w:tabs>
          <w:tab w:val="left" w:pos="1090"/>
        </w:tabs>
        <w:spacing w:after="0" w:line="472" w:lineRule="auto"/>
        <w:ind w:left="720" w:right="42"/>
        <w:rPr>
          <w:rFonts w:ascii="Arial" w:hAnsi="Arial" w:eastAsia="Arial" w:cs="Arial"/>
          <w:color w:val="auto"/>
          <w:sz w:val="22"/>
          <w:szCs w:val="22"/>
        </w:rPr>
      </w:pPr>
      <w:r>
        <w:rPr>
          <w:rFonts w:ascii="Arial" w:hAnsi="Arial" w:eastAsia="Arial" w:cs="Arial"/>
          <w:color w:val="auto"/>
          <w:sz w:val="22"/>
          <w:szCs w:val="22"/>
        </w:rPr>
        <w:t>Assess the relationship between serum concentrations of 25(OH) vitamin D and self-reported wheeze and asthma.</w:t>
      </w:r>
    </w:p>
    <w:p>
      <w:pPr>
        <w:spacing w:after="0" w:line="9" w:lineRule="exact"/>
        <w:rPr>
          <w:rFonts w:ascii="Arial" w:hAnsi="Arial" w:eastAsia="Arial" w:cs="Arial"/>
          <w:color w:val="auto"/>
          <w:sz w:val="22"/>
          <w:szCs w:val="22"/>
        </w:rPr>
      </w:pPr>
    </w:p>
    <w:p>
      <w:pPr>
        <w:numPr>
          <w:ilvl w:val="0"/>
          <w:numId w:val="2"/>
        </w:numPr>
        <w:tabs>
          <w:tab w:val="left" w:pos="1080"/>
        </w:tabs>
        <w:spacing w:after="0"/>
        <w:ind w:left="1080" w:hanging="360"/>
        <w:rPr>
          <w:rFonts w:ascii="Arial" w:hAnsi="Arial" w:eastAsia="Arial" w:cs="Arial"/>
          <w:color w:val="auto"/>
          <w:sz w:val="22"/>
          <w:szCs w:val="22"/>
        </w:rPr>
      </w:pPr>
      <w:r>
        <w:rPr>
          <w:rFonts w:ascii="Arial" w:hAnsi="Arial" w:eastAsia="Arial" w:cs="Arial"/>
          <w:color w:val="auto"/>
          <w:sz w:val="22"/>
          <w:szCs w:val="22"/>
        </w:rPr>
        <w:t>Identify the predictors of serum 25 (OH) D in this specific sample.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34</w:t>
      </w:r>
    </w:p>
    <w:p>
      <w:pPr>
        <w:sectPr>
          <w:pgSz w:w="12240" w:h="15842"/>
          <w:pgMar w:top="1435" w:right="1440" w:bottom="134" w:left="1440" w:header="0" w:footer="0" w:gutter="0"/>
          <w:cols w:equalWidth="0" w:num="1">
            <w:col w:w="9362"/>
          </w:cols>
        </w:sectPr>
      </w:pPr>
    </w:p>
    <w:p>
      <w:pPr>
        <w:spacing w:after="0" w:line="200" w:lineRule="exact"/>
        <w:rPr>
          <w:color w:val="auto"/>
          <w:sz w:val="20"/>
          <w:szCs w:val="20"/>
        </w:rPr>
      </w:pPr>
      <w:bookmarkStart w:id="39" w:name="page45"/>
      <w:bookmarkEnd w:id="39"/>
    </w:p>
    <w:p>
      <w:pPr>
        <w:spacing w:after="0" w:line="302" w:lineRule="exact"/>
        <w:rPr>
          <w:color w:val="auto"/>
          <w:sz w:val="20"/>
          <w:szCs w:val="20"/>
        </w:rPr>
      </w:pPr>
    </w:p>
    <w:p>
      <w:pPr>
        <w:spacing w:after="0"/>
        <w:ind w:left="4100"/>
        <w:rPr>
          <w:color w:val="auto"/>
          <w:sz w:val="20"/>
          <w:szCs w:val="20"/>
        </w:rPr>
      </w:pPr>
      <w:r>
        <w:rPr>
          <w:rFonts w:ascii="Arial" w:hAnsi="Arial" w:eastAsia="Arial" w:cs="Arial"/>
          <w:b/>
          <w:bCs/>
          <w:color w:val="auto"/>
          <w:sz w:val="28"/>
          <w:szCs w:val="28"/>
        </w:rPr>
        <w:t>CHAPTER 6</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4" w:lineRule="exact"/>
        <w:rPr>
          <w:color w:val="auto"/>
          <w:sz w:val="20"/>
          <w:szCs w:val="20"/>
        </w:rPr>
      </w:pPr>
    </w:p>
    <w:p>
      <w:pPr>
        <w:spacing w:after="0"/>
        <w:ind w:left="3140"/>
        <w:rPr>
          <w:color w:val="auto"/>
          <w:sz w:val="20"/>
          <w:szCs w:val="20"/>
        </w:rPr>
      </w:pPr>
      <w:r>
        <w:rPr>
          <w:rFonts w:ascii="Arial" w:hAnsi="Arial" w:eastAsia="Arial" w:cs="Arial"/>
          <w:b/>
          <w:bCs/>
          <w:color w:val="auto"/>
          <w:sz w:val="28"/>
          <w:szCs w:val="28"/>
        </w:rPr>
        <w:t>MATERIALS AND METHODS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0"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Study Subjects</w:t>
      </w:r>
    </w:p>
    <w:p>
      <w:pPr>
        <w:spacing w:after="0" w:line="287" w:lineRule="exact"/>
        <w:rPr>
          <w:color w:val="auto"/>
          <w:sz w:val="20"/>
          <w:szCs w:val="20"/>
        </w:rPr>
      </w:pPr>
    </w:p>
    <w:p>
      <w:pPr>
        <w:spacing w:after="0" w:line="479" w:lineRule="auto"/>
        <w:ind w:left="720" w:right="2" w:firstLine="660"/>
        <w:rPr>
          <w:color w:val="auto"/>
          <w:sz w:val="20"/>
          <w:szCs w:val="20"/>
        </w:rPr>
      </w:pPr>
      <w:r>
        <w:rPr>
          <w:rFonts w:ascii="Arial" w:hAnsi="Arial" w:eastAsia="Arial" w:cs="Arial"/>
          <w:color w:val="auto"/>
          <w:sz w:val="22"/>
          <w:szCs w:val="22"/>
        </w:rPr>
        <w:t>The current analyses use data obtained from the University of Massachusetts Vitamin D Status Study, a cross-sectional study conducted by researchers at the University of Massachusetts. The current study includes 186 women between the ages of 18 and 30, mostly from UMass Amherst campus and surrounding community, who were voluntarily enrolled in the study between 2006 and 2008. Amherst is located in Western Massachusetts (latitude, 42.37N and longitude, -72.53W ). Women were excluded from the main study if they were pregnant and/or had any serious chronic diseases, such as heart disease or diabetes, or were currently taking any of the following medications: corticosteroids, anabolic steroids, anticonvulsants, propranolol and cimetidine.</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Data Collection</w:t>
      </w:r>
    </w:p>
    <w:p>
      <w:pPr>
        <w:spacing w:after="0" w:line="274"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Collection of dietary and demographic data</w:t>
      </w:r>
    </w:p>
    <w:p>
      <w:pPr>
        <w:spacing w:after="0" w:line="264" w:lineRule="exact"/>
        <w:rPr>
          <w:color w:val="auto"/>
          <w:sz w:val="20"/>
          <w:szCs w:val="20"/>
        </w:rPr>
      </w:pPr>
    </w:p>
    <w:p>
      <w:pPr>
        <w:spacing w:after="0" w:line="478" w:lineRule="auto"/>
        <w:ind w:left="720" w:right="122" w:firstLine="660"/>
        <w:rPr>
          <w:color w:val="auto"/>
          <w:sz w:val="20"/>
          <w:szCs w:val="20"/>
        </w:rPr>
      </w:pPr>
      <w:r>
        <w:rPr>
          <w:rFonts w:ascii="Arial" w:hAnsi="Arial" w:eastAsia="Arial" w:cs="Arial"/>
          <w:color w:val="auto"/>
          <w:sz w:val="22"/>
          <w:szCs w:val="22"/>
        </w:rPr>
        <w:t>Each participant completed a single 2-hour clinic visit, which was scheduled during the late lacteal phase of her menstrual cycle, three to five days before the expected start of the next menstrual period. At that visit, women completed a previously validated Harvard Food Frequency Questionnaire (Willett, 1985) and a questionnaire designed specifically for this study to elicit demographic and health-related data.</w:t>
      </w:r>
    </w:p>
    <w:p>
      <w:pPr>
        <w:spacing w:after="0" w:line="200" w:lineRule="exact"/>
        <w:rPr>
          <w:color w:val="auto"/>
          <w:sz w:val="20"/>
          <w:szCs w:val="20"/>
        </w:rPr>
      </w:pPr>
    </w:p>
    <w:p>
      <w:pPr>
        <w:spacing w:after="0" w:line="200" w:lineRule="exact"/>
        <w:rPr>
          <w:color w:val="auto"/>
          <w:sz w:val="20"/>
          <w:szCs w:val="20"/>
        </w:rPr>
      </w:pPr>
    </w:p>
    <w:p>
      <w:pPr>
        <w:spacing w:after="0" w:line="36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35</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40" w:name="page46"/>
      <w:bookmarkEnd w:id="40"/>
    </w:p>
    <w:p>
      <w:pPr>
        <w:spacing w:after="0" w:line="477" w:lineRule="auto"/>
        <w:ind w:left="720" w:right="62" w:firstLine="660"/>
        <w:rPr>
          <w:color w:val="auto"/>
          <w:sz w:val="20"/>
          <w:szCs w:val="20"/>
        </w:rPr>
      </w:pPr>
      <w:r>
        <w:rPr>
          <w:rFonts w:ascii="Arial" w:hAnsi="Arial" w:eastAsia="Arial" w:cs="Arial"/>
          <w:color w:val="auto"/>
          <w:sz w:val="22"/>
          <w:szCs w:val="22"/>
        </w:rPr>
        <w:t>The FFQ asked about common food sources of vitamin D (fortified milk and fatty fish) as well as foods that may or may not contain the vitamin, depending on the manufacturer‘s fortification practices (yogurt, cheese, breakfast cereals, fruit juices). The Harvard FFQ was adapted for this study to inquire about food intake in the previous two months.</w:t>
      </w:r>
    </w:p>
    <w:p>
      <w:pPr>
        <w:spacing w:after="0" w:line="200" w:lineRule="exact"/>
        <w:rPr>
          <w:color w:val="auto"/>
          <w:sz w:val="20"/>
          <w:szCs w:val="20"/>
        </w:rPr>
      </w:pPr>
    </w:p>
    <w:p>
      <w:pPr>
        <w:spacing w:after="0" w:line="311"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Measurements</w:t>
      </w:r>
    </w:p>
    <w:p>
      <w:pPr>
        <w:spacing w:after="0" w:line="265" w:lineRule="exact"/>
        <w:rPr>
          <w:color w:val="auto"/>
          <w:sz w:val="20"/>
          <w:szCs w:val="20"/>
        </w:rPr>
      </w:pPr>
    </w:p>
    <w:p>
      <w:pPr>
        <w:spacing w:after="0" w:line="471" w:lineRule="auto"/>
        <w:ind w:left="720" w:right="62" w:firstLine="770"/>
        <w:rPr>
          <w:color w:val="auto"/>
          <w:sz w:val="20"/>
          <w:szCs w:val="20"/>
        </w:rPr>
      </w:pPr>
      <w:r>
        <w:rPr>
          <w:rFonts w:ascii="Arial" w:hAnsi="Arial" w:eastAsia="Arial" w:cs="Arial"/>
          <w:color w:val="auto"/>
          <w:sz w:val="22"/>
          <w:szCs w:val="22"/>
        </w:rPr>
        <w:t>Height, weight and waist circumference were measured during the clinical visit. Height was measured to the nearest 0.5 centimeter; weight in light clothing was measured to the nearest 0.1 kilogram. Waist circumference was measured to the nearest 0.5 inch. Body mass index (BMI) was calculated as weight (kg)/[height (m)]</w:t>
      </w:r>
      <w:r>
        <w:rPr>
          <w:rFonts w:ascii="Arial" w:hAnsi="Arial" w:eastAsia="Arial" w:cs="Arial"/>
          <w:color w:val="auto"/>
          <w:sz w:val="27"/>
          <w:szCs w:val="27"/>
          <w:vertAlign w:val="superscript"/>
        </w:rPr>
        <w:t>2</w:t>
      </w:r>
      <w:r>
        <w:rPr>
          <w:rFonts w:ascii="Arial" w:hAnsi="Arial" w:eastAsia="Arial" w:cs="Arial"/>
          <w:color w:val="auto"/>
          <w:sz w:val="22"/>
          <w:szCs w:val="22"/>
        </w:rPr>
        <w:t>. A dual x-ray absorptiometry (DXA) scan was performed by the same trained technician to determine body composition, including percent body fat. Fasting venous blood samples were obtained by a trained phlebotomist. Blood samples were kept on ice for up to two hours prior to centrifugation and separation into serum and plasma fractions. Serum and plasma were stored at -80ºC until assayed. Serum concentration of 25(OH) vitamin D was measured in the laboratory of Dr. Alayne Ronnenberg using a commercially available radioimmunoassay kit (Diasorin, MN). The coefficient of variation for this assay in the Ronnenberg lab varied from 8 to 13%. Final determination of 25(OH) vitamin D concentrations were calculated using GraphPad Prism version 4.00 for Windows (GraphPad Software, San Diego California, USA).</w:t>
      </w:r>
    </w:p>
    <w:p>
      <w:pPr>
        <w:spacing w:after="0" w:line="200" w:lineRule="exact"/>
        <w:rPr>
          <w:color w:val="auto"/>
          <w:sz w:val="20"/>
          <w:szCs w:val="20"/>
        </w:rPr>
      </w:pPr>
    </w:p>
    <w:p>
      <w:pPr>
        <w:spacing w:after="0" w:line="316"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Respiratory symptom data collection</w:t>
      </w:r>
    </w:p>
    <w:p>
      <w:pPr>
        <w:spacing w:after="0" w:line="264" w:lineRule="exact"/>
        <w:rPr>
          <w:color w:val="auto"/>
          <w:sz w:val="20"/>
          <w:szCs w:val="20"/>
        </w:rPr>
      </w:pPr>
    </w:p>
    <w:p>
      <w:pPr>
        <w:spacing w:after="0" w:line="475" w:lineRule="auto"/>
        <w:ind w:left="720" w:right="182" w:firstLine="660"/>
        <w:rPr>
          <w:color w:val="auto"/>
          <w:sz w:val="20"/>
          <w:szCs w:val="20"/>
        </w:rPr>
      </w:pPr>
      <w:r>
        <w:rPr>
          <w:rFonts w:ascii="Arial" w:hAnsi="Arial" w:eastAsia="Arial" w:cs="Arial"/>
          <w:color w:val="auto"/>
          <w:sz w:val="22"/>
          <w:szCs w:val="22"/>
        </w:rPr>
        <w:t>As part of the health questionnaire, subjects responded to a battery of questions designed to elicit information on respiratory symptoms, including wheeze and the diagnosis of asthma. These questions were derived from previously validated</w:t>
      </w:r>
    </w:p>
    <w:p>
      <w:pPr>
        <w:spacing w:after="0" w:line="264"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36</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41" w:name="page47"/>
      <w:bookmarkEnd w:id="41"/>
    </w:p>
    <w:p>
      <w:pPr>
        <w:spacing w:after="0" w:line="476" w:lineRule="auto"/>
        <w:ind w:left="720" w:right="362"/>
        <w:rPr>
          <w:color w:val="auto"/>
          <w:sz w:val="20"/>
          <w:szCs w:val="20"/>
        </w:rPr>
      </w:pPr>
      <w:r>
        <w:rPr>
          <w:rFonts w:ascii="Arial" w:hAnsi="Arial" w:eastAsia="Arial" w:cs="Arial"/>
          <w:color w:val="auto"/>
          <w:sz w:val="22"/>
          <w:szCs w:val="22"/>
        </w:rPr>
        <w:t>international study of asthma and allergies in childhood study questionnaire. The questionnaire also ascertained whether the participant had eczema, a condition often associated with asthma.</w:t>
      </w:r>
    </w:p>
    <w:p>
      <w:pPr>
        <w:spacing w:after="0" w:line="200" w:lineRule="exact"/>
        <w:rPr>
          <w:color w:val="auto"/>
          <w:sz w:val="20"/>
          <w:szCs w:val="20"/>
        </w:rPr>
      </w:pPr>
    </w:p>
    <w:p>
      <w:pPr>
        <w:spacing w:after="0" w:line="307"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Statistical Analysis</w:t>
      </w:r>
    </w:p>
    <w:p>
      <w:pPr>
        <w:spacing w:after="0" w:line="287" w:lineRule="exact"/>
        <w:rPr>
          <w:color w:val="auto"/>
          <w:sz w:val="20"/>
          <w:szCs w:val="20"/>
        </w:rPr>
      </w:pPr>
    </w:p>
    <w:p>
      <w:pPr>
        <w:spacing w:after="0" w:line="477" w:lineRule="auto"/>
        <w:ind w:left="720" w:right="82" w:firstLine="660"/>
        <w:rPr>
          <w:color w:val="auto"/>
          <w:sz w:val="20"/>
          <w:szCs w:val="20"/>
        </w:rPr>
      </w:pPr>
      <w:r>
        <w:rPr>
          <w:rFonts w:ascii="Arial" w:hAnsi="Arial" w:eastAsia="Arial" w:cs="Arial"/>
          <w:color w:val="auto"/>
          <w:sz w:val="22"/>
          <w:szCs w:val="22"/>
        </w:rPr>
        <w:t>The statistical analysis will be carried out using SAS version 9.2. Descriptive data are summarized using mean ± standard deviations, median, range and percentages. Logarithmic transformation was used to improve normality for variables that were not normally distributed. Statistical significance is set at p≤ 0.05.</w:t>
      </w:r>
    </w:p>
    <w:p>
      <w:pPr>
        <w:spacing w:after="0" w:line="200" w:lineRule="exact"/>
        <w:rPr>
          <w:color w:val="auto"/>
          <w:sz w:val="20"/>
          <w:szCs w:val="20"/>
        </w:rPr>
      </w:pPr>
    </w:p>
    <w:p>
      <w:pPr>
        <w:spacing w:after="0" w:line="308"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Main exposure and outcome variables</w:t>
      </w:r>
    </w:p>
    <w:p>
      <w:pPr>
        <w:spacing w:after="0" w:line="264" w:lineRule="exact"/>
        <w:rPr>
          <w:color w:val="auto"/>
          <w:sz w:val="20"/>
          <w:szCs w:val="20"/>
        </w:rPr>
      </w:pPr>
    </w:p>
    <w:p>
      <w:pPr>
        <w:spacing w:after="0" w:line="479" w:lineRule="auto"/>
        <w:ind w:left="720" w:right="22" w:firstLine="660"/>
        <w:rPr>
          <w:color w:val="auto"/>
          <w:sz w:val="20"/>
          <w:szCs w:val="20"/>
        </w:rPr>
      </w:pPr>
      <w:r>
        <w:rPr>
          <w:rFonts w:ascii="Arial" w:hAnsi="Arial" w:eastAsia="Arial" w:cs="Arial"/>
          <w:color w:val="auto"/>
          <w:sz w:val="22"/>
          <w:szCs w:val="22"/>
        </w:rPr>
        <w:t>The main outcome measures were self-reported wheeze and self-reported asthma, both of which were modeled as dichotomous (yes/no) variables. A secondary outcome measure was serum concentration of 25(OH) vitamin D, which was modeled as a continuous variable, a categorical variable (deficient, suboptimal, optimal), and a dichotomous variable (insufficient, sufficient), depending on the specific analysis. The main exposure variables were indicators of vitamin D status—both energy-adjusted dietary intake of vitamin D, modeled as both a continuous and a dichotomous (below AI/at or above AI) variable, and serum 25(OH) vitamin D concentration, also modeled as both a continuous variable and a categorical (deficient, suboptimal, optimal) variable.</w:t>
      </w:r>
    </w:p>
    <w:p>
      <w:pPr>
        <w:spacing w:after="0" w:line="200" w:lineRule="exact"/>
        <w:rPr>
          <w:color w:val="auto"/>
          <w:sz w:val="20"/>
          <w:szCs w:val="20"/>
        </w:rPr>
      </w:pPr>
    </w:p>
    <w:p>
      <w:pPr>
        <w:spacing w:after="0" w:line="305" w:lineRule="exact"/>
        <w:rPr>
          <w:color w:val="auto"/>
          <w:sz w:val="20"/>
          <w:szCs w:val="20"/>
        </w:rPr>
      </w:pPr>
    </w:p>
    <w:p>
      <w:pPr>
        <w:spacing w:after="0"/>
        <w:ind w:left="720"/>
        <w:rPr>
          <w:color w:val="auto"/>
          <w:sz w:val="20"/>
          <w:szCs w:val="20"/>
        </w:rPr>
      </w:pPr>
      <w:r>
        <w:rPr>
          <w:rFonts w:ascii="Arial" w:hAnsi="Arial" w:eastAsia="Arial" w:cs="Arial"/>
          <w:b/>
          <w:bCs/>
          <w:color w:val="auto"/>
          <w:sz w:val="22"/>
          <w:szCs w:val="22"/>
        </w:rPr>
        <w:t>Covariates</w:t>
      </w:r>
    </w:p>
    <w:p>
      <w:pPr>
        <w:spacing w:after="0" w:line="264" w:lineRule="exact"/>
        <w:rPr>
          <w:color w:val="auto"/>
          <w:sz w:val="20"/>
          <w:szCs w:val="20"/>
        </w:rPr>
      </w:pPr>
    </w:p>
    <w:p>
      <w:pPr>
        <w:spacing w:after="0" w:line="477" w:lineRule="auto"/>
        <w:ind w:left="720" w:right="182" w:firstLine="660"/>
        <w:jc w:val="both"/>
        <w:rPr>
          <w:color w:val="auto"/>
          <w:sz w:val="20"/>
          <w:szCs w:val="20"/>
        </w:rPr>
      </w:pPr>
      <w:r>
        <w:rPr>
          <w:rFonts w:ascii="Arial" w:hAnsi="Arial" w:eastAsia="Arial" w:cs="Arial"/>
          <w:color w:val="auto"/>
          <w:sz w:val="22"/>
          <w:szCs w:val="22"/>
        </w:rPr>
        <w:t>The main covariates of interest include BMI, percent body fat, age, and smoking history. Other covariates considered for inclusion in final models include sun exposure, season of blood draw, oral contraceptive (OC) use, activity level, and numerous dietary factors, including intake of vitamins C and E and omega-3 fatty acids.</w:t>
      </w:r>
    </w:p>
    <w:p>
      <w:pPr>
        <w:spacing w:after="0" w:line="21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37</w:t>
      </w:r>
    </w:p>
    <w:p>
      <w:pPr>
        <w:sectPr>
          <w:pgSz w:w="12240" w:h="15842"/>
          <w:pgMar w:top="1440" w:right="1440" w:bottom="134" w:left="1440" w:header="0" w:footer="0" w:gutter="0"/>
          <w:cols w:equalWidth="0" w:num="1">
            <w:col w:w="9362"/>
          </w:cols>
        </w:sectPr>
      </w:pPr>
    </w:p>
    <w:p>
      <w:pPr>
        <w:spacing w:after="0"/>
        <w:ind w:left="720"/>
        <w:rPr>
          <w:color w:val="auto"/>
          <w:sz w:val="20"/>
          <w:szCs w:val="20"/>
        </w:rPr>
      </w:pPr>
      <w:bookmarkStart w:id="42" w:name="page48"/>
      <w:bookmarkEnd w:id="42"/>
      <w:r>
        <w:rPr>
          <w:rFonts w:ascii="Arial" w:hAnsi="Arial" w:eastAsia="Arial" w:cs="Arial"/>
          <w:b/>
          <w:bCs/>
          <w:color w:val="auto"/>
          <w:sz w:val="22"/>
          <w:szCs w:val="22"/>
        </w:rPr>
        <w:t>Statistical tests</w:t>
      </w:r>
    </w:p>
    <w:p>
      <w:pPr>
        <w:spacing w:after="0" w:line="264" w:lineRule="exact"/>
        <w:rPr>
          <w:color w:val="auto"/>
          <w:sz w:val="20"/>
          <w:szCs w:val="20"/>
        </w:rPr>
      </w:pPr>
    </w:p>
    <w:p>
      <w:pPr>
        <w:spacing w:after="0" w:line="479" w:lineRule="auto"/>
        <w:ind w:left="720" w:right="142" w:firstLine="660"/>
        <w:rPr>
          <w:color w:val="auto"/>
          <w:sz w:val="20"/>
          <w:szCs w:val="20"/>
        </w:rPr>
      </w:pPr>
      <w:r>
        <w:rPr>
          <w:rFonts w:ascii="Arial" w:hAnsi="Arial" w:eastAsia="Arial" w:cs="Arial"/>
          <w:color w:val="auto"/>
          <w:sz w:val="22"/>
          <w:szCs w:val="22"/>
        </w:rPr>
        <w:t>Chi-Square tests for equivalence of proportions and t-tests for equality of means were used to assess the relationship between covariates and asthma/wheeze and the relationship between covariates and measures of vitamin D status (dietary intake and serum concentration of 25(OH) vitamin D). To achieve the second and third study aims, which are to assess the relationship between dietary intake of vitamin D, serum 25(OH) D and other nutrients and self-reported wheeze and asthma, simple logistic regression was used first to calculate a crude prevalence odds ratio (POR) and 95% confidence interval (CI) between dietary intake of vitamin D and other nutrients and asthma and wheeze. For each univariable logistic model, variables with a p value of ≤ 0.25 were entered into multiple logistic regression models. Final models describing each of the relationships include covariates that are significant at the p≤ 0.10 level as well as other variables, such as BMI and smoking status, which may be considered important components of the model. The results of multiple logistic regressions are expressed as odds ratios (OR) with 95% CI.</w:t>
      </w:r>
    </w:p>
    <w:p>
      <w:pPr>
        <w:spacing w:after="0" w:line="200" w:lineRule="exact"/>
        <w:rPr>
          <w:color w:val="auto"/>
          <w:sz w:val="20"/>
          <w:szCs w:val="20"/>
        </w:rPr>
      </w:pPr>
    </w:p>
    <w:p>
      <w:pPr>
        <w:spacing w:after="0" w:line="322" w:lineRule="exact"/>
        <w:rPr>
          <w:color w:val="auto"/>
          <w:sz w:val="20"/>
          <w:szCs w:val="20"/>
        </w:rPr>
      </w:pPr>
    </w:p>
    <w:p>
      <w:pPr>
        <w:spacing w:after="0" w:line="478" w:lineRule="auto"/>
        <w:ind w:left="720" w:right="102" w:firstLine="660"/>
        <w:rPr>
          <w:color w:val="auto"/>
          <w:sz w:val="20"/>
          <w:szCs w:val="20"/>
        </w:rPr>
      </w:pPr>
      <w:r>
        <w:rPr>
          <w:rFonts w:ascii="Arial" w:hAnsi="Arial" w:eastAsia="Arial" w:cs="Arial"/>
          <w:color w:val="auto"/>
          <w:sz w:val="22"/>
          <w:szCs w:val="22"/>
        </w:rPr>
        <w:t>Linear regression was used to identify the predictors of serum 25(OH)D in our sample. Simple linear regression was used to identify potential predictors; variables that were associated with vitamin D at the level of p ≤ 0.25 were included in multivariable linear regression models. The criteria for variable inclusion in the final regression model was similar to that used for multiple logistic regression, described above.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0"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38</w:t>
      </w:r>
    </w:p>
    <w:p>
      <w:pPr>
        <w:sectPr>
          <w:pgSz w:w="12240" w:h="15842"/>
          <w:pgMar w:top="1435" w:right="1440" w:bottom="134" w:left="1440" w:header="0" w:footer="0" w:gutter="0"/>
          <w:cols w:equalWidth="0" w:num="1">
            <w:col w:w="9362"/>
          </w:cols>
        </w:sectPr>
      </w:pPr>
    </w:p>
    <w:p>
      <w:pPr>
        <w:spacing w:after="0" w:line="200" w:lineRule="exact"/>
        <w:rPr>
          <w:color w:val="auto"/>
          <w:sz w:val="20"/>
          <w:szCs w:val="20"/>
        </w:rPr>
      </w:pPr>
      <w:bookmarkStart w:id="43" w:name="page49"/>
      <w:bookmarkEnd w:id="43"/>
    </w:p>
    <w:p>
      <w:pPr>
        <w:spacing w:after="0" w:line="200" w:lineRule="exact"/>
        <w:rPr>
          <w:color w:val="auto"/>
          <w:sz w:val="20"/>
          <w:szCs w:val="20"/>
        </w:rPr>
      </w:pPr>
    </w:p>
    <w:p>
      <w:pPr>
        <w:spacing w:after="0" w:line="239" w:lineRule="exact"/>
        <w:rPr>
          <w:color w:val="auto"/>
          <w:sz w:val="20"/>
          <w:szCs w:val="20"/>
        </w:rPr>
      </w:pPr>
    </w:p>
    <w:p>
      <w:pPr>
        <w:spacing w:after="0"/>
        <w:ind w:left="4500"/>
        <w:rPr>
          <w:color w:val="auto"/>
          <w:sz w:val="20"/>
          <w:szCs w:val="20"/>
        </w:rPr>
      </w:pPr>
      <w:r>
        <w:rPr>
          <w:rFonts w:ascii="Arial" w:hAnsi="Arial" w:eastAsia="Arial" w:cs="Arial"/>
          <w:b/>
          <w:bCs/>
          <w:color w:val="auto"/>
          <w:sz w:val="28"/>
          <w:szCs w:val="28"/>
        </w:rPr>
        <w:t>CHAPTER 7</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ind w:left="4660"/>
        <w:rPr>
          <w:color w:val="auto"/>
          <w:sz w:val="20"/>
          <w:szCs w:val="20"/>
        </w:rPr>
      </w:pPr>
      <w:r>
        <w:rPr>
          <w:rFonts w:ascii="Arial" w:hAnsi="Arial" w:eastAsia="Arial" w:cs="Arial"/>
          <w:b/>
          <w:bCs/>
          <w:color w:val="auto"/>
          <w:sz w:val="28"/>
          <w:szCs w:val="28"/>
        </w:rPr>
        <w:t>RESULTS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8" w:lineRule="exact"/>
        <w:rPr>
          <w:color w:val="auto"/>
          <w:sz w:val="20"/>
          <w:szCs w:val="20"/>
        </w:rPr>
      </w:pPr>
    </w:p>
    <w:p>
      <w:pPr>
        <w:spacing w:after="0" w:line="448" w:lineRule="auto"/>
        <w:ind w:left="720" w:right="202" w:firstLine="660"/>
        <w:jc w:val="both"/>
        <w:rPr>
          <w:color w:val="auto"/>
          <w:sz w:val="20"/>
          <w:szCs w:val="20"/>
        </w:rPr>
      </w:pPr>
      <w:r>
        <w:rPr>
          <w:rFonts w:ascii="Arial" w:hAnsi="Arial" w:eastAsia="Arial" w:cs="Arial"/>
          <w:color w:val="auto"/>
          <w:sz w:val="22"/>
          <w:szCs w:val="22"/>
        </w:rPr>
        <w:t>There were 186 women enrolled in the study, most of whom (85.5%) were white (Table 7.1). The mean age was 21.5 (SD=3.2) years and the mean BMI was 23 kg/m</w:t>
      </w:r>
      <w:r>
        <w:rPr>
          <w:rFonts w:ascii="Arial" w:hAnsi="Arial" w:eastAsia="Arial" w:cs="Arial"/>
          <w:color w:val="auto"/>
          <w:sz w:val="27"/>
          <w:szCs w:val="27"/>
          <w:vertAlign w:val="superscript"/>
        </w:rPr>
        <w:t>2</w:t>
      </w:r>
      <w:r>
        <w:rPr>
          <w:rFonts w:ascii="Arial" w:hAnsi="Arial" w:eastAsia="Arial" w:cs="Arial"/>
          <w:color w:val="auto"/>
          <w:sz w:val="22"/>
          <w:szCs w:val="22"/>
        </w:rPr>
        <w:t>. Mean dietary intakes of vitamin D and energy were 375 IU and 2187 kcal, respectively.</w:t>
      </w:r>
    </w:p>
    <w:p>
      <w:pPr>
        <w:spacing w:after="0" w:line="200" w:lineRule="exact"/>
        <w:rPr>
          <w:color w:val="auto"/>
          <w:sz w:val="20"/>
          <w:szCs w:val="20"/>
        </w:rPr>
      </w:pPr>
    </w:p>
    <w:p>
      <w:pPr>
        <w:spacing w:after="0" w:line="299" w:lineRule="exact"/>
        <w:rPr>
          <w:color w:val="auto"/>
          <w:sz w:val="20"/>
          <w:szCs w:val="20"/>
        </w:rPr>
      </w:pPr>
    </w:p>
    <w:p>
      <w:pPr>
        <w:spacing w:after="0" w:line="478" w:lineRule="auto"/>
        <w:ind w:left="720" w:right="2" w:firstLine="660"/>
        <w:rPr>
          <w:color w:val="auto"/>
          <w:sz w:val="20"/>
          <w:szCs w:val="20"/>
        </w:rPr>
      </w:pPr>
      <w:r>
        <w:rPr>
          <w:rFonts w:ascii="Arial" w:hAnsi="Arial" w:eastAsia="Arial" w:cs="Arial"/>
          <w:color w:val="auto"/>
          <w:sz w:val="22"/>
          <w:szCs w:val="22"/>
        </w:rPr>
        <w:t>Characteristics of study participants based on optimal ( ≥75nmol/L n=84) versus suboptimal (&lt; 75nmol/L n=102) serum levels of 25-OH vitamin D are also included in Table 7.1. Although the mean (± SD) levels of most covariates did not differ by vitamin D status, dietary vitamin D intake was significantly greater (p =0.04) in the group with optimal vitamin D status than in the group with suboptimal serum levels of 25-OH vitamin D. A total of 82 participants reported having experienced wheeze or asthma symptoms in the past 12 month. Of these, 37(45%) had suboptimal serum 25(OH) D and 45(55%) had optimal vitamin D status. The proportion of women with suboptimal vitamin D status differed significantly according to sun exposure (p&lt;0.02) and race (p&lt; 0.01).</w:t>
      </w:r>
    </w:p>
    <w:p>
      <w:pPr>
        <w:spacing w:after="0" w:line="200" w:lineRule="exact"/>
        <w:rPr>
          <w:color w:val="auto"/>
          <w:sz w:val="20"/>
          <w:szCs w:val="20"/>
        </w:rPr>
      </w:pPr>
    </w:p>
    <w:p>
      <w:pPr>
        <w:spacing w:after="0" w:line="326" w:lineRule="exact"/>
        <w:rPr>
          <w:color w:val="auto"/>
          <w:sz w:val="20"/>
          <w:szCs w:val="20"/>
        </w:rPr>
      </w:pPr>
    </w:p>
    <w:p>
      <w:pPr>
        <w:spacing w:after="0" w:line="477" w:lineRule="auto"/>
        <w:ind w:left="720" w:right="42" w:firstLine="660"/>
        <w:rPr>
          <w:color w:val="auto"/>
          <w:sz w:val="20"/>
          <w:szCs w:val="20"/>
        </w:rPr>
      </w:pPr>
      <w:r>
        <w:rPr>
          <w:rFonts w:ascii="Arial" w:hAnsi="Arial" w:eastAsia="Arial" w:cs="Arial"/>
          <w:color w:val="auto"/>
          <w:sz w:val="22"/>
          <w:szCs w:val="22"/>
        </w:rPr>
        <w:t>Characteristics of the study sample based on wheeze/asthma symptoms are shown in Table 7.2. Older, more active women and those with lower serum 25(OH) D levels reported fewer wheeze/asthma symptoms. In addition, the group with asthma/wheeze symptoms had significantly higher serum 25(OH) D status (p=0.02) than women without symptoms. The proportion of women who had low dietary vitamin D</w:t>
      </w:r>
    </w:p>
    <w:p>
      <w:pPr>
        <w:spacing w:after="0" w:line="200" w:lineRule="exact"/>
        <w:rPr>
          <w:color w:val="auto"/>
          <w:sz w:val="20"/>
          <w:szCs w:val="20"/>
        </w:rPr>
      </w:pPr>
    </w:p>
    <w:p>
      <w:pPr>
        <w:spacing w:after="0" w:line="387"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39</w:t>
      </w:r>
    </w:p>
    <w:p>
      <w:pPr>
        <w:sectPr>
          <w:pgSz w:w="12240" w:h="15842"/>
          <w:pgMar w:top="1440" w:right="1440" w:bottom="134" w:left="1440" w:header="0" w:footer="0" w:gutter="0"/>
          <w:cols w:equalWidth="0" w:num="1">
            <w:col w:w="9362"/>
          </w:cols>
        </w:sectPr>
      </w:pPr>
    </w:p>
    <w:p>
      <w:pPr>
        <w:spacing w:after="0" w:line="6" w:lineRule="exact"/>
        <w:rPr>
          <w:color w:val="auto"/>
          <w:sz w:val="20"/>
          <w:szCs w:val="20"/>
        </w:rPr>
      </w:pPr>
      <w:bookmarkStart w:id="44" w:name="page50"/>
      <w:bookmarkEnd w:id="44"/>
    </w:p>
    <w:p>
      <w:pPr>
        <w:spacing w:after="0" w:line="472" w:lineRule="auto"/>
        <w:ind w:left="720" w:right="362"/>
        <w:rPr>
          <w:color w:val="auto"/>
          <w:sz w:val="20"/>
          <w:szCs w:val="20"/>
        </w:rPr>
      </w:pPr>
      <w:r>
        <w:rPr>
          <w:rFonts w:ascii="Arial" w:hAnsi="Arial" w:eastAsia="Arial" w:cs="Arial"/>
          <w:color w:val="auto"/>
          <w:sz w:val="22"/>
          <w:szCs w:val="22"/>
        </w:rPr>
        <w:t>intake, short time (≤ 2 hours) spent outside in minimal clothing and high hs-CRP level were significantly higher in women with symptoms than in those without.</w:t>
      </w:r>
    </w:p>
    <w:p>
      <w:pPr>
        <w:spacing w:after="0" w:line="7" w:lineRule="exact"/>
        <w:rPr>
          <w:color w:val="auto"/>
          <w:sz w:val="20"/>
          <w:szCs w:val="20"/>
        </w:rPr>
      </w:pPr>
    </w:p>
    <w:p>
      <w:pPr>
        <w:spacing w:after="0"/>
        <w:ind w:left="720"/>
        <w:rPr>
          <w:color w:val="auto"/>
          <w:sz w:val="20"/>
          <w:szCs w:val="20"/>
        </w:rPr>
      </w:pPr>
      <w:r>
        <w:rPr>
          <w:rFonts w:ascii="Arial" w:hAnsi="Arial" w:eastAsia="Arial" w:cs="Arial"/>
          <w:b/>
          <w:bCs/>
          <w:color w:val="auto"/>
          <w:sz w:val="21"/>
          <w:szCs w:val="21"/>
        </w:rPr>
        <w:t>Table 7.1 Distribution of participant characteristics by serum 25(OH)D</w:t>
      </w:r>
    </w:p>
    <w:tbl>
      <w:tblPr>
        <w:tblStyle w:val="3"/>
        <w:tblW w:w="0" w:type="auto"/>
        <w:tblInd w:w="700" w:type="dxa"/>
        <w:tblLayout w:type="fixed"/>
        <w:tblCellMar>
          <w:top w:w="0" w:type="dxa"/>
          <w:left w:w="0" w:type="dxa"/>
          <w:bottom w:w="0" w:type="dxa"/>
          <w:right w:w="0" w:type="dxa"/>
        </w:tblCellMar>
      </w:tblPr>
      <w:tblGrid>
        <w:gridCol w:w="2580"/>
        <w:gridCol w:w="1240"/>
        <w:gridCol w:w="1360"/>
        <w:gridCol w:w="1420"/>
        <w:gridCol w:w="1040"/>
        <w:gridCol w:w="360"/>
      </w:tblGrid>
      <w:tr>
        <w:tblPrEx>
          <w:tblCellMar>
            <w:top w:w="0" w:type="dxa"/>
            <w:left w:w="0" w:type="dxa"/>
            <w:bottom w:w="0" w:type="dxa"/>
            <w:right w:w="0" w:type="dxa"/>
          </w:tblCellMar>
        </w:tblPrEx>
        <w:trPr>
          <w:trHeight w:val="220" w:hRule="atLeast"/>
        </w:trPr>
        <w:tc>
          <w:tcPr>
            <w:tcW w:w="2580" w:type="dxa"/>
            <w:tcBorders>
              <w:top w:val="single" w:color="auto" w:sz="8" w:space="0"/>
            </w:tcBorders>
            <w:vAlign w:val="bottom"/>
          </w:tcPr>
          <w:p>
            <w:pPr>
              <w:spacing w:after="0"/>
              <w:rPr>
                <w:color w:val="auto"/>
                <w:sz w:val="19"/>
                <w:szCs w:val="19"/>
              </w:rPr>
            </w:pPr>
          </w:p>
        </w:tc>
        <w:tc>
          <w:tcPr>
            <w:tcW w:w="1240" w:type="dxa"/>
            <w:tcBorders>
              <w:top w:val="single" w:color="auto" w:sz="8" w:space="0"/>
            </w:tcBorders>
            <w:vAlign w:val="bottom"/>
          </w:tcPr>
          <w:p>
            <w:pPr>
              <w:spacing w:after="0"/>
              <w:rPr>
                <w:color w:val="auto"/>
                <w:sz w:val="19"/>
                <w:szCs w:val="19"/>
              </w:rPr>
            </w:pPr>
          </w:p>
        </w:tc>
        <w:tc>
          <w:tcPr>
            <w:tcW w:w="1360" w:type="dxa"/>
            <w:tcBorders>
              <w:top w:val="single" w:color="auto" w:sz="8" w:space="0"/>
            </w:tcBorders>
            <w:vAlign w:val="bottom"/>
          </w:tcPr>
          <w:p>
            <w:pPr>
              <w:spacing w:after="0" w:line="220" w:lineRule="exact"/>
              <w:ind w:left="120"/>
              <w:rPr>
                <w:color w:val="auto"/>
                <w:sz w:val="20"/>
                <w:szCs w:val="20"/>
              </w:rPr>
            </w:pPr>
            <w:r>
              <w:rPr>
                <w:rFonts w:ascii="Arial" w:hAnsi="Arial" w:eastAsia="Arial" w:cs="Arial"/>
                <w:b/>
                <w:bCs/>
                <w:color w:val="auto"/>
                <w:sz w:val="20"/>
                <w:szCs w:val="20"/>
              </w:rPr>
              <w:t>Serum</w:t>
            </w:r>
          </w:p>
        </w:tc>
        <w:tc>
          <w:tcPr>
            <w:tcW w:w="1420" w:type="dxa"/>
            <w:tcBorders>
              <w:top w:val="single" w:color="auto" w:sz="8" w:space="0"/>
            </w:tcBorders>
            <w:vAlign w:val="bottom"/>
          </w:tcPr>
          <w:p>
            <w:pPr>
              <w:spacing w:after="0" w:line="220" w:lineRule="exact"/>
              <w:ind w:left="160"/>
              <w:rPr>
                <w:color w:val="auto"/>
                <w:sz w:val="20"/>
                <w:szCs w:val="20"/>
              </w:rPr>
            </w:pPr>
            <w:r>
              <w:rPr>
                <w:rFonts w:ascii="Arial" w:hAnsi="Arial" w:eastAsia="Arial" w:cs="Arial"/>
                <w:b/>
                <w:bCs/>
                <w:color w:val="auto"/>
                <w:sz w:val="20"/>
                <w:szCs w:val="20"/>
              </w:rPr>
              <w:t>Serum</w:t>
            </w:r>
          </w:p>
        </w:tc>
        <w:tc>
          <w:tcPr>
            <w:tcW w:w="1040" w:type="dxa"/>
            <w:tcBorders>
              <w:top w:val="single" w:color="auto" w:sz="8" w:space="0"/>
            </w:tcBorders>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27" w:hRule="atLeast"/>
        </w:trPr>
        <w:tc>
          <w:tcPr>
            <w:tcW w:w="2580" w:type="dxa"/>
            <w:vAlign w:val="bottom"/>
          </w:tcPr>
          <w:p>
            <w:pPr>
              <w:spacing w:after="0"/>
              <w:rPr>
                <w:color w:val="auto"/>
                <w:sz w:val="19"/>
                <w:szCs w:val="19"/>
              </w:rPr>
            </w:pPr>
          </w:p>
        </w:tc>
        <w:tc>
          <w:tcPr>
            <w:tcW w:w="1240" w:type="dxa"/>
            <w:vMerge w:val="restart"/>
            <w:vAlign w:val="bottom"/>
          </w:tcPr>
          <w:p>
            <w:pPr>
              <w:spacing w:after="0"/>
              <w:ind w:left="220"/>
              <w:rPr>
                <w:color w:val="auto"/>
                <w:sz w:val="20"/>
                <w:szCs w:val="20"/>
              </w:rPr>
            </w:pPr>
            <w:r>
              <w:rPr>
                <w:rFonts w:ascii="Arial" w:hAnsi="Arial" w:eastAsia="Arial" w:cs="Arial"/>
                <w:b/>
                <w:bCs/>
                <w:color w:val="auto"/>
                <w:sz w:val="20"/>
                <w:szCs w:val="20"/>
              </w:rPr>
              <w:t>Total</w:t>
            </w:r>
          </w:p>
        </w:tc>
        <w:tc>
          <w:tcPr>
            <w:tcW w:w="1360" w:type="dxa"/>
            <w:vAlign w:val="bottom"/>
          </w:tcPr>
          <w:p>
            <w:pPr>
              <w:spacing w:after="0" w:line="227" w:lineRule="exact"/>
              <w:ind w:left="120"/>
              <w:rPr>
                <w:color w:val="auto"/>
                <w:sz w:val="20"/>
                <w:szCs w:val="20"/>
              </w:rPr>
            </w:pPr>
            <w:r>
              <w:rPr>
                <w:rFonts w:ascii="Arial" w:hAnsi="Arial" w:eastAsia="Arial" w:cs="Arial"/>
                <w:b/>
                <w:bCs/>
                <w:color w:val="auto"/>
                <w:sz w:val="20"/>
                <w:szCs w:val="20"/>
              </w:rPr>
              <w:t>vitamin D</w:t>
            </w:r>
          </w:p>
        </w:tc>
        <w:tc>
          <w:tcPr>
            <w:tcW w:w="1420" w:type="dxa"/>
            <w:vAlign w:val="bottom"/>
          </w:tcPr>
          <w:p>
            <w:pPr>
              <w:spacing w:after="0" w:line="227" w:lineRule="exact"/>
              <w:ind w:left="160"/>
              <w:rPr>
                <w:color w:val="auto"/>
                <w:sz w:val="20"/>
                <w:szCs w:val="20"/>
              </w:rPr>
            </w:pPr>
            <w:r>
              <w:rPr>
                <w:rFonts w:ascii="Arial" w:hAnsi="Arial" w:eastAsia="Arial" w:cs="Arial"/>
                <w:b/>
                <w:bCs/>
                <w:color w:val="auto"/>
                <w:sz w:val="20"/>
                <w:szCs w:val="20"/>
              </w:rPr>
              <w:t>vitamin D</w:t>
            </w:r>
          </w:p>
        </w:tc>
        <w:tc>
          <w:tcPr>
            <w:tcW w:w="1040" w:type="dxa"/>
            <w:vMerge w:val="restart"/>
            <w:vAlign w:val="bottom"/>
          </w:tcPr>
          <w:p>
            <w:pPr>
              <w:spacing w:after="0"/>
              <w:ind w:left="120"/>
              <w:rPr>
                <w:color w:val="auto"/>
                <w:sz w:val="20"/>
                <w:szCs w:val="20"/>
              </w:rPr>
            </w:pPr>
            <w:r>
              <w:rPr>
                <w:rFonts w:ascii="Arial" w:hAnsi="Arial" w:eastAsia="Arial" w:cs="Arial"/>
                <w:b/>
                <w:bCs/>
                <w:color w:val="auto"/>
                <w:sz w:val="20"/>
                <w:szCs w:val="20"/>
              </w:rPr>
              <w:t>p-</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95" w:hRule="atLeast"/>
        </w:trPr>
        <w:tc>
          <w:tcPr>
            <w:tcW w:w="2580" w:type="dxa"/>
            <w:vMerge w:val="restart"/>
            <w:vAlign w:val="bottom"/>
          </w:tcPr>
          <w:p>
            <w:pPr>
              <w:spacing w:after="0"/>
              <w:ind w:left="120"/>
              <w:rPr>
                <w:color w:val="auto"/>
                <w:sz w:val="20"/>
                <w:szCs w:val="20"/>
              </w:rPr>
            </w:pPr>
            <w:r>
              <w:rPr>
                <w:rFonts w:ascii="Arial" w:hAnsi="Arial" w:eastAsia="Arial" w:cs="Arial"/>
                <w:b/>
                <w:bCs/>
                <w:color w:val="auto"/>
                <w:sz w:val="20"/>
                <w:szCs w:val="20"/>
              </w:rPr>
              <w:t>Variable</w:t>
            </w:r>
          </w:p>
        </w:tc>
        <w:tc>
          <w:tcPr>
            <w:tcW w:w="1240" w:type="dxa"/>
            <w:vMerge w:val="continue"/>
            <w:vAlign w:val="bottom"/>
          </w:tcPr>
          <w:p>
            <w:pPr>
              <w:spacing w:after="0"/>
              <w:rPr>
                <w:color w:val="auto"/>
                <w:sz w:val="8"/>
                <w:szCs w:val="8"/>
              </w:rPr>
            </w:pPr>
          </w:p>
        </w:tc>
        <w:tc>
          <w:tcPr>
            <w:tcW w:w="1360" w:type="dxa"/>
            <w:vMerge w:val="restart"/>
            <w:vAlign w:val="bottom"/>
          </w:tcPr>
          <w:p>
            <w:pPr>
              <w:spacing w:after="0"/>
              <w:ind w:left="120"/>
              <w:rPr>
                <w:color w:val="auto"/>
                <w:sz w:val="20"/>
                <w:szCs w:val="20"/>
              </w:rPr>
            </w:pPr>
            <w:r>
              <w:rPr>
                <w:rFonts w:ascii="Arial" w:hAnsi="Arial" w:eastAsia="Arial" w:cs="Arial"/>
                <w:b/>
                <w:bCs/>
                <w:color w:val="auto"/>
                <w:sz w:val="20"/>
                <w:szCs w:val="20"/>
              </w:rPr>
              <w:t>status</w:t>
            </w:r>
          </w:p>
        </w:tc>
        <w:tc>
          <w:tcPr>
            <w:tcW w:w="1420" w:type="dxa"/>
            <w:vMerge w:val="restart"/>
            <w:vAlign w:val="bottom"/>
          </w:tcPr>
          <w:p>
            <w:pPr>
              <w:spacing w:after="0"/>
              <w:ind w:left="160"/>
              <w:rPr>
                <w:color w:val="auto"/>
                <w:sz w:val="20"/>
                <w:szCs w:val="20"/>
              </w:rPr>
            </w:pPr>
            <w:r>
              <w:rPr>
                <w:rFonts w:ascii="Arial" w:hAnsi="Arial" w:eastAsia="Arial" w:cs="Arial"/>
                <w:b/>
                <w:bCs/>
                <w:color w:val="auto"/>
                <w:sz w:val="20"/>
                <w:szCs w:val="20"/>
              </w:rPr>
              <w:t>status</w:t>
            </w:r>
          </w:p>
        </w:tc>
        <w:tc>
          <w:tcPr>
            <w:tcW w:w="1040" w:type="dxa"/>
            <w:vMerge w:val="continue"/>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52" w:hRule="atLeast"/>
        </w:trPr>
        <w:tc>
          <w:tcPr>
            <w:tcW w:w="2580" w:type="dxa"/>
            <w:vMerge w:val="continue"/>
            <w:vAlign w:val="bottom"/>
          </w:tcPr>
          <w:p>
            <w:pPr>
              <w:spacing w:after="0"/>
              <w:rPr>
                <w:color w:val="auto"/>
                <w:sz w:val="13"/>
                <w:szCs w:val="13"/>
              </w:rPr>
            </w:pPr>
          </w:p>
        </w:tc>
        <w:tc>
          <w:tcPr>
            <w:tcW w:w="1240" w:type="dxa"/>
            <w:vAlign w:val="bottom"/>
          </w:tcPr>
          <w:p>
            <w:pPr>
              <w:spacing w:after="0"/>
              <w:rPr>
                <w:color w:val="auto"/>
                <w:sz w:val="13"/>
                <w:szCs w:val="13"/>
              </w:rPr>
            </w:pPr>
          </w:p>
        </w:tc>
        <w:tc>
          <w:tcPr>
            <w:tcW w:w="1360" w:type="dxa"/>
            <w:vMerge w:val="continue"/>
            <w:vAlign w:val="bottom"/>
          </w:tcPr>
          <w:p>
            <w:pPr>
              <w:spacing w:after="0"/>
              <w:rPr>
                <w:color w:val="auto"/>
                <w:sz w:val="13"/>
                <w:szCs w:val="13"/>
              </w:rPr>
            </w:pPr>
          </w:p>
        </w:tc>
        <w:tc>
          <w:tcPr>
            <w:tcW w:w="1420" w:type="dxa"/>
            <w:vMerge w:val="continue"/>
            <w:vAlign w:val="bottom"/>
          </w:tcPr>
          <w:p>
            <w:pPr>
              <w:spacing w:after="0"/>
              <w:rPr>
                <w:color w:val="auto"/>
                <w:sz w:val="13"/>
                <w:szCs w:val="13"/>
              </w:rPr>
            </w:pPr>
          </w:p>
        </w:tc>
        <w:tc>
          <w:tcPr>
            <w:tcW w:w="1040" w:type="dxa"/>
            <w:vAlign w:val="bottom"/>
          </w:tcPr>
          <w:p>
            <w:pPr>
              <w:spacing w:after="0" w:line="152" w:lineRule="exact"/>
              <w:ind w:left="120"/>
              <w:rPr>
                <w:color w:val="auto"/>
                <w:sz w:val="20"/>
                <w:szCs w:val="20"/>
              </w:rPr>
            </w:pPr>
            <w:r>
              <w:rPr>
                <w:rFonts w:ascii="Arial" w:hAnsi="Arial" w:eastAsia="Arial" w:cs="Arial"/>
                <w:b/>
                <w:bCs/>
                <w:color w:val="auto"/>
                <w:sz w:val="14"/>
                <w:szCs w:val="14"/>
              </w:rPr>
              <w:t>value</w:t>
            </w:r>
            <w:r>
              <w:rPr>
                <w:rFonts w:ascii="Arial" w:hAnsi="Arial" w:eastAsia="Arial" w:cs="Arial"/>
                <w:b/>
                <w:bCs/>
                <w:color w:val="auto"/>
                <w:sz w:val="17"/>
                <w:szCs w:val="17"/>
                <w:vertAlign w:val="superscript"/>
              </w:rPr>
              <w:t>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21" w:hRule="atLeast"/>
        </w:trPr>
        <w:tc>
          <w:tcPr>
            <w:tcW w:w="2580" w:type="dxa"/>
            <w:vAlign w:val="bottom"/>
          </w:tcPr>
          <w:p>
            <w:pPr>
              <w:spacing w:after="0"/>
              <w:rPr>
                <w:color w:val="auto"/>
                <w:sz w:val="19"/>
                <w:szCs w:val="19"/>
              </w:rPr>
            </w:pPr>
          </w:p>
        </w:tc>
        <w:tc>
          <w:tcPr>
            <w:tcW w:w="1240" w:type="dxa"/>
            <w:tcBorders>
              <w:bottom w:val="single" w:color="auto" w:sz="8" w:space="0"/>
            </w:tcBorders>
            <w:vAlign w:val="bottom"/>
          </w:tcPr>
          <w:p>
            <w:pPr>
              <w:spacing w:after="0"/>
              <w:rPr>
                <w:color w:val="auto"/>
                <w:sz w:val="19"/>
                <w:szCs w:val="19"/>
              </w:rPr>
            </w:pPr>
          </w:p>
        </w:tc>
        <w:tc>
          <w:tcPr>
            <w:tcW w:w="1360" w:type="dxa"/>
            <w:tcBorders>
              <w:bottom w:val="single" w:color="auto" w:sz="8" w:space="0"/>
            </w:tcBorders>
            <w:vAlign w:val="bottom"/>
          </w:tcPr>
          <w:p>
            <w:pPr>
              <w:spacing w:after="0" w:line="220" w:lineRule="exact"/>
              <w:ind w:left="120"/>
              <w:rPr>
                <w:color w:val="auto"/>
                <w:sz w:val="20"/>
                <w:szCs w:val="20"/>
              </w:rPr>
            </w:pPr>
            <w:r>
              <w:rPr>
                <w:rFonts w:ascii="Arial" w:hAnsi="Arial" w:eastAsia="Arial" w:cs="Arial"/>
                <w:b/>
                <w:bCs/>
                <w:color w:val="auto"/>
                <w:sz w:val="20"/>
                <w:szCs w:val="20"/>
              </w:rPr>
              <w:t>suboptimal</w:t>
            </w:r>
          </w:p>
        </w:tc>
        <w:tc>
          <w:tcPr>
            <w:tcW w:w="1420" w:type="dxa"/>
            <w:tcBorders>
              <w:bottom w:val="single" w:color="auto" w:sz="8" w:space="0"/>
            </w:tcBorders>
            <w:vAlign w:val="bottom"/>
          </w:tcPr>
          <w:p>
            <w:pPr>
              <w:spacing w:after="0" w:line="220" w:lineRule="exact"/>
              <w:ind w:left="160"/>
              <w:rPr>
                <w:color w:val="auto"/>
                <w:sz w:val="20"/>
                <w:szCs w:val="20"/>
              </w:rPr>
            </w:pPr>
            <w:r>
              <w:rPr>
                <w:rFonts w:ascii="Arial" w:hAnsi="Arial" w:eastAsia="Arial" w:cs="Arial"/>
                <w:b/>
                <w:bCs/>
                <w:color w:val="auto"/>
                <w:sz w:val="20"/>
                <w:szCs w:val="20"/>
              </w:rPr>
              <w:t>optimal</w:t>
            </w:r>
          </w:p>
        </w:tc>
        <w:tc>
          <w:tcPr>
            <w:tcW w:w="104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9" w:hRule="atLeast"/>
        </w:trPr>
        <w:tc>
          <w:tcPr>
            <w:tcW w:w="2580" w:type="dxa"/>
            <w:tcBorders>
              <w:bottom w:val="single" w:color="auto" w:sz="8" w:space="0"/>
            </w:tcBorders>
            <w:vAlign w:val="bottom"/>
          </w:tcPr>
          <w:p>
            <w:pPr>
              <w:spacing w:after="0"/>
              <w:rPr>
                <w:color w:val="auto"/>
                <w:sz w:val="19"/>
                <w:szCs w:val="19"/>
              </w:rPr>
            </w:pPr>
          </w:p>
        </w:tc>
        <w:tc>
          <w:tcPr>
            <w:tcW w:w="1240" w:type="dxa"/>
            <w:tcBorders>
              <w:bottom w:val="single" w:color="auto" w:sz="8" w:space="0"/>
            </w:tcBorders>
            <w:vAlign w:val="bottom"/>
          </w:tcPr>
          <w:p>
            <w:pPr>
              <w:spacing w:after="0" w:line="219" w:lineRule="exact"/>
              <w:ind w:left="140"/>
              <w:jc w:val="center"/>
              <w:rPr>
                <w:color w:val="auto"/>
                <w:sz w:val="20"/>
                <w:szCs w:val="20"/>
              </w:rPr>
            </w:pPr>
            <w:r>
              <w:rPr>
                <w:rFonts w:ascii="Arial" w:hAnsi="Arial" w:eastAsia="Arial" w:cs="Arial"/>
                <w:b/>
                <w:bCs/>
                <w:color w:val="auto"/>
                <w:w w:val="97"/>
                <w:sz w:val="20"/>
                <w:szCs w:val="20"/>
              </w:rPr>
              <w:t>n=186</w:t>
            </w:r>
          </w:p>
        </w:tc>
        <w:tc>
          <w:tcPr>
            <w:tcW w:w="1360" w:type="dxa"/>
            <w:tcBorders>
              <w:bottom w:val="single" w:color="auto" w:sz="8" w:space="0"/>
            </w:tcBorders>
            <w:vAlign w:val="bottom"/>
          </w:tcPr>
          <w:p>
            <w:pPr>
              <w:spacing w:after="0" w:line="219" w:lineRule="exact"/>
              <w:ind w:left="380"/>
              <w:rPr>
                <w:color w:val="auto"/>
                <w:sz w:val="20"/>
                <w:szCs w:val="20"/>
              </w:rPr>
            </w:pPr>
            <w:r>
              <w:rPr>
                <w:rFonts w:ascii="Arial" w:hAnsi="Arial" w:eastAsia="Arial" w:cs="Arial"/>
                <w:b/>
                <w:bCs/>
                <w:color w:val="auto"/>
                <w:sz w:val="20"/>
                <w:szCs w:val="20"/>
              </w:rPr>
              <w:t>n=102</w:t>
            </w:r>
          </w:p>
        </w:tc>
        <w:tc>
          <w:tcPr>
            <w:tcW w:w="1420" w:type="dxa"/>
            <w:tcBorders>
              <w:bottom w:val="single" w:color="auto" w:sz="8" w:space="0"/>
            </w:tcBorders>
            <w:vAlign w:val="bottom"/>
          </w:tcPr>
          <w:p>
            <w:pPr>
              <w:spacing w:after="0" w:line="219" w:lineRule="exact"/>
              <w:ind w:left="440"/>
              <w:rPr>
                <w:color w:val="auto"/>
                <w:sz w:val="20"/>
                <w:szCs w:val="20"/>
              </w:rPr>
            </w:pPr>
            <w:r>
              <w:rPr>
                <w:rFonts w:ascii="Arial" w:hAnsi="Arial" w:eastAsia="Arial" w:cs="Arial"/>
                <w:b/>
                <w:bCs/>
                <w:color w:val="auto"/>
                <w:sz w:val="20"/>
                <w:szCs w:val="20"/>
              </w:rPr>
              <w:t>n=84</w:t>
            </w:r>
          </w:p>
        </w:tc>
        <w:tc>
          <w:tcPr>
            <w:tcW w:w="1040" w:type="dxa"/>
            <w:tcBorders>
              <w:bottom w:val="single" w:color="auto" w:sz="8" w:space="0"/>
            </w:tcBorders>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6" w:hRule="atLeast"/>
        </w:trPr>
        <w:tc>
          <w:tcPr>
            <w:tcW w:w="2580" w:type="dxa"/>
            <w:vAlign w:val="bottom"/>
          </w:tcPr>
          <w:p>
            <w:pPr>
              <w:spacing w:after="0"/>
              <w:rPr>
                <w:color w:val="auto"/>
                <w:sz w:val="24"/>
                <w:szCs w:val="24"/>
              </w:rPr>
            </w:pPr>
          </w:p>
        </w:tc>
        <w:tc>
          <w:tcPr>
            <w:tcW w:w="1240" w:type="dxa"/>
            <w:vAlign w:val="bottom"/>
          </w:tcPr>
          <w:p>
            <w:pPr>
              <w:spacing w:after="0"/>
              <w:ind w:left="140"/>
              <w:rPr>
                <w:color w:val="auto"/>
                <w:sz w:val="20"/>
                <w:szCs w:val="20"/>
              </w:rPr>
            </w:pPr>
            <w:r>
              <w:rPr>
                <w:rFonts w:ascii="Arial" w:hAnsi="Arial" w:eastAsia="Arial" w:cs="Arial"/>
                <w:b/>
                <w:bCs/>
                <w:color w:val="auto"/>
                <w:sz w:val="20"/>
                <w:szCs w:val="20"/>
              </w:rPr>
              <w:t>Mean (SD)</w:t>
            </w:r>
          </w:p>
        </w:tc>
        <w:tc>
          <w:tcPr>
            <w:tcW w:w="1360" w:type="dxa"/>
            <w:vAlign w:val="bottom"/>
          </w:tcPr>
          <w:p>
            <w:pPr>
              <w:spacing w:after="0"/>
              <w:ind w:left="240"/>
              <w:rPr>
                <w:color w:val="auto"/>
                <w:sz w:val="20"/>
                <w:szCs w:val="20"/>
              </w:rPr>
            </w:pPr>
            <w:r>
              <w:rPr>
                <w:rFonts w:ascii="Arial" w:hAnsi="Arial" w:eastAsia="Arial" w:cs="Arial"/>
                <w:b/>
                <w:bCs/>
                <w:color w:val="auto"/>
                <w:sz w:val="20"/>
                <w:szCs w:val="20"/>
              </w:rPr>
              <w:t>Mean (SD)</w:t>
            </w:r>
          </w:p>
        </w:tc>
        <w:tc>
          <w:tcPr>
            <w:tcW w:w="1420" w:type="dxa"/>
            <w:vAlign w:val="bottom"/>
          </w:tcPr>
          <w:p>
            <w:pPr>
              <w:spacing w:after="0"/>
              <w:ind w:left="280"/>
              <w:rPr>
                <w:color w:val="auto"/>
                <w:sz w:val="20"/>
                <w:szCs w:val="20"/>
              </w:rPr>
            </w:pPr>
            <w:r>
              <w:rPr>
                <w:rFonts w:ascii="Arial" w:hAnsi="Arial" w:eastAsia="Arial" w:cs="Arial"/>
                <w:b/>
                <w:bCs/>
                <w:color w:val="auto"/>
                <w:sz w:val="20"/>
                <w:szCs w:val="20"/>
              </w:rPr>
              <w:t>Mean (SD)</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29"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Age( years)</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21.5(3.2)</w:t>
            </w:r>
          </w:p>
        </w:tc>
        <w:tc>
          <w:tcPr>
            <w:tcW w:w="1360" w:type="dxa"/>
            <w:vAlign w:val="bottom"/>
          </w:tcPr>
          <w:p>
            <w:pPr>
              <w:spacing w:after="0"/>
              <w:jc w:val="center"/>
              <w:rPr>
                <w:color w:val="auto"/>
                <w:sz w:val="20"/>
                <w:szCs w:val="20"/>
              </w:rPr>
            </w:pPr>
            <w:r>
              <w:rPr>
                <w:rFonts w:ascii="Arial" w:hAnsi="Arial" w:eastAsia="Arial" w:cs="Arial"/>
                <w:color w:val="auto"/>
                <w:w w:val="99"/>
                <w:sz w:val="20"/>
                <w:szCs w:val="20"/>
              </w:rPr>
              <w:t>21.8(3.4)</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21.3(2.9)</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0.32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7" w:hRule="atLeast"/>
        </w:trPr>
        <w:tc>
          <w:tcPr>
            <w:tcW w:w="2580" w:type="dxa"/>
            <w:vAlign w:val="bottom"/>
          </w:tcPr>
          <w:p>
            <w:pPr>
              <w:spacing w:after="0" w:line="288" w:lineRule="exact"/>
              <w:ind w:left="120"/>
              <w:rPr>
                <w:color w:val="auto"/>
                <w:sz w:val="20"/>
                <w:szCs w:val="20"/>
              </w:rPr>
            </w:pPr>
            <w:r>
              <w:rPr>
                <w:rFonts w:ascii="Arial" w:hAnsi="Arial" w:eastAsia="Arial" w:cs="Arial"/>
                <w:b/>
                <w:bCs/>
                <w:color w:val="auto"/>
                <w:sz w:val="20"/>
                <w:szCs w:val="20"/>
              </w:rPr>
              <w:t>BMI</w:t>
            </w:r>
            <w:r>
              <w:rPr>
                <w:rFonts w:ascii="MS Gothic" w:hAnsi="MS Gothic" w:eastAsia="MS Gothic" w:cs="MS Gothic"/>
                <w:b/>
                <w:bCs/>
                <w:color w:val="auto"/>
                <w:sz w:val="20"/>
                <w:szCs w:val="20"/>
              </w:rPr>
              <w:t>（</w:t>
            </w:r>
            <w:r>
              <w:rPr>
                <w:rFonts w:ascii="Arial" w:hAnsi="Arial" w:eastAsia="Arial" w:cs="Arial"/>
                <w:b/>
                <w:bCs/>
                <w:color w:val="auto"/>
                <w:sz w:val="20"/>
                <w:szCs w:val="20"/>
              </w:rPr>
              <w:t>kg/m</w:t>
            </w:r>
            <w:r>
              <w:rPr>
                <w:rFonts w:ascii="Arial" w:hAnsi="Arial" w:eastAsia="Arial" w:cs="Arial"/>
                <w:b/>
                <w:bCs/>
                <w:color w:val="auto"/>
                <w:sz w:val="25"/>
                <w:szCs w:val="25"/>
                <w:vertAlign w:val="superscript"/>
              </w:rPr>
              <w:t>2</w:t>
            </w:r>
            <w:r>
              <w:rPr>
                <w:rFonts w:ascii="MS Gothic" w:hAnsi="MS Gothic" w:eastAsia="MS Gothic" w:cs="MS Gothic"/>
                <w:b/>
                <w:bCs/>
                <w:color w:val="auto"/>
                <w:sz w:val="20"/>
                <w:szCs w:val="20"/>
              </w:rPr>
              <w:t>）</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23.0(3.2)</w:t>
            </w:r>
          </w:p>
        </w:tc>
        <w:tc>
          <w:tcPr>
            <w:tcW w:w="1360" w:type="dxa"/>
            <w:vAlign w:val="bottom"/>
          </w:tcPr>
          <w:p>
            <w:pPr>
              <w:spacing w:after="0"/>
              <w:jc w:val="center"/>
              <w:rPr>
                <w:color w:val="auto"/>
                <w:sz w:val="20"/>
                <w:szCs w:val="20"/>
              </w:rPr>
            </w:pPr>
            <w:r>
              <w:rPr>
                <w:rFonts w:ascii="Arial" w:hAnsi="Arial" w:eastAsia="Arial" w:cs="Arial"/>
                <w:color w:val="auto"/>
                <w:w w:val="99"/>
                <w:sz w:val="20"/>
                <w:szCs w:val="20"/>
              </w:rPr>
              <w:t>23.1(3.3)</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23.0(2.9)</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0.76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2" w:hRule="atLeast"/>
        </w:trPr>
        <w:tc>
          <w:tcPr>
            <w:tcW w:w="2580" w:type="dxa"/>
            <w:vMerge w:val="restart"/>
            <w:vAlign w:val="bottom"/>
          </w:tcPr>
          <w:p>
            <w:pPr>
              <w:spacing w:after="0"/>
              <w:ind w:left="120"/>
              <w:rPr>
                <w:color w:val="auto"/>
                <w:sz w:val="20"/>
                <w:szCs w:val="20"/>
              </w:rPr>
            </w:pPr>
            <w:r>
              <w:rPr>
                <w:rFonts w:ascii="Arial" w:hAnsi="Arial" w:eastAsia="Arial" w:cs="Arial"/>
                <w:b/>
                <w:bCs/>
                <w:color w:val="auto"/>
                <w:sz w:val="20"/>
                <w:szCs w:val="20"/>
              </w:rPr>
              <w:t>Body Fat (%)</w:t>
            </w:r>
          </w:p>
        </w:tc>
        <w:tc>
          <w:tcPr>
            <w:tcW w:w="1240" w:type="dxa"/>
            <w:vMerge w:val="restart"/>
            <w:vAlign w:val="bottom"/>
          </w:tcPr>
          <w:p>
            <w:pPr>
              <w:spacing w:after="0"/>
              <w:jc w:val="center"/>
              <w:rPr>
                <w:color w:val="auto"/>
                <w:sz w:val="20"/>
                <w:szCs w:val="20"/>
              </w:rPr>
            </w:pPr>
            <w:r>
              <w:rPr>
                <w:rFonts w:ascii="Arial" w:hAnsi="Arial" w:eastAsia="Arial" w:cs="Arial"/>
                <w:color w:val="auto"/>
                <w:w w:val="99"/>
                <w:sz w:val="20"/>
                <w:szCs w:val="20"/>
              </w:rPr>
              <w:t>31.9(7.9)</w:t>
            </w:r>
          </w:p>
        </w:tc>
        <w:tc>
          <w:tcPr>
            <w:tcW w:w="1360" w:type="dxa"/>
            <w:vAlign w:val="bottom"/>
          </w:tcPr>
          <w:p>
            <w:pPr>
              <w:spacing w:after="0"/>
              <w:jc w:val="center"/>
              <w:rPr>
                <w:color w:val="auto"/>
                <w:sz w:val="20"/>
                <w:szCs w:val="20"/>
              </w:rPr>
            </w:pPr>
            <w:r>
              <w:rPr>
                <w:rFonts w:ascii="Arial" w:hAnsi="Arial" w:eastAsia="Arial" w:cs="Arial"/>
                <w:color w:val="auto"/>
                <w:w w:val="99"/>
                <w:sz w:val="20"/>
                <w:szCs w:val="20"/>
              </w:rPr>
              <w:t>32.4(8.1)</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31.3(7,7)</w:t>
            </w:r>
          </w:p>
        </w:tc>
        <w:tc>
          <w:tcPr>
            <w:tcW w:w="1040" w:type="dxa"/>
            <w:vMerge w:val="restart"/>
            <w:vAlign w:val="bottom"/>
          </w:tcPr>
          <w:p>
            <w:pPr>
              <w:spacing w:after="0"/>
              <w:jc w:val="center"/>
              <w:rPr>
                <w:color w:val="auto"/>
                <w:sz w:val="20"/>
                <w:szCs w:val="20"/>
              </w:rPr>
            </w:pPr>
            <w:r>
              <w:rPr>
                <w:rFonts w:ascii="Arial" w:hAnsi="Arial" w:eastAsia="Arial" w:cs="Arial"/>
                <w:color w:val="auto"/>
                <w:w w:val="97"/>
                <w:sz w:val="20"/>
                <w:szCs w:val="20"/>
              </w:rPr>
              <w:t>0.35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580" w:type="dxa"/>
            <w:vMerge w:val="continue"/>
            <w:vAlign w:val="bottom"/>
          </w:tcPr>
          <w:p>
            <w:pPr>
              <w:spacing w:after="0"/>
              <w:rPr>
                <w:color w:val="auto"/>
                <w:sz w:val="10"/>
                <w:szCs w:val="10"/>
              </w:rPr>
            </w:pPr>
          </w:p>
        </w:tc>
        <w:tc>
          <w:tcPr>
            <w:tcW w:w="1240" w:type="dxa"/>
            <w:vMerge w:val="continue"/>
            <w:vAlign w:val="bottom"/>
          </w:tcPr>
          <w:p>
            <w:pPr>
              <w:spacing w:after="0"/>
              <w:rPr>
                <w:color w:val="auto"/>
                <w:sz w:val="10"/>
                <w:szCs w:val="10"/>
              </w:rPr>
            </w:pPr>
          </w:p>
        </w:tc>
        <w:tc>
          <w:tcPr>
            <w:tcW w:w="1360" w:type="dxa"/>
            <w:vMerge w:val="restart"/>
            <w:vAlign w:val="bottom"/>
          </w:tcPr>
          <w:p>
            <w:pPr>
              <w:spacing w:after="0"/>
              <w:jc w:val="center"/>
              <w:rPr>
                <w:color w:val="auto"/>
                <w:sz w:val="20"/>
                <w:szCs w:val="20"/>
              </w:rPr>
            </w:pPr>
            <w:r>
              <w:rPr>
                <w:rFonts w:ascii="Arial" w:hAnsi="Arial" w:eastAsia="Arial" w:cs="Arial"/>
                <w:color w:val="auto"/>
                <w:w w:val="97"/>
                <w:sz w:val="20"/>
                <w:szCs w:val="20"/>
              </w:rPr>
              <w:t>n=97</w:t>
            </w:r>
          </w:p>
        </w:tc>
        <w:tc>
          <w:tcPr>
            <w:tcW w:w="1420" w:type="dxa"/>
            <w:vMerge w:val="restart"/>
            <w:vAlign w:val="bottom"/>
          </w:tcPr>
          <w:p>
            <w:pPr>
              <w:spacing w:after="0"/>
              <w:jc w:val="center"/>
              <w:rPr>
                <w:color w:val="auto"/>
                <w:sz w:val="20"/>
                <w:szCs w:val="20"/>
              </w:rPr>
            </w:pPr>
            <w:r>
              <w:rPr>
                <w:rFonts w:ascii="Arial" w:hAnsi="Arial" w:eastAsia="Arial" w:cs="Arial"/>
                <w:color w:val="auto"/>
                <w:w w:val="97"/>
                <w:sz w:val="20"/>
                <w:szCs w:val="20"/>
              </w:rPr>
              <w:t>n=80</w:t>
            </w: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580" w:type="dxa"/>
            <w:vAlign w:val="bottom"/>
          </w:tcPr>
          <w:p>
            <w:pPr>
              <w:spacing w:after="0"/>
              <w:rPr>
                <w:color w:val="auto"/>
                <w:sz w:val="10"/>
                <w:szCs w:val="10"/>
              </w:rPr>
            </w:pPr>
          </w:p>
        </w:tc>
        <w:tc>
          <w:tcPr>
            <w:tcW w:w="1240" w:type="dxa"/>
            <w:vAlign w:val="bottom"/>
          </w:tcPr>
          <w:p>
            <w:pPr>
              <w:spacing w:after="0"/>
              <w:rPr>
                <w:color w:val="auto"/>
                <w:sz w:val="10"/>
                <w:szCs w:val="10"/>
              </w:rPr>
            </w:pPr>
          </w:p>
        </w:tc>
        <w:tc>
          <w:tcPr>
            <w:tcW w:w="1360" w:type="dxa"/>
            <w:vMerge w:val="continue"/>
            <w:vAlign w:val="bottom"/>
          </w:tcPr>
          <w:p>
            <w:pPr>
              <w:spacing w:after="0"/>
              <w:rPr>
                <w:color w:val="auto"/>
                <w:sz w:val="10"/>
                <w:szCs w:val="10"/>
              </w:rPr>
            </w:pPr>
          </w:p>
        </w:tc>
        <w:tc>
          <w:tcPr>
            <w:tcW w:w="1420" w:type="dxa"/>
            <w:vMerge w:val="continue"/>
            <w:vAlign w:val="bottom"/>
          </w:tcPr>
          <w:p>
            <w:pPr>
              <w:spacing w:after="0"/>
              <w:rPr>
                <w:color w:val="auto"/>
                <w:sz w:val="10"/>
                <w:szCs w:val="10"/>
              </w:rPr>
            </w:pPr>
          </w:p>
        </w:tc>
        <w:tc>
          <w:tcPr>
            <w:tcW w:w="1040" w:type="dxa"/>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53"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Physical Activity</w:t>
            </w:r>
          </w:p>
        </w:tc>
        <w:tc>
          <w:tcPr>
            <w:tcW w:w="1240" w:type="dxa"/>
            <w:vMerge w:val="restart"/>
            <w:vAlign w:val="bottom"/>
          </w:tcPr>
          <w:p>
            <w:pPr>
              <w:spacing w:after="0"/>
              <w:jc w:val="center"/>
              <w:rPr>
                <w:color w:val="auto"/>
                <w:sz w:val="20"/>
                <w:szCs w:val="20"/>
              </w:rPr>
            </w:pPr>
            <w:r>
              <w:rPr>
                <w:rFonts w:ascii="Arial" w:hAnsi="Arial" w:eastAsia="Arial" w:cs="Arial"/>
                <w:color w:val="auto"/>
                <w:w w:val="98"/>
                <w:sz w:val="20"/>
                <w:szCs w:val="20"/>
              </w:rPr>
              <w:t>9.0(3.6)</w:t>
            </w:r>
          </w:p>
        </w:tc>
        <w:tc>
          <w:tcPr>
            <w:tcW w:w="1360" w:type="dxa"/>
            <w:vMerge w:val="restart"/>
            <w:vAlign w:val="bottom"/>
          </w:tcPr>
          <w:p>
            <w:pPr>
              <w:spacing w:after="0"/>
              <w:jc w:val="center"/>
              <w:rPr>
                <w:color w:val="auto"/>
                <w:sz w:val="20"/>
                <w:szCs w:val="20"/>
              </w:rPr>
            </w:pPr>
            <w:r>
              <w:rPr>
                <w:rFonts w:ascii="Arial" w:hAnsi="Arial" w:eastAsia="Arial" w:cs="Arial"/>
                <w:color w:val="auto"/>
                <w:w w:val="98"/>
                <w:sz w:val="20"/>
                <w:szCs w:val="20"/>
              </w:rPr>
              <w:t>9.4(3.7)</w:t>
            </w:r>
          </w:p>
        </w:tc>
        <w:tc>
          <w:tcPr>
            <w:tcW w:w="1420" w:type="dxa"/>
            <w:vMerge w:val="restart"/>
            <w:vAlign w:val="bottom"/>
          </w:tcPr>
          <w:p>
            <w:pPr>
              <w:spacing w:after="0"/>
              <w:jc w:val="center"/>
              <w:rPr>
                <w:color w:val="auto"/>
                <w:sz w:val="20"/>
                <w:szCs w:val="20"/>
              </w:rPr>
            </w:pPr>
            <w:r>
              <w:rPr>
                <w:rFonts w:ascii="Arial" w:hAnsi="Arial" w:eastAsia="Arial" w:cs="Arial"/>
                <w:color w:val="auto"/>
                <w:w w:val="98"/>
                <w:sz w:val="20"/>
                <w:szCs w:val="20"/>
              </w:rPr>
              <w:t>8.6(3.3)</w:t>
            </w:r>
          </w:p>
        </w:tc>
        <w:tc>
          <w:tcPr>
            <w:tcW w:w="1040" w:type="dxa"/>
            <w:vMerge w:val="restart"/>
            <w:vAlign w:val="bottom"/>
          </w:tcPr>
          <w:p>
            <w:pPr>
              <w:spacing w:after="0"/>
              <w:jc w:val="center"/>
              <w:rPr>
                <w:color w:val="auto"/>
                <w:sz w:val="20"/>
                <w:szCs w:val="20"/>
              </w:rPr>
            </w:pPr>
            <w:r>
              <w:rPr>
                <w:rFonts w:ascii="Arial" w:hAnsi="Arial" w:eastAsia="Arial" w:cs="Arial"/>
                <w:color w:val="auto"/>
                <w:w w:val="97"/>
                <w:sz w:val="20"/>
                <w:szCs w:val="20"/>
              </w:rPr>
              <w:t>0.21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3"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(MET</w:t>
            </w:r>
            <w:r>
              <w:rPr>
                <w:rFonts w:ascii="Arial" w:hAnsi="Arial" w:eastAsia="Arial" w:cs="Arial"/>
                <w:b/>
                <w:bCs/>
                <w:color w:val="auto"/>
                <w:sz w:val="25"/>
                <w:szCs w:val="25"/>
                <w:vertAlign w:val="superscript"/>
              </w:rPr>
              <w:t>2</w:t>
            </w:r>
            <w:r>
              <w:rPr>
                <w:rFonts w:ascii="Arial" w:hAnsi="Arial" w:eastAsia="Arial" w:cs="Arial"/>
                <w:b/>
                <w:bCs/>
                <w:color w:val="auto"/>
                <w:sz w:val="20"/>
                <w:szCs w:val="20"/>
              </w:rPr>
              <w:t>/week)</w:t>
            </w:r>
          </w:p>
        </w:tc>
        <w:tc>
          <w:tcPr>
            <w:tcW w:w="1240" w:type="dxa"/>
            <w:vMerge w:val="continue"/>
            <w:vAlign w:val="bottom"/>
          </w:tcPr>
          <w:p>
            <w:pPr>
              <w:spacing w:after="0"/>
              <w:rPr>
                <w:color w:val="auto"/>
                <w:sz w:val="24"/>
                <w:szCs w:val="24"/>
              </w:rPr>
            </w:pPr>
          </w:p>
        </w:tc>
        <w:tc>
          <w:tcPr>
            <w:tcW w:w="1360" w:type="dxa"/>
            <w:vMerge w:val="continue"/>
            <w:vAlign w:val="bottom"/>
          </w:tcPr>
          <w:p>
            <w:pPr>
              <w:spacing w:after="0"/>
              <w:rPr>
                <w:color w:val="auto"/>
                <w:sz w:val="24"/>
                <w:szCs w:val="24"/>
              </w:rPr>
            </w:pPr>
          </w:p>
        </w:tc>
        <w:tc>
          <w:tcPr>
            <w:tcW w:w="1420" w:type="dxa"/>
            <w:vMerge w:val="continue"/>
            <w:vAlign w:val="bottom"/>
          </w:tcPr>
          <w:p>
            <w:pPr>
              <w:spacing w:after="0"/>
              <w:rPr>
                <w:color w:val="auto"/>
                <w:sz w:val="24"/>
                <w:szCs w:val="24"/>
              </w:rPr>
            </w:pPr>
          </w:p>
        </w:tc>
        <w:tc>
          <w:tcPr>
            <w:tcW w:w="1040" w:type="dxa"/>
            <w:vMerge w:val="continue"/>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0"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Dietary intake</w:t>
            </w:r>
          </w:p>
        </w:tc>
        <w:tc>
          <w:tcPr>
            <w:tcW w:w="1240" w:type="dxa"/>
            <w:vAlign w:val="bottom"/>
          </w:tcPr>
          <w:p>
            <w:pPr>
              <w:spacing w:after="0"/>
              <w:rPr>
                <w:color w:val="auto"/>
                <w:sz w:val="20"/>
                <w:szCs w:val="20"/>
              </w:rPr>
            </w:pPr>
          </w:p>
        </w:tc>
        <w:tc>
          <w:tcPr>
            <w:tcW w:w="1360" w:type="dxa"/>
            <w:vAlign w:val="bottom"/>
          </w:tcPr>
          <w:p>
            <w:pPr>
              <w:spacing w:after="0"/>
              <w:rPr>
                <w:color w:val="auto"/>
                <w:sz w:val="20"/>
                <w:szCs w:val="20"/>
              </w:rPr>
            </w:pPr>
          </w:p>
        </w:tc>
        <w:tc>
          <w:tcPr>
            <w:tcW w:w="1420" w:type="dxa"/>
            <w:vAlign w:val="bottom"/>
          </w:tcPr>
          <w:p>
            <w:pPr>
              <w:spacing w:after="0"/>
              <w:rPr>
                <w:color w:val="auto"/>
                <w:sz w:val="20"/>
                <w:szCs w:val="20"/>
              </w:rPr>
            </w:pPr>
          </w:p>
        </w:tc>
        <w:tc>
          <w:tcPr>
            <w:tcW w:w="1040" w:type="dxa"/>
            <w:vAlign w:val="bottom"/>
          </w:tcPr>
          <w:p>
            <w:pPr>
              <w:spacing w:after="0"/>
              <w:rPr>
                <w:color w:val="auto"/>
                <w:sz w:val="20"/>
                <w:szCs w:val="2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34"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Vitamin D ( IU)</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375(269)</w:t>
            </w:r>
          </w:p>
        </w:tc>
        <w:tc>
          <w:tcPr>
            <w:tcW w:w="1360" w:type="dxa"/>
            <w:vAlign w:val="bottom"/>
          </w:tcPr>
          <w:p>
            <w:pPr>
              <w:spacing w:after="0"/>
              <w:jc w:val="center"/>
              <w:rPr>
                <w:color w:val="auto"/>
                <w:sz w:val="20"/>
                <w:szCs w:val="20"/>
              </w:rPr>
            </w:pPr>
            <w:r>
              <w:rPr>
                <w:rFonts w:ascii="Arial" w:hAnsi="Arial" w:eastAsia="Arial" w:cs="Arial"/>
                <w:color w:val="auto"/>
                <w:w w:val="99"/>
                <w:sz w:val="20"/>
                <w:szCs w:val="20"/>
              </w:rPr>
              <w:t>338(234)</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421(303)</w:t>
            </w: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Vitamin C (mg)</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208(180)</w:t>
            </w:r>
          </w:p>
        </w:tc>
        <w:tc>
          <w:tcPr>
            <w:tcW w:w="1360" w:type="dxa"/>
            <w:vAlign w:val="bottom"/>
          </w:tcPr>
          <w:p>
            <w:pPr>
              <w:spacing w:after="0"/>
              <w:jc w:val="center"/>
              <w:rPr>
                <w:color w:val="auto"/>
                <w:sz w:val="20"/>
                <w:szCs w:val="20"/>
              </w:rPr>
            </w:pPr>
            <w:r>
              <w:rPr>
                <w:rFonts w:ascii="Arial" w:hAnsi="Arial" w:eastAsia="Arial" w:cs="Arial"/>
                <w:color w:val="auto"/>
                <w:w w:val="99"/>
                <w:sz w:val="20"/>
                <w:szCs w:val="20"/>
              </w:rPr>
              <w:t>209(157)</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206(205)</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0.92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Vitamin E (mg)</w:t>
            </w:r>
          </w:p>
        </w:tc>
        <w:tc>
          <w:tcPr>
            <w:tcW w:w="1240" w:type="dxa"/>
            <w:vAlign w:val="bottom"/>
          </w:tcPr>
          <w:p>
            <w:pPr>
              <w:spacing w:after="0"/>
              <w:jc w:val="center"/>
              <w:rPr>
                <w:color w:val="auto"/>
                <w:sz w:val="20"/>
                <w:szCs w:val="20"/>
              </w:rPr>
            </w:pPr>
            <w:r>
              <w:rPr>
                <w:rFonts w:ascii="Arial" w:hAnsi="Arial" w:eastAsia="Arial" w:cs="Arial"/>
                <w:color w:val="auto"/>
                <w:sz w:val="20"/>
                <w:szCs w:val="20"/>
              </w:rPr>
              <w:t>18.4(29.9)</w:t>
            </w:r>
          </w:p>
        </w:tc>
        <w:tc>
          <w:tcPr>
            <w:tcW w:w="1360" w:type="dxa"/>
            <w:vAlign w:val="bottom"/>
          </w:tcPr>
          <w:p>
            <w:pPr>
              <w:spacing w:after="0"/>
              <w:jc w:val="center"/>
              <w:rPr>
                <w:color w:val="auto"/>
                <w:sz w:val="20"/>
                <w:szCs w:val="20"/>
              </w:rPr>
            </w:pPr>
            <w:r>
              <w:rPr>
                <w:rFonts w:ascii="Arial" w:hAnsi="Arial" w:eastAsia="Arial" w:cs="Arial"/>
                <w:color w:val="auto"/>
                <w:sz w:val="20"/>
                <w:szCs w:val="20"/>
              </w:rPr>
              <w:t>18.0(34.1)</w:t>
            </w:r>
          </w:p>
        </w:tc>
        <w:tc>
          <w:tcPr>
            <w:tcW w:w="1420" w:type="dxa"/>
            <w:vAlign w:val="bottom"/>
          </w:tcPr>
          <w:p>
            <w:pPr>
              <w:spacing w:after="0"/>
              <w:jc w:val="center"/>
              <w:rPr>
                <w:color w:val="auto"/>
                <w:sz w:val="20"/>
                <w:szCs w:val="20"/>
              </w:rPr>
            </w:pPr>
            <w:r>
              <w:rPr>
                <w:rFonts w:ascii="Arial" w:hAnsi="Arial" w:eastAsia="Arial" w:cs="Arial"/>
                <w:color w:val="auto"/>
                <w:w w:val="98"/>
                <w:sz w:val="20"/>
                <w:szCs w:val="20"/>
              </w:rPr>
              <w:t>18.9(24.1)</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0.83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Omega-3 (g)</w:t>
            </w:r>
          </w:p>
        </w:tc>
        <w:tc>
          <w:tcPr>
            <w:tcW w:w="1240" w:type="dxa"/>
            <w:vAlign w:val="bottom"/>
          </w:tcPr>
          <w:p>
            <w:pPr>
              <w:spacing w:after="0"/>
              <w:jc w:val="center"/>
              <w:rPr>
                <w:color w:val="auto"/>
                <w:sz w:val="20"/>
                <w:szCs w:val="20"/>
              </w:rPr>
            </w:pPr>
            <w:r>
              <w:rPr>
                <w:rFonts w:ascii="Arial" w:hAnsi="Arial" w:eastAsia="Arial" w:cs="Arial"/>
                <w:color w:val="auto"/>
                <w:w w:val="98"/>
                <w:sz w:val="20"/>
                <w:szCs w:val="20"/>
              </w:rPr>
              <w:t>0.3(0.3)</w:t>
            </w:r>
          </w:p>
        </w:tc>
        <w:tc>
          <w:tcPr>
            <w:tcW w:w="1360" w:type="dxa"/>
            <w:vAlign w:val="bottom"/>
          </w:tcPr>
          <w:p>
            <w:pPr>
              <w:spacing w:after="0"/>
              <w:jc w:val="center"/>
              <w:rPr>
                <w:color w:val="auto"/>
                <w:sz w:val="20"/>
                <w:szCs w:val="20"/>
              </w:rPr>
            </w:pPr>
            <w:r>
              <w:rPr>
                <w:rFonts w:ascii="Arial" w:hAnsi="Arial" w:eastAsia="Arial" w:cs="Arial"/>
                <w:color w:val="auto"/>
                <w:w w:val="98"/>
                <w:sz w:val="20"/>
                <w:szCs w:val="20"/>
              </w:rPr>
              <w:t>0.3(0.3)</w:t>
            </w:r>
          </w:p>
        </w:tc>
        <w:tc>
          <w:tcPr>
            <w:tcW w:w="1420" w:type="dxa"/>
            <w:vAlign w:val="bottom"/>
          </w:tcPr>
          <w:p>
            <w:pPr>
              <w:spacing w:after="0"/>
              <w:jc w:val="center"/>
              <w:rPr>
                <w:color w:val="auto"/>
                <w:sz w:val="20"/>
                <w:szCs w:val="20"/>
              </w:rPr>
            </w:pPr>
            <w:r>
              <w:rPr>
                <w:rFonts w:ascii="Arial" w:hAnsi="Arial" w:eastAsia="Arial" w:cs="Arial"/>
                <w:color w:val="auto"/>
                <w:w w:val="98"/>
                <w:sz w:val="20"/>
                <w:szCs w:val="20"/>
              </w:rPr>
              <w:t>0.3(0.3)</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0.72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74"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Calcium (diet; mg)</w:t>
            </w:r>
          </w:p>
        </w:tc>
        <w:tc>
          <w:tcPr>
            <w:tcW w:w="1240" w:type="dxa"/>
            <w:vAlign w:val="bottom"/>
          </w:tcPr>
          <w:p>
            <w:pPr>
              <w:spacing w:after="0"/>
              <w:jc w:val="center"/>
              <w:rPr>
                <w:color w:val="auto"/>
                <w:sz w:val="20"/>
                <w:szCs w:val="20"/>
              </w:rPr>
            </w:pPr>
            <w:r>
              <w:rPr>
                <w:rFonts w:ascii="Arial" w:hAnsi="Arial" w:eastAsia="Arial" w:cs="Arial"/>
                <w:color w:val="auto"/>
                <w:sz w:val="20"/>
                <w:szCs w:val="20"/>
              </w:rPr>
              <w:t>1018(475)</w:t>
            </w:r>
          </w:p>
        </w:tc>
        <w:tc>
          <w:tcPr>
            <w:tcW w:w="1360" w:type="dxa"/>
            <w:vAlign w:val="bottom"/>
          </w:tcPr>
          <w:p>
            <w:pPr>
              <w:spacing w:after="0"/>
              <w:jc w:val="center"/>
              <w:rPr>
                <w:color w:val="auto"/>
                <w:sz w:val="20"/>
                <w:szCs w:val="20"/>
              </w:rPr>
            </w:pPr>
            <w:r>
              <w:rPr>
                <w:rFonts w:ascii="Arial" w:hAnsi="Arial" w:eastAsia="Arial" w:cs="Arial"/>
                <w:color w:val="auto"/>
                <w:sz w:val="20"/>
                <w:szCs w:val="20"/>
              </w:rPr>
              <w:t>1029(483)</w:t>
            </w:r>
          </w:p>
        </w:tc>
        <w:tc>
          <w:tcPr>
            <w:tcW w:w="1420" w:type="dxa"/>
            <w:vAlign w:val="bottom"/>
          </w:tcPr>
          <w:p>
            <w:pPr>
              <w:spacing w:after="0"/>
              <w:jc w:val="center"/>
              <w:rPr>
                <w:color w:val="auto"/>
                <w:sz w:val="20"/>
                <w:szCs w:val="20"/>
              </w:rPr>
            </w:pPr>
            <w:r>
              <w:rPr>
                <w:rFonts w:ascii="Arial" w:hAnsi="Arial" w:eastAsia="Arial" w:cs="Arial"/>
                <w:color w:val="auto"/>
                <w:w w:val="98"/>
                <w:sz w:val="20"/>
                <w:szCs w:val="20"/>
              </w:rPr>
              <w:t>1005(466)</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0.74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59" w:hRule="atLeast"/>
        </w:trPr>
        <w:tc>
          <w:tcPr>
            <w:tcW w:w="2580" w:type="dxa"/>
            <w:vAlign w:val="bottom"/>
          </w:tcPr>
          <w:p>
            <w:pPr>
              <w:spacing w:after="0"/>
              <w:ind w:left="400"/>
              <w:rPr>
                <w:color w:val="auto"/>
                <w:sz w:val="20"/>
                <w:szCs w:val="20"/>
              </w:rPr>
            </w:pPr>
            <w:r>
              <w:rPr>
                <w:rFonts w:ascii="Arial" w:hAnsi="Arial" w:eastAsia="Arial" w:cs="Arial"/>
                <w:b/>
                <w:bCs/>
                <w:color w:val="auto"/>
                <w:sz w:val="20"/>
                <w:szCs w:val="20"/>
              </w:rPr>
              <w:t>Total Energy (Cal)</w:t>
            </w:r>
          </w:p>
        </w:tc>
        <w:tc>
          <w:tcPr>
            <w:tcW w:w="1240" w:type="dxa"/>
            <w:vAlign w:val="bottom"/>
          </w:tcPr>
          <w:p>
            <w:pPr>
              <w:spacing w:after="0"/>
              <w:jc w:val="center"/>
              <w:rPr>
                <w:color w:val="auto"/>
                <w:sz w:val="20"/>
                <w:szCs w:val="20"/>
              </w:rPr>
            </w:pPr>
            <w:r>
              <w:rPr>
                <w:rFonts w:ascii="Arial" w:hAnsi="Arial" w:eastAsia="Arial" w:cs="Arial"/>
                <w:color w:val="auto"/>
                <w:sz w:val="20"/>
                <w:szCs w:val="20"/>
              </w:rPr>
              <w:t>2187(785)</w:t>
            </w:r>
          </w:p>
        </w:tc>
        <w:tc>
          <w:tcPr>
            <w:tcW w:w="1360" w:type="dxa"/>
            <w:vAlign w:val="bottom"/>
          </w:tcPr>
          <w:p>
            <w:pPr>
              <w:spacing w:after="0"/>
              <w:jc w:val="center"/>
              <w:rPr>
                <w:color w:val="auto"/>
                <w:sz w:val="20"/>
                <w:szCs w:val="20"/>
              </w:rPr>
            </w:pPr>
            <w:r>
              <w:rPr>
                <w:rFonts w:ascii="Arial" w:hAnsi="Arial" w:eastAsia="Arial" w:cs="Arial"/>
                <w:color w:val="auto"/>
                <w:sz w:val="20"/>
                <w:szCs w:val="20"/>
              </w:rPr>
              <w:t>2187(808)</w:t>
            </w:r>
          </w:p>
        </w:tc>
        <w:tc>
          <w:tcPr>
            <w:tcW w:w="1420" w:type="dxa"/>
            <w:vAlign w:val="bottom"/>
          </w:tcPr>
          <w:p>
            <w:pPr>
              <w:spacing w:after="0"/>
              <w:jc w:val="center"/>
              <w:rPr>
                <w:color w:val="auto"/>
                <w:sz w:val="20"/>
                <w:szCs w:val="20"/>
              </w:rPr>
            </w:pPr>
            <w:r>
              <w:rPr>
                <w:rFonts w:ascii="Arial" w:hAnsi="Arial" w:eastAsia="Arial" w:cs="Arial"/>
                <w:color w:val="auto"/>
                <w:w w:val="98"/>
                <w:sz w:val="20"/>
                <w:szCs w:val="20"/>
              </w:rPr>
              <w:t>2187(761)</w:t>
            </w:r>
          </w:p>
        </w:tc>
        <w:tc>
          <w:tcPr>
            <w:tcW w:w="1040" w:type="dxa"/>
            <w:vAlign w:val="bottom"/>
          </w:tcPr>
          <w:p>
            <w:pPr>
              <w:spacing w:after="0"/>
              <w:jc w:val="center"/>
              <w:rPr>
                <w:color w:val="auto"/>
                <w:sz w:val="20"/>
                <w:szCs w:val="20"/>
              </w:rPr>
            </w:pPr>
            <w:r>
              <w:rPr>
                <w:rFonts w:ascii="Arial" w:hAnsi="Arial" w:eastAsia="Arial" w:cs="Arial"/>
                <w:color w:val="auto"/>
                <w:sz w:val="20"/>
                <w:szCs w:val="20"/>
              </w:rPr>
              <w:t>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2" w:hRule="atLeast"/>
        </w:trPr>
        <w:tc>
          <w:tcPr>
            <w:tcW w:w="2580" w:type="dxa"/>
            <w:vAlign w:val="bottom"/>
          </w:tcPr>
          <w:p>
            <w:pPr>
              <w:spacing w:after="0"/>
              <w:rPr>
                <w:color w:val="auto"/>
                <w:sz w:val="24"/>
                <w:szCs w:val="24"/>
              </w:rPr>
            </w:pPr>
          </w:p>
        </w:tc>
        <w:tc>
          <w:tcPr>
            <w:tcW w:w="1240" w:type="dxa"/>
            <w:vAlign w:val="bottom"/>
          </w:tcPr>
          <w:p>
            <w:pPr>
              <w:spacing w:after="0"/>
              <w:ind w:left="180"/>
              <w:jc w:val="center"/>
              <w:rPr>
                <w:color w:val="auto"/>
                <w:sz w:val="20"/>
                <w:szCs w:val="20"/>
              </w:rPr>
            </w:pPr>
            <w:r>
              <w:rPr>
                <w:rFonts w:ascii="Arial" w:hAnsi="Arial" w:eastAsia="Arial" w:cs="Arial"/>
                <w:b/>
                <w:bCs/>
                <w:color w:val="auto"/>
                <w:w w:val="98"/>
                <w:sz w:val="20"/>
                <w:szCs w:val="20"/>
              </w:rPr>
              <w:t>n (%)</w:t>
            </w:r>
          </w:p>
        </w:tc>
        <w:tc>
          <w:tcPr>
            <w:tcW w:w="1360" w:type="dxa"/>
            <w:vAlign w:val="bottom"/>
          </w:tcPr>
          <w:p>
            <w:pPr>
              <w:spacing w:after="0"/>
              <w:ind w:left="560"/>
              <w:rPr>
                <w:color w:val="auto"/>
                <w:sz w:val="20"/>
                <w:szCs w:val="20"/>
              </w:rPr>
            </w:pPr>
            <w:r>
              <w:rPr>
                <w:rFonts w:ascii="Arial" w:hAnsi="Arial" w:eastAsia="Arial" w:cs="Arial"/>
                <w:b/>
                <w:bCs/>
                <w:color w:val="auto"/>
                <w:sz w:val="20"/>
                <w:szCs w:val="20"/>
              </w:rPr>
              <w:t>n (%)</w:t>
            </w:r>
          </w:p>
        </w:tc>
        <w:tc>
          <w:tcPr>
            <w:tcW w:w="1420" w:type="dxa"/>
            <w:vAlign w:val="bottom"/>
          </w:tcPr>
          <w:p>
            <w:pPr>
              <w:spacing w:after="0"/>
              <w:ind w:left="500"/>
              <w:rPr>
                <w:color w:val="auto"/>
                <w:sz w:val="20"/>
                <w:szCs w:val="20"/>
              </w:rPr>
            </w:pPr>
            <w:r>
              <w:rPr>
                <w:rFonts w:ascii="Arial" w:hAnsi="Arial" w:eastAsia="Arial" w:cs="Arial"/>
                <w:b/>
                <w:bCs/>
                <w:color w:val="auto"/>
                <w:sz w:val="20"/>
                <w:szCs w:val="20"/>
              </w:rPr>
              <w:t>n (%)</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70"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Vitamin Intake by DRI</w:t>
            </w:r>
            <w:r>
              <w:rPr>
                <w:rFonts w:ascii="Arial" w:hAnsi="Arial" w:eastAsia="Arial" w:cs="Arial"/>
                <w:b/>
                <w:bCs/>
                <w:color w:val="auto"/>
                <w:sz w:val="25"/>
                <w:szCs w:val="25"/>
                <w:vertAlign w:val="superscript"/>
              </w:rPr>
              <w:t>3</w:t>
            </w:r>
          </w:p>
        </w:tc>
        <w:tc>
          <w:tcPr>
            <w:tcW w:w="12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20" w:type="dxa"/>
            <w:vAlign w:val="bottom"/>
          </w:tcPr>
          <w:p>
            <w:pPr>
              <w:spacing w:after="0"/>
              <w:rPr>
                <w:color w:val="auto"/>
                <w:sz w:val="24"/>
                <w:szCs w:val="24"/>
              </w:rPr>
            </w:pP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1" w:hRule="atLeast"/>
        </w:trPr>
        <w:tc>
          <w:tcPr>
            <w:tcW w:w="2580" w:type="dxa"/>
            <w:vAlign w:val="bottom"/>
          </w:tcPr>
          <w:p>
            <w:pPr>
              <w:spacing w:after="0"/>
              <w:ind w:left="420"/>
              <w:rPr>
                <w:color w:val="auto"/>
                <w:sz w:val="20"/>
                <w:szCs w:val="20"/>
              </w:rPr>
            </w:pPr>
            <w:r>
              <w:rPr>
                <w:rFonts w:ascii="Arial" w:hAnsi="Arial" w:eastAsia="Arial" w:cs="Arial"/>
                <w:b/>
                <w:bCs/>
                <w:color w:val="auto"/>
                <w:sz w:val="20"/>
                <w:szCs w:val="20"/>
              </w:rPr>
              <w:t>Vitamin D (&lt; 200 IU)</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54 (29.0)</w:t>
            </w:r>
          </w:p>
        </w:tc>
        <w:tc>
          <w:tcPr>
            <w:tcW w:w="1360" w:type="dxa"/>
            <w:vAlign w:val="bottom"/>
          </w:tcPr>
          <w:p>
            <w:pPr>
              <w:spacing w:after="0"/>
              <w:jc w:val="center"/>
              <w:rPr>
                <w:color w:val="auto"/>
                <w:sz w:val="20"/>
                <w:szCs w:val="20"/>
              </w:rPr>
            </w:pPr>
            <w:r>
              <w:rPr>
                <w:rFonts w:ascii="Arial" w:hAnsi="Arial" w:eastAsia="Arial" w:cs="Arial"/>
                <w:color w:val="auto"/>
                <w:sz w:val="20"/>
                <w:szCs w:val="20"/>
              </w:rPr>
              <w:t>34 (63)</w:t>
            </w:r>
          </w:p>
        </w:tc>
        <w:tc>
          <w:tcPr>
            <w:tcW w:w="1420" w:type="dxa"/>
            <w:vAlign w:val="bottom"/>
          </w:tcPr>
          <w:p>
            <w:pPr>
              <w:spacing w:after="0"/>
              <w:jc w:val="center"/>
              <w:rPr>
                <w:color w:val="auto"/>
                <w:sz w:val="20"/>
                <w:szCs w:val="20"/>
              </w:rPr>
            </w:pPr>
            <w:r>
              <w:rPr>
                <w:rFonts w:ascii="Arial" w:hAnsi="Arial" w:eastAsia="Arial" w:cs="Arial"/>
                <w:color w:val="auto"/>
                <w:w w:val="97"/>
                <w:sz w:val="20"/>
                <w:szCs w:val="20"/>
              </w:rPr>
              <w:t>20 (37)</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0.15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79" w:hRule="atLeast"/>
        </w:trPr>
        <w:tc>
          <w:tcPr>
            <w:tcW w:w="2580" w:type="dxa"/>
            <w:vMerge w:val="restart"/>
            <w:vAlign w:val="bottom"/>
          </w:tcPr>
          <w:p>
            <w:pPr>
              <w:spacing w:after="0"/>
              <w:ind w:left="420"/>
              <w:rPr>
                <w:color w:val="auto"/>
                <w:sz w:val="20"/>
                <w:szCs w:val="20"/>
              </w:rPr>
            </w:pPr>
            <w:r>
              <w:rPr>
                <w:rFonts w:ascii="Arial" w:hAnsi="Arial" w:eastAsia="Arial" w:cs="Arial"/>
                <w:b/>
                <w:bCs/>
                <w:color w:val="auto"/>
                <w:sz w:val="20"/>
                <w:szCs w:val="20"/>
              </w:rPr>
              <w:t>Vitamin C (&lt; 60 mg)</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8(4.3)</w:t>
            </w:r>
          </w:p>
        </w:tc>
        <w:tc>
          <w:tcPr>
            <w:tcW w:w="1360" w:type="dxa"/>
            <w:vMerge w:val="restart"/>
            <w:vAlign w:val="bottom"/>
          </w:tcPr>
          <w:p>
            <w:pPr>
              <w:spacing w:after="0"/>
              <w:jc w:val="center"/>
              <w:rPr>
                <w:color w:val="auto"/>
                <w:sz w:val="20"/>
                <w:szCs w:val="20"/>
              </w:rPr>
            </w:pPr>
            <w:r>
              <w:rPr>
                <w:rFonts w:ascii="Arial" w:hAnsi="Arial" w:eastAsia="Arial" w:cs="Arial"/>
                <w:color w:val="auto"/>
                <w:w w:val="98"/>
                <w:sz w:val="20"/>
                <w:szCs w:val="20"/>
              </w:rPr>
              <w:t>7(88)</w:t>
            </w:r>
          </w:p>
        </w:tc>
        <w:tc>
          <w:tcPr>
            <w:tcW w:w="1420" w:type="dxa"/>
            <w:vMerge w:val="restart"/>
            <w:vAlign w:val="bottom"/>
          </w:tcPr>
          <w:p>
            <w:pPr>
              <w:spacing w:after="0"/>
              <w:jc w:val="center"/>
              <w:rPr>
                <w:color w:val="auto"/>
                <w:sz w:val="20"/>
                <w:szCs w:val="20"/>
              </w:rPr>
            </w:pPr>
            <w:r>
              <w:rPr>
                <w:rFonts w:ascii="Arial" w:hAnsi="Arial" w:eastAsia="Arial" w:cs="Arial"/>
                <w:color w:val="auto"/>
                <w:w w:val="98"/>
                <w:sz w:val="20"/>
                <w:szCs w:val="20"/>
              </w:rPr>
              <w:t>1(12)</w:t>
            </w:r>
          </w:p>
        </w:tc>
        <w:tc>
          <w:tcPr>
            <w:tcW w:w="1040" w:type="dxa"/>
            <w:vMerge w:val="restart"/>
            <w:vAlign w:val="bottom"/>
          </w:tcPr>
          <w:p>
            <w:pPr>
              <w:spacing w:after="0"/>
              <w:jc w:val="center"/>
              <w:rPr>
                <w:color w:val="auto"/>
                <w:sz w:val="20"/>
                <w:szCs w:val="20"/>
              </w:rPr>
            </w:pPr>
            <w:r>
              <w:rPr>
                <w:rFonts w:ascii="Arial" w:hAnsi="Arial" w:eastAsia="Arial" w:cs="Arial"/>
                <w:color w:val="auto"/>
                <w:w w:val="97"/>
                <w:sz w:val="20"/>
                <w:szCs w:val="20"/>
              </w:rPr>
              <w:t>0.08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580" w:type="dxa"/>
            <w:vMerge w:val="continue"/>
            <w:vAlign w:val="bottom"/>
          </w:tcPr>
          <w:p>
            <w:pPr>
              <w:spacing w:after="0"/>
              <w:rPr>
                <w:color w:val="auto"/>
                <w:sz w:val="10"/>
                <w:szCs w:val="10"/>
              </w:rPr>
            </w:pPr>
          </w:p>
        </w:tc>
        <w:tc>
          <w:tcPr>
            <w:tcW w:w="1240" w:type="dxa"/>
            <w:vMerge w:val="restart"/>
            <w:vAlign w:val="bottom"/>
          </w:tcPr>
          <w:p>
            <w:pPr>
              <w:spacing w:after="0"/>
              <w:jc w:val="center"/>
              <w:rPr>
                <w:color w:val="auto"/>
                <w:sz w:val="20"/>
                <w:szCs w:val="20"/>
              </w:rPr>
            </w:pPr>
            <w:r>
              <w:rPr>
                <w:rFonts w:ascii="Arial" w:hAnsi="Arial" w:eastAsia="Arial" w:cs="Arial"/>
                <w:color w:val="auto"/>
                <w:w w:val="99"/>
                <w:sz w:val="20"/>
                <w:szCs w:val="20"/>
              </w:rPr>
              <w:t>n=168</w:t>
            </w:r>
          </w:p>
        </w:tc>
        <w:tc>
          <w:tcPr>
            <w:tcW w:w="1360" w:type="dxa"/>
            <w:vMerge w:val="continue"/>
            <w:vAlign w:val="bottom"/>
          </w:tcPr>
          <w:p>
            <w:pPr>
              <w:spacing w:after="0"/>
              <w:rPr>
                <w:color w:val="auto"/>
                <w:sz w:val="10"/>
                <w:szCs w:val="10"/>
              </w:rPr>
            </w:pPr>
          </w:p>
        </w:tc>
        <w:tc>
          <w:tcPr>
            <w:tcW w:w="1420" w:type="dxa"/>
            <w:vMerge w:val="continue"/>
            <w:vAlign w:val="bottom"/>
          </w:tcPr>
          <w:p>
            <w:pPr>
              <w:spacing w:after="0"/>
              <w:rPr>
                <w:color w:val="auto"/>
                <w:sz w:val="10"/>
                <w:szCs w:val="10"/>
              </w:rPr>
            </w:pP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580" w:type="dxa"/>
            <w:vAlign w:val="bottom"/>
          </w:tcPr>
          <w:p>
            <w:pPr>
              <w:spacing w:after="0"/>
              <w:rPr>
                <w:color w:val="auto"/>
                <w:sz w:val="10"/>
                <w:szCs w:val="10"/>
              </w:rPr>
            </w:pPr>
          </w:p>
        </w:tc>
        <w:tc>
          <w:tcPr>
            <w:tcW w:w="1240" w:type="dxa"/>
            <w:vMerge w:val="continue"/>
            <w:vAlign w:val="bottom"/>
          </w:tcPr>
          <w:p>
            <w:pPr>
              <w:spacing w:after="0"/>
              <w:rPr>
                <w:color w:val="auto"/>
                <w:sz w:val="10"/>
                <w:szCs w:val="10"/>
              </w:rPr>
            </w:pPr>
          </w:p>
        </w:tc>
        <w:tc>
          <w:tcPr>
            <w:tcW w:w="1360" w:type="dxa"/>
            <w:vAlign w:val="bottom"/>
          </w:tcPr>
          <w:p>
            <w:pPr>
              <w:spacing w:after="0"/>
              <w:rPr>
                <w:color w:val="auto"/>
                <w:sz w:val="10"/>
                <w:szCs w:val="10"/>
              </w:rPr>
            </w:pPr>
          </w:p>
        </w:tc>
        <w:tc>
          <w:tcPr>
            <w:tcW w:w="1420" w:type="dxa"/>
            <w:vAlign w:val="bottom"/>
          </w:tcPr>
          <w:p>
            <w:pPr>
              <w:spacing w:after="0"/>
              <w:rPr>
                <w:color w:val="auto"/>
                <w:sz w:val="10"/>
                <w:szCs w:val="10"/>
              </w:rPr>
            </w:pPr>
          </w:p>
        </w:tc>
        <w:tc>
          <w:tcPr>
            <w:tcW w:w="1040" w:type="dxa"/>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5" w:hRule="atLeast"/>
        </w:trPr>
        <w:tc>
          <w:tcPr>
            <w:tcW w:w="2580" w:type="dxa"/>
            <w:vMerge w:val="restart"/>
            <w:vAlign w:val="bottom"/>
          </w:tcPr>
          <w:p>
            <w:pPr>
              <w:spacing w:after="0"/>
              <w:ind w:left="420"/>
              <w:rPr>
                <w:color w:val="auto"/>
                <w:sz w:val="20"/>
                <w:szCs w:val="20"/>
              </w:rPr>
            </w:pPr>
            <w:r>
              <w:rPr>
                <w:rFonts w:ascii="Arial" w:hAnsi="Arial" w:eastAsia="Arial" w:cs="Arial"/>
                <w:b/>
                <w:bCs/>
                <w:color w:val="auto"/>
                <w:sz w:val="20"/>
                <w:szCs w:val="20"/>
              </w:rPr>
              <w:t>Vitamin E (&lt; 15 mg)</w:t>
            </w:r>
          </w:p>
        </w:tc>
        <w:tc>
          <w:tcPr>
            <w:tcW w:w="1240" w:type="dxa"/>
            <w:vMerge w:val="restart"/>
            <w:vAlign w:val="bottom"/>
          </w:tcPr>
          <w:p>
            <w:pPr>
              <w:spacing w:after="0"/>
              <w:jc w:val="center"/>
              <w:rPr>
                <w:color w:val="auto"/>
                <w:sz w:val="20"/>
                <w:szCs w:val="20"/>
              </w:rPr>
            </w:pPr>
            <w:r>
              <w:rPr>
                <w:rFonts w:ascii="Arial" w:hAnsi="Arial" w:eastAsia="Arial" w:cs="Arial"/>
                <w:color w:val="auto"/>
                <w:sz w:val="20"/>
                <w:szCs w:val="20"/>
              </w:rPr>
              <w:t>110(59.2)</w:t>
            </w:r>
          </w:p>
        </w:tc>
        <w:tc>
          <w:tcPr>
            <w:tcW w:w="1360" w:type="dxa"/>
            <w:vMerge w:val="restart"/>
            <w:vAlign w:val="bottom"/>
          </w:tcPr>
          <w:p>
            <w:pPr>
              <w:spacing w:after="0"/>
              <w:jc w:val="center"/>
              <w:rPr>
                <w:color w:val="auto"/>
                <w:sz w:val="20"/>
                <w:szCs w:val="20"/>
              </w:rPr>
            </w:pPr>
            <w:r>
              <w:rPr>
                <w:rFonts w:ascii="Arial" w:hAnsi="Arial" w:eastAsia="Arial" w:cs="Arial"/>
                <w:color w:val="auto"/>
                <w:sz w:val="20"/>
                <w:szCs w:val="20"/>
              </w:rPr>
              <w:t>68(62)</w:t>
            </w:r>
          </w:p>
        </w:tc>
        <w:tc>
          <w:tcPr>
            <w:tcW w:w="1420" w:type="dxa"/>
            <w:vMerge w:val="restart"/>
            <w:vAlign w:val="bottom"/>
          </w:tcPr>
          <w:p>
            <w:pPr>
              <w:spacing w:after="0"/>
              <w:jc w:val="center"/>
              <w:rPr>
                <w:color w:val="auto"/>
                <w:sz w:val="20"/>
                <w:szCs w:val="20"/>
              </w:rPr>
            </w:pPr>
            <w:r>
              <w:rPr>
                <w:rFonts w:ascii="Arial" w:hAnsi="Arial" w:eastAsia="Arial" w:cs="Arial"/>
                <w:color w:val="auto"/>
                <w:sz w:val="20"/>
                <w:szCs w:val="20"/>
              </w:rPr>
              <w:t>42(38)</w:t>
            </w: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 w:hRule="atLeast"/>
        </w:trPr>
        <w:tc>
          <w:tcPr>
            <w:tcW w:w="2580" w:type="dxa"/>
            <w:vMerge w:val="continue"/>
            <w:vAlign w:val="bottom"/>
          </w:tcPr>
          <w:p>
            <w:pPr>
              <w:spacing w:after="0"/>
              <w:rPr>
                <w:color w:val="auto"/>
                <w:sz w:val="5"/>
                <w:szCs w:val="5"/>
              </w:rPr>
            </w:pPr>
          </w:p>
        </w:tc>
        <w:tc>
          <w:tcPr>
            <w:tcW w:w="1240" w:type="dxa"/>
            <w:vMerge w:val="continue"/>
            <w:vAlign w:val="bottom"/>
          </w:tcPr>
          <w:p>
            <w:pPr>
              <w:spacing w:after="0"/>
              <w:rPr>
                <w:color w:val="auto"/>
                <w:sz w:val="5"/>
                <w:szCs w:val="5"/>
              </w:rPr>
            </w:pPr>
          </w:p>
        </w:tc>
        <w:tc>
          <w:tcPr>
            <w:tcW w:w="1360" w:type="dxa"/>
            <w:vMerge w:val="continue"/>
            <w:vAlign w:val="bottom"/>
          </w:tcPr>
          <w:p>
            <w:pPr>
              <w:spacing w:after="0"/>
              <w:rPr>
                <w:color w:val="auto"/>
                <w:sz w:val="5"/>
                <w:szCs w:val="5"/>
              </w:rPr>
            </w:pPr>
          </w:p>
        </w:tc>
        <w:tc>
          <w:tcPr>
            <w:tcW w:w="1420" w:type="dxa"/>
            <w:vMerge w:val="continue"/>
            <w:vAlign w:val="bottom"/>
          </w:tcPr>
          <w:p>
            <w:pPr>
              <w:spacing w:after="0"/>
              <w:rPr>
                <w:color w:val="auto"/>
                <w:sz w:val="5"/>
                <w:szCs w:val="5"/>
              </w:rPr>
            </w:pPr>
          </w:p>
        </w:tc>
        <w:tc>
          <w:tcPr>
            <w:tcW w:w="1040" w:type="dxa"/>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08" w:hRule="atLeast"/>
        </w:trPr>
        <w:tc>
          <w:tcPr>
            <w:tcW w:w="2580" w:type="dxa"/>
            <w:vMerge w:val="restart"/>
            <w:vAlign w:val="bottom"/>
          </w:tcPr>
          <w:p>
            <w:pPr>
              <w:spacing w:after="0"/>
              <w:ind w:left="120"/>
              <w:rPr>
                <w:color w:val="auto"/>
                <w:sz w:val="20"/>
                <w:szCs w:val="20"/>
              </w:rPr>
            </w:pPr>
            <w:r>
              <w:rPr>
                <w:rFonts w:ascii="Arial" w:hAnsi="Arial" w:eastAsia="Arial" w:cs="Arial"/>
                <w:b/>
                <w:bCs/>
                <w:color w:val="auto"/>
                <w:sz w:val="20"/>
                <w:szCs w:val="20"/>
              </w:rPr>
              <w:t>BMI</w:t>
            </w:r>
          </w:p>
        </w:tc>
        <w:tc>
          <w:tcPr>
            <w:tcW w:w="12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2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0.79</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2580" w:type="dxa"/>
            <w:vMerge w:val="continue"/>
            <w:vAlign w:val="bottom"/>
          </w:tcPr>
          <w:p>
            <w:pPr>
              <w:spacing w:after="0"/>
              <w:rPr>
                <w:color w:val="auto"/>
                <w:sz w:val="9"/>
                <w:szCs w:val="9"/>
              </w:rPr>
            </w:pPr>
          </w:p>
        </w:tc>
        <w:tc>
          <w:tcPr>
            <w:tcW w:w="1240" w:type="dxa"/>
            <w:vAlign w:val="bottom"/>
          </w:tcPr>
          <w:p>
            <w:pPr>
              <w:spacing w:after="0"/>
              <w:rPr>
                <w:color w:val="auto"/>
                <w:sz w:val="9"/>
                <w:szCs w:val="9"/>
              </w:rPr>
            </w:pPr>
          </w:p>
        </w:tc>
        <w:tc>
          <w:tcPr>
            <w:tcW w:w="1360" w:type="dxa"/>
            <w:vAlign w:val="bottom"/>
          </w:tcPr>
          <w:p>
            <w:pPr>
              <w:spacing w:after="0"/>
              <w:rPr>
                <w:color w:val="auto"/>
                <w:sz w:val="9"/>
                <w:szCs w:val="9"/>
              </w:rPr>
            </w:pPr>
          </w:p>
        </w:tc>
        <w:tc>
          <w:tcPr>
            <w:tcW w:w="1420" w:type="dxa"/>
            <w:vAlign w:val="bottom"/>
          </w:tcPr>
          <w:p>
            <w:pPr>
              <w:spacing w:after="0"/>
              <w:rPr>
                <w:color w:val="auto"/>
                <w:sz w:val="9"/>
                <w:szCs w:val="9"/>
              </w:rPr>
            </w:pPr>
          </w:p>
        </w:tc>
        <w:tc>
          <w:tcPr>
            <w:tcW w:w="1040" w:type="dxa"/>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3" w:hRule="atLeast"/>
        </w:trPr>
        <w:tc>
          <w:tcPr>
            <w:tcW w:w="2580" w:type="dxa"/>
            <w:vAlign w:val="bottom"/>
          </w:tcPr>
          <w:p>
            <w:pPr>
              <w:spacing w:after="0"/>
              <w:ind w:left="760"/>
              <w:rPr>
                <w:color w:val="auto"/>
                <w:sz w:val="20"/>
                <w:szCs w:val="20"/>
              </w:rPr>
            </w:pPr>
            <w:r>
              <w:rPr>
                <w:rFonts w:ascii="Arial" w:hAnsi="Arial" w:eastAsia="Arial" w:cs="Arial"/>
                <w:b/>
                <w:bCs/>
                <w:color w:val="auto"/>
                <w:sz w:val="20"/>
                <w:szCs w:val="20"/>
              </w:rPr>
              <w:t>≤25 (kg/m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tc>
        <w:tc>
          <w:tcPr>
            <w:tcW w:w="1240" w:type="dxa"/>
            <w:vAlign w:val="bottom"/>
          </w:tcPr>
          <w:p>
            <w:pPr>
              <w:spacing w:after="0"/>
              <w:jc w:val="center"/>
              <w:rPr>
                <w:color w:val="auto"/>
                <w:sz w:val="20"/>
                <w:szCs w:val="20"/>
              </w:rPr>
            </w:pPr>
            <w:r>
              <w:rPr>
                <w:rFonts w:ascii="Arial" w:hAnsi="Arial" w:eastAsia="Arial" w:cs="Arial"/>
                <w:color w:val="auto"/>
                <w:sz w:val="20"/>
                <w:szCs w:val="20"/>
              </w:rPr>
              <w:t>140(75.3)</w:t>
            </w:r>
          </w:p>
        </w:tc>
        <w:tc>
          <w:tcPr>
            <w:tcW w:w="1360" w:type="dxa"/>
            <w:vAlign w:val="bottom"/>
          </w:tcPr>
          <w:p>
            <w:pPr>
              <w:spacing w:after="0"/>
              <w:jc w:val="center"/>
              <w:rPr>
                <w:color w:val="auto"/>
                <w:sz w:val="20"/>
                <w:szCs w:val="20"/>
              </w:rPr>
            </w:pPr>
            <w:r>
              <w:rPr>
                <w:rFonts w:ascii="Arial" w:hAnsi="Arial" w:eastAsia="Arial" w:cs="Arial"/>
                <w:color w:val="auto"/>
                <w:sz w:val="20"/>
                <w:szCs w:val="20"/>
              </w:rPr>
              <w:t>76(54)</w:t>
            </w:r>
          </w:p>
        </w:tc>
        <w:tc>
          <w:tcPr>
            <w:tcW w:w="1420" w:type="dxa"/>
            <w:vAlign w:val="bottom"/>
          </w:tcPr>
          <w:p>
            <w:pPr>
              <w:spacing w:after="0"/>
              <w:jc w:val="center"/>
              <w:rPr>
                <w:color w:val="auto"/>
                <w:sz w:val="20"/>
                <w:szCs w:val="20"/>
              </w:rPr>
            </w:pPr>
            <w:r>
              <w:rPr>
                <w:rFonts w:ascii="Arial" w:hAnsi="Arial" w:eastAsia="Arial" w:cs="Arial"/>
                <w:color w:val="auto"/>
                <w:sz w:val="20"/>
                <w:szCs w:val="20"/>
              </w:rPr>
              <w:t>64(46)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6" w:hRule="atLeast"/>
        </w:trPr>
        <w:tc>
          <w:tcPr>
            <w:tcW w:w="2580" w:type="dxa"/>
            <w:vAlign w:val="bottom"/>
          </w:tcPr>
          <w:p>
            <w:pPr>
              <w:spacing w:after="0"/>
              <w:ind w:left="760"/>
              <w:rPr>
                <w:color w:val="auto"/>
                <w:sz w:val="20"/>
                <w:szCs w:val="20"/>
              </w:rPr>
            </w:pPr>
            <w:r>
              <w:rPr>
                <w:rFonts w:ascii="Arial" w:hAnsi="Arial" w:eastAsia="Arial" w:cs="Arial"/>
                <w:b/>
                <w:bCs/>
                <w:color w:val="auto"/>
                <w:sz w:val="20"/>
                <w:szCs w:val="20"/>
              </w:rPr>
              <w:t>&gt;25 (kg/m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46(24.7)</w:t>
            </w:r>
          </w:p>
        </w:tc>
        <w:tc>
          <w:tcPr>
            <w:tcW w:w="1360" w:type="dxa"/>
            <w:vAlign w:val="bottom"/>
          </w:tcPr>
          <w:p>
            <w:pPr>
              <w:spacing w:after="0"/>
              <w:jc w:val="center"/>
              <w:rPr>
                <w:color w:val="auto"/>
                <w:sz w:val="20"/>
                <w:szCs w:val="20"/>
              </w:rPr>
            </w:pPr>
            <w:r>
              <w:rPr>
                <w:rFonts w:ascii="Arial" w:hAnsi="Arial" w:eastAsia="Arial" w:cs="Arial"/>
                <w:color w:val="auto"/>
                <w:sz w:val="20"/>
                <w:szCs w:val="20"/>
              </w:rPr>
              <w:t>26(57)</w:t>
            </w:r>
          </w:p>
        </w:tc>
        <w:tc>
          <w:tcPr>
            <w:tcW w:w="1420" w:type="dxa"/>
            <w:vAlign w:val="bottom"/>
          </w:tcPr>
          <w:p>
            <w:pPr>
              <w:spacing w:after="0"/>
              <w:jc w:val="center"/>
              <w:rPr>
                <w:color w:val="auto"/>
                <w:sz w:val="20"/>
                <w:szCs w:val="20"/>
              </w:rPr>
            </w:pPr>
            <w:r>
              <w:rPr>
                <w:rFonts w:ascii="Arial" w:hAnsi="Arial" w:eastAsia="Arial" w:cs="Arial"/>
                <w:color w:val="auto"/>
                <w:sz w:val="20"/>
                <w:szCs w:val="20"/>
              </w:rPr>
              <w:t>20(43)</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9" w:hRule="atLeast"/>
        </w:trPr>
        <w:tc>
          <w:tcPr>
            <w:tcW w:w="2580" w:type="dxa"/>
            <w:vAlign w:val="bottom"/>
          </w:tcPr>
          <w:p>
            <w:pPr>
              <w:spacing w:after="0"/>
              <w:ind w:left="540"/>
              <w:rPr>
                <w:color w:val="auto"/>
                <w:sz w:val="20"/>
                <w:szCs w:val="20"/>
              </w:rPr>
            </w:pPr>
            <w:r>
              <w:rPr>
                <w:rFonts w:ascii="Arial" w:hAnsi="Arial" w:eastAsia="Arial" w:cs="Arial"/>
                <w:b/>
                <w:bCs/>
                <w:color w:val="auto"/>
                <w:sz w:val="20"/>
                <w:szCs w:val="20"/>
              </w:rPr>
              <w:t>hs CRP ≥3 mg/L</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49(26.3)</w:t>
            </w:r>
          </w:p>
        </w:tc>
        <w:tc>
          <w:tcPr>
            <w:tcW w:w="1360" w:type="dxa"/>
            <w:vAlign w:val="bottom"/>
          </w:tcPr>
          <w:p>
            <w:pPr>
              <w:spacing w:after="0"/>
              <w:jc w:val="center"/>
              <w:rPr>
                <w:color w:val="auto"/>
                <w:sz w:val="20"/>
                <w:szCs w:val="20"/>
              </w:rPr>
            </w:pPr>
            <w:r>
              <w:rPr>
                <w:rFonts w:ascii="Arial" w:hAnsi="Arial" w:eastAsia="Arial" w:cs="Arial"/>
                <w:color w:val="auto"/>
                <w:sz w:val="20"/>
                <w:szCs w:val="20"/>
              </w:rPr>
              <w:t>20(41)</w:t>
            </w:r>
          </w:p>
        </w:tc>
        <w:tc>
          <w:tcPr>
            <w:tcW w:w="1420" w:type="dxa"/>
            <w:vAlign w:val="bottom"/>
          </w:tcPr>
          <w:p>
            <w:pPr>
              <w:spacing w:after="0"/>
              <w:jc w:val="center"/>
              <w:rPr>
                <w:color w:val="auto"/>
                <w:sz w:val="20"/>
                <w:szCs w:val="20"/>
              </w:rPr>
            </w:pPr>
            <w:r>
              <w:rPr>
                <w:rFonts w:ascii="Arial" w:hAnsi="Arial" w:eastAsia="Arial" w:cs="Arial"/>
                <w:color w:val="auto"/>
                <w:sz w:val="20"/>
                <w:szCs w:val="20"/>
              </w:rPr>
              <w:t>29(59)</w:t>
            </w: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60" w:hRule="atLeast"/>
        </w:trPr>
        <w:tc>
          <w:tcPr>
            <w:tcW w:w="2580" w:type="dxa"/>
            <w:vAlign w:val="bottom"/>
          </w:tcPr>
          <w:p>
            <w:pPr>
              <w:spacing w:after="0"/>
              <w:ind w:left="120"/>
              <w:rPr>
                <w:color w:val="auto"/>
                <w:sz w:val="20"/>
                <w:szCs w:val="20"/>
              </w:rPr>
            </w:pPr>
            <w:r>
              <w:rPr>
                <w:rFonts w:ascii="Arial" w:hAnsi="Arial" w:eastAsia="Arial" w:cs="Arial"/>
                <w:b/>
                <w:bCs/>
                <w:color w:val="auto"/>
                <w:sz w:val="20"/>
                <w:szCs w:val="20"/>
              </w:rPr>
              <w:t>Respiratory symptom</w:t>
            </w:r>
          </w:p>
        </w:tc>
        <w:tc>
          <w:tcPr>
            <w:tcW w:w="12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2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514" w:hRule="atLeast"/>
        </w:trPr>
        <w:tc>
          <w:tcPr>
            <w:tcW w:w="2580" w:type="dxa"/>
            <w:vAlign w:val="bottom"/>
          </w:tcPr>
          <w:p>
            <w:pPr>
              <w:spacing w:after="0"/>
              <w:ind w:left="480"/>
              <w:rPr>
                <w:color w:val="auto"/>
                <w:sz w:val="20"/>
                <w:szCs w:val="20"/>
              </w:rPr>
            </w:pPr>
            <w:r>
              <w:rPr>
                <w:rFonts w:ascii="Arial" w:hAnsi="Arial" w:eastAsia="Arial" w:cs="Arial"/>
                <w:b/>
                <w:bCs/>
                <w:color w:val="auto"/>
                <w:sz w:val="20"/>
                <w:szCs w:val="20"/>
              </w:rPr>
              <w:t>Wheeze or asthma</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82(44.1)</w:t>
            </w:r>
          </w:p>
        </w:tc>
        <w:tc>
          <w:tcPr>
            <w:tcW w:w="1360" w:type="dxa"/>
            <w:vAlign w:val="bottom"/>
          </w:tcPr>
          <w:p>
            <w:pPr>
              <w:spacing w:after="0"/>
              <w:jc w:val="center"/>
              <w:rPr>
                <w:color w:val="auto"/>
                <w:sz w:val="20"/>
                <w:szCs w:val="20"/>
              </w:rPr>
            </w:pPr>
            <w:r>
              <w:rPr>
                <w:rFonts w:ascii="Arial" w:hAnsi="Arial" w:eastAsia="Arial" w:cs="Arial"/>
                <w:color w:val="auto"/>
                <w:sz w:val="20"/>
                <w:szCs w:val="20"/>
              </w:rPr>
              <w:t>37(45)</w:t>
            </w:r>
          </w:p>
        </w:tc>
        <w:tc>
          <w:tcPr>
            <w:tcW w:w="1420" w:type="dxa"/>
            <w:vAlign w:val="bottom"/>
          </w:tcPr>
          <w:p>
            <w:pPr>
              <w:spacing w:after="0"/>
              <w:jc w:val="center"/>
              <w:rPr>
                <w:color w:val="auto"/>
                <w:sz w:val="20"/>
                <w:szCs w:val="20"/>
              </w:rPr>
            </w:pPr>
            <w:r>
              <w:rPr>
                <w:rFonts w:ascii="Arial" w:hAnsi="Arial" w:eastAsia="Arial" w:cs="Arial"/>
                <w:color w:val="auto"/>
                <w:sz w:val="20"/>
                <w:szCs w:val="20"/>
              </w:rPr>
              <w:t>45(55)</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49" w:hRule="atLeast"/>
        </w:trPr>
        <w:tc>
          <w:tcPr>
            <w:tcW w:w="2580" w:type="dxa"/>
            <w:vAlign w:val="bottom"/>
          </w:tcPr>
          <w:p>
            <w:pPr>
              <w:spacing w:after="0"/>
              <w:ind w:left="740"/>
              <w:rPr>
                <w:color w:val="auto"/>
                <w:sz w:val="20"/>
                <w:szCs w:val="20"/>
              </w:rPr>
            </w:pPr>
            <w:r>
              <w:rPr>
                <w:rFonts w:ascii="Arial" w:hAnsi="Arial" w:eastAsia="Arial" w:cs="Arial"/>
                <w:b/>
                <w:bCs/>
                <w:color w:val="auto"/>
                <w:sz w:val="20"/>
                <w:szCs w:val="20"/>
              </w:rPr>
              <w:t>No symptom</w:t>
            </w:r>
          </w:p>
        </w:tc>
        <w:tc>
          <w:tcPr>
            <w:tcW w:w="1240" w:type="dxa"/>
            <w:vAlign w:val="bottom"/>
          </w:tcPr>
          <w:p>
            <w:pPr>
              <w:spacing w:after="0"/>
              <w:jc w:val="center"/>
              <w:rPr>
                <w:color w:val="auto"/>
                <w:sz w:val="20"/>
                <w:szCs w:val="20"/>
              </w:rPr>
            </w:pPr>
            <w:r>
              <w:rPr>
                <w:rFonts w:ascii="Arial" w:hAnsi="Arial" w:eastAsia="Arial" w:cs="Arial"/>
                <w:color w:val="auto"/>
                <w:sz w:val="20"/>
                <w:szCs w:val="20"/>
              </w:rPr>
              <w:t>104(55.9)</w:t>
            </w:r>
          </w:p>
        </w:tc>
        <w:tc>
          <w:tcPr>
            <w:tcW w:w="1360" w:type="dxa"/>
            <w:vAlign w:val="bottom"/>
          </w:tcPr>
          <w:p>
            <w:pPr>
              <w:spacing w:after="0"/>
              <w:jc w:val="center"/>
              <w:rPr>
                <w:color w:val="auto"/>
                <w:sz w:val="20"/>
                <w:szCs w:val="20"/>
              </w:rPr>
            </w:pPr>
            <w:r>
              <w:rPr>
                <w:rFonts w:ascii="Arial" w:hAnsi="Arial" w:eastAsia="Arial" w:cs="Arial"/>
                <w:color w:val="auto"/>
                <w:sz w:val="20"/>
                <w:szCs w:val="20"/>
              </w:rPr>
              <w:t>65(63)</w:t>
            </w:r>
          </w:p>
        </w:tc>
        <w:tc>
          <w:tcPr>
            <w:tcW w:w="1420" w:type="dxa"/>
            <w:vAlign w:val="bottom"/>
          </w:tcPr>
          <w:p>
            <w:pPr>
              <w:spacing w:after="0"/>
              <w:jc w:val="center"/>
              <w:rPr>
                <w:color w:val="auto"/>
                <w:sz w:val="20"/>
                <w:szCs w:val="20"/>
              </w:rPr>
            </w:pPr>
            <w:r>
              <w:rPr>
                <w:rFonts w:ascii="Arial" w:hAnsi="Arial" w:eastAsia="Arial" w:cs="Arial"/>
                <w:color w:val="auto"/>
                <w:w w:val="97"/>
                <w:sz w:val="20"/>
                <w:szCs w:val="20"/>
              </w:rPr>
              <w:t>39(37 )</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2" w:hRule="atLeast"/>
        </w:trPr>
        <w:tc>
          <w:tcPr>
            <w:tcW w:w="2580" w:type="dxa"/>
            <w:tcBorders>
              <w:bottom w:val="single" w:color="auto" w:sz="8" w:space="0"/>
            </w:tcBorders>
            <w:vAlign w:val="bottom"/>
          </w:tcPr>
          <w:p>
            <w:pPr>
              <w:spacing w:after="0"/>
              <w:rPr>
                <w:color w:val="auto"/>
                <w:sz w:val="3"/>
                <w:szCs w:val="3"/>
              </w:rPr>
            </w:pPr>
          </w:p>
        </w:tc>
        <w:tc>
          <w:tcPr>
            <w:tcW w:w="1240" w:type="dxa"/>
            <w:tcBorders>
              <w:bottom w:val="single" w:color="auto" w:sz="8" w:space="0"/>
            </w:tcBorders>
            <w:vAlign w:val="bottom"/>
          </w:tcPr>
          <w:p>
            <w:pPr>
              <w:spacing w:after="0"/>
              <w:rPr>
                <w:color w:val="auto"/>
                <w:sz w:val="3"/>
                <w:szCs w:val="3"/>
              </w:rPr>
            </w:pPr>
          </w:p>
        </w:tc>
        <w:tc>
          <w:tcPr>
            <w:tcW w:w="1360" w:type="dxa"/>
            <w:tcBorders>
              <w:bottom w:val="single" w:color="auto" w:sz="8" w:space="0"/>
            </w:tcBorders>
            <w:vAlign w:val="bottom"/>
          </w:tcPr>
          <w:p>
            <w:pPr>
              <w:spacing w:after="0"/>
              <w:rPr>
                <w:color w:val="auto"/>
                <w:sz w:val="3"/>
                <w:szCs w:val="3"/>
              </w:rPr>
            </w:pPr>
          </w:p>
        </w:tc>
        <w:tc>
          <w:tcPr>
            <w:tcW w:w="1420" w:type="dxa"/>
            <w:tcBorders>
              <w:bottom w:val="single" w:color="auto" w:sz="8" w:space="0"/>
            </w:tcBorders>
            <w:vAlign w:val="bottom"/>
          </w:tcPr>
          <w:p>
            <w:pPr>
              <w:spacing w:after="0"/>
              <w:rPr>
                <w:color w:val="auto"/>
                <w:sz w:val="3"/>
                <w:szCs w:val="3"/>
              </w:rPr>
            </w:pPr>
          </w:p>
        </w:tc>
        <w:tc>
          <w:tcPr>
            <w:tcW w:w="1040" w:type="dxa"/>
            <w:tcBorders>
              <w:bottom w:val="single" w:color="auto" w:sz="8" w:space="0"/>
            </w:tcBorders>
            <w:vAlign w:val="bottom"/>
          </w:tcPr>
          <w:p>
            <w:pPr>
              <w:spacing w:after="0"/>
              <w:rPr>
                <w:color w:val="auto"/>
                <w:sz w:val="3"/>
                <w:szCs w:val="3"/>
              </w:rPr>
            </w:pPr>
          </w:p>
        </w:tc>
        <w:tc>
          <w:tcPr>
            <w:tcW w:w="0" w:type="dxa"/>
            <w:vAlign w:val="bottom"/>
          </w:tcPr>
          <w:p>
            <w:pPr>
              <w:spacing w:after="0"/>
              <w:rPr>
                <w:color w:val="auto"/>
                <w:sz w:val="1"/>
                <w:szCs w:val="1"/>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1"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40</w:t>
      </w:r>
    </w:p>
    <w:p>
      <w:pPr>
        <w:sectPr>
          <w:pgSz w:w="12240" w:h="15842"/>
          <w:pgMar w:top="1440" w:right="1440" w:bottom="134" w:left="1440" w:header="0" w:footer="0" w:gutter="0"/>
          <w:cols w:equalWidth="0" w:num="1">
            <w:col w:w="9362"/>
          </w:cols>
        </w:sectPr>
      </w:pPr>
    </w:p>
    <w:p>
      <w:pPr>
        <w:spacing w:after="0"/>
        <w:ind w:left="720"/>
        <w:rPr>
          <w:color w:val="auto"/>
          <w:sz w:val="20"/>
          <w:szCs w:val="20"/>
        </w:rPr>
      </w:pPr>
      <w:bookmarkStart w:id="45" w:name="page51"/>
      <w:bookmarkEnd w:id="45"/>
      <w:r>
        <w:rPr>
          <w:rFonts w:ascii="Arial" w:hAnsi="Arial" w:eastAsia="Arial" w:cs="Arial"/>
          <w:b/>
          <w:bCs/>
          <w:color w:val="auto"/>
          <w:sz w:val="21"/>
          <w:szCs w:val="21"/>
        </w:rPr>
        <w:t>Table 7.1, Continued</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448310</wp:posOffset>
                </wp:positionH>
                <wp:positionV relativeFrom="paragraph">
                  <wp:posOffset>122555</wp:posOffset>
                </wp:positionV>
                <wp:extent cx="4838065" cy="0"/>
                <wp:effectExtent l="0" t="0" r="0" b="0"/>
                <wp:wrapNone/>
                <wp:docPr id="8" name="Shape 8"/>
                <wp:cNvGraphicFramePr/>
                <a:graphic xmlns:a="http://schemas.openxmlformats.org/drawingml/2006/main">
                  <a:graphicData uri="http://schemas.microsoft.com/office/word/2010/wordprocessingShape">
                    <wps:wsp>
                      <wps:cNvCnPr/>
                      <wps:spPr>
                        <a:xfrm>
                          <a:off x="0" y="0"/>
                          <a:ext cx="4838065" cy="4763"/>
                        </a:xfrm>
                        <a:prstGeom prst="line">
                          <a:avLst/>
                        </a:prstGeom>
                        <a:solidFill>
                          <a:srgbClr val="FFFFFF"/>
                        </a:solidFill>
                        <a:ln w="6095">
                          <a:solidFill>
                            <a:srgbClr val="000000"/>
                          </a:solidFill>
                          <a:miter lim="800000"/>
                        </a:ln>
                      </wps:spPr>
                      <wps:bodyPr/>
                    </wps:wsp>
                  </a:graphicData>
                </a:graphic>
              </wp:anchor>
            </w:drawing>
          </mc:Choice>
          <mc:Fallback>
            <w:pict>
              <v:line id="Shape 8" o:spid="_x0000_s1026" o:spt="20" style="position:absolute;left:0pt;margin-left:35.3pt;margin-top:9.65pt;height:0pt;width:380.95pt;z-index:-251657216;mso-width-relative:page;mso-height-relative:page;" fillcolor="#FFFFFF" filled="t" stroked="t" coordsize="21600,21600" o:allowincell="f" o:gfxdata="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CZo7TPW&#10;AAAACAEAAA8AAAAAAAAAAQAgAAAAIgAAAGRycy9kb3ducmV2LnhtbFBLAQIUABQAAAAIAIdO4kAX&#10;qj5PsAEAAJkDAAAOAAAAAAAAAAEAIAAAACUBAABkcnMvZTJvRG9jLnhtbFBLBQYAAAAABgAGAFkB&#10;AABHBQAAAAA=&#10;">
                <v:fill on="t" focussize="0,0"/>
                <v:stroke weight="0.47992125984252pt" color="#000000" miterlimit="8" joinstyle="miter"/>
                <v:imagedata o:title=""/>
                <o:lock v:ext="edit" aspectratio="f"/>
              </v:line>
            </w:pict>
          </mc:Fallback>
        </mc:AlternateContent>
      </w:r>
    </w:p>
    <w:p>
      <w:pPr>
        <w:spacing w:after="0" w:line="233" w:lineRule="exact"/>
        <w:rPr>
          <w:color w:val="auto"/>
          <w:sz w:val="20"/>
          <w:szCs w:val="20"/>
        </w:rPr>
      </w:pPr>
    </w:p>
    <w:tbl>
      <w:tblPr>
        <w:tblStyle w:val="3"/>
        <w:tblW w:w="0" w:type="auto"/>
        <w:tblInd w:w="700" w:type="dxa"/>
        <w:tblLayout w:type="fixed"/>
        <w:tblCellMar>
          <w:top w:w="0" w:type="dxa"/>
          <w:left w:w="0" w:type="dxa"/>
          <w:bottom w:w="0" w:type="dxa"/>
          <w:right w:w="0" w:type="dxa"/>
        </w:tblCellMar>
      </w:tblPr>
      <w:tblGrid>
        <w:gridCol w:w="2660"/>
        <w:gridCol w:w="1140"/>
        <w:gridCol w:w="1360"/>
        <w:gridCol w:w="1440"/>
        <w:gridCol w:w="1040"/>
        <w:gridCol w:w="360"/>
      </w:tblGrid>
      <w:tr>
        <w:tblPrEx>
          <w:tblCellMar>
            <w:top w:w="0" w:type="dxa"/>
            <w:left w:w="0" w:type="dxa"/>
            <w:bottom w:w="0" w:type="dxa"/>
            <w:right w:w="0" w:type="dxa"/>
          </w:tblCellMar>
        </w:tblPrEx>
        <w:trPr>
          <w:trHeight w:val="230" w:hRule="atLeast"/>
        </w:trPr>
        <w:tc>
          <w:tcPr>
            <w:tcW w:w="2660" w:type="dxa"/>
            <w:vAlign w:val="bottom"/>
          </w:tcPr>
          <w:p>
            <w:pPr>
              <w:spacing w:after="0"/>
              <w:rPr>
                <w:color w:val="auto"/>
                <w:sz w:val="19"/>
                <w:szCs w:val="19"/>
              </w:rPr>
            </w:pPr>
          </w:p>
        </w:tc>
        <w:tc>
          <w:tcPr>
            <w:tcW w:w="1140" w:type="dxa"/>
            <w:vAlign w:val="bottom"/>
          </w:tcPr>
          <w:p>
            <w:pPr>
              <w:spacing w:after="0"/>
              <w:rPr>
                <w:color w:val="auto"/>
                <w:sz w:val="19"/>
                <w:szCs w:val="19"/>
              </w:rPr>
            </w:pPr>
          </w:p>
        </w:tc>
        <w:tc>
          <w:tcPr>
            <w:tcW w:w="1360" w:type="dxa"/>
            <w:vAlign w:val="bottom"/>
          </w:tcPr>
          <w:p>
            <w:pPr>
              <w:spacing w:after="0"/>
              <w:ind w:left="140"/>
              <w:rPr>
                <w:color w:val="auto"/>
                <w:sz w:val="20"/>
                <w:szCs w:val="20"/>
              </w:rPr>
            </w:pPr>
            <w:r>
              <w:rPr>
                <w:rFonts w:ascii="Arial" w:hAnsi="Arial" w:eastAsia="Arial" w:cs="Arial"/>
                <w:b/>
                <w:bCs/>
                <w:color w:val="auto"/>
                <w:sz w:val="20"/>
                <w:szCs w:val="20"/>
              </w:rPr>
              <w:t>Serum</w:t>
            </w:r>
          </w:p>
        </w:tc>
        <w:tc>
          <w:tcPr>
            <w:tcW w:w="1440" w:type="dxa"/>
            <w:vAlign w:val="bottom"/>
          </w:tcPr>
          <w:p>
            <w:pPr>
              <w:spacing w:after="0"/>
              <w:ind w:left="180"/>
              <w:rPr>
                <w:color w:val="auto"/>
                <w:sz w:val="20"/>
                <w:szCs w:val="20"/>
              </w:rPr>
            </w:pPr>
            <w:r>
              <w:rPr>
                <w:rFonts w:ascii="Arial" w:hAnsi="Arial" w:eastAsia="Arial" w:cs="Arial"/>
                <w:b/>
                <w:bCs/>
                <w:color w:val="auto"/>
                <w:sz w:val="20"/>
                <w:szCs w:val="20"/>
              </w:rPr>
              <w:t>Serum</w:t>
            </w:r>
          </w:p>
        </w:tc>
        <w:tc>
          <w:tcPr>
            <w:tcW w:w="104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30" w:hRule="atLeast"/>
        </w:trPr>
        <w:tc>
          <w:tcPr>
            <w:tcW w:w="2660" w:type="dxa"/>
            <w:vAlign w:val="bottom"/>
          </w:tcPr>
          <w:p>
            <w:pPr>
              <w:spacing w:after="0"/>
              <w:rPr>
                <w:color w:val="auto"/>
                <w:sz w:val="20"/>
                <w:szCs w:val="20"/>
              </w:rPr>
            </w:pPr>
          </w:p>
        </w:tc>
        <w:tc>
          <w:tcPr>
            <w:tcW w:w="1140" w:type="dxa"/>
            <w:vMerge w:val="restart"/>
            <w:vAlign w:val="bottom"/>
          </w:tcPr>
          <w:p>
            <w:pPr>
              <w:spacing w:after="0"/>
              <w:ind w:left="220"/>
              <w:rPr>
                <w:color w:val="auto"/>
                <w:sz w:val="20"/>
                <w:szCs w:val="20"/>
              </w:rPr>
            </w:pPr>
            <w:r>
              <w:rPr>
                <w:rFonts w:ascii="Arial" w:hAnsi="Arial" w:eastAsia="Arial" w:cs="Arial"/>
                <w:b/>
                <w:bCs/>
                <w:color w:val="auto"/>
                <w:sz w:val="20"/>
                <w:szCs w:val="20"/>
              </w:rPr>
              <w:t>Total</w:t>
            </w:r>
          </w:p>
        </w:tc>
        <w:tc>
          <w:tcPr>
            <w:tcW w:w="1360" w:type="dxa"/>
            <w:vAlign w:val="bottom"/>
          </w:tcPr>
          <w:p>
            <w:pPr>
              <w:spacing w:after="0"/>
              <w:ind w:left="140"/>
              <w:rPr>
                <w:color w:val="auto"/>
                <w:sz w:val="20"/>
                <w:szCs w:val="20"/>
              </w:rPr>
            </w:pPr>
            <w:r>
              <w:rPr>
                <w:rFonts w:ascii="Arial" w:hAnsi="Arial" w:eastAsia="Arial" w:cs="Arial"/>
                <w:b/>
                <w:bCs/>
                <w:color w:val="auto"/>
                <w:sz w:val="20"/>
                <w:szCs w:val="20"/>
              </w:rPr>
              <w:t>vitamin D</w:t>
            </w:r>
          </w:p>
        </w:tc>
        <w:tc>
          <w:tcPr>
            <w:tcW w:w="1440" w:type="dxa"/>
            <w:vAlign w:val="bottom"/>
          </w:tcPr>
          <w:p>
            <w:pPr>
              <w:spacing w:after="0"/>
              <w:ind w:left="180"/>
              <w:rPr>
                <w:color w:val="auto"/>
                <w:sz w:val="20"/>
                <w:szCs w:val="20"/>
              </w:rPr>
            </w:pPr>
            <w:r>
              <w:rPr>
                <w:rFonts w:ascii="Arial" w:hAnsi="Arial" w:eastAsia="Arial" w:cs="Arial"/>
                <w:b/>
                <w:bCs/>
                <w:color w:val="auto"/>
                <w:sz w:val="20"/>
                <w:szCs w:val="20"/>
              </w:rPr>
              <w:t>vitamin D</w:t>
            </w:r>
          </w:p>
        </w:tc>
        <w:tc>
          <w:tcPr>
            <w:tcW w:w="1040" w:type="dxa"/>
            <w:vAlign w:val="bottom"/>
          </w:tcPr>
          <w:p>
            <w:pPr>
              <w:spacing w:after="0"/>
              <w:rPr>
                <w:color w:val="auto"/>
                <w:sz w:val="20"/>
                <w:szCs w:val="2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660" w:type="dxa"/>
            <w:vMerge w:val="restart"/>
            <w:vAlign w:val="bottom"/>
          </w:tcPr>
          <w:p>
            <w:pPr>
              <w:spacing w:after="0"/>
              <w:ind w:left="120"/>
              <w:rPr>
                <w:color w:val="auto"/>
                <w:sz w:val="20"/>
                <w:szCs w:val="20"/>
              </w:rPr>
            </w:pPr>
            <w:r>
              <w:rPr>
                <w:rFonts w:ascii="Arial" w:hAnsi="Arial" w:eastAsia="Arial" w:cs="Arial"/>
                <w:b/>
                <w:bCs/>
                <w:color w:val="auto"/>
                <w:sz w:val="20"/>
                <w:szCs w:val="20"/>
              </w:rPr>
              <w:t>Variable</w:t>
            </w:r>
          </w:p>
        </w:tc>
        <w:tc>
          <w:tcPr>
            <w:tcW w:w="1140" w:type="dxa"/>
            <w:vMerge w:val="continue"/>
            <w:vAlign w:val="bottom"/>
          </w:tcPr>
          <w:p>
            <w:pPr>
              <w:spacing w:after="0"/>
              <w:rPr>
                <w:color w:val="auto"/>
                <w:sz w:val="10"/>
                <w:szCs w:val="10"/>
              </w:rPr>
            </w:pPr>
          </w:p>
        </w:tc>
        <w:tc>
          <w:tcPr>
            <w:tcW w:w="1360" w:type="dxa"/>
            <w:vMerge w:val="restart"/>
            <w:vAlign w:val="bottom"/>
          </w:tcPr>
          <w:p>
            <w:pPr>
              <w:spacing w:after="0"/>
              <w:ind w:left="140"/>
              <w:rPr>
                <w:color w:val="auto"/>
                <w:sz w:val="20"/>
                <w:szCs w:val="20"/>
              </w:rPr>
            </w:pPr>
            <w:r>
              <w:rPr>
                <w:rFonts w:ascii="Arial" w:hAnsi="Arial" w:eastAsia="Arial" w:cs="Arial"/>
                <w:b/>
                <w:bCs/>
                <w:color w:val="auto"/>
                <w:sz w:val="20"/>
                <w:szCs w:val="20"/>
              </w:rPr>
              <w:t>status</w:t>
            </w:r>
          </w:p>
        </w:tc>
        <w:tc>
          <w:tcPr>
            <w:tcW w:w="1440" w:type="dxa"/>
            <w:vMerge w:val="restart"/>
            <w:vAlign w:val="bottom"/>
          </w:tcPr>
          <w:p>
            <w:pPr>
              <w:spacing w:after="0"/>
              <w:ind w:left="180"/>
              <w:rPr>
                <w:color w:val="auto"/>
                <w:sz w:val="20"/>
                <w:szCs w:val="20"/>
              </w:rPr>
            </w:pPr>
            <w:r>
              <w:rPr>
                <w:rFonts w:ascii="Arial" w:hAnsi="Arial" w:eastAsia="Arial" w:cs="Arial"/>
                <w:b/>
                <w:bCs/>
                <w:color w:val="auto"/>
                <w:sz w:val="20"/>
                <w:szCs w:val="20"/>
              </w:rPr>
              <w:t>status</w:t>
            </w:r>
          </w:p>
        </w:tc>
        <w:tc>
          <w:tcPr>
            <w:tcW w:w="1040" w:type="dxa"/>
            <w:vMerge w:val="restart"/>
            <w:vAlign w:val="bottom"/>
          </w:tcPr>
          <w:p>
            <w:pPr>
              <w:spacing w:after="0"/>
              <w:ind w:left="120"/>
              <w:rPr>
                <w:color w:val="auto"/>
                <w:sz w:val="20"/>
                <w:szCs w:val="20"/>
              </w:rPr>
            </w:pPr>
            <w:r>
              <w:rPr>
                <w:rFonts w:ascii="Arial" w:hAnsi="Arial" w:eastAsia="Arial" w:cs="Arial"/>
                <w:b/>
                <w:bCs/>
                <w:color w:val="auto"/>
                <w:sz w:val="20"/>
                <w:szCs w:val="20"/>
              </w:rPr>
              <w:t>p- 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26" w:hRule="atLeast"/>
        </w:trPr>
        <w:tc>
          <w:tcPr>
            <w:tcW w:w="2660" w:type="dxa"/>
            <w:vMerge w:val="continue"/>
            <w:vAlign w:val="bottom"/>
          </w:tcPr>
          <w:p>
            <w:pPr>
              <w:spacing w:after="0"/>
              <w:rPr>
                <w:color w:val="auto"/>
                <w:sz w:val="10"/>
                <w:szCs w:val="10"/>
              </w:rPr>
            </w:pPr>
          </w:p>
        </w:tc>
        <w:tc>
          <w:tcPr>
            <w:tcW w:w="1140" w:type="dxa"/>
            <w:vAlign w:val="bottom"/>
          </w:tcPr>
          <w:p>
            <w:pPr>
              <w:spacing w:after="0"/>
              <w:rPr>
                <w:color w:val="auto"/>
                <w:sz w:val="10"/>
                <w:szCs w:val="10"/>
              </w:rPr>
            </w:pPr>
          </w:p>
        </w:tc>
        <w:tc>
          <w:tcPr>
            <w:tcW w:w="1360" w:type="dxa"/>
            <w:vMerge w:val="continue"/>
            <w:vAlign w:val="bottom"/>
          </w:tcPr>
          <w:p>
            <w:pPr>
              <w:spacing w:after="0"/>
              <w:rPr>
                <w:color w:val="auto"/>
                <w:sz w:val="10"/>
                <w:szCs w:val="10"/>
              </w:rPr>
            </w:pPr>
          </w:p>
        </w:tc>
        <w:tc>
          <w:tcPr>
            <w:tcW w:w="1440" w:type="dxa"/>
            <w:vMerge w:val="continue"/>
            <w:vAlign w:val="bottom"/>
          </w:tcPr>
          <w:p>
            <w:pPr>
              <w:spacing w:after="0"/>
              <w:rPr>
                <w:color w:val="auto"/>
                <w:sz w:val="10"/>
                <w:szCs w:val="10"/>
              </w:rPr>
            </w:pP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20" w:hRule="atLeast"/>
        </w:trPr>
        <w:tc>
          <w:tcPr>
            <w:tcW w:w="2660" w:type="dxa"/>
            <w:vAlign w:val="bottom"/>
          </w:tcPr>
          <w:p>
            <w:pPr>
              <w:spacing w:after="0"/>
              <w:rPr>
                <w:color w:val="auto"/>
                <w:sz w:val="19"/>
                <w:szCs w:val="19"/>
              </w:rPr>
            </w:pPr>
          </w:p>
        </w:tc>
        <w:tc>
          <w:tcPr>
            <w:tcW w:w="1140" w:type="dxa"/>
            <w:vAlign w:val="bottom"/>
          </w:tcPr>
          <w:p>
            <w:pPr>
              <w:spacing w:after="0"/>
              <w:rPr>
                <w:color w:val="auto"/>
                <w:sz w:val="19"/>
                <w:szCs w:val="19"/>
              </w:rPr>
            </w:pPr>
          </w:p>
        </w:tc>
        <w:tc>
          <w:tcPr>
            <w:tcW w:w="1360" w:type="dxa"/>
            <w:vAlign w:val="bottom"/>
          </w:tcPr>
          <w:p>
            <w:pPr>
              <w:spacing w:after="0" w:line="220" w:lineRule="exact"/>
              <w:ind w:left="140"/>
              <w:rPr>
                <w:color w:val="auto"/>
                <w:sz w:val="20"/>
                <w:szCs w:val="20"/>
              </w:rPr>
            </w:pPr>
            <w:r>
              <w:rPr>
                <w:rFonts w:ascii="Arial" w:hAnsi="Arial" w:eastAsia="Arial" w:cs="Arial"/>
                <w:b/>
                <w:bCs/>
                <w:color w:val="auto"/>
                <w:sz w:val="20"/>
                <w:szCs w:val="20"/>
              </w:rPr>
              <w:t>suboptimal</w:t>
            </w:r>
          </w:p>
        </w:tc>
        <w:tc>
          <w:tcPr>
            <w:tcW w:w="1440" w:type="dxa"/>
            <w:vAlign w:val="bottom"/>
          </w:tcPr>
          <w:p>
            <w:pPr>
              <w:spacing w:after="0" w:line="220" w:lineRule="exact"/>
              <w:ind w:left="180"/>
              <w:rPr>
                <w:color w:val="auto"/>
                <w:sz w:val="20"/>
                <w:szCs w:val="20"/>
              </w:rPr>
            </w:pPr>
            <w:r>
              <w:rPr>
                <w:rFonts w:ascii="Arial" w:hAnsi="Arial" w:eastAsia="Arial" w:cs="Arial"/>
                <w:b/>
                <w:bCs/>
                <w:color w:val="auto"/>
                <w:sz w:val="20"/>
                <w:szCs w:val="20"/>
              </w:rPr>
              <w:t>optimal</w:t>
            </w:r>
          </w:p>
        </w:tc>
        <w:tc>
          <w:tcPr>
            <w:tcW w:w="104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8" w:hRule="atLeast"/>
        </w:trPr>
        <w:tc>
          <w:tcPr>
            <w:tcW w:w="2660" w:type="dxa"/>
            <w:vAlign w:val="bottom"/>
          </w:tcPr>
          <w:p>
            <w:pPr>
              <w:spacing w:after="0"/>
              <w:rPr>
                <w:color w:val="auto"/>
                <w:sz w:val="5"/>
                <w:szCs w:val="5"/>
              </w:rPr>
            </w:pPr>
          </w:p>
        </w:tc>
        <w:tc>
          <w:tcPr>
            <w:tcW w:w="1140" w:type="dxa"/>
            <w:tcBorders>
              <w:bottom w:val="single" w:color="auto" w:sz="8" w:space="0"/>
            </w:tcBorders>
            <w:vAlign w:val="bottom"/>
          </w:tcPr>
          <w:p>
            <w:pPr>
              <w:spacing w:after="0"/>
              <w:rPr>
                <w:color w:val="auto"/>
                <w:sz w:val="5"/>
                <w:szCs w:val="5"/>
              </w:rPr>
            </w:pPr>
          </w:p>
        </w:tc>
        <w:tc>
          <w:tcPr>
            <w:tcW w:w="1360" w:type="dxa"/>
            <w:tcBorders>
              <w:bottom w:val="single" w:color="auto" w:sz="8" w:space="0"/>
            </w:tcBorders>
            <w:vAlign w:val="bottom"/>
          </w:tcPr>
          <w:p>
            <w:pPr>
              <w:spacing w:after="0"/>
              <w:rPr>
                <w:color w:val="auto"/>
                <w:sz w:val="5"/>
                <w:szCs w:val="5"/>
              </w:rPr>
            </w:pPr>
          </w:p>
        </w:tc>
        <w:tc>
          <w:tcPr>
            <w:tcW w:w="1440" w:type="dxa"/>
            <w:tcBorders>
              <w:bottom w:val="single" w:color="auto" w:sz="8" w:space="0"/>
            </w:tcBorders>
            <w:vAlign w:val="bottom"/>
          </w:tcPr>
          <w:p>
            <w:pPr>
              <w:spacing w:after="0"/>
              <w:rPr>
                <w:color w:val="auto"/>
                <w:sz w:val="5"/>
                <w:szCs w:val="5"/>
              </w:rPr>
            </w:pPr>
          </w:p>
        </w:tc>
        <w:tc>
          <w:tcPr>
            <w:tcW w:w="1040" w:type="dxa"/>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8" w:hRule="atLeast"/>
        </w:trPr>
        <w:tc>
          <w:tcPr>
            <w:tcW w:w="2660" w:type="dxa"/>
            <w:vAlign w:val="bottom"/>
          </w:tcPr>
          <w:p>
            <w:pPr>
              <w:spacing w:after="0"/>
              <w:rPr>
                <w:color w:val="auto"/>
                <w:sz w:val="21"/>
                <w:szCs w:val="21"/>
              </w:rPr>
            </w:pPr>
          </w:p>
        </w:tc>
        <w:tc>
          <w:tcPr>
            <w:tcW w:w="1140" w:type="dxa"/>
            <w:vAlign w:val="bottom"/>
          </w:tcPr>
          <w:p>
            <w:pPr>
              <w:spacing w:after="0"/>
              <w:ind w:left="380"/>
              <w:rPr>
                <w:color w:val="auto"/>
                <w:sz w:val="20"/>
                <w:szCs w:val="20"/>
              </w:rPr>
            </w:pPr>
            <w:r>
              <w:rPr>
                <w:rFonts w:ascii="Arial" w:hAnsi="Arial" w:eastAsia="Arial" w:cs="Arial"/>
                <w:b/>
                <w:bCs/>
                <w:color w:val="auto"/>
                <w:sz w:val="20"/>
                <w:szCs w:val="20"/>
              </w:rPr>
              <w:t>n=186</w:t>
            </w:r>
          </w:p>
        </w:tc>
        <w:tc>
          <w:tcPr>
            <w:tcW w:w="1360" w:type="dxa"/>
            <w:vAlign w:val="bottom"/>
          </w:tcPr>
          <w:p>
            <w:pPr>
              <w:spacing w:after="0"/>
              <w:ind w:left="400"/>
              <w:rPr>
                <w:color w:val="auto"/>
                <w:sz w:val="20"/>
                <w:szCs w:val="20"/>
              </w:rPr>
            </w:pPr>
            <w:r>
              <w:rPr>
                <w:rFonts w:ascii="Arial" w:hAnsi="Arial" w:eastAsia="Arial" w:cs="Arial"/>
                <w:b/>
                <w:bCs/>
                <w:color w:val="auto"/>
                <w:sz w:val="20"/>
                <w:szCs w:val="20"/>
              </w:rPr>
              <w:t>n=102</w:t>
            </w:r>
          </w:p>
        </w:tc>
        <w:tc>
          <w:tcPr>
            <w:tcW w:w="1440" w:type="dxa"/>
            <w:vAlign w:val="bottom"/>
          </w:tcPr>
          <w:p>
            <w:pPr>
              <w:spacing w:after="0"/>
              <w:ind w:left="460"/>
              <w:rPr>
                <w:color w:val="auto"/>
                <w:sz w:val="20"/>
                <w:szCs w:val="20"/>
              </w:rPr>
            </w:pPr>
            <w:r>
              <w:rPr>
                <w:rFonts w:ascii="Arial" w:hAnsi="Arial" w:eastAsia="Arial" w:cs="Arial"/>
                <w:b/>
                <w:bCs/>
                <w:color w:val="auto"/>
                <w:sz w:val="20"/>
                <w:szCs w:val="20"/>
              </w:rPr>
              <w:t>n=84</w:t>
            </w:r>
          </w:p>
        </w:tc>
        <w:tc>
          <w:tcPr>
            <w:tcW w:w="104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2" w:hRule="atLeast"/>
        </w:trPr>
        <w:tc>
          <w:tcPr>
            <w:tcW w:w="2660" w:type="dxa"/>
            <w:tcBorders>
              <w:bottom w:val="single" w:color="auto" w:sz="8" w:space="0"/>
            </w:tcBorders>
            <w:vAlign w:val="bottom"/>
          </w:tcPr>
          <w:p>
            <w:pPr>
              <w:spacing w:after="0"/>
              <w:rPr>
                <w:color w:val="auto"/>
                <w:sz w:val="3"/>
                <w:szCs w:val="3"/>
              </w:rPr>
            </w:pPr>
          </w:p>
        </w:tc>
        <w:tc>
          <w:tcPr>
            <w:tcW w:w="1140" w:type="dxa"/>
            <w:tcBorders>
              <w:bottom w:val="single" w:color="auto" w:sz="8" w:space="0"/>
            </w:tcBorders>
            <w:vAlign w:val="bottom"/>
          </w:tcPr>
          <w:p>
            <w:pPr>
              <w:spacing w:after="0"/>
              <w:rPr>
                <w:color w:val="auto"/>
                <w:sz w:val="3"/>
                <w:szCs w:val="3"/>
              </w:rPr>
            </w:pPr>
          </w:p>
        </w:tc>
        <w:tc>
          <w:tcPr>
            <w:tcW w:w="1360" w:type="dxa"/>
            <w:tcBorders>
              <w:bottom w:val="single" w:color="auto" w:sz="8" w:space="0"/>
            </w:tcBorders>
            <w:vAlign w:val="bottom"/>
          </w:tcPr>
          <w:p>
            <w:pPr>
              <w:spacing w:after="0"/>
              <w:rPr>
                <w:color w:val="auto"/>
                <w:sz w:val="3"/>
                <w:szCs w:val="3"/>
              </w:rPr>
            </w:pPr>
          </w:p>
        </w:tc>
        <w:tc>
          <w:tcPr>
            <w:tcW w:w="1440" w:type="dxa"/>
            <w:tcBorders>
              <w:bottom w:val="single" w:color="auto" w:sz="8" w:space="0"/>
            </w:tcBorders>
            <w:vAlign w:val="bottom"/>
          </w:tcPr>
          <w:p>
            <w:pPr>
              <w:spacing w:after="0"/>
              <w:rPr>
                <w:color w:val="auto"/>
                <w:sz w:val="3"/>
                <w:szCs w:val="3"/>
              </w:rPr>
            </w:pPr>
          </w:p>
        </w:tc>
        <w:tc>
          <w:tcPr>
            <w:tcW w:w="1040" w:type="dxa"/>
            <w:tcBorders>
              <w:bottom w:val="single" w:color="auto" w:sz="8" w:space="0"/>
            </w:tcBorders>
            <w:vAlign w:val="bottom"/>
          </w:tcPr>
          <w:p>
            <w:pPr>
              <w:spacing w:after="0"/>
              <w:rPr>
                <w:color w:val="auto"/>
                <w:sz w:val="3"/>
                <w:szCs w:val="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8" w:hRule="atLeast"/>
        </w:trPr>
        <w:tc>
          <w:tcPr>
            <w:tcW w:w="2660" w:type="dxa"/>
            <w:vAlign w:val="bottom"/>
          </w:tcPr>
          <w:p>
            <w:pPr>
              <w:spacing w:after="0"/>
              <w:rPr>
                <w:color w:val="auto"/>
                <w:sz w:val="21"/>
                <w:szCs w:val="21"/>
              </w:rPr>
            </w:pPr>
          </w:p>
        </w:tc>
        <w:tc>
          <w:tcPr>
            <w:tcW w:w="1140" w:type="dxa"/>
            <w:vAlign w:val="bottom"/>
          </w:tcPr>
          <w:p>
            <w:pPr>
              <w:spacing w:after="0"/>
              <w:ind w:left="400"/>
              <w:rPr>
                <w:color w:val="auto"/>
                <w:sz w:val="20"/>
                <w:szCs w:val="20"/>
              </w:rPr>
            </w:pPr>
            <w:r>
              <w:rPr>
                <w:rFonts w:ascii="Arial" w:hAnsi="Arial" w:eastAsia="Arial" w:cs="Arial"/>
                <w:b/>
                <w:bCs/>
                <w:color w:val="auto"/>
                <w:sz w:val="20"/>
                <w:szCs w:val="20"/>
              </w:rPr>
              <w:t>n(%)</w:t>
            </w:r>
          </w:p>
        </w:tc>
        <w:tc>
          <w:tcPr>
            <w:tcW w:w="1360" w:type="dxa"/>
            <w:vAlign w:val="bottom"/>
          </w:tcPr>
          <w:p>
            <w:pPr>
              <w:spacing w:after="0"/>
              <w:ind w:left="620"/>
              <w:rPr>
                <w:color w:val="auto"/>
                <w:sz w:val="20"/>
                <w:szCs w:val="20"/>
              </w:rPr>
            </w:pPr>
            <w:r>
              <w:rPr>
                <w:rFonts w:ascii="Arial" w:hAnsi="Arial" w:eastAsia="Arial" w:cs="Arial"/>
                <w:b/>
                <w:bCs/>
                <w:color w:val="auto"/>
                <w:sz w:val="20"/>
                <w:szCs w:val="20"/>
              </w:rPr>
              <w:t>n (%)</w:t>
            </w:r>
          </w:p>
        </w:tc>
        <w:tc>
          <w:tcPr>
            <w:tcW w:w="1440" w:type="dxa"/>
            <w:vAlign w:val="bottom"/>
          </w:tcPr>
          <w:p>
            <w:pPr>
              <w:spacing w:after="0"/>
              <w:ind w:left="520"/>
              <w:rPr>
                <w:color w:val="auto"/>
                <w:sz w:val="20"/>
                <w:szCs w:val="20"/>
              </w:rPr>
            </w:pPr>
            <w:r>
              <w:rPr>
                <w:rFonts w:ascii="Arial" w:hAnsi="Arial" w:eastAsia="Arial" w:cs="Arial"/>
                <w:b/>
                <w:bCs/>
                <w:color w:val="auto"/>
                <w:sz w:val="20"/>
                <w:szCs w:val="20"/>
              </w:rPr>
              <w:t>n (%)</w:t>
            </w:r>
          </w:p>
        </w:tc>
        <w:tc>
          <w:tcPr>
            <w:tcW w:w="104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Race</w:t>
            </w:r>
          </w:p>
        </w:tc>
        <w:tc>
          <w:tcPr>
            <w:tcW w:w="11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4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2" w:hRule="atLeast"/>
        </w:trPr>
        <w:tc>
          <w:tcPr>
            <w:tcW w:w="2660" w:type="dxa"/>
            <w:vAlign w:val="bottom"/>
          </w:tcPr>
          <w:p>
            <w:pPr>
              <w:spacing w:after="0"/>
              <w:ind w:left="400"/>
              <w:rPr>
                <w:color w:val="auto"/>
                <w:sz w:val="20"/>
                <w:szCs w:val="20"/>
              </w:rPr>
            </w:pPr>
            <w:r>
              <w:rPr>
                <w:rFonts w:ascii="Arial" w:hAnsi="Arial" w:eastAsia="Arial" w:cs="Arial"/>
                <w:b/>
                <w:bCs/>
                <w:color w:val="auto"/>
                <w:sz w:val="20"/>
                <w:szCs w:val="20"/>
              </w:rPr>
              <w:t>White</w:t>
            </w:r>
          </w:p>
        </w:tc>
        <w:tc>
          <w:tcPr>
            <w:tcW w:w="1140" w:type="dxa"/>
            <w:vAlign w:val="bottom"/>
          </w:tcPr>
          <w:p>
            <w:pPr>
              <w:spacing w:after="0"/>
              <w:jc w:val="center"/>
              <w:rPr>
                <w:color w:val="auto"/>
                <w:sz w:val="20"/>
                <w:szCs w:val="20"/>
              </w:rPr>
            </w:pPr>
            <w:r>
              <w:rPr>
                <w:rFonts w:ascii="Arial" w:hAnsi="Arial" w:eastAsia="Arial" w:cs="Arial"/>
                <w:color w:val="auto"/>
                <w:w w:val="98"/>
                <w:sz w:val="20"/>
                <w:szCs w:val="20"/>
              </w:rPr>
              <w:t>159(85.5)</w:t>
            </w:r>
          </w:p>
        </w:tc>
        <w:tc>
          <w:tcPr>
            <w:tcW w:w="1360" w:type="dxa"/>
            <w:vAlign w:val="bottom"/>
          </w:tcPr>
          <w:p>
            <w:pPr>
              <w:spacing w:after="0"/>
              <w:ind w:left="440"/>
              <w:rPr>
                <w:color w:val="auto"/>
                <w:sz w:val="20"/>
                <w:szCs w:val="20"/>
              </w:rPr>
            </w:pPr>
            <w:r>
              <w:rPr>
                <w:rFonts w:ascii="Arial" w:hAnsi="Arial" w:eastAsia="Arial" w:cs="Arial"/>
                <w:color w:val="auto"/>
                <w:sz w:val="20"/>
                <w:szCs w:val="20"/>
              </w:rPr>
              <w:t>81(51)</w:t>
            </w:r>
          </w:p>
        </w:tc>
        <w:tc>
          <w:tcPr>
            <w:tcW w:w="1440" w:type="dxa"/>
            <w:vAlign w:val="bottom"/>
          </w:tcPr>
          <w:p>
            <w:pPr>
              <w:spacing w:after="0"/>
              <w:jc w:val="center"/>
              <w:rPr>
                <w:color w:val="auto"/>
                <w:sz w:val="20"/>
                <w:szCs w:val="20"/>
              </w:rPr>
            </w:pPr>
            <w:r>
              <w:rPr>
                <w:rFonts w:ascii="Arial" w:hAnsi="Arial" w:eastAsia="Arial" w:cs="Arial"/>
                <w:color w:val="auto"/>
                <w:sz w:val="20"/>
                <w:szCs w:val="20"/>
              </w:rPr>
              <w:t>78(49)</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400"/>
              <w:rPr>
                <w:color w:val="auto"/>
                <w:sz w:val="20"/>
                <w:szCs w:val="20"/>
              </w:rPr>
            </w:pPr>
            <w:r>
              <w:rPr>
                <w:rFonts w:ascii="Arial" w:hAnsi="Arial" w:eastAsia="Arial" w:cs="Arial"/>
                <w:b/>
                <w:bCs/>
                <w:color w:val="auto"/>
                <w:sz w:val="20"/>
                <w:szCs w:val="20"/>
              </w:rPr>
              <w:t>Non-white</w:t>
            </w:r>
          </w:p>
        </w:tc>
        <w:tc>
          <w:tcPr>
            <w:tcW w:w="1140" w:type="dxa"/>
            <w:vAlign w:val="bottom"/>
          </w:tcPr>
          <w:p>
            <w:pPr>
              <w:spacing w:after="0"/>
              <w:jc w:val="center"/>
              <w:rPr>
                <w:color w:val="auto"/>
                <w:sz w:val="20"/>
                <w:szCs w:val="20"/>
              </w:rPr>
            </w:pPr>
            <w:r>
              <w:rPr>
                <w:rFonts w:ascii="Arial" w:hAnsi="Arial" w:eastAsia="Arial" w:cs="Arial"/>
                <w:color w:val="auto"/>
                <w:sz w:val="20"/>
                <w:szCs w:val="20"/>
              </w:rPr>
              <w:t>27(14.5)</w:t>
            </w:r>
          </w:p>
        </w:tc>
        <w:tc>
          <w:tcPr>
            <w:tcW w:w="1360" w:type="dxa"/>
            <w:vAlign w:val="bottom"/>
          </w:tcPr>
          <w:p>
            <w:pPr>
              <w:spacing w:after="0"/>
              <w:ind w:left="440"/>
              <w:rPr>
                <w:color w:val="auto"/>
                <w:sz w:val="20"/>
                <w:szCs w:val="20"/>
              </w:rPr>
            </w:pPr>
            <w:r>
              <w:rPr>
                <w:rFonts w:ascii="Arial" w:hAnsi="Arial" w:eastAsia="Arial" w:cs="Arial"/>
                <w:color w:val="auto"/>
                <w:sz w:val="20"/>
                <w:szCs w:val="20"/>
              </w:rPr>
              <w:t>21(78)</w:t>
            </w:r>
          </w:p>
        </w:tc>
        <w:tc>
          <w:tcPr>
            <w:tcW w:w="1440" w:type="dxa"/>
            <w:vAlign w:val="bottom"/>
          </w:tcPr>
          <w:p>
            <w:pPr>
              <w:spacing w:after="0"/>
              <w:jc w:val="center"/>
              <w:rPr>
                <w:color w:val="auto"/>
                <w:sz w:val="20"/>
                <w:szCs w:val="20"/>
              </w:rPr>
            </w:pPr>
            <w:r>
              <w:rPr>
                <w:rFonts w:ascii="Arial" w:hAnsi="Arial" w:eastAsia="Arial" w:cs="Arial"/>
                <w:color w:val="auto"/>
                <w:w w:val="98"/>
                <w:sz w:val="20"/>
                <w:szCs w:val="20"/>
              </w:rPr>
              <w:t>6(22)</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Education</w:t>
            </w:r>
          </w:p>
        </w:tc>
        <w:tc>
          <w:tcPr>
            <w:tcW w:w="11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4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0.11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1" w:hRule="atLeast"/>
        </w:trPr>
        <w:tc>
          <w:tcPr>
            <w:tcW w:w="2660" w:type="dxa"/>
            <w:vAlign w:val="bottom"/>
          </w:tcPr>
          <w:p>
            <w:pPr>
              <w:spacing w:after="0"/>
              <w:ind w:left="700"/>
              <w:rPr>
                <w:color w:val="auto"/>
                <w:sz w:val="20"/>
                <w:szCs w:val="20"/>
              </w:rPr>
            </w:pPr>
            <w:r>
              <w:rPr>
                <w:rFonts w:ascii="Arial" w:hAnsi="Arial" w:eastAsia="Arial" w:cs="Arial"/>
                <w:b/>
                <w:bCs/>
                <w:color w:val="auto"/>
                <w:sz w:val="20"/>
                <w:szCs w:val="20"/>
              </w:rPr>
              <w:t>Some college</w:t>
            </w:r>
          </w:p>
        </w:tc>
        <w:tc>
          <w:tcPr>
            <w:tcW w:w="1140" w:type="dxa"/>
            <w:vAlign w:val="bottom"/>
          </w:tcPr>
          <w:p>
            <w:pPr>
              <w:spacing w:after="0"/>
              <w:jc w:val="center"/>
              <w:rPr>
                <w:color w:val="auto"/>
                <w:sz w:val="20"/>
                <w:szCs w:val="20"/>
              </w:rPr>
            </w:pPr>
            <w:r>
              <w:rPr>
                <w:rFonts w:ascii="Arial" w:hAnsi="Arial" w:eastAsia="Arial" w:cs="Arial"/>
                <w:color w:val="auto"/>
                <w:w w:val="98"/>
                <w:sz w:val="20"/>
                <w:szCs w:val="20"/>
              </w:rPr>
              <w:t>150(80.7)</w:t>
            </w:r>
          </w:p>
        </w:tc>
        <w:tc>
          <w:tcPr>
            <w:tcW w:w="1360" w:type="dxa"/>
            <w:vAlign w:val="bottom"/>
          </w:tcPr>
          <w:p>
            <w:pPr>
              <w:spacing w:after="0"/>
              <w:ind w:left="440"/>
              <w:rPr>
                <w:color w:val="auto"/>
                <w:sz w:val="20"/>
                <w:szCs w:val="20"/>
              </w:rPr>
            </w:pPr>
            <w:r>
              <w:rPr>
                <w:rFonts w:ascii="Arial" w:hAnsi="Arial" w:eastAsia="Arial" w:cs="Arial"/>
                <w:color w:val="auto"/>
                <w:sz w:val="20"/>
                <w:szCs w:val="20"/>
              </w:rPr>
              <w:t>78(52)</w:t>
            </w:r>
          </w:p>
        </w:tc>
        <w:tc>
          <w:tcPr>
            <w:tcW w:w="1440" w:type="dxa"/>
            <w:vAlign w:val="bottom"/>
          </w:tcPr>
          <w:p>
            <w:pPr>
              <w:spacing w:after="0"/>
              <w:jc w:val="center"/>
              <w:rPr>
                <w:color w:val="auto"/>
                <w:sz w:val="20"/>
                <w:szCs w:val="20"/>
              </w:rPr>
            </w:pPr>
            <w:r>
              <w:rPr>
                <w:rFonts w:ascii="Arial" w:hAnsi="Arial" w:eastAsia="Arial" w:cs="Arial"/>
                <w:color w:val="auto"/>
                <w:sz w:val="20"/>
                <w:szCs w:val="20"/>
              </w:rPr>
              <w:t>72(48)</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400"/>
              <w:rPr>
                <w:color w:val="auto"/>
                <w:sz w:val="20"/>
                <w:szCs w:val="20"/>
              </w:rPr>
            </w:pPr>
            <w:r>
              <w:rPr>
                <w:rFonts w:ascii="Arial" w:hAnsi="Arial" w:eastAsia="Arial" w:cs="Arial"/>
                <w:b/>
                <w:bCs/>
                <w:color w:val="auto"/>
                <w:sz w:val="20"/>
                <w:szCs w:val="20"/>
              </w:rPr>
              <w:t>College graduate</w:t>
            </w:r>
          </w:p>
        </w:tc>
        <w:tc>
          <w:tcPr>
            <w:tcW w:w="1140" w:type="dxa"/>
            <w:vAlign w:val="bottom"/>
          </w:tcPr>
          <w:p>
            <w:pPr>
              <w:spacing w:after="0"/>
              <w:jc w:val="center"/>
              <w:rPr>
                <w:color w:val="auto"/>
                <w:sz w:val="20"/>
                <w:szCs w:val="20"/>
              </w:rPr>
            </w:pPr>
            <w:r>
              <w:rPr>
                <w:rFonts w:ascii="Arial" w:hAnsi="Arial" w:eastAsia="Arial" w:cs="Arial"/>
                <w:color w:val="auto"/>
                <w:sz w:val="20"/>
                <w:szCs w:val="20"/>
              </w:rPr>
              <w:t>36(19.3)</w:t>
            </w:r>
          </w:p>
        </w:tc>
        <w:tc>
          <w:tcPr>
            <w:tcW w:w="1360" w:type="dxa"/>
            <w:vAlign w:val="bottom"/>
          </w:tcPr>
          <w:p>
            <w:pPr>
              <w:spacing w:after="0"/>
              <w:ind w:left="440"/>
              <w:rPr>
                <w:color w:val="auto"/>
                <w:sz w:val="20"/>
                <w:szCs w:val="20"/>
              </w:rPr>
            </w:pPr>
            <w:r>
              <w:rPr>
                <w:rFonts w:ascii="Arial" w:hAnsi="Arial" w:eastAsia="Arial" w:cs="Arial"/>
                <w:color w:val="auto"/>
                <w:sz w:val="20"/>
                <w:szCs w:val="20"/>
              </w:rPr>
              <w:t>24(67)</w:t>
            </w:r>
          </w:p>
        </w:tc>
        <w:tc>
          <w:tcPr>
            <w:tcW w:w="1440" w:type="dxa"/>
            <w:vAlign w:val="bottom"/>
          </w:tcPr>
          <w:p>
            <w:pPr>
              <w:spacing w:after="0"/>
              <w:jc w:val="center"/>
              <w:rPr>
                <w:color w:val="auto"/>
                <w:sz w:val="20"/>
                <w:szCs w:val="20"/>
              </w:rPr>
            </w:pPr>
            <w:r>
              <w:rPr>
                <w:rFonts w:ascii="Arial" w:hAnsi="Arial" w:eastAsia="Arial" w:cs="Arial"/>
                <w:color w:val="auto"/>
                <w:sz w:val="20"/>
                <w:szCs w:val="20"/>
              </w:rPr>
              <w:t>12(33)</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Smoking Status</w:t>
            </w:r>
          </w:p>
        </w:tc>
        <w:tc>
          <w:tcPr>
            <w:tcW w:w="11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4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0.91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49" w:hRule="atLeast"/>
        </w:trPr>
        <w:tc>
          <w:tcPr>
            <w:tcW w:w="2660" w:type="dxa"/>
            <w:vAlign w:val="bottom"/>
          </w:tcPr>
          <w:p>
            <w:pPr>
              <w:spacing w:after="0"/>
              <w:ind w:left="500"/>
              <w:rPr>
                <w:color w:val="auto"/>
                <w:sz w:val="20"/>
                <w:szCs w:val="20"/>
              </w:rPr>
            </w:pPr>
            <w:r>
              <w:rPr>
                <w:rFonts w:ascii="Arial" w:hAnsi="Arial" w:eastAsia="Arial" w:cs="Arial"/>
                <w:b/>
                <w:bCs/>
                <w:color w:val="auto"/>
                <w:sz w:val="20"/>
                <w:szCs w:val="20"/>
              </w:rPr>
              <w:t>Ever/current smoker</w:t>
            </w:r>
          </w:p>
        </w:tc>
        <w:tc>
          <w:tcPr>
            <w:tcW w:w="1140" w:type="dxa"/>
            <w:vAlign w:val="bottom"/>
          </w:tcPr>
          <w:p>
            <w:pPr>
              <w:spacing w:after="0"/>
              <w:jc w:val="center"/>
              <w:rPr>
                <w:color w:val="auto"/>
                <w:sz w:val="20"/>
                <w:szCs w:val="20"/>
              </w:rPr>
            </w:pPr>
            <w:r>
              <w:rPr>
                <w:rFonts w:ascii="Arial" w:hAnsi="Arial" w:eastAsia="Arial" w:cs="Arial"/>
                <w:color w:val="auto"/>
                <w:sz w:val="20"/>
                <w:szCs w:val="20"/>
              </w:rPr>
              <w:t>26(14.0)</w:t>
            </w:r>
          </w:p>
        </w:tc>
        <w:tc>
          <w:tcPr>
            <w:tcW w:w="1360" w:type="dxa"/>
            <w:vAlign w:val="bottom"/>
          </w:tcPr>
          <w:p>
            <w:pPr>
              <w:spacing w:after="0"/>
              <w:ind w:left="440"/>
              <w:rPr>
                <w:color w:val="auto"/>
                <w:sz w:val="20"/>
                <w:szCs w:val="20"/>
              </w:rPr>
            </w:pPr>
            <w:r>
              <w:rPr>
                <w:rFonts w:ascii="Arial" w:hAnsi="Arial" w:eastAsia="Arial" w:cs="Arial"/>
                <w:color w:val="auto"/>
                <w:sz w:val="20"/>
                <w:szCs w:val="20"/>
              </w:rPr>
              <w:t>14(54)</w:t>
            </w:r>
          </w:p>
        </w:tc>
        <w:tc>
          <w:tcPr>
            <w:tcW w:w="1440" w:type="dxa"/>
            <w:vAlign w:val="bottom"/>
          </w:tcPr>
          <w:p>
            <w:pPr>
              <w:spacing w:after="0"/>
              <w:jc w:val="center"/>
              <w:rPr>
                <w:color w:val="auto"/>
                <w:sz w:val="20"/>
                <w:szCs w:val="20"/>
              </w:rPr>
            </w:pPr>
            <w:r>
              <w:rPr>
                <w:rFonts w:ascii="Arial" w:hAnsi="Arial" w:eastAsia="Arial" w:cs="Arial"/>
                <w:color w:val="auto"/>
                <w:sz w:val="20"/>
                <w:szCs w:val="20"/>
              </w:rPr>
              <w:t>12(46)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51" w:hRule="atLeast"/>
        </w:trPr>
        <w:tc>
          <w:tcPr>
            <w:tcW w:w="2660" w:type="dxa"/>
            <w:vAlign w:val="bottom"/>
          </w:tcPr>
          <w:p>
            <w:pPr>
              <w:spacing w:after="0"/>
              <w:ind w:left="400"/>
              <w:rPr>
                <w:color w:val="auto"/>
                <w:sz w:val="20"/>
                <w:szCs w:val="20"/>
              </w:rPr>
            </w:pPr>
            <w:r>
              <w:rPr>
                <w:rFonts w:ascii="Arial" w:hAnsi="Arial" w:eastAsia="Arial" w:cs="Arial"/>
                <w:b/>
                <w:bCs/>
                <w:color w:val="auto"/>
                <w:sz w:val="20"/>
                <w:szCs w:val="20"/>
              </w:rPr>
              <w:t>Non- smoker</w:t>
            </w:r>
          </w:p>
        </w:tc>
        <w:tc>
          <w:tcPr>
            <w:tcW w:w="1140" w:type="dxa"/>
            <w:vAlign w:val="bottom"/>
          </w:tcPr>
          <w:p>
            <w:pPr>
              <w:spacing w:after="0"/>
              <w:jc w:val="center"/>
              <w:rPr>
                <w:color w:val="auto"/>
                <w:sz w:val="20"/>
                <w:szCs w:val="20"/>
              </w:rPr>
            </w:pPr>
            <w:r>
              <w:rPr>
                <w:rFonts w:ascii="Arial" w:hAnsi="Arial" w:eastAsia="Arial" w:cs="Arial"/>
                <w:color w:val="auto"/>
                <w:w w:val="98"/>
                <w:sz w:val="20"/>
                <w:szCs w:val="20"/>
              </w:rPr>
              <w:t>160(86.0)</w:t>
            </w:r>
          </w:p>
        </w:tc>
        <w:tc>
          <w:tcPr>
            <w:tcW w:w="1360" w:type="dxa"/>
            <w:vAlign w:val="bottom"/>
          </w:tcPr>
          <w:p>
            <w:pPr>
              <w:spacing w:after="0"/>
              <w:ind w:left="440"/>
              <w:rPr>
                <w:color w:val="auto"/>
                <w:sz w:val="20"/>
                <w:szCs w:val="20"/>
              </w:rPr>
            </w:pPr>
            <w:r>
              <w:rPr>
                <w:rFonts w:ascii="Arial" w:hAnsi="Arial" w:eastAsia="Arial" w:cs="Arial"/>
                <w:color w:val="auto"/>
                <w:sz w:val="20"/>
                <w:szCs w:val="20"/>
              </w:rPr>
              <w:t>88(55)</w:t>
            </w:r>
          </w:p>
        </w:tc>
        <w:tc>
          <w:tcPr>
            <w:tcW w:w="1440" w:type="dxa"/>
            <w:vAlign w:val="bottom"/>
          </w:tcPr>
          <w:p>
            <w:pPr>
              <w:spacing w:after="0"/>
              <w:jc w:val="center"/>
              <w:rPr>
                <w:color w:val="auto"/>
                <w:sz w:val="20"/>
                <w:szCs w:val="20"/>
              </w:rPr>
            </w:pPr>
            <w:r>
              <w:rPr>
                <w:rFonts w:ascii="Arial" w:hAnsi="Arial" w:eastAsia="Arial" w:cs="Arial"/>
                <w:color w:val="auto"/>
                <w:sz w:val="20"/>
                <w:szCs w:val="20"/>
              </w:rPr>
              <w:t>72(45)</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34"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Current oral</w:t>
            </w:r>
          </w:p>
        </w:tc>
        <w:tc>
          <w:tcPr>
            <w:tcW w:w="1140" w:type="dxa"/>
            <w:vMerge w:val="restart"/>
            <w:vAlign w:val="bottom"/>
          </w:tcPr>
          <w:p>
            <w:pPr>
              <w:spacing w:after="0"/>
              <w:jc w:val="center"/>
              <w:rPr>
                <w:color w:val="auto"/>
                <w:sz w:val="20"/>
                <w:szCs w:val="20"/>
              </w:rPr>
            </w:pPr>
            <w:r>
              <w:rPr>
                <w:rFonts w:ascii="Arial" w:hAnsi="Arial" w:eastAsia="Arial" w:cs="Arial"/>
                <w:color w:val="auto"/>
                <w:sz w:val="20"/>
                <w:szCs w:val="20"/>
              </w:rPr>
              <w:t>73(39.3)</w:t>
            </w:r>
          </w:p>
        </w:tc>
        <w:tc>
          <w:tcPr>
            <w:tcW w:w="1360" w:type="dxa"/>
            <w:vMerge w:val="restart"/>
            <w:vAlign w:val="bottom"/>
          </w:tcPr>
          <w:p>
            <w:pPr>
              <w:spacing w:after="0"/>
              <w:ind w:left="440"/>
              <w:rPr>
                <w:color w:val="auto"/>
                <w:sz w:val="20"/>
                <w:szCs w:val="20"/>
              </w:rPr>
            </w:pPr>
            <w:r>
              <w:rPr>
                <w:rFonts w:ascii="Arial" w:hAnsi="Arial" w:eastAsia="Arial" w:cs="Arial"/>
                <w:color w:val="auto"/>
                <w:sz w:val="20"/>
                <w:szCs w:val="20"/>
              </w:rPr>
              <w:t>26(36)</w:t>
            </w:r>
          </w:p>
        </w:tc>
        <w:tc>
          <w:tcPr>
            <w:tcW w:w="1440" w:type="dxa"/>
            <w:vMerge w:val="restart"/>
            <w:vAlign w:val="bottom"/>
          </w:tcPr>
          <w:p>
            <w:pPr>
              <w:spacing w:after="0"/>
              <w:jc w:val="center"/>
              <w:rPr>
                <w:color w:val="auto"/>
                <w:sz w:val="20"/>
                <w:szCs w:val="20"/>
              </w:rPr>
            </w:pPr>
            <w:r>
              <w:rPr>
                <w:rFonts w:ascii="Arial" w:hAnsi="Arial" w:eastAsia="Arial" w:cs="Arial"/>
                <w:color w:val="auto"/>
                <w:sz w:val="20"/>
                <w:szCs w:val="20"/>
              </w:rPr>
              <w:t>47(64)</w:t>
            </w:r>
          </w:p>
        </w:tc>
        <w:tc>
          <w:tcPr>
            <w:tcW w:w="1040" w:type="dxa"/>
            <w:vMerge w:val="restart"/>
            <w:vAlign w:val="bottom"/>
          </w:tcPr>
          <w:p>
            <w:pPr>
              <w:spacing w:after="0"/>
              <w:jc w:val="center"/>
              <w:rPr>
                <w:color w:val="auto"/>
                <w:sz w:val="20"/>
                <w:szCs w:val="20"/>
              </w:rPr>
            </w:pPr>
            <w:r>
              <w:rPr>
                <w:rFonts w:ascii="Arial" w:hAnsi="Arial" w:eastAsia="Arial" w:cs="Arial"/>
                <w:b/>
                <w:bCs/>
                <w:color w:val="auto"/>
                <w:w w:val="98"/>
                <w:sz w:val="20"/>
                <w:szCs w:val="20"/>
              </w:rPr>
              <w:t>&lt;0.0001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660" w:type="dxa"/>
            <w:vMerge w:val="restart"/>
            <w:vAlign w:val="bottom"/>
          </w:tcPr>
          <w:p>
            <w:pPr>
              <w:spacing w:after="0" w:line="228" w:lineRule="exact"/>
              <w:ind w:left="120"/>
              <w:rPr>
                <w:color w:val="auto"/>
                <w:sz w:val="20"/>
                <w:szCs w:val="20"/>
              </w:rPr>
            </w:pPr>
            <w:r>
              <w:rPr>
                <w:rFonts w:ascii="Arial" w:hAnsi="Arial" w:eastAsia="Arial" w:cs="Arial"/>
                <w:b/>
                <w:bCs/>
                <w:color w:val="auto"/>
                <w:sz w:val="20"/>
                <w:szCs w:val="20"/>
              </w:rPr>
              <w:t>contraceptives use</w:t>
            </w:r>
          </w:p>
        </w:tc>
        <w:tc>
          <w:tcPr>
            <w:tcW w:w="1140" w:type="dxa"/>
            <w:vMerge w:val="continue"/>
            <w:vAlign w:val="bottom"/>
          </w:tcPr>
          <w:p>
            <w:pPr>
              <w:spacing w:after="0"/>
              <w:rPr>
                <w:color w:val="auto"/>
                <w:sz w:val="10"/>
                <w:szCs w:val="10"/>
              </w:rPr>
            </w:pPr>
          </w:p>
        </w:tc>
        <w:tc>
          <w:tcPr>
            <w:tcW w:w="1360" w:type="dxa"/>
            <w:vMerge w:val="continue"/>
            <w:vAlign w:val="bottom"/>
          </w:tcPr>
          <w:p>
            <w:pPr>
              <w:spacing w:after="0"/>
              <w:rPr>
                <w:color w:val="auto"/>
                <w:sz w:val="10"/>
                <w:szCs w:val="10"/>
              </w:rPr>
            </w:pPr>
          </w:p>
        </w:tc>
        <w:tc>
          <w:tcPr>
            <w:tcW w:w="1440" w:type="dxa"/>
            <w:vMerge w:val="continue"/>
            <w:vAlign w:val="bottom"/>
          </w:tcPr>
          <w:p>
            <w:pPr>
              <w:spacing w:after="0"/>
              <w:rPr>
                <w:color w:val="auto"/>
                <w:sz w:val="10"/>
                <w:szCs w:val="10"/>
              </w:rPr>
            </w:pP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2660" w:type="dxa"/>
            <w:vMerge w:val="continue"/>
            <w:vAlign w:val="bottom"/>
          </w:tcPr>
          <w:p>
            <w:pPr>
              <w:spacing w:after="0"/>
              <w:rPr>
                <w:color w:val="auto"/>
                <w:sz w:val="9"/>
                <w:szCs w:val="9"/>
              </w:rPr>
            </w:pPr>
          </w:p>
        </w:tc>
        <w:tc>
          <w:tcPr>
            <w:tcW w:w="1140" w:type="dxa"/>
            <w:vAlign w:val="bottom"/>
          </w:tcPr>
          <w:p>
            <w:pPr>
              <w:spacing w:after="0"/>
              <w:rPr>
                <w:color w:val="auto"/>
                <w:sz w:val="9"/>
                <w:szCs w:val="9"/>
              </w:rPr>
            </w:pPr>
          </w:p>
        </w:tc>
        <w:tc>
          <w:tcPr>
            <w:tcW w:w="1360" w:type="dxa"/>
            <w:vAlign w:val="bottom"/>
          </w:tcPr>
          <w:p>
            <w:pPr>
              <w:spacing w:after="0"/>
              <w:rPr>
                <w:color w:val="auto"/>
                <w:sz w:val="9"/>
                <w:szCs w:val="9"/>
              </w:rPr>
            </w:pPr>
          </w:p>
        </w:tc>
        <w:tc>
          <w:tcPr>
            <w:tcW w:w="1440" w:type="dxa"/>
            <w:vAlign w:val="bottom"/>
          </w:tcPr>
          <w:p>
            <w:pPr>
              <w:spacing w:after="0"/>
              <w:rPr>
                <w:color w:val="auto"/>
                <w:sz w:val="9"/>
                <w:szCs w:val="9"/>
              </w:rPr>
            </w:pPr>
          </w:p>
        </w:tc>
        <w:tc>
          <w:tcPr>
            <w:tcW w:w="1040" w:type="dxa"/>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72"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Hours outdoors in past</w:t>
            </w:r>
          </w:p>
        </w:tc>
        <w:tc>
          <w:tcPr>
            <w:tcW w:w="11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40" w:type="dxa"/>
            <w:vAlign w:val="bottom"/>
          </w:tcPr>
          <w:p>
            <w:pPr>
              <w:spacing w:after="0"/>
              <w:rPr>
                <w:color w:val="auto"/>
                <w:sz w:val="24"/>
                <w:szCs w:val="24"/>
              </w:rPr>
            </w:pPr>
          </w:p>
        </w:tc>
        <w:tc>
          <w:tcPr>
            <w:tcW w:w="1040" w:type="dxa"/>
            <w:vMerge w:val="restart"/>
            <w:vAlign w:val="bottom"/>
          </w:tcPr>
          <w:p>
            <w:pPr>
              <w:spacing w:after="0"/>
              <w:jc w:val="center"/>
              <w:rPr>
                <w:color w:val="auto"/>
                <w:sz w:val="20"/>
                <w:szCs w:val="20"/>
              </w:rPr>
            </w:pPr>
            <w:r>
              <w:rPr>
                <w:rFonts w:ascii="Arial" w:hAnsi="Arial" w:eastAsia="Arial" w:cs="Arial"/>
                <w:color w:val="auto"/>
                <w:w w:val="97"/>
                <w:sz w:val="20"/>
                <w:szCs w:val="20"/>
              </w:rPr>
              <w:t>0.16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660" w:type="dxa"/>
            <w:vMerge w:val="restart"/>
            <w:vAlign w:val="bottom"/>
          </w:tcPr>
          <w:p>
            <w:pPr>
              <w:spacing w:after="0" w:line="228" w:lineRule="exact"/>
              <w:ind w:left="120"/>
              <w:rPr>
                <w:color w:val="auto"/>
                <w:sz w:val="20"/>
                <w:szCs w:val="20"/>
              </w:rPr>
            </w:pPr>
            <w:r>
              <w:rPr>
                <w:rFonts w:ascii="Arial" w:hAnsi="Arial" w:eastAsia="Arial" w:cs="Arial"/>
                <w:b/>
                <w:bCs/>
                <w:color w:val="auto"/>
                <w:sz w:val="20"/>
                <w:szCs w:val="20"/>
              </w:rPr>
              <w:t>week</w:t>
            </w:r>
          </w:p>
        </w:tc>
        <w:tc>
          <w:tcPr>
            <w:tcW w:w="1140" w:type="dxa"/>
            <w:vAlign w:val="bottom"/>
          </w:tcPr>
          <w:p>
            <w:pPr>
              <w:spacing w:after="0"/>
              <w:rPr>
                <w:color w:val="auto"/>
                <w:sz w:val="10"/>
                <w:szCs w:val="10"/>
              </w:rPr>
            </w:pPr>
          </w:p>
        </w:tc>
        <w:tc>
          <w:tcPr>
            <w:tcW w:w="1360" w:type="dxa"/>
            <w:vAlign w:val="bottom"/>
          </w:tcPr>
          <w:p>
            <w:pPr>
              <w:spacing w:after="0"/>
              <w:rPr>
                <w:color w:val="auto"/>
                <w:sz w:val="10"/>
                <w:szCs w:val="10"/>
              </w:rPr>
            </w:pPr>
          </w:p>
        </w:tc>
        <w:tc>
          <w:tcPr>
            <w:tcW w:w="1440" w:type="dxa"/>
            <w:vAlign w:val="bottom"/>
          </w:tcPr>
          <w:p>
            <w:pPr>
              <w:spacing w:after="0"/>
              <w:rPr>
                <w:color w:val="auto"/>
                <w:sz w:val="10"/>
                <w:szCs w:val="10"/>
              </w:rPr>
            </w:pP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2660" w:type="dxa"/>
            <w:vMerge w:val="continue"/>
            <w:vAlign w:val="bottom"/>
          </w:tcPr>
          <w:p>
            <w:pPr>
              <w:spacing w:after="0"/>
              <w:rPr>
                <w:color w:val="auto"/>
                <w:sz w:val="9"/>
                <w:szCs w:val="9"/>
              </w:rPr>
            </w:pPr>
          </w:p>
        </w:tc>
        <w:tc>
          <w:tcPr>
            <w:tcW w:w="1140" w:type="dxa"/>
            <w:vAlign w:val="bottom"/>
          </w:tcPr>
          <w:p>
            <w:pPr>
              <w:spacing w:after="0"/>
              <w:rPr>
                <w:color w:val="auto"/>
                <w:sz w:val="9"/>
                <w:szCs w:val="9"/>
              </w:rPr>
            </w:pPr>
          </w:p>
        </w:tc>
        <w:tc>
          <w:tcPr>
            <w:tcW w:w="1360" w:type="dxa"/>
            <w:vAlign w:val="bottom"/>
          </w:tcPr>
          <w:p>
            <w:pPr>
              <w:spacing w:after="0"/>
              <w:rPr>
                <w:color w:val="auto"/>
                <w:sz w:val="9"/>
                <w:szCs w:val="9"/>
              </w:rPr>
            </w:pPr>
          </w:p>
        </w:tc>
        <w:tc>
          <w:tcPr>
            <w:tcW w:w="1440" w:type="dxa"/>
            <w:vAlign w:val="bottom"/>
          </w:tcPr>
          <w:p>
            <w:pPr>
              <w:spacing w:after="0"/>
              <w:rPr>
                <w:color w:val="auto"/>
                <w:sz w:val="9"/>
                <w:szCs w:val="9"/>
              </w:rPr>
            </w:pPr>
          </w:p>
        </w:tc>
        <w:tc>
          <w:tcPr>
            <w:tcW w:w="1040" w:type="dxa"/>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39" w:hRule="atLeast"/>
        </w:trPr>
        <w:tc>
          <w:tcPr>
            <w:tcW w:w="2660" w:type="dxa"/>
            <w:vAlign w:val="bottom"/>
          </w:tcPr>
          <w:p>
            <w:pPr>
              <w:spacing w:after="0"/>
              <w:ind w:left="880"/>
              <w:rPr>
                <w:color w:val="auto"/>
                <w:sz w:val="20"/>
                <w:szCs w:val="20"/>
              </w:rPr>
            </w:pPr>
            <w:r>
              <w:rPr>
                <w:rFonts w:ascii="Arial" w:hAnsi="Arial" w:eastAsia="Arial" w:cs="Arial"/>
                <w:b/>
                <w:bCs/>
                <w:color w:val="auto"/>
                <w:sz w:val="20"/>
                <w:szCs w:val="20"/>
              </w:rPr>
              <w:t>≤ 2 hours</w:t>
            </w:r>
          </w:p>
        </w:tc>
        <w:tc>
          <w:tcPr>
            <w:tcW w:w="1140" w:type="dxa"/>
            <w:vAlign w:val="bottom"/>
          </w:tcPr>
          <w:p>
            <w:pPr>
              <w:spacing w:after="0"/>
              <w:jc w:val="center"/>
              <w:rPr>
                <w:color w:val="auto"/>
                <w:sz w:val="20"/>
                <w:szCs w:val="20"/>
              </w:rPr>
            </w:pPr>
            <w:r>
              <w:rPr>
                <w:rFonts w:ascii="Arial" w:hAnsi="Arial" w:eastAsia="Arial" w:cs="Arial"/>
                <w:color w:val="auto"/>
                <w:w w:val="98"/>
                <w:sz w:val="20"/>
                <w:szCs w:val="20"/>
              </w:rPr>
              <w:t>156(83.9)</w:t>
            </w:r>
          </w:p>
        </w:tc>
        <w:tc>
          <w:tcPr>
            <w:tcW w:w="1360" w:type="dxa"/>
            <w:vAlign w:val="bottom"/>
          </w:tcPr>
          <w:p>
            <w:pPr>
              <w:spacing w:after="0"/>
              <w:ind w:left="440"/>
              <w:rPr>
                <w:color w:val="auto"/>
                <w:sz w:val="20"/>
                <w:szCs w:val="20"/>
              </w:rPr>
            </w:pPr>
            <w:r>
              <w:rPr>
                <w:rFonts w:ascii="Arial" w:hAnsi="Arial" w:eastAsia="Arial" w:cs="Arial"/>
                <w:color w:val="auto"/>
                <w:sz w:val="20"/>
                <w:szCs w:val="20"/>
              </w:rPr>
              <w:t>89(57)</w:t>
            </w:r>
          </w:p>
        </w:tc>
        <w:tc>
          <w:tcPr>
            <w:tcW w:w="1440" w:type="dxa"/>
            <w:vAlign w:val="bottom"/>
          </w:tcPr>
          <w:p>
            <w:pPr>
              <w:spacing w:after="0"/>
              <w:jc w:val="center"/>
              <w:rPr>
                <w:color w:val="auto"/>
                <w:sz w:val="20"/>
                <w:szCs w:val="20"/>
              </w:rPr>
            </w:pPr>
            <w:r>
              <w:rPr>
                <w:rFonts w:ascii="Arial" w:hAnsi="Arial" w:eastAsia="Arial" w:cs="Arial"/>
                <w:color w:val="auto"/>
                <w:sz w:val="20"/>
                <w:szCs w:val="20"/>
              </w:rPr>
              <w:t>67(43)</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660" w:type="dxa"/>
            <w:vAlign w:val="bottom"/>
          </w:tcPr>
          <w:p>
            <w:pPr>
              <w:spacing w:after="0"/>
              <w:ind w:left="880"/>
              <w:rPr>
                <w:color w:val="auto"/>
                <w:sz w:val="20"/>
                <w:szCs w:val="20"/>
              </w:rPr>
            </w:pPr>
            <w:r>
              <w:rPr>
                <w:rFonts w:ascii="Arial" w:hAnsi="Arial" w:eastAsia="Arial" w:cs="Arial"/>
                <w:b/>
                <w:bCs/>
                <w:color w:val="auto"/>
                <w:sz w:val="20"/>
                <w:szCs w:val="20"/>
              </w:rPr>
              <w:t>≥ 3 hours</w:t>
            </w:r>
          </w:p>
        </w:tc>
        <w:tc>
          <w:tcPr>
            <w:tcW w:w="1140" w:type="dxa"/>
            <w:vAlign w:val="bottom"/>
          </w:tcPr>
          <w:p>
            <w:pPr>
              <w:spacing w:after="0"/>
              <w:jc w:val="center"/>
              <w:rPr>
                <w:color w:val="auto"/>
                <w:sz w:val="20"/>
                <w:szCs w:val="20"/>
              </w:rPr>
            </w:pPr>
            <w:r>
              <w:rPr>
                <w:rFonts w:ascii="Arial" w:hAnsi="Arial" w:eastAsia="Arial" w:cs="Arial"/>
                <w:color w:val="auto"/>
                <w:sz w:val="20"/>
                <w:szCs w:val="20"/>
              </w:rPr>
              <w:t>30(16.1)</w:t>
            </w:r>
          </w:p>
        </w:tc>
        <w:tc>
          <w:tcPr>
            <w:tcW w:w="1360" w:type="dxa"/>
            <w:vAlign w:val="bottom"/>
          </w:tcPr>
          <w:p>
            <w:pPr>
              <w:spacing w:after="0"/>
              <w:ind w:left="440"/>
              <w:rPr>
                <w:color w:val="auto"/>
                <w:sz w:val="20"/>
                <w:szCs w:val="20"/>
              </w:rPr>
            </w:pPr>
            <w:r>
              <w:rPr>
                <w:rFonts w:ascii="Arial" w:hAnsi="Arial" w:eastAsia="Arial" w:cs="Arial"/>
                <w:color w:val="auto"/>
                <w:sz w:val="20"/>
                <w:szCs w:val="20"/>
              </w:rPr>
              <w:t>13(43)</w:t>
            </w:r>
          </w:p>
        </w:tc>
        <w:tc>
          <w:tcPr>
            <w:tcW w:w="1440" w:type="dxa"/>
            <w:vAlign w:val="bottom"/>
          </w:tcPr>
          <w:p>
            <w:pPr>
              <w:spacing w:after="0"/>
              <w:jc w:val="center"/>
              <w:rPr>
                <w:color w:val="auto"/>
                <w:sz w:val="20"/>
                <w:szCs w:val="20"/>
              </w:rPr>
            </w:pPr>
            <w:r>
              <w:rPr>
                <w:rFonts w:ascii="Arial" w:hAnsi="Arial" w:eastAsia="Arial" w:cs="Arial"/>
                <w:color w:val="auto"/>
                <w:sz w:val="20"/>
                <w:szCs w:val="20"/>
              </w:rPr>
              <w:t>17(57)</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24"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No sunscreen use</w:t>
            </w:r>
          </w:p>
        </w:tc>
        <w:tc>
          <w:tcPr>
            <w:tcW w:w="1140" w:type="dxa"/>
            <w:vAlign w:val="bottom"/>
          </w:tcPr>
          <w:p>
            <w:pPr>
              <w:spacing w:after="0"/>
              <w:jc w:val="center"/>
              <w:rPr>
                <w:color w:val="auto"/>
                <w:sz w:val="20"/>
                <w:szCs w:val="20"/>
              </w:rPr>
            </w:pPr>
            <w:r>
              <w:rPr>
                <w:rFonts w:ascii="Arial" w:hAnsi="Arial" w:eastAsia="Arial" w:cs="Arial"/>
                <w:color w:val="auto"/>
                <w:sz w:val="20"/>
                <w:szCs w:val="20"/>
              </w:rPr>
              <w:t>76(40.9)</w:t>
            </w:r>
          </w:p>
        </w:tc>
        <w:tc>
          <w:tcPr>
            <w:tcW w:w="1360" w:type="dxa"/>
            <w:vAlign w:val="bottom"/>
          </w:tcPr>
          <w:p>
            <w:pPr>
              <w:spacing w:after="0"/>
              <w:ind w:left="440"/>
              <w:rPr>
                <w:color w:val="auto"/>
                <w:sz w:val="20"/>
                <w:szCs w:val="20"/>
              </w:rPr>
            </w:pPr>
            <w:r>
              <w:rPr>
                <w:rFonts w:ascii="Arial" w:hAnsi="Arial" w:eastAsia="Arial" w:cs="Arial"/>
                <w:color w:val="auto"/>
                <w:sz w:val="20"/>
                <w:szCs w:val="20"/>
              </w:rPr>
              <w:t>38(50)</w:t>
            </w:r>
          </w:p>
        </w:tc>
        <w:tc>
          <w:tcPr>
            <w:tcW w:w="1440" w:type="dxa"/>
            <w:vAlign w:val="bottom"/>
          </w:tcPr>
          <w:p>
            <w:pPr>
              <w:spacing w:after="0"/>
              <w:jc w:val="center"/>
              <w:rPr>
                <w:color w:val="auto"/>
                <w:sz w:val="20"/>
                <w:szCs w:val="20"/>
              </w:rPr>
            </w:pPr>
            <w:r>
              <w:rPr>
                <w:rFonts w:ascii="Arial" w:hAnsi="Arial" w:eastAsia="Arial" w:cs="Arial"/>
                <w:color w:val="auto"/>
                <w:sz w:val="20"/>
                <w:szCs w:val="20"/>
              </w:rPr>
              <w:t>38(50)</w:t>
            </w:r>
          </w:p>
        </w:tc>
        <w:tc>
          <w:tcPr>
            <w:tcW w:w="1040" w:type="dxa"/>
            <w:vAlign w:val="bottom"/>
          </w:tcPr>
          <w:p>
            <w:pPr>
              <w:spacing w:after="0"/>
              <w:jc w:val="center"/>
              <w:rPr>
                <w:color w:val="auto"/>
                <w:sz w:val="20"/>
                <w:szCs w:val="20"/>
              </w:rPr>
            </w:pPr>
            <w:r>
              <w:rPr>
                <w:rFonts w:ascii="Arial" w:hAnsi="Arial" w:eastAsia="Arial" w:cs="Arial"/>
                <w:color w:val="auto"/>
                <w:w w:val="97"/>
                <w:sz w:val="20"/>
                <w:szCs w:val="20"/>
              </w:rPr>
              <w:t>0.27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9" w:hRule="atLeast"/>
        </w:trPr>
        <w:tc>
          <w:tcPr>
            <w:tcW w:w="2660" w:type="dxa"/>
            <w:vAlign w:val="bottom"/>
          </w:tcPr>
          <w:p>
            <w:pPr>
              <w:spacing w:after="0"/>
              <w:ind w:left="120"/>
              <w:rPr>
                <w:color w:val="auto"/>
                <w:sz w:val="20"/>
                <w:szCs w:val="20"/>
              </w:rPr>
            </w:pPr>
            <w:r>
              <w:rPr>
                <w:rFonts w:ascii="Arial" w:hAnsi="Arial" w:eastAsia="Arial" w:cs="Arial"/>
                <w:b/>
                <w:bCs/>
                <w:color w:val="auto"/>
                <w:sz w:val="20"/>
                <w:szCs w:val="20"/>
              </w:rPr>
              <w:t>Month of blood draw</w:t>
            </w:r>
          </w:p>
        </w:tc>
        <w:tc>
          <w:tcPr>
            <w:tcW w:w="1140" w:type="dxa"/>
            <w:vAlign w:val="bottom"/>
          </w:tcPr>
          <w:p>
            <w:pPr>
              <w:spacing w:after="0"/>
              <w:rPr>
                <w:color w:val="auto"/>
                <w:sz w:val="24"/>
                <w:szCs w:val="24"/>
              </w:rPr>
            </w:pPr>
          </w:p>
        </w:tc>
        <w:tc>
          <w:tcPr>
            <w:tcW w:w="1360" w:type="dxa"/>
            <w:vAlign w:val="bottom"/>
          </w:tcPr>
          <w:p>
            <w:pPr>
              <w:spacing w:after="0"/>
              <w:rPr>
                <w:color w:val="auto"/>
                <w:sz w:val="24"/>
                <w:szCs w:val="24"/>
              </w:rPr>
            </w:pPr>
          </w:p>
        </w:tc>
        <w:tc>
          <w:tcPr>
            <w:tcW w:w="1440" w:type="dxa"/>
            <w:vAlign w:val="bottom"/>
          </w:tcPr>
          <w:p>
            <w:pPr>
              <w:spacing w:after="0"/>
              <w:rPr>
                <w:color w:val="auto"/>
                <w:sz w:val="24"/>
                <w:szCs w:val="24"/>
              </w:rPr>
            </w:pPr>
          </w:p>
        </w:tc>
        <w:tc>
          <w:tcPr>
            <w:tcW w:w="1040" w:type="dxa"/>
            <w:vAlign w:val="bottom"/>
          </w:tcPr>
          <w:p>
            <w:pPr>
              <w:spacing w:after="0"/>
              <w:jc w:val="center"/>
              <w:rPr>
                <w:color w:val="auto"/>
                <w:sz w:val="20"/>
                <w:szCs w:val="20"/>
              </w:rPr>
            </w:pPr>
            <w:r>
              <w:rPr>
                <w:rFonts w:ascii="Arial" w:hAnsi="Arial" w:eastAsia="Arial" w:cs="Arial"/>
                <w:b/>
                <w:bCs/>
                <w:color w:val="auto"/>
                <w:w w:val="97"/>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37" w:hRule="atLeast"/>
        </w:trPr>
        <w:tc>
          <w:tcPr>
            <w:tcW w:w="2660" w:type="dxa"/>
            <w:vAlign w:val="bottom"/>
          </w:tcPr>
          <w:p>
            <w:pPr>
              <w:spacing w:after="0"/>
              <w:jc w:val="right"/>
              <w:rPr>
                <w:color w:val="auto"/>
                <w:sz w:val="20"/>
                <w:szCs w:val="20"/>
              </w:rPr>
            </w:pPr>
            <w:r>
              <w:rPr>
                <w:rFonts w:ascii="Arial" w:hAnsi="Arial" w:eastAsia="Arial" w:cs="Arial"/>
                <w:b/>
                <w:bCs/>
                <w:color w:val="auto"/>
                <w:sz w:val="20"/>
                <w:szCs w:val="20"/>
              </w:rPr>
              <w:t>High sun exposure</w:t>
            </w:r>
          </w:p>
        </w:tc>
        <w:tc>
          <w:tcPr>
            <w:tcW w:w="1140" w:type="dxa"/>
            <w:vMerge w:val="restart"/>
            <w:vAlign w:val="bottom"/>
          </w:tcPr>
          <w:p>
            <w:pPr>
              <w:spacing w:after="0"/>
              <w:jc w:val="center"/>
              <w:rPr>
                <w:color w:val="auto"/>
                <w:sz w:val="20"/>
                <w:szCs w:val="20"/>
              </w:rPr>
            </w:pPr>
            <w:r>
              <w:rPr>
                <w:rFonts w:ascii="Arial" w:hAnsi="Arial" w:eastAsia="Arial" w:cs="Arial"/>
                <w:color w:val="auto"/>
                <w:w w:val="98"/>
                <w:sz w:val="20"/>
                <w:szCs w:val="20"/>
              </w:rPr>
              <w:t>99</w:t>
            </w:r>
          </w:p>
        </w:tc>
        <w:tc>
          <w:tcPr>
            <w:tcW w:w="1360" w:type="dxa"/>
            <w:vMerge w:val="restart"/>
            <w:vAlign w:val="bottom"/>
          </w:tcPr>
          <w:p>
            <w:pPr>
              <w:spacing w:after="0"/>
              <w:ind w:left="440"/>
              <w:rPr>
                <w:color w:val="auto"/>
                <w:sz w:val="20"/>
                <w:szCs w:val="20"/>
              </w:rPr>
            </w:pPr>
            <w:r>
              <w:rPr>
                <w:rFonts w:ascii="Arial" w:hAnsi="Arial" w:eastAsia="Arial" w:cs="Arial"/>
                <w:color w:val="auto"/>
                <w:sz w:val="20"/>
                <w:szCs w:val="20"/>
              </w:rPr>
              <w:t>46(46)</w:t>
            </w:r>
          </w:p>
        </w:tc>
        <w:tc>
          <w:tcPr>
            <w:tcW w:w="1440" w:type="dxa"/>
            <w:vMerge w:val="restart"/>
            <w:vAlign w:val="bottom"/>
          </w:tcPr>
          <w:p>
            <w:pPr>
              <w:spacing w:after="0"/>
              <w:jc w:val="center"/>
              <w:rPr>
                <w:color w:val="auto"/>
                <w:sz w:val="20"/>
                <w:szCs w:val="20"/>
              </w:rPr>
            </w:pPr>
            <w:r>
              <w:rPr>
                <w:rFonts w:ascii="Arial" w:hAnsi="Arial" w:eastAsia="Arial" w:cs="Arial"/>
                <w:color w:val="auto"/>
                <w:sz w:val="20"/>
                <w:szCs w:val="20"/>
              </w:rPr>
              <w:t>54(54)</w:t>
            </w:r>
          </w:p>
        </w:tc>
        <w:tc>
          <w:tcPr>
            <w:tcW w:w="1040" w:type="dxa"/>
            <w:vAlign w:val="bottom"/>
          </w:tcPr>
          <w:p>
            <w:pPr>
              <w:spacing w:after="0"/>
              <w:rPr>
                <w:color w:val="auto"/>
                <w:sz w:val="20"/>
                <w:szCs w:val="2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3" w:hRule="atLeast"/>
        </w:trPr>
        <w:tc>
          <w:tcPr>
            <w:tcW w:w="2660" w:type="dxa"/>
            <w:vAlign w:val="bottom"/>
          </w:tcPr>
          <w:p>
            <w:pPr>
              <w:spacing w:after="0"/>
              <w:ind w:right="20"/>
              <w:jc w:val="right"/>
              <w:rPr>
                <w:color w:val="auto"/>
                <w:sz w:val="20"/>
                <w:szCs w:val="20"/>
              </w:rPr>
            </w:pPr>
            <w:r>
              <w:rPr>
                <w:rFonts w:ascii="Arial" w:hAnsi="Arial" w:eastAsia="Arial" w:cs="Arial"/>
                <w:b/>
                <w:bCs/>
                <w:color w:val="auto"/>
                <w:sz w:val="20"/>
                <w:szCs w:val="20"/>
              </w:rPr>
              <w:t>month</w:t>
            </w:r>
            <w:r>
              <w:rPr>
                <w:rFonts w:ascii="Arial" w:hAnsi="Arial" w:eastAsia="Arial" w:cs="Arial"/>
                <w:b/>
                <w:bCs/>
                <w:color w:val="auto"/>
                <w:sz w:val="25"/>
                <w:szCs w:val="25"/>
                <w:vertAlign w:val="superscript"/>
              </w:rPr>
              <w:t>3</w:t>
            </w:r>
            <w:r>
              <w:rPr>
                <w:rFonts w:ascii="Arial" w:hAnsi="Arial" w:eastAsia="Arial" w:cs="Arial"/>
                <w:b/>
                <w:bCs/>
                <w:color w:val="auto"/>
                <w:sz w:val="20"/>
                <w:szCs w:val="20"/>
              </w:rPr>
              <w:t xml:space="preserve"> (4,5,9,10)</w:t>
            </w:r>
          </w:p>
        </w:tc>
        <w:tc>
          <w:tcPr>
            <w:tcW w:w="1140" w:type="dxa"/>
            <w:vMerge w:val="continue"/>
            <w:vAlign w:val="bottom"/>
          </w:tcPr>
          <w:p>
            <w:pPr>
              <w:spacing w:after="0"/>
              <w:rPr>
                <w:color w:val="auto"/>
                <w:sz w:val="24"/>
                <w:szCs w:val="24"/>
              </w:rPr>
            </w:pPr>
          </w:p>
        </w:tc>
        <w:tc>
          <w:tcPr>
            <w:tcW w:w="1360" w:type="dxa"/>
            <w:vMerge w:val="continue"/>
            <w:vAlign w:val="bottom"/>
          </w:tcPr>
          <w:p>
            <w:pPr>
              <w:spacing w:after="0"/>
              <w:rPr>
                <w:color w:val="auto"/>
                <w:sz w:val="24"/>
                <w:szCs w:val="24"/>
              </w:rPr>
            </w:pPr>
          </w:p>
        </w:tc>
        <w:tc>
          <w:tcPr>
            <w:tcW w:w="1440" w:type="dxa"/>
            <w:vMerge w:val="continue"/>
            <w:vAlign w:val="bottom"/>
          </w:tcPr>
          <w:p>
            <w:pPr>
              <w:spacing w:after="0"/>
              <w:rPr>
                <w:color w:val="auto"/>
                <w:sz w:val="24"/>
                <w:szCs w:val="24"/>
              </w:rPr>
            </w:pP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5" w:hRule="atLeast"/>
        </w:trPr>
        <w:tc>
          <w:tcPr>
            <w:tcW w:w="2660" w:type="dxa"/>
            <w:vAlign w:val="bottom"/>
          </w:tcPr>
          <w:p>
            <w:pPr>
              <w:spacing w:after="0"/>
              <w:jc w:val="right"/>
              <w:rPr>
                <w:color w:val="auto"/>
                <w:sz w:val="20"/>
                <w:szCs w:val="20"/>
              </w:rPr>
            </w:pPr>
            <w:r>
              <w:rPr>
                <w:rFonts w:ascii="Arial" w:hAnsi="Arial" w:eastAsia="Arial" w:cs="Arial"/>
                <w:b/>
                <w:bCs/>
                <w:color w:val="auto"/>
                <w:sz w:val="20"/>
                <w:szCs w:val="20"/>
              </w:rPr>
              <w:t>Low sun exposure</w:t>
            </w:r>
          </w:p>
        </w:tc>
        <w:tc>
          <w:tcPr>
            <w:tcW w:w="1140" w:type="dxa"/>
            <w:vMerge w:val="restart"/>
            <w:vAlign w:val="bottom"/>
          </w:tcPr>
          <w:p>
            <w:pPr>
              <w:spacing w:after="0"/>
              <w:jc w:val="center"/>
              <w:rPr>
                <w:color w:val="auto"/>
                <w:sz w:val="20"/>
                <w:szCs w:val="20"/>
              </w:rPr>
            </w:pPr>
            <w:r>
              <w:rPr>
                <w:rFonts w:ascii="Arial" w:hAnsi="Arial" w:eastAsia="Arial" w:cs="Arial"/>
                <w:color w:val="auto"/>
                <w:w w:val="98"/>
                <w:sz w:val="20"/>
                <w:szCs w:val="20"/>
              </w:rPr>
              <w:t>84</w:t>
            </w:r>
          </w:p>
        </w:tc>
        <w:tc>
          <w:tcPr>
            <w:tcW w:w="1360" w:type="dxa"/>
            <w:vMerge w:val="restart"/>
            <w:vAlign w:val="bottom"/>
          </w:tcPr>
          <w:p>
            <w:pPr>
              <w:spacing w:after="0"/>
              <w:ind w:left="440"/>
              <w:rPr>
                <w:color w:val="auto"/>
                <w:sz w:val="20"/>
                <w:szCs w:val="20"/>
              </w:rPr>
            </w:pPr>
            <w:r>
              <w:rPr>
                <w:rFonts w:ascii="Arial" w:hAnsi="Arial" w:eastAsia="Arial" w:cs="Arial"/>
                <w:color w:val="auto"/>
                <w:sz w:val="20"/>
                <w:szCs w:val="20"/>
              </w:rPr>
              <w:t>54(64)</w:t>
            </w:r>
          </w:p>
        </w:tc>
        <w:tc>
          <w:tcPr>
            <w:tcW w:w="1440" w:type="dxa"/>
            <w:vMerge w:val="restart"/>
            <w:vAlign w:val="bottom"/>
          </w:tcPr>
          <w:p>
            <w:pPr>
              <w:spacing w:after="0"/>
              <w:jc w:val="center"/>
              <w:rPr>
                <w:color w:val="auto"/>
                <w:sz w:val="20"/>
                <w:szCs w:val="20"/>
              </w:rPr>
            </w:pPr>
            <w:r>
              <w:rPr>
                <w:rFonts w:ascii="Arial" w:hAnsi="Arial" w:eastAsia="Arial" w:cs="Arial"/>
                <w:color w:val="auto"/>
                <w:sz w:val="20"/>
                <w:szCs w:val="20"/>
              </w:rPr>
              <w:t>30(36)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8" w:hRule="atLeast"/>
        </w:trPr>
        <w:tc>
          <w:tcPr>
            <w:tcW w:w="2660" w:type="dxa"/>
            <w:vMerge w:val="restart"/>
            <w:vAlign w:val="bottom"/>
          </w:tcPr>
          <w:p>
            <w:pPr>
              <w:spacing w:after="0"/>
              <w:ind w:right="20"/>
              <w:jc w:val="right"/>
              <w:rPr>
                <w:color w:val="auto"/>
                <w:sz w:val="20"/>
                <w:szCs w:val="20"/>
              </w:rPr>
            </w:pPr>
            <w:r>
              <w:rPr>
                <w:rFonts w:ascii="Arial" w:hAnsi="Arial" w:eastAsia="Arial" w:cs="Arial"/>
                <w:b/>
                <w:bCs/>
                <w:color w:val="auto"/>
                <w:sz w:val="20"/>
                <w:szCs w:val="20"/>
              </w:rPr>
              <w:t>month(1,2,3,11,12)</w:t>
            </w:r>
          </w:p>
        </w:tc>
        <w:tc>
          <w:tcPr>
            <w:tcW w:w="1140" w:type="dxa"/>
            <w:vMerge w:val="continue"/>
            <w:vAlign w:val="bottom"/>
          </w:tcPr>
          <w:p>
            <w:pPr>
              <w:spacing w:after="0"/>
              <w:rPr>
                <w:color w:val="auto"/>
                <w:sz w:val="10"/>
                <w:szCs w:val="10"/>
              </w:rPr>
            </w:pPr>
          </w:p>
        </w:tc>
        <w:tc>
          <w:tcPr>
            <w:tcW w:w="1360" w:type="dxa"/>
            <w:vMerge w:val="continue"/>
            <w:vAlign w:val="bottom"/>
          </w:tcPr>
          <w:p>
            <w:pPr>
              <w:spacing w:after="0"/>
              <w:rPr>
                <w:color w:val="auto"/>
                <w:sz w:val="10"/>
                <w:szCs w:val="10"/>
              </w:rPr>
            </w:pPr>
          </w:p>
        </w:tc>
        <w:tc>
          <w:tcPr>
            <w:tcW w:w="1440" w:type="dxa"/>
            <w:vMerge w:val="continue"/>
            <w:vAlign w:val="bottom"/>
          </w:tcPr>
          <w:p>
            <w:pPr>
              <w:spacing w:after="0"/>
              <w:rPr>
                <w:color w:val="auto"/>
                <w:sz w:val="10"/>
                <w:szCs w:val="10"/>
              </w:rPr>
            </w:pPr>
          </w:p>
        </w:tc>
        <w:tc>
          <w:tcPr>
            <w:tcW w:w="1040" w:type="dxa"/>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2660" w:type="dxa"/>
            <w:vMerge w:val="continue"/>
            <w:vAlign w:val="bottom"/>
          </w:tcPr>
          <w:p>
            <w:pPr>
              <w:spacing w:after="0"/>
              <w:rPr>
                <w:color w:val="auto"/>
                <w:sz w:val="9"/>
                <w:szCs w:val="9"/>
              </w:rPr>
            </w:pPr>
          </w:p>
        </w:tc>
        <w:tc>
          <w:tcPr>
            <w:tcW w:w="1140" w:type="dxa"/>
            <w:vAlign w:val="bottom"/>
          </w:tcPr>
          <w:p>
            <w:pPr>
              <w:spacing w:after="0"/>
              <w:rPr>
                <w:color w:val="auto"/>
                <w:sz w:val="9"/>
                <w:szCs w:val="9"/>
              </w:rPr>
            </w:pPr>
          </w:p>
        </w:tc>
        <w:tc>
          <w:tcPr>
            <w:tcW w:w="1360" w:type="dxa"/>
            <w:vAlign w:val="bottom"/>
          </w:tcPr>
          <w:p>
            <w:pPr>
              <w:spacing w:after="0"/>
              <w:rPr>
                <w:color w:val="auto"/>
                <w:sz w:val="9"/>
                <w:szCs w:val="9"/>
              </w:rPr>
            </w:pPr>
          </w:p>
        </w:tc>
        <w:tc>
          <w:tcPr>
            <w:tcW w:w="1440" w:type="dxa"/>
            <w:vAlign w:val="bottom"/>
          </w:tcPr>
          <w:p>
            <w:pPr>
              <w:spacing w:after="0"/>
              <w:rPr>
                <w:color w:val="auto"/>
                <w:sz w:val="9"/>
                <w:szCs w:val="9"/>
              </w:rPr>
            </w:pPr>
          </w:p>
        </w:tc>
        <w:tc>
          <w:tcPr>
            <w:tcW w:w="1040" w:type="dxa"/>
            <w:vAlign w:val="bottom"/>
          </w:tcPr>
          <w:p>
            <w:pPr>
              <w:spacing w:after="0"/>
              <w:rPr>
                <w:color w:val="auto"/>
                <w:sz w:val="9"/>
                <w:szCs w:val="9"/>
              </w:rPr>
            </w:pPr>
          </w:p>
        </w:tc>
        <w:tc>
          <w:tcPr>
            <w:tcW w:w="0" w:type="dxa"/>
            <w:vAlign w:val="bottom"/>
          </w:tcPr>
          <w:p>
            <w:pPr>
              <w:spacing w:after="0"/>
              <w:rPr>
                <w:color w:val="auto"/>
                <w:sz w:val="1"/>
                <w:szCs w:val="1"/>
              </w:rPr>
            </w:pPr>
          </w:p>
        </w:tc>
      </w:tr>
    </w:tbl>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7620</wp:posOffset>
                </wp:positionV>
                <wp:extent cx="4847590" cy="0"/>
                <wp:effectExtent l="0" t="0" r="0" b="0"/>
                <wp:wrapNone/>
                <wp:docPr id="9" name="Shape 9"/>
                <wp:cNvGraphicFramePr/>
                <a:graphic xmlns:a="http://schemas.openxmlformats.org/drawingml/2006/main">
                  <a:graphicData uri="http://schemas.microsoft.com/office/word/2010/wordprocessingShape">
                    <wps:wsp>
                      <wps:cNvCnPr/>
                      <wps:spPr>
                        <a:xfrm>
                          <a:off x="0" y="0"/>
                          <a:ext cx="4847590" cy="4763"/>
                        </a:xfrm>
                        <a:prstGeom prst="line">
                          <a:avLst/>
                        </a:prstGeom>
                        <a:solidFill>
                          <a:srgbClr val="FFFFFF"/>
                        </a:solidFill>
                        <a:ln w="6096">
                          <a:solidFill>
                            <a:srgbClr val="000000"/>
                          </a:solidFill>
                          <a:miter lim="800000"/>
                        </a:ln>
                      </wps:spPr>
                      <wps:bodyPr/>
                    </wps:wsp>
                  </a:graphicData>
                </a:graphic>
              </wp:anchor>
            </w:drawing>
          </mc:Choice>
          <mc:Fallback>
            <w:pict>
              <v:line id="Shape 9" o:spid="_x0000_s1026" o:spt="20" style="position:absolute;left:0pt;margin-left:34.55pt;margin-top:0.6pt;height:0pt;width:381.7pt;z-index:-251657216;mso-width-relative:page;mso-height-relative:page;" fillcolor="#FFFFFF" filled="t" stroked="t" coordsize="21600,21600" o:allowincell="f" o:gfxdata="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UuuAH1AAA&#10;AAYBAAAPAAAAAAAAAAEAIAAAACIAAABkcnMvZG93bnJldi54bWxQSwECFAAUAAAACACHTuJABULe&#10;jLABAACZAwAADgAAAAAAAAABACAAAAAjAQAAZHJzL2Uyb0RvYy54bWxQSwUGAAAAAAYABgBZAQAA&#10;RQUAAAAA&#10;">
                <v:fill on="t" focussize="0,0"/>
                <v:stroke weight="0.48pt" color="#000000" miterlimit="8" joinstyle="miter"/>
                <v:imagedata o:title=""/>
                <o:lock v:ext="edit" aspectratio="f"/>
              </v:line>
            </w:pict>
          </mc:Fallback>
        </mc:AlternateContent>
      </w:r>
    </w:p>
    <w:p>
      <w:pPr>
        <w:numPr>
          <w:ilvl w:val="0"/>
          <w:numId w:val="3"/>
        </w:numPr>
        <w:tabs>
          <w:tab w:val="left" w:pos="943"/>
        </w:tabs>
        <w:spacing w:after="0" w:line="235" w:lineRule="auto"/>
        <w:ind w:left="720" w:right="422"/>
        <w:rPr>
          <w:rFonts w:ascii="Arial" w:hAnsi="Arial" w:eastAsia="Arial" w:cs="Arial"/>
          <w:color w:val="auto"/>
          <w:sz w:val="16"/>
          <w:szCs w:val="16"/>
        </w:rPr>
      </w:pPr>
      <w:r>
        <w:rPr>
          <w:rFonts w:ascii="Arial" w:hAnsi="Arial" w:eastAsia="Arial" w:cs="Arial"/>
          <w:color w:val="auto"/>
          <w:sz w:val="16"/>
          <w:szCs w:val="16"/>
        </w:rPr>
        <w:t>Statistical significance was assessed using t-test for continuous variables and chi-squarer analysis for categorical variables</w:t>
      </w:r>
    </w:p>
    <w:p>
      <w:pPr>
        <w:spacing w:after="0" w:line="184" w:lineRule="exact"/>
        <w:rPr>
          <w:color w:val="auto"/>
          <w:sz w:val="20"/>
          <w:szCs w:val="20"/>
        </w:rPr>
      </w:pPr>
    </w:p>
    <w:p>
      <w:pPr>
        <w:tabs>
          <w:tab w:val="left" w:pos="3000"/>
        </w:tabs>
        <w:spacing w:after="0"/>
        <w:ind w:left="720"/>
        <w:rPr>
          <w:color w:val="auto"/>
          <w:sz w:val="20"/>
          <w:szCs w:val="20"/>
        </w:rPr>
      </w:pPr>
      <w:r>
        <w:rPr>
          <w:rFonts w:ascii="Arial" w:hAnsi="Arial" w:eastAsia="Arial" w:cs="Arial"/>
          <w:color w:val="auto"/>
          <w:sz w:val="16"/>
          <w:szCs w:val="16"/>
        </w:rPr>
        <w:t>2.  MET: Metabolic Equivalent,</w:t>
      </w:r>
      <w:r>
        <w:rPr>
          <w:color w:val="auto"/>
          <w:sz w:val="20"/>
          <w:szCs w:val="20"/>
        </w:rPr>
        <w:tab/>
      </w:r>
      <w:r>
        <w:rPr>
          <w:rFonts w:ascii="Arial" w:hAnsi="Arial" w:eastAsia="Arial" w:cs="Arial"/>
          <w:color w:val="auto"/>
          <w:sz w:val="15"/>
          <w:szCs w:val="15"/>
        </w:rPr>
        <w:t>a unit used to estimate the amount of oxygen used by the body during physical activity.</w:t>
      </w:r>
    </w:p>
    <w:p>
      <w:pPr>
        <w:spacing w:after="0" w:line="192" w:lineRule="exact"/>
        <w:rPr>
          <w:color w:val="auto"/>
          <w:sz w:val="20"/>
          <w:szCs w:val="20"/>
        </w:rPr>
      </w:pPr>
    </w:p>
    <w:p>
      <w:pPr>
        <w:numPr>
          <w:ilvl w:val="0"/>
          <w:numId w:val="4"/>
        </w:numPr>
        <w:tabs>
          <w:tab w:val="left" w:pos="989"/>
        </w:tabs>
        <w:spacing w:after="0" w:line="235" w:lineRule="auto"/>
        <w:ind w:left="1140" w:right="42" w:hanging="420"/>
        <w:rPr>
          <w:rFonts w:ascii="Arial" w:hAnsi="Arial" w:eastAsia="Arial" w:cs="Arial"/>
          <w:color w:val="auto"/>
          <w:sz w:val="16"/>
          <w:szCs w:val="16"/>
        </w:rPr>
      </w:pPr>
      <w:r>
        <w:rPr>
          <w:rFonts w:ascii="Arial" w:hAnsi="Arial" w:eastAsia="Arial" w:cs="Arial"/>
          <w:color w:val="auto"/>
          <w:sz w:val="16"/>
          <w:szCs w:val="16"/>
        </w:rPr>
        <w:t>DRI: Dietary Recommended Intakes (AI and RDA) for women in this age range. The AI for vitamin D =200IU; the RDA for vitamin C=60mg, vitamin E=15mg</w:t>
      </w:r>
    </w:p>
    <w:p>
      <w:pPr>
        <w:spacing w:after="0" w:line="183" w:lineRule="exact"/>
        <w:rPr>
          <w:rFonts w:ascii="Arial" w:hAnsi="Arial" w:eastAsia="Arial" w:cs="Arial"/>
          <w:color w:val="auto"/>
          <w:sz w:val="16"/>
          <w:szCs w:val="16"/>
        </w:rPr>
      </w:pPr>
    </w:p>
    <w:p>
      <w:pPr>
        <w:numPr>
          <w:ilvl w:val="0"/>
          <w:numId w:val="4"/>
        </w:numPr>
        <w:tabs>
          <w:tab w:val="left" w:pos="900"/>
        </w:tabs>
        <w:spacing w:after="0"/>
        <w:ind w:left="900" w:hanging="180"/>
        <w:rPr>
          <w:rFonts w:ascii="Arial" w:hAnsi="Arial" w:eastAsia="Arial" w:cs="Arial"/>
          <w:color w:val="auto"/>
          <w:sz w:val="16"/>
          <w:szCs w:val="16"/>
        </w:rPr>
      </w:pPr>
      <w:r>
        <w:rPr>
          <w:rFonts w:ascii="Arial" w:hAnsi="Arial" w:eastAsia="Arial" w:cs="Arial"/>
          <w:color w:val="auto"/>
          <w:sz w:val="16"/>
          <w:szCs w:val="16"/>
        </w:rPr>
        <w:t>No participants was draw the blood in summer break( June, July, August)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41</w:t>
      </w:r>
    </w:p>
    <w:p>
      <w:pPr>
        <w:sectPr>
          <w:pgSz w:w="12240" w:h="15842"/>
          <w:pgMar w:top="1434" w:right="1440" w:bottom="134" w:left="1440" w:header="0" w:footer="0" w:gutter="0"/>
          <w:cols w:equalWidth="0" w:num="1">
            <w:col w:w="9362"/>
          </w:cols>
        </w:sectPr>
      </w:pPr>
    </w:p>
    <w:p>
      <w:pPr>
        <w:spacing w:after="0"/>
        <w:ind w:left="720"/>
        <w:rPr>
          <w:color w:val="auto"/>
          <w:sz w:val="20"/>
          <w:szCs w:val="20"/>
        </w:rPr>
      </w:pPr>
      <w:bookmarkStart w:id="46" w:name="page52"/>
      <w:bookmarkEnd w:id="46"/>
      <w:r>
        <w:rPr>
          <w:rFonts w:ascii="Arial" w:hAnsi="Arial" w:eastAsia="Arial" w:cs="Arial"/>
          <w:b/>
          <w:bCs/>
          <w:color w:val="auto"/>
          <w:sz w:val="21"/>
          <w:szCs w:val="21"/>
        </w:rPr>
        <w:t>Table 7. 2 Distribution of participant characteristics by wheeze/asthma symptoms</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448310</wp:posOffset>
                </wp:positionH>
                <wp:positionV relativeFrom="paragraph">
                  <wp:posOffset>122555</wp:posOffset>
                </wp:positionV>
                <wp:extent cx="5537835" cy="0"/>
                <wp:effectExtent l="0" t="0" r="0" b="0"/>
                <wp:wrapNone/>
                <wp:docPr id="10" name="Shape 10"/>
                <wp:cNvGraphicFramePr/>
                <a:graphic xmlns:a="http://schemas.openxmlformats.org/drawingml/2006/main">
                  <a:graphicData uri="http://schemas.microsoft.com/office/word/2010/wordprocessingShape">
                    <wps:wsp>
                      <wps:cNvCnPr/>
                      <wps:spPr>
                        <a:xfrm>
                          <a:off x="0" y="0"/>
                          <a:ext cx="5537835" cy="4763"/>
                        </a:xfrm>
                        <a:prstGeom prst="line">
                          <a:avLst/>
                        </a:prstGeom>
                        <a:solidFill>
                          <a:srgbClr val="FFFFFF"/>
                        </a:solidFill>
                        <a:ln w="6095">
                          <a:solidFill>
                            <a:srgbClr val="000000"/>
                          </a:solidFill>
                          <a:miter lim="800000"/>
                        </a:ln>
                      </wps:spPr>
                      <wps:bodyPr/>
                    </wps:wsp>
                  </a:graphicData>
                </a:graphic>
              </wp:anchor>
            </w:drawing>
          </mc:Choice>
          <mc:Fallback>
            <w:pict>
              <v:line id="Shape 10" o:spid="_x0000_s1026" o:spt="20" style="position:absolute;left:0pt;margin-left:35.3pt;margin-top:9.65pt;height:0pt;width:436.05pt;z-index:-251657216;mso-width-relative:page;mso-height-relative:page;" fillcolor="#FFFFFF" filled="t" stroked="t" coordsize="21600,21600" o:allowincell="f" o:gfxdata="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EbTz&#10;INYAAAAIAQAADwAAAAAAAAABACAAAAAiAAAAZHJzL2Rvd25yZXYueG1sUEsBAhQAFAAAAAgAh07i&#10;QKsiJM+yAQAAmwMAAA4AAAAAAAAAAQAgAAAAJQEAAGRycy9lMm9Eb2MueG1sUEsFBgAAAAAGAAYA&#10;WQEAAEkFAAAAAA==&#10;">
                <v:fill on="t" focussize="0,0"/>
                <v:stroke weight="0.47992125984252pt" color="#000000" miterlimit="8" joinstyle="miter"/>
                <v:imagedata o:title=""/>
                <o:lock v:ext="edit" aspectratio="f"/>
              </v:line>
            </w:pict>
          </mc:Fallback>
        </mc:AlternateContent>
      </w:r>
    </w:p>
    <w:p>
      <w:pPr>
        <w:sectPr>
          <w:pgSz w:w="12240" w:h="15842"/>
          <w:pgMar w:top="1434" w:right="1382" w:bottom="134" w:left="1440" w:header="0" w:footer="0" w:gutter="0"/>
          <w:cols w:equalWidth="0" w:num="1">
            <w:col w:w="9420"/>
          </w:cols>
        </w:sectPr>
      </w:pPr>
    </w:p>
    <w:p>
      <w:pPr>
        <w:spacing w:after="0" w:line="200" w:lineRule="exact"/>
        <w:rPr>
          <w:color w:val="auto"/>
          <w:sz w:val="20"/>
          <w:szCs w:val="20"/>
        </w:rPr>
      </w:pPr>
    </w:p>
    <w:p>
      <w:pPr>
        <w:spacing w:after="0" w:line="200" w:lineRule="exact"/>
        <w:rPr>
          <w:color w:val="auto"/>
          <w:sz w:val="20"/>
          <w:szCs w:val="20"/>
        </w:rPr>
      </w:pPr>
    </w:p>
    <w:p>
      <w:pPr>
        <w:spacing w:after="0" w:line="283"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Variable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3"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Age( years)</w:t>
      </w:r>
    </w:p>
    <w:p>
      <w:pPr>
        <w:spacing w:after="0" w:line="71" w:lineRule="exact"/>
        <w:rPr>
          <w:color w:val="auto"/>
          <w:sz w:val="20"/>
          <w:szCs w:val="20"/>
        </w:rPr>
      </w:pPr>
    </w:p>
    <w:p>
      <w:pPr>
        <w:spacing w:after="0" w:line="288" w:lineRule="exact"/>
        <w:ind w:left="820"/>
        <w:rPr>
          <w:color w:val="auto"/>
          <w:sz w:val="20"/>
          <w:szCs w:val="20"/>
        </w:rPr>
      </w:pPr>
      <w:r>
        <w:rPr>
          <w:rFonts w:ascii="Arial" w:hAnsi="Arial" w:eastAsia="Arial" w:cs="Arial"/>
          <w:b/>
          <w:bCs/>
          <w:color w:val="auto"/>
          <w:sz w:val="20"/>
          <w:szCs w:val="20"/>
        </w:rPr>
        <w:t>BMI</w:t>
      </w:r>
      <w:r>
        <w:rPr>
          <w:rFonts w:ascii="MS Gothic" w:hAnsi="MS Gothic" w:eastAsia="MS Gothic" w:cs="MS Gothic"/>
          <w:b/>
          <w:bCs/>
          <w:color w:val="auto"/>
          <w:sz w:val="20"/>
          <w:szCs w:val="20"/>
        </w:rPr>
        <w:t>（</w:t>
      </w:r>
      <w:r>
        <w:rPr>
          <w:rFonts w:ascii="Arial" w:hAnsi="Arial" w:eastAsia="Arial" w:cs="Arial"/>
          <w:b/>
          <w:bCs/>
          <w:color w:val="auto"/>
          <w:sz w:val="20"/>
          <w:szCs w:val="20"/>
        </w:rPr>
        <w:t>kg/m</w:t>
      </w:r>
      <w:r>
        <w:rPr>
          <w:rFonts w:ascii="Arial" w:hAnsi="Arial" w:eastAsia="Arial" w:cs="Arial"/>
          <w:b/>
          <w:bCs/>
          <w:color w:val="auto"/>
          <w:sz w:val="25"/>
          <w:szCs w:val="25"/>
          <w:vertAlign w:val="superscript"/>
        </w:rPr>
        <w:t>2</w:t>
      </w:r>
      <w:r>
        <w:rPr>
          <w:rFonts w:ascii="MS Gothic" w:hAnsi="MS Gothic" w:eastAsia="MS Gothic" w:cs="MS Gothic"/>
          <w:b/>
          <w:bCs/>
          <w:color w:val="auto"/>
          <w:sz w:val="20"/>
          <w:szCs w:val="20"/>
        </w:rPr>
        <w:t>）</w:t>
      </w:r>
    </w:p>
    <w:p>
      <w:pPr>
        <w:spacing w:after="0" w:line="192"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Body Fat (%)</w:t>
      </w:r>
    </w:p>
    <w:p>
      <w:pPr>
        <w:spacing w:after="0" w:line="265"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Physical Activity</w:t>
      </w:r>
    </w:p>
    <w:p>
      <w:pPr>
        <w:spacing w:after="0" w:line="190" w:lineRule="auto"/>
        <w:ind w:left="820"/>
        <w:rPr>
          <w:color w:val="auto"/>
          <w:sz w:val="20"/>
          <w:szCs w:val="20"/>
        </w:rPr>
      </w:pPr>
      <w:r>
        <w:rPr>
          <w:rFonts w:ascii="Arial" w:hAnsi="Arial" w:eastAsia="Arial" w:cs="Arial"/>
          <w:b/>
          <w:bCs/>
          <w:color w:val="auto"/>
          <w:sz w:val="20"/>
          <w:szCs w:val="20"/>
        </w:rPr>
        <w:t>(MET</w:t>
      </w:r>
      <w:r>
        <w:rPr>
          <w:rFonts w:ascii="Arial" w:hAnsi="Arial" w:eastAsia="Arial" w:cs="Arial"/>
          <w:b/>
          <w:bCs/>
          <w:color w:val="auto"/>
          <w:sz w:val="25"/>
          <w:szCs w:val="25"/>
          <w:vertAlign w:val="superscript"/>
        </w:rPr>
        <w:t>1</w:t>
      </w:r>
      <w:r>
        <w:rPr>
          <w:rFonts w:ascii="Arial" w:hAnsi="Arial" w:eastAsia="Arial" w:cs="Arial"/>
          <w:b/>
          <w:bCs/>
          <w:color w:val="auto"/>
          <w:sz w:val="20"/>
          <w:szCs w:val="20"/>
        </w:rPr>
        <w:t>/week)</w:t>
      </w:r>
    </w:p>
    <w:p>
      <w:pPr>
        <w:spacing w:after="0" w:line="205"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Serum 25(OH)D</w:t>
      </w:r>
    </w:p>
    <w:p>
      <w:pPr>
        <w:spacing w:after="0" w:line="144"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Dietary intake</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D ( IU)</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C (mg)</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E (mg)</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Omega-3 (g)</w:t>
      </w:r>
    </w:p>
    <w:p>
      <w:pPr>
        <w:spacing w:after="0" w:line="104"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Calcium,</w:t>
      </w:r>
    </w:p>
    <w:p>
      <w:pPr>
        <w:spacing w:after="0"/>
        <w:ind w:left="820"/>
        <w:rPr>
          <w:color w:val="auto"/>
          <w:sz w:val="20"/>
          <w:szCs w:val="20"/>
        </w:rPr>
      </w:pPr>
      <w:r>
        <w:rPr>
          <w:rFonts w:ascii="Arial" w:hAnsi="Arial" w:eastAsia="Arial" w:cs="Arial"/>
          <w:b/>
          <w:bCs/>
          <w:color w:val="auto"/>
          <w:sz w:val="20"/>
          <w:szCs w:val="20"/>
        </w:rPr>
        <w:t>no supplement (mg)</w:t>
      </w:r>
    </w:p>
    <w:p>
      <w:pPr>
        <w:spacing w:after="0" w:line="106"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Total Energy (kcal)</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5" w:lineRule="exact"/>
        <w:rPr>
          <w:color w:val="auto"/>
          <w:sz w:val="20"/>
          <w:szCs w:val="20"/>
        </w:rPr>
      </w:pPr>
    </w:p>
    <w:p>
      <w:pPr>
        <w:spacing w:after="0"/>
        <w:ind w:left="820"/>
        <w:rPr>
          <w:color w:val="auto"/>
          <w:sz w:val="20"/>
          <w:szCs w:val="20"/>
        </w:rPr>
      </w:pPr>
      <w:r>
        <w:rPr>
          <w:rFonts w:ascii="Arial" w:hAnsi="Arial" w:eastAsia="Arial" w:cs="Arial"/>
          <w:b/>
          <w:bCs/>
          <w:color w:val="auto"/>
          <w:sz w:val="19"/>
          <w:szCs w:val="19"/>
        </w:rPr>
        <w:t>Dietary frequency by DRI</w:t>
      </w:r>
      <w:r>
        <w:rPr>
          <w:rFonts w:ascii="Arial" w:hAnsi="Arial" w:eastAsia="Arial" w:cs="Arial"/>
          <w:b/>
          <w:bCs/>
          <w:color w:val="auto"/>
          <w:sz w:val="24"/>
          <w:szCs w:val="24"/>
          <w:vertAlign w:val="superscript"/>
        </w:rPr>
        <w:t>2</w:t>
      </w:r>
    </w:p>
    <w:p>
      <w:pPr>
        <w:spacing w:after="0" w:line="225"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D suboptimal</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C suboptimal</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Vitamin E suboptimal</w:t>
      </w:r>
    </w:p>
    <w:p>
      <w:pPr>
        <w:spacing w:after="0" w:line="70"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BMI</w:t>
      </w:r>
    </w:p>
    <w:p>
      <w:pPr>
        <w:spacing w:after="0" w:line="64" w:lineRule="exact"/>
        <w:rPr>
          <w:color w:val="auto"/>
          <w:sz w:val="20"/>
          <w:szCs w:val="20"/>
        </w:rPr>
      </w:pPr>
    </w:p>
    <w:p>
      <w:pPr>
        <w:spacing w:after="0"/>
        <w:ind w:left="1560"/>
        <w:rPr>
          <w:color w:val="auto"/>
          <w:sz w:val="20"/>
          <w:szCs w:val="20"/>
        </w:rPr>
      </w:pPr>
      <w:r>
        <w:rPr>
          <w:rFonts w:ascii="Arial" w:hAnsi="Arial" w:eastAsia="Arial" w:cs="Arial"/>
          <w:b/>
          <w:bCs/>
          <w:color w:val="auto"/>
          <w:sz w:val="20"/>
          <w:szCs w:val="20"/>
        </w:rPr>
        <w:t>≤25 (kg/m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p>
      <w:pPr>
        <w:spacing w:after="0" w:line="29" w:lineRule="exact"/>
        <w:rPr>
          <w:color w:val="auto"/>
          <w:sz w:val="20"/>
          <w:szCs w:val="20"/>
        </w:rPr>
      </w:pPr>
    </w:p>
    <w:p>
      <w:pPr>
        <w:spacing w:after="0"/>
        <w:ind w:left="1560"/>
        <w:rPr>
          <w:color w:val="auto"/>
          <w:sz w:val="20"/>
          <w:szCs w:val="20"/>
        </w:rPr>
      </w:pPr>
      <w:r>
        <w:rPr>
          <w:rFonts w:ascii="Arial" w:hAnsi="Arial" w:eastAsia="Arial" w:cs="Arial"/>
          <w:b/>
          <w:bCs/>
          <w:color w:val="auto"/>
          <w:sz w:val="20"/>
          <w:szCs w:val="20"/>
        </w:rPr>
        <w:t>&gt;25 (kg/m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p>
      <w:pPr>
        <w:spacing w:after="0" w:line="92"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hs CRP&gt;3 mg/L</w:t>
      </w:r>
    </w:p>
    <w:p>
      <w:pPr>
        <w:spacing w:after="0" w:line="70"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Vitamin D status 25(OH)D</w:t>
      </w:r>
    </w:p>
    <w:p>
      <w:pPr>
        <w:spacing w:after="0" w:line="104"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&lt;75nmol/L</w:t>
      </w:r>
    </w:p>
    <w:p>
      <w:pPr>
        <w:spacing w:after="0" w:line="111"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≥75nmol/L</w:t>
      </w:r>
    </w:p>
    <w:p>
      <w:pPr>
        <w:spacing w:after="0" w:line="80"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Race</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White</w:t>
      </w:r>
    </w:p>
    <w:p>
      <w:pPr>
        <w:spacing w:after="0" w:line="70" w:lineRule="exact"/>
        <w:rPr>
          <w:color w:val="auto"/>
          <w:sz w:val="20"/>
          <w:szCs w:val="20"/>
        </w:rPr>
      </w:pPr>
    </w:p>
    <w:p>
      <w:pPr>
        <w:spacing w:after="0"/>
        <w:ind w:left="1040"/>
        <w:rPr>
          <w:color w:val="auto"/>
          <w:sz w:val="20"/>
          <w:szCs w:val="20"/>
        </w:rPr>
      </w:pPr>
      <w:r>
        <w:rPr>
          <w:rFonts w:ascii="Arial" w:hAnsi="Arial" w:eastAsia="Arial" w:cs="Arial"/>
          <w:b/>
          <w:bCs/>
          <w:color w:val="auto"/>
          <w:sz w:val="20"/>
          <w:szCs w:val="20"/>
        </w:rPr>
        <w:t>Non-white</w:t>
      </w:r>
    </w:p>
    <w:p>
      <w:pPr>
        <w:spacing w:after="0" w:line="20" w:lineRule="exact"/>
        <w:rPr>
          <w:color w:val="auto"/>
          <w:sz w:val="20"/>
          <w:szCs w:val="20"/>
        </w:rPr>
      </w:pPr>
      <w:r>
        <w:rPr>
          <w:color w:val="auto"/>
          <w:sz w:val="20"/>
          <w:szCs w:val="20"/>
        </w:rPr>
        <w:br w:type="column"/>
      </w:r>
    </w:p>
    <w:p>
      <w:pPr>
        <w:spacing w:after="0" w:line="392" w:lineRule="exact"/>
        <w:rPr>
          <w:color w:val="auto"/>
          <w:sz w:val="20"/>
          <w:szCs w:val="20"/>
        </w:rPr>
      </w:pPr>
    </w:p>
    <w:p>
      <w:pPr>
        <w:spacing w:after="0" w:line="1" w:lineRule="exact"/>
        <w:rPr>
          <w:color w:val="auto"/>
          <w:sz w:val="1"/>
          <w:szCs w:val="1"/>
        </w:rPr>
      </w:pPr>
    </w:p>
    <w:tbl>
      <w:tblPr>
        <w:tblStyle w:val="3"/>
        <w:tblW w:w="0" w:type="auto"/>
        <w:tblInd w:w="0" w:type="dxa"/>
        <w:tblLayout w:type="fixed"/>
        <w:tblCellMar>
          <w:top w:w="0" w:type="dxa"/>
          <w:left w:w="0" w:type="dxa"/>
          <w:bottom w:w="0" w:type="dxa"/>
          <w:right w:w="0" w:type="dxa"/>
        </w:tblCellMar>
      </w:tblPr>
      <w:tblGrid>
        <w:gridCol w:w="1420"/>
        <w:gridCol w:w="1080"/>
        <w:gridCol w:w="700"/>
        <w:gridCol w:w="1700"/>
        <w:gridCol w:w="1040"/>
        <w:gridCol w:w="360"/>
      </w:tblGrid>
      <w:tr>
        <w:tblPrEx>
          <w:tblCellMar>
            <w:top w:w="0" w:type="dxa"/>
            <w:left w:w="0" w:type="dxa"/>
            <w:bottom w:w="0" w:type="dxa"/>
            <w:right w:w="0" w:type="dxa"/>
          </w:tblCellMar>
        </w:tblPrEx>
        <w:trPr>
          <w:trHeight w:val="230" w:hRule="atLeast"/>
        </w:trPr>
        <w:tc>
          <w:tcPr>
            <w:tcW w:w="1420" w:type="dxa"/>
            <w:vMerge w:val="restart"/>
            <w:vAlign w:val="bottom"/>
          </w:tcPr>
          <w:p>
            <w:pPr>
              <w:spacing w:after="0"/>
              <w:ind w:left="320"/>
              <w:rPr>
                <w:color w:val="auto"/>
                <w:sz w:val="20"/>
                <w:szCs w:val="20"/>
              </w:rPr>
            </w:pPr>
            <w:r>
              <w:rPr>
                <w:rFonts w:ascii="Arial" w:hAnsi="Arial" w:eastAsia="Arial" w:cs="Arial"/>
                <w:b/>
                <w:bCs/>
                <w:color w:val="auto"/>
                <w:sz w:val="20"/>
                <w:szCs w:val="20"/>
              </w:rPr>
              <w:t>Total</w:t>
            </w:r>
          </w:p>
        </w:tc>
        <w:tc>
          <w:tcPr>
            <w:tcW w:w="1780" w:type="dxa"/>
            <w:gridSpan w:val="2"/>
            <w:vAlign w:val="bottom"/>
          </w:tcPr>
          <w:p>
            <w:pPr>
              <w:spacing w:after="0"/>
              <w:jc w:val="center"/>
              <w:rPr>
                <w:color w:val="auto"/>
                <w:sz w:val="20"/>
                <w:szCs w:val="20"/>
              </w:rPr>
            </w:pPr>
            <w:r>
              <w:rPr>
                <w:rFonts w:ascii="Arial" w:hAnsi="Arial" w:eastAsia="Arial" w:cs="Arial"/>
                <w:b/>
                <w:bCs/>
                <w:color w:val="auto"/>
                <w:w w:val="99"/>
                <w:sz w:val="20"/>
                <w:szCs w:val="20"/>
              </w:rPr>
              <w:t>Wheeze/asthma</w:t>
            </w:r>
          </w:p>
        </w:tc>
        <w:tc>
          <w:tcPr>
            <w:tcW w:w="1700" w:type="dxa"/>
            <w:vMerge w:val="restart"/>
            <w:vAlign w:val="bottom"/>
          </w:tcPr>
          <w:p>
            <w:pPr>
              <w:spacing w:after="0"/>
              <w:ind w:left="180"/>
              <w:rPr>
                <w:color w:val="auto"/>
                <w:sz w:val="20"/>
                <w:szCs w:val="20"/>
              </w:rPr>
            </w:pPr>
            <w:r>
              <w:rPr>
                <w:rFonts w:ascii="Arial" w:hAnsi="Arial" w:eastAsia="Arial" w:cs="Arial"/>
                <w:b/>
                <w:bCs/>
                <w:color w:val="auto"/>
                <w:sz w:val="20"/>
                <w:szCs w:val="20"/>
              </w:rPr>
              <w:t>No symptoms</w:t>
            </w:r>
          </w:p>
        </w:tc>
        <w:tc>
          <w:tcPr>
            <w:tcW w:w="104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420" w:type="dxa"/>
            <w:vMerge w:val="continue"/>
            <w:vAlign w:val="bottom"/>
          </w:tcPr>
          <w:p>
            <w:pPr>
              <w:spacing w:after="0"/>
              <w:rPr>
                <w:color w:val="auto"/>
                <w:sz w:val="10"/>
                <w:szCs w:val="10"/>
              </w:rPr>
            </w:pPr>
          </w:p>
        </w:tc>
        <w:tc>
          <w:tcPr>
            <w:tcW w:w="1780" w:type="dxa"/>
            <w:gridSpan w:val="2"/>
            <w:vMerge w:val="restart"/>
            <w:vAlign w:val="bottom"/>
          </w:tcPr>
          <w:p>
            <w:pPr>
              <w:spacing w:after="0"/>
              <w:jc w:val="center"/>
              <w:rPr>
                <w:color w:val="auto"/>
                <w:sz w:val="20"/>
                <w:szCs w:val="20"/>
              </w:rPr>
            </w:pPr>
            <w:r>
              <w:rPr>
                <w:rFonts w:ascii="Arial" w:hAnsi="Arial" w:eastAsia="Arial" w:cs="Arial"/>
                <w:b/>
                <w:bCs/>
                <w:color w:val="auto"/>
                <w:w w:val="99"/>
                <w:sz w:val="20"/>
                <w:szCs w:val="20"/>
              </w:rPr>
              <w:t>symptoms</w:t>
            </w:r>
          </w:p>
        </w:tc>
        <w:tc>
          <w:tcPr>
            <w:tcW w:w="1700" w:type="dxa"/>
            <w:vMerge w:val="continue"/>
            <w:vAlign w:val="bottom"/>
          </w:tcPr>
          <w:p>
            <w:pPr>
              <w:spacing w:after="0"/>
              <w:rPr>
                <w:color w:val="auto"/>
                <w:sz w:val="10"/>
                <w:szCs w:val="10"/>
              </w:rPr>
            </w:pPr>
          </w:p>
        </w:tc>
        <w:tc>
          <w:tcPr>
            <w:tcW w:w="1040" w:type="dxa"/>
            <w:vMerge w:val="restart"/>
            <w:vAlign w:val="bottom"/>
          </w:tcPr>
          <w:p>
            <w:pPr>
              <w:spacing w:after="0"/>
              <w:ind w:right="60"/>
              <w:jc w:val="right"/>
              <w:rPr>
                <w:color w:val="auto"/>
                <w:sz w:val="20"/>
                <w:szCs w:val="20"/>
              </w:rPr>
            </w:pPr>
            <w:r>
              <w:rPr>
                <w:rFonts w:ascii="Arial" w:hAnsi="Arial" w:eastAsia="Arial" w:cs="Arial"/>
                <w:b/>
                <w:bCs/>
                <w:color w:val="auto"/>
                <w:sz w:val="20"/>
                <w:szCs w:val="20"/>
              </w:rPr>
              <w:t>p- 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56" w:hRule="atLeast"/>
        </w:trPr>
        <w:tc>
          <w:tcPr>
            <w:tcW w:w="1420" w:type="dxa"/>
            <w:vAlign w:val="bottom"/>
          </w:tcPr>
          <w:p>
            <w:pPr>
              <w:spacing w:after="0"/>
              <w:rPr>
                <w:color w:val="auto"/>
                <w:sz w:val="13"/>
                <w:szCs w:val="13"/>
              </w:rPr>
            </w:pPr>
          </w:p>
        </w:tc>
        <w:tc>
          <w:tcPr>
            <w:tcW w:w="1780" w:type="dxa"/>
            <w:gridSpan w:val="2"/>
            <w:vMerge w:val="continue"/>
            <w:vAlign w:val="bottom"/>
          </w:tcPr>
          <w:p>
            <w:pPr>
              <w:spacing w:after="0"/>
              <w:rPr>
                <w:color w:val="auto"/>
                <w:sz w:val="13"/>
                <w:szCs w:val="13"/>
              </w:rPr>
            </w:pPr>
          </w:p>
        </w:tc>
        <w:tc>
          <w:tcPr>
            <w:tcW w:w="1700" w:type="dxa"/>
            <w:vAlign w:val="bottom"/>
          </w:tcPr>
          <w:p>
            <w:pPr>
              <w:spacing w:after="0"/>
              <w:rPr>
                <w:color w:val="auto"/>
                <w:sz w:val="13"/>
                <w:szCs w:val="13"/>
              </w:rPr>
            </w:pPr>
          </w:p>
        </w:tc>
        <w:tc>
          <w:tcPr>
            <w:tcW w:w="1040" w:type="dxa"/>
            <w:vMerge w:val="continue"/>
            <w:vAlign w:val="bottom"/>
          </w:tcPr>
          <w:p>
            <w:pPr>
              <w:spacing w:after="0"/>
              <w:rPr>
                <w:color w:val="auto"/>
                <w:sz w:val="13"/>
                <w:szCs w:val="1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86" w:hRule="atLeast"/>
        </w:trPr>
        <w:tc>
          <w:tcPr>
            <w:tcW w:w="1420" w:type="dxa"/>
            <w:tcBorders>
              <w:bottom w:val="single" w:color="auto" w:sz="8" w:space="0"/>
            </w:tcBorders>
            <w:vAlign w:val="bottom"/>
          </w:tcPr>
          <w:p>
            <w:pPr>
              <w:spacing w:after="0"/>
              <w:rPr>
                <w:color w:val="auto"/>
                <w:sz w:val="16"/>
                <w:szCs w:val="16"/>
              </w:rPr>
            </w:pPr>
          </w:p>
        </w:tc>
        <w:tc>
          <w:tcPr>
            <w:tcW w:w="1780" w:type="dxa"/>
            <w:gridSpan w:val="2"/>
            <w:tcBorders>
              <w:bottom w:val="single" w:color="auto" w:sz="8" w:space="0"/>
            </w:tcBorders>
            <w:vAlign w:val="bottom"/>
          </w:tcPr>
          <w:p>
            <w:pPr>
              <w:spacing w:after="0"/>
              <w:rPr>
                <w:color w:val="auto"/>
                <w:sz w:val="16"/>
                <w:szCs w:val="16"/>
              </w:rPr>
            </w:pPr>
          </w:p>
        </w:tc>
        <w:tc>
          <w:tcPr>
            <w:tcW w:w="1700" w:type="dxa"/>
            <w:tcBorders>
              <w:bottom w:val="single" w:color="auto" w:sz="8" w:space="0"/>
            </w:tcBorders>
            <w:vAlign w:val="bottom"/>
          </w:tcPr>
          <w:p>
            <w:pPr>
              <w:spacing w:after="0"/>
              <w:rPr>
                <w:color w:val="auto"/>
                <w:sz w:val="16"/>
                <w:szCs w:val="16"/>
              </w:rPr>
            </w:pPr>
          </w:p>
        </w:tc>
        <w:tc>
          <w:tcPr>
            <w:tcW w:w="1040" w:type="dxa"/>
            <w:vAlign w:val="bottom"/>
          </w:tcPr>
          <w:p>
            <w:pPr>
              <w:spacing w:after="0"/>
              <w:rPr>
                <w:color w:val="auto"/>
                <w:sz w:val="16"/>
                <w:szCs w:val="16"/>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8" w:hRule="atLeast"/>
        </w:trPr>
        <w:tc>
          <w:tcPr>
            <w:tcW w:w="1420" w:type="dxa"/>
            <w:vAlign w:val="bottom"/>
          </w:tcPr>
          <w:p>
            <w:pPr>
              <w:spacing w:after="0"/>
              <w:ind w:left="460"/>
              <w:rPr>
                <w:color w:val="auto"/>
                <w:sz w:val="20"/>
                <w:szCs w:val="20"/>
              </w:rPr>
            </w:pPr>
            <w:r>
              <w:rPr>
                <w:rFonts w:ascii="Arial" w:hAnsi="Arial" w:eastAsia="Arial" w:cs="Arial"/>
                <w:b/>
                <w:bCs/>
                <w:color w:val="auto"/>
                <w:sz w:val="20"/>
                <w:szCs w:val="20"/>
              </w:rPr>
              <w:t>n=186</w:t>
            </w:r>
          </w:p>
        </w:tc>
        <w:tc>
          <w:tcPr>
            <w:tcW w:w="1780" w:type="dxa"/>
            <w:gridSpan w:val="2"/>
            <w:vAlign w:val="bottom"/>
          </w:tcPr>
          <w:p>
            <w:pPr>
              <w:spacing w:after="0"/>
              <w:jc w:val="center"/>
              <w:rPr>
                <w:color w:val="auto"/>
                <w:sz w:val="20"/>
                <w:szCs w:val="20"/>
              </w:rPr>
            </w:pPr>
            <w:r>
              <w:rPr>
                <w:rFonts w:ascii="Arial" w:hAnsi="Arial" w:eastAsia="Arial" w:cs="Arial"/>
                <w:b/>
                <w:bCs/>
                <w:color w:val="auto"/>
                <w:w w:val="99"/>
                <w:sz w:val="20"/>
                <w:szCs w:val="20"/>
              </w:rPr>
              <w:t>n=82</w:t>
            </w:r>
          </w:p>
        </w:tc>
        <w:tc>
          <w:tcPr>
            <w:tcW w:w="1700" w:type="dxa"/>
            <w:vAlign w:val="bottom"/>
          </w:tcPr>
          <w:p>
            <w:pPr>
              <w:spacing w:after="0"/>
              <w:jc w:val="center"/>
              <w:rPr>
                <w:color w:val="auto"/>
                <w:sz w:val="20"/>
                <w:szCs w:val="20"/>
              </w:rPr>
            </w:pPr>
            <w:r>
              <w:rPr>
                <w:rFonts w:ascii="Arial" w:hAnsi="Arial" w:eastAsia="Arial" w:cs="Arial"/>
                <w:b/>
                <w:bCs/>
                <w:color w:val="auto"/>
                <w:sz w:val="20"/>
                <w:szCs w:val="20"/>
              </w:rPr>
              <w:t>n=104</w:t>
            </w:r>
          </w:p>
        </w:tc>
        <w:tc>
          <w:tcPr>
            <w:tcW w:w="104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4" w:hRule="atLeast"/>
        </w:trPr>
        <w:tc>
          <w:tcPr>
            <w:tcW w:w="1420" w:type="dxa"/>
            <w:tcBorders>
              <w:bottom w:val="single" w:color="auto" w:sz="8" w:space="0"/>
            </w:tcBorders>
            <w:vAlign w:val="bottom"/>
          </w:tcPr>
          <w:p>
            <w:pPr>
              <w:spacing w:after="0"/>
              <w:rPr>
                <w:color w:val="auto"/>
                <w:sz w:val="3"/>
                <w:szCs w:val="3"/>
              </w:rPr>
            </w:pPr>
          </w:p>
        </w:tc>
        <w:tc>
          <w:tcPr>
            <w:tcW w:w="1780" w:type="dxa"/>
            <w:gridSpan w:val="2"/>
            <w:tcBorders>
              <w:bottom w:val="single" w:color="auto" w:sz="8" w:space="0"/>
            </w:tcBorders>
            <w:vAlign w:val="bottom"/>
          </w:tcPr>
          <w:p>
            <w:pPr>
              <w:spacing w:after="0"/>
              <w:rPr>
                <w:color w:val="auto"/>
                <w:sz w:val="3"/>
                <w:szCs w:val="3"/>
              </w:rPr>
            </w:pPr>
          </w:p>
        </w:tc>
        <w:tc>
          <w:tcPr>
            <w:tcW w:w="1700" w:type="dxa"/>
            <w:tcBorders>
              <w:bottom w:val="single" w:color="auto" w:sz="8" w:space="0"/>
            </w:tcBorders>
            <w:vAlign w:val="bottom"/>
          </w:tcPr>
          <w:p>
            <w:pPr>
              <w:spacing w:after="0"/>
              <w:rPr>
                <w:color w:val="auto"/>
                <w:sz w:val="3"/>
                <w:szCs w:val="3"/>
              </w:rPr>
            </w:pPr>
          </w:p>
        </w:tc>
        <w:tc>
          <w:tcPr>
            <w:tcW w:w="1040" w:type="dxa"/>
            <w:tcBorders>
              <w:bottom w:val="single" w:color="auto" w:sz="8" w:space="0"/>
            </w:tcBorders>
            <w:vAlign w:val="bottom"/>
          </w:tcPr>
          <w:p>
            <w:pPr>
              <w:spacing w:after="0"/>
              <w:rPr>
                <w:color w:val="auto"/>
                <w:sz w:val="3"/>
                <w:szCs w:val="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6" w:hRule="atLeast"/>
        </w:trPr>
        <w:tc>
          <w:tcPr>
            <w:tcW w:w="1420" w:type="dxa"/>
            <w:vAlign w:val="bottom"/>
          </w:tcPr>
          <w:p>
            <w:pPr>
              <w:spacing w:after="0"/>
              <w:ind w:left="160"/>
              <w:rPr>
                <w:color w:val="auto"/>
                <w:sz w:val="20"/>
                <w:szCs w:val="20"/>
              </w:rPr>
            </w:pPr>
            <w:r>
              <w:rPr>
                <w:rFonts w:ascii="Arial" w:hAnsi="Arial" w:eastAsia="Arial" w:cs="Arial"/>
                <w:b/>
                <w:bCs/>
                <w:color w:val="auto"/>
                <w:sz w:val="20"/>
                <w:szCs w:val="20"/>
              </w:rPr>
              <w:t>Mean (SD)</w:t>
            </w:r>
          </w:p>
        </w:tc>
        <w:tc>
          <w:tcPr>
            <w:tcW w:w="1780" w:type="dxa"/>
            <w:gridSpan w:val="2"/>
            <w:vAlign w:val="bottom"/>
          </w:tcPr>
          <w:p>
            <w:pPr>
              <w:spacing w:after="0"/>
              <w:jc w:val="center"/>
              <w:rPr>
                <w:color w:val="auto"/>
                <w:sz w:val="20"/>
                <w:szCs w:val="20"/>
              </w:rPr>
            </w:pPr>
            <w:r>
              <w:rPr>
                <w:rFonts w:ascii="Arial" w:hAnsi="Arial" w:eastAsia="Arial" w:cs="Arial"/>
                <w:b/>
                <w:bCs/>
                <w:color w:val="auto"/>
                <w:sz w:val="20"/>
                <w:szCs w:val="20"/>
              </w:rPr>
              <w:t>Mean (SD)</w:t>
            </w:r>
          </w:p>
        </w:tc>
        <w:tc>
          <w:tcPr>
            <w:tcW w:w="1700" w:type="dxa"/>
            <w:vAlign w:val="bottom"/>
          </w:tcPr>
          <w:p>
            <w:pPr>
              <w:spacing w:after="0"/>
              <w:ind w:left="280"/>
              <w:rPr>
                <w:color w:val="auto"/>
                <w:sz w:val="20"/>
                <w:szCs w:val="20"/>
              </w:rPr>
            </w:pPr>
            <w:r>
              <w:rPr>
                <w:rFonts w:ascii="Arial" w:hAnsi="Arial" w:eastAsia="Arial" w:cs="Arial"/>
                <w:b/>
                <w:bCs/>
                <w:color w:val="auto"/>
                <w:sz w:val="20"/>
                <w:szCs w:val="20"/>
              </w:rPr>
              <w:t>Mean (SD)</w:t>
            </w:r>
          </w:p>
        </w:tc>
        <w:tc>
          <w:tcPr>
            <w:tcW w:w="104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2"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21.5(3.2)</w:t>
            </w:r>
          </w:p>
        </w:tc>
        <w:tc>
          <w:tcPr>
            <w:tcW w:w="1080" w:type="dxa"/>
            <w:vAlign w:val="bottom"/>
          </w:tcPr>
          <w:p>
            <w:pPr>
              <w:spacing w:after="0"/>
              <w:ind w:left="220"/>
              <w:rPr>
                <w:color w:val="auto"/>
                <w:sz w:val="20"/>
                <w:szCs w:val="20"/>
              </w:rPr>
            </w:pPr>
            <w:r>
              <w:rPr>
                <w:rFonts w:ascii="Arial" w:hAnsi="Arial" w:eastAsia="Arial" w:cs="Arial"/>
                <w:color w:val="auto"/>
                <w:w w:val="98"/>
                <w:sz w:val="20"/>
                <w:szCs w:val="20"/>
              </w:rPr>
              <w:t>20.9( 2.2)</w:t>
            </w:r>
          </w:p>
        </w:tc>
        <w:tc>
          <w:tcPr>
            <w:tcW w:w="700" w:type="dxa"/>
            <w:vAlign w:val="bottom"/>
          </w:tcPr>
          <w:p>
            <w:pPr>
              <w:spacing w:after="0"/>
              <w:rPr>
                <w:color w:val="auto"/>
                <w:sz w:val="24"/>
                <w:szCs w:val="24"/>
              </w:rPr>
            </w:pPr>
          </w:p>
        </w:tc>
        <w:tc>
          <w:tcPr>
            <w:tcW w:w="1700" w:type="dxa"/>
            <w:vAlign w:val="bottom"/>
          </w:tcPr>
          <w:p>
            <w:pPr>
              <w:spacing w:after="0"/>
              <w:ind w:left="160"/>
              <w:rPr>
                <w:color w:val="auto"/>
                <w:sz w:val="20"/>
                <w:szCs w:val="20"/>
              </w:rPr>
            </w:pPr>
            <w:r>
              <w:rPr>
                <w:rFonts w:ascii="Arial" w:hAnsi="Arial" w:eastAsia="Arial" w:cs="Arial"/>
                <w:color w:val="auto"/>
                <w:sz w:val="20"/>
                <w:szCs w:val="20"/>
              </w:rPr>
              <w:t>22.0(3.8)</w:t>
            </w:r>
          </w:p>
        </w:tc>
        <w:tc>
          <w:tcPr>
            <w:tcW w:w="1040" w:type="dxa"/>
            <w:vAlign w:val="bottom"/>
          </w:tcPr>
          <w:p>
            <w:pPr>
              <w:spacing w:after="0"/>
              <w:jc w:val="right"/>
              <w:rPr>
                <w:color w:val="auto"/>
                <w:sz w:val="20"/>
                <w:szCs w:val="20"/>
              </w:rPr>
            </w:pPr>
            <w:r>
              <w:rPr>
                <w:rFonts w:ascii="Arial" w:hAnsi="Arial" w:eastAsia="Arial" w:cs="Arial"/>
                <w:b/>
                <w:bCs/>
                <w:color w:val="auto"/>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24"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23.0(3.2)</w:t>
            </w:r>
          </w:p>
        </w:tc>
        <w:tc>
          <w:tcPr>
            <w:tcW w:w="1080" w:type="dxa"/>
            <w:vAlign w:val="bottom"/>
          </w:tcPr>
          <w:p>
            <w:pPr>
              <w:spacing w:after="0"/>
              <w:ind w:left="220"/>
              <w:rPr>
                <w:color w:val="auto"/>
                <w:sz w:val="20"/>
                <w:szCs w:val="20"/>
              </w:rPr>
            </w:pPr>
            <w:r>
              <w:rPr>
                <w:rFonts w:ascii="Arial" w:hAnsi="Arial" w:eastAsia="Arial" w:cs="Arial"/>
                <w:color w:val="auto"/>
                <w:sz w:val="20"/>
                <w:szCs w:val="20"/>
              </w:rPr>
              <w:t>23.4(2.9)</w:t>
            </w:r>
          </w:p>
        </w:tc>
        <w:tc>
          <w:tcPr>
            <w:tcW w:w="700" w:type="dxa"/>
            <w:vAlign w:val="bottom"/>
          </w:tcPr>
          <w:p>
            <w:pPr>
              <w:spacing w:after="0"/>
              <w:rPr>
                <w:color w:val="auto"/>
                <w:sz w:val="24"/>
                <w:szCs w:val="24"/>
              </w:rPr>
            </w:pPr>
          </w:p>
        </w:tc>
        <w:tc>
          <w:tcPr>
            <w:tcW w:w="1700" w:type="dxa"/>
            <w:vAlign w:val="bottom"/>
          </w:tcPr>
          <w:p>
            <w:pPr>
              <w:spacing w:after="0"/>
              <w:ind w:left="160"/>
              <w:rPr>
                <w:color w:val="auto"/>
                <w:sz w:val="20"/>
                <w:szCs w:val="20"/>
              </w:rPr>
            </w:pPr>
            <w:r>
              <w:rPr>
                <w:rFonts w:ascii="Arial" w:hAnsi="Arial" w:eastAsia="Arial" w:cs="Arial"/>
                <w:color w:val="auto"/>
                <w:sz w:val="20"/>
                <w:szCs w:val="20"/>
              </w:rPr>
              <w:t>22.8(3.3)</w:t>
            </w:r>
          </w:p>
        </w:tc>
        <w:tc>
          <w:tcPr>
            <w:tcW w:w="1040" w:type="dxa"/>
            <w:vAlign w:val="bottom"/>
          </w:tcPr>
          <w:p>
            <w:pPr>
              <w:spacing w:after="0"/>
              <w:jc w:val="right"/>
              <w:rPr>
                <w:color w:val="auto"/>
                <w:sz w:val="20"/>
                <w:szCs w:val="20"/>
              </w:rPr>
            </w:pPr>
            <w:r>
              <w:rPr>
                <w:rFonts w:ascii="Arial" w:hAnsi="Arial" w:eastAsia="Arial" w:cs="Arial"/>
                <w:color w:val="auto"/>
                <w:sz w:val="20"/>
                <w:szCs w:val="20"/>
              </w:rPr>
              <w:t>0.19</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1" w:hRule="atLeast"/>
        </w:trPr>
        <w:tc>
          <w:tcPr>
            <w:tcW w:w="1420" w:type="dxa"/>
            <w:vMerge w:val="restart"/>
            <w:vAlign w:val="bottom"/>
          </w:tcPr>
          <w:p>
            <w:pPr>
              <w:spacing w:after="0"/>
              <w:ind w:left="100"/>
              <w:rPr>
                <w:color w:val="auto"/>
                <w:sz w:val="20"/>
                <w:szCs w:val="20"/>
              </w:rPr>
            </w:pPr>
            <w:r>
              <w:rPr>
                <w:rFonts w:ascii="Arial" w:hAnsi="Arial" w:eastAsia="Arial" w:cs="Arial"/>
                <w:color w:val="auto"/>
                <w:sz w:val="20"/>
                <w:szCs w:val="20"/>
              </w:rPr>
              <w:t>31.9(7.9)</w:t>
            </w:r>
          </w:p>
        </w:tc>
        <w:tc>
          <w:tcPr>
            <w:tcW w:w="1080" w:type="dxa"/>
            <w:vMerge w:val="restart"/>
            <w:vAlign w:val="bottom"/>
          </w:tcPr>
          <w:p>
            <w:pPr>
              <w:spacing w:after="0"/>
              <w:ind w:left="180"/>
              <w:rPr>
                <w:color w:val="auto"/>
                <w:sz w:val="20"/>
                <w:szCs w:val="20"/>
              </w:rPr>
            </w:pPr>
            <w:r>
              <w:rPr>
                <w:rFonts w:ascii="Arial" w:hAnsi="Arial" w:eastAsia="Arial" w:cs="Arial"/>
                <w:color w:val="auto"/>
                <w:sz w:val="20"/>
                <w:szCs w:val="20"/>
              </w:rPr>
              <w:t>33.1(6.9)</w:t>
            </w:r>
          </w:p>
        </w:tc>
        <w:tc>
          <w:tcPr>
            <w:tcW w:w="700" w:type="dxa"/>
            <w:vMerge w:val="restart"/>
            <w:vAlign w:val="bottom"/>
          </w:tcPr>
          <w:p>
            <w:pPr>
              <w:spacing w:after="0"/>
              <w:rPr>
                <w:color w:val="auto"/>
                <w:sz w:val="20"/>
                <w:szCs w:val="20"/>
              </w:rPr>
            </w:pPr>
            <w:r>
              <w:rPr>
                <w:rFonts w:ascii="Arial" w:hAnsi="Arial" w:eastAsia="Arial" w:cs="Arial"/>
                <w:color w:val="auto"/>
                <w:sz w:val="20"/>
                <w:szCs w:val="20"/>
              </w:rPr>
              <w:t>(n=78)</w:t>
            </w:r>
          </w:p>
        </w:tc>
        <w:tc>
          <w:tcPr>
            <w:tcW w:w="1700" w:type="dxa"/>
            <w:vAlign w:val="bottom"/>
          </w:tcPr>
          <w:p>
            <w:pPr>
              <w:spacing w:after="0"/>
              <w:jc w:val="center"/>
              <w:rPr>
                <w:color w:val="auto"/>
                <w:sz w:val="20"/>
                <w:szCs w:val="20"/>
              </w:rPr>
            </w:pPr>
            <w:r>
              <w:rPr>
                <w:rFonts w:ascii="Arial" w:hAnsi="Arial" w:eastAsia="Arial" w:cs="Arial"/>
                <w:color w:val="auto"/>
                <w:w w:val="99"/>
                <w:sz w:val="20"/>
                <w:szCs w:val="20"/>
              </w:rPr>
              <w:t>31.0(8.5)</w:t>
            </w:r>
          </w:p>
        </w:tc>
        <w:tc>
          <w:tcPr>
            <w:tcW w:w="1040" w:type="dxa"/>
            <w:vMerge w:val="restart"/>
            <w:vAlign w:val="bottom"/>
          </w:tcPr>
          <w:p>
            <w:pPr>
              <w:spacing w:after="0"/>
              <w:jc w:val="right"/>
              <w:rPr>
                <w:color w:val="auto"/>
                <w:sz w:val="20"/>
                <w:szCs w:val="20"/>
              </w:rPr>
            </w:pPr>
            <w:r>
              <w:rPr>
                <w:rFonts w:ascii="Arial" w:hAnsi="Arial" w:eastAsia="Arial" w:cs="Arial"/>
                <w:color w:val="auto"/>
                <w:sz w:val="20"/>
                <w:szCs w:val="20"/>
              </w:rPr>
              <w:t>0.07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420" w:type="dxa"/>
            <w:vMerge w:val="continue"/>
            <w:vAlign w:val="bottom"/>
          </w:tcPr>
          <w:p>
            <w:pPr>
              <w:spacing w:after="0"/>
              <w:rPr>
                <w:color w:val="auto"/>
                <w:sz w:val="10"/>
                <w:szCs w:val="10"/>
              </w:rPr>
            </w:pPr>
          </w:p>
        </w:tc>
        <w:tc>
          <w:tcPr>
            <w:tcW w:w="1080" w:type="dxa"/>
            <w:vMerge w:val="continue"/>
            <w:vAlign w:val="bottom"/>
          </w:tcPr>
          <w:p>
            <w:pPr>
              <w:spacing w:after="0"/>
              <w:rPr>
                <w:color w:val="auto"/>
                <w:sz w:val="10"/>
                <w:szCs w:val="10"/>
              </w:rPr>
            </w:pPr>
          </w:p>
        </w:tc>
        <w:tc>
          <w:tcPr>
            <w:tcW w:w="700" w:type="dxa"/>
            <w:vMerge w:val="continue"/>
            <w:vAlign w:val="bottom"/>
          </w:tcPr>
          <w:p>
            <w:pPr>
              <w:spacing w:after="0"/>
              <w:rPr>
                <w:color w:val="auto"/>
                <w:sz w:val="10"/>
                <w:szCs w:val="10"/>
              </w:rPr>
            </w:pPr>
          </w:p>
        </w:tc>
        <w:tc>
          <w:tcPr>
            <w:tcW w:w="1700" w:type="dxa"/>
            <w:vMerge w:val="restart"/>
            <w:vAlign w:val="bottom"/>
          </w:tcPr>
          <w:p>
            <w:pPr>
              <w:spacing w:after="0"/>
              <w:jc w:val="center"/>
              <w:rPr>
                <w:color w:val="auto"/>
                <w:sz w:val="20"/>
                <w:szCs w:val="20"/>
              </w:rPr>
            </w:pPr>
            <w:r>
              <w:rPr>
                <w:rFonts w:ascii="Arial" w:hAnsi="Arial" w:eastAsia="Arial" w:cs="Arial"/>
                <w:color w:val="auto"/>
                <w:w w:val="99"/>
                <w:sz w:val="20"/>
                <w:szCs w:val="20"/>
              </w:rPr>
              <w:t>(n=99)</w:t>
            </w:r>
          </w:p>
        </w:tc>
        <w:tc>
          <w:tcPr>
            <w:tcW w:w="104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420" w:type="dxa"/>
            <w:vAlign w:val="bottom"/>
          </w:tcPr>
          <w:p>
            <w:pPr>
              <w:spacing w:after="0"/>
              <w:rPr>
                <w:color w:val="auto"/>
                <w:sz w:val="10"/>
                <w:szCs w:val="10"/>
              </w:rPr>
            </w:pPr>
          </w:p>
        </w:tc>
        <w:tc>
          <w:tcPr>
            <w:tcW w:w="1080" w:type="dxa"/>
            <w:vAlign w:val="bottom"/>
          </w:tcPr>
          <w:p>
            <w:pPr>
              <w:spacing w:after="0"/>
              <w:rPr>
                <w:color w:val="auto"/>
                <w:sz w:val="10"/>
                <w:szCs w:val="10"/>
              </w:rPr>
            </w:pPr>
          </w:p>
        </w:tc>
        <w:tc>
          <w:tcPr>
            <w:tcW w:w="700" w:type="dxa"/>
            <w:vAlign w:val="bottom"/>
          </w:tcPr>
          <w:p>
            <w:pPr>
              <w:spacing w:after="0"/>
              <w:rPr>
                <w:color w:val="auto"/>
                <w:sz w:val="10"/>
                <w:szCs w:val="10"/>
              </w:rPr>
            </w:pPr>
          </w:p>
        </w:tc>
        <w:tc>
          <w:tcPr>
            <w:tcW w:w="1700" w:type="dxa"/>
            <w:vMerge w:val="continue"/>
            <w:vAlign w:val="bottom"/>
          </w:tcPr>
          <w:p>
            <w:pPr>
              <w:spacing w:after="0"/>
              <w:rPr>
                <w:color w:val="auto"/>
                <w:sz w:val="10"/>
                <w:szCs w:val="10"/>
              </w:rPr>
            </w:pPr>
          </w:p>
        </w:tc>
        <w:tc>
          <w:tcPr>
            <w:tcW w:w="1040" w:type="dxa"/>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93"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9.0(3.6)</w:t>
            </w:r>
          </w:p>
        </w:tc>
        <w:tc>
          <w:tcPr>
            <w:tcW w:w="1080" w:type="dxa"/>
            <w:vAlign w:val="bottom"/>
          </w:tcPr>
          <w:p>
            <w:pPr>
              <w:spacing w:after="0"/>
              <w:ind w:left="220"/>
              <w:rPr>
                <w:color w:val="auto"/>
                <w:sz w:val="20"/>
                <w:szCs w:val="20"/>
              </w:rPr>
            </w:pPr>
            <w:r>
              <w:rPr>
                <w:rFonts w:ascii="Arial" w:hAnsi="Arial" w:eastAsia="Arial" w:cs="Arial"/>
                <w:color w:val="auto"/>
                <w:sz w:val="20"/>
                <w:szCs w:val="20"/>
              </w:rPr>
              <w:t>8.4(2.5)</w:t>
            </w:r>
          </w:p>
        </w:tc>
        <w:tc>
          <w:tcPr>
            <w:tcW w:w="700" w:type="dxa"/>
            <w:vAlign w:val="bottom"/>
          </w:tcPr>
          <w:p>
            <w:pPr>
              <w:spacing w:after="0"/>
              <w:rPr>
                <w:color w:val="auto"/>
                <w:sz w:val="24"/>
                <w:szCs w:val="24"/>
              </w:rPr>
            </w:pPr>
          </w:p>
        </w:tc>
        <w:tc>
          <w:tcPr>
            <w:tcW w:w="1700" w:type="dxa"/>
            <w:vAlign w:val="bottom"/>
          </w:tcPr>
          <w:p>
            <w:pPr>
              <w:spacing w:after="0"/>
              <w:ind w:left="160"/>
              <w:rPr>
                <w:color w:val="auto"/>
                <w:sz w:val="20"/>
                <w:szCs w:val="20"/>
              </w:rPr>
            </w:pPr>
            <w:r>
              <w:rPr>
                <w:rFonts w:ascii="Arial" w:hAnsi="Arial" w:eastAsia="Arial" w:cs="Arial"/>
                <w:color w:val="auto"/>
                <w:sz w:val="20"/>
                <w:szCs w:val="20"/>
              </w:rPr>
              <w:t>9.5(4.3)</w:t>
            </w:r>
          </w:p>
        </w:tc>
        <w:tc>
          <w:tcPr>
            <w:tcW w:w="1040" w:type="dxa"/>
            <w:vAlign w:val="bottom"/>
          </w:tcPr>
          <w:p>
            <w:pPr>
              <w:spacing w:after="0"/>
              <w:jc w:val="right"/>
              <w:rPr>
                <w:color w:val="auto"/>
                <w:sz w:val="20"/>
                <w:szCs w:val="20"/>
              </w:rPr>
            </w:pPr>
            <w:r>
              <w:rPr>
                <w:rFonts w:ascii="Arial" w:hAnsi="Arial" w:eastAsia="Arial" w:cs="Arial"/>
                <w:b/>
                <w:bCs/>
                <w:color w:val="auto"/>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55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79.3(31.8)</w:t>
            </w:r>
          </w:p>
        </w:tc>
        <w:tc>
          <w:tcPr>
            <w:tcW w:w="1780" w:type="dxa"/>
            <w:gridSpan w:val="2"/>
            <w:vAlign w:val="bottom"/>
          </w:tcPr>
          <w:p>
            <w:pPr>
              <w:spacing w:after="0"/>
              <w:ind w:left="280"/>
              <w:rPr>
                <w:color w:val="auto"/>
                <w:sz w:val="20"/>
                <w:szCs w:val="20"/>
              </w:rPr>
            </w:pPr>
            <w:r>
              <w:rPr>
                <w:rFonts w:ascii="Arial" w:hAnsi="Arial" w:eastAsia="Arial" w:cs="Arial"/>
                <w:color w:val="auto"/>
                <w:sz w:val="20"/>
                <w:szCs w:val="20"/>
              </w:rPr>
              <w:t>85.7(33.2)</w:t>
            </w:r>
          </w:p>
        </w:tc>
        <w:tc>
          <w:tcPr>
            <w:tcW w:w="1700" w:type="dxa"/>
            <w:vAlign w:val="bottom"/>
          </w:tcPr>
          <w:p>
            <w:pPr>
              <w:spacing w:after="0"/>
              <w:ind w:left="120"/>
              <w:rPr>
                <w:color w:val="auto"/>
                <w:sz w:val="20"/>
                <w:szCs w:val="20"/>
              </w:rPr>
            </w:pPr>
            <w:r>
              <w:rPr>
                <w:rFonts w:ascii="Arial" w:hAnsi="Arial" w:eastAsia="Arial" w:cs="Arial"/>
                <w:color w:val="auto"/>
                <w:sz w:val="20"/>
                <w:szCs w:val="20"/>
              </w:rPr>
              <w:t>74.0(29.8)n=100</w:t>
            </w:r>
          </w:p>
        </w:tc>
        <w:tc>
          <w:tcPr>
            <w:tcW w:w="1040" w:type="dxa"/>
            <w:vAlign w:val="bottom"/>
          </w:tcPr>
          <w:p>
            <w:pPr>
              <w:spacing w:after="0"/>
              <w:jc w:val="right"/>
              <w:rPr>
                <w:color w:val="auto"/>
                <w:sz w:val="20"/>
                <w:szCs w:val="20"/>
              </w:rPr>
            </w:pPr>
            <w:r>
              <w:rPr>
                <w:rFonts w:ascii="Arial" w:hAnsi="Arial" w:eastAsia="Arial" w:cs="Arial"/>
                <w:b/>
                <w:bCs/>
                <w:color w:val="auto"/>
                <w:sz w:val="20"/>
                <w:szCs w:val="20"/>
              </w:rPr>
              <w:t>0.01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74"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375(269)</w:t>
            </w:r>
          </w:p>
        </w:tc>
        <w:tc>
          <w:tcPr>
            <w:tcW w:w="1780" w:type="dxa"/>
            <w:gridSpan w:val="2"/>
            <w:vAlign w:val="bottom"/>
          </w:tcPr>
          <w:p>
            <w:pPr>
              <w:spacing w:after="0"/>
              <w:ind w:left="220"/>
              <w:rPr>
                <w:color w:val="auto"/>
                <w:sz w:val="20"/>
                <w:szCs w:val="20"/>
              </w:rPr>
            </w:pPr>
            <w:r>
              <w:rPr>
                <w:rFonts w:ascii="Arial" w:hAnsi="Arial" w:eastAsia="Arial" w:cs="Arial"/>
                <w:color w:val="auto"/>
                <w:sz w:val="20"/>
                <w:szCs w:val="20"/>
              </w:rPr>
              <w:t>349.3(277.1)</w:t>
            </w:r>
          </w:p>
        </w:tc>
        <w:tc>
          <w:tcPr>
            <w:tcW w:w="1700" w:type="dxa"/>
            <w:vAlign w:val="bottom"/>
          </w:tcPr>
          <w:p>
            <w:pPr>
              <w:spacing w:after="0"/>
              <w:ind w:left="120"/>
              <w:rPr>
                <w:color w:val="auto"/>
                <w:sz w:val="20"/>
                <w:szCs w:val="20"/>
              </w:rPr>
            </w:pPr>
            <w:r>
              <w:rPr>
                <w:rFonts w:ascii="Arial" w:hAnsi="Arial" w:eastAsia="Arial" w:cs="Arial"/>
                <w:color w:val="auto"/>
                <w:sz w:val="20"/>
                <w:szCs w:val="20"/>
              </w:rPr>
              <w:t>396.0(262.7)</w:t>
            </w:r>
          </w:p>
        </w:tc>
        <w:tc>
          <w:tcPr>
            <w:tcW w:w="1040" w:type="dxa"/>
            <w:vAlign w:val="bottom"/>
          </w:tcPr>
          <w:p>
            <w:pPr>
              <w:spacing w:after="0"/>
              <w:jc w:val="right"/>
              <w:rPr>
                <w:color w:val="auto"/>
                <w:sz w:val="20"/>
                <w:szCs w:val="20"/>
              </w:rPr>
            </w:pPr>
            <w:r>
              <w:rPr>
                <w:rFonts w:ascii="Arial" w:hAnsi="Arial" w:eastAsia="Arial" w:cs="Arial"/>
                <w:color w:val="auto"/>
                <w:sz w:val="20"/>
                <w:szCs w:val="20"/>
              </w:rPr>
              <w:t>0.24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208(180)</w:t>
            </w:r>
          </w:p>
        </w:tc>
        <w:tc>
          <w:tcPr>
            <w:tcW w:w="1780" w:type="dxa"/>
            <w:gridSpan w:val="2"/>
            <w:vAlign w:val="bottom"/>
          </w:tcPr>
          <w:p>
            <w:pPr>
              <w:spacing w:after="0"/>
              <w:ind w:left="220"/>
              <w:rPr>
                <w:color w:val="auto"/>
                <w:sz w:val="20"/>
                <w:szCs w:val="20"/>
              </w:rPr>
            </w:pPr>
            <w:r>
              <w:rPr>
                <w:rFonts w:ascii="Arial" w:hAnsi="Arial" w:eastAsia="Arial" w:cs="Arial"/>
                <w:color w:val="auto"/>
                <w:sz w:val="20"/>
                <w:szCs w:val="20"/>
              </w:rPr>
              <w:t>224.2(223.6)</w:t>
            </w:r>
          </w:p>
        </w:tc>
        <w:tc>
          <w:tcPr>
            <w:tcW w:w="1700" w:type="dxa"/>
            <w:vAlign w:val="bottom"/>
          </w:tcPr>
          <w:p>
            <w:pPr>
              <w:spacing w:after="0"/>
              <w:ind w:left="120"/>
              <w:rPr>
                <w:color w:val="auto"/>
                <w:sz w:val="20"/>
                <w:szCs w:val="20"/>
              </w:rPr>
            </w:pPr>
            <w:r>
              <w:rPr>
                <w:rFonts w:ascii="Arial" w:hAnsi="Arial" w:eastAsia="Arial" w:cs="Arial"/>
                <w:color w:val="auto"/>
                <w:sz w:val="20"/>
                <w:szCs w:val="20"/>
              </w:rPr>
              <w:t>194.9(135.4)</w:t>
            </w:r>
          </w:p>
        </w:tc>
        <w:tc>
          <w:tcPr>
            <w:tcW w:w="1040" w:type="dxa"/>
            <w:vAlign w:val="bottom"/>
          </w:tcPr>
          <w:p>
            <w:pPr>
              <w:spacing w:after="0"/>
              <w:jc w:val="right"/>
              <w:rPr>
                <w:color w:val="auto"/>
                <w:sz w:val="20"/>
                <w:szCs w:val="20"/>
              </w:rPr>
            </w:pPr>
            <w:r>
              <w:rPr>
                <w:rFonts w:ascii="Arial" w:hAnsi="Arial" w:eastAsia="Arial" w:cs="Arial"/>
                <w:color w:val="auto"/>
                <w:sz w:val="20"/>
                <w:szCs w:val="20"/>
              </w:rPr>
              <w:t>0.30</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18.4(29.9)</w:t>
            </w:r>
          </w:p>
        </w:tc>
        <w:tc>
          <w:tcPr>
            <w:tcW w:w="1780" w:type="dxa"/>
            <w:gridSpan w:val="2"/>
            <w:vAlign w:val="bottom"/>
          </w:tcPr>
          <w:p>
            <w:pPr>
              <w:spacing w:after="0"/>
              <w:ind w:left="220"/>
              <w:rPr>
                <w:color w:val="auto"/>
                <w:sz w:val="20"/>
                <w:szCs w:val="20"/>
              </w:rPr>
            </w:pPr>
            <w:r>
              <w:rPr>
                <w:rFonts w:ascii="Arial" w:hAnsi="Arial" w:eastAsia="Arial" w:cs="Arial"/>
                <w:color w:val="auto"/>
                <w:sz w:val="20"/>
                <w:szCs w:val="20"/>
              </w:rPr>
              <w:t>17.6(24.5)</w:t>
            </w:r>
          </w:p>
        </w:tc>
        <w:tc>
          <w:tcPr>
            <w:tcW w:w="1700" w:type="dxa"/>
            <w:vAlign w:val="bottom"/>
          </w:tcPr>
          <w:p>
            <w:pPr>
              <w:spacing w:after="0"/>
              <w:ind w:left="120"/>
              <w:rPr>
                <w:color w:val="auto"/>
                <w:sz w:val="20"/>
                <w:szCs w:val="20"/>
              </w:rPr>
            </w:pPr>
            <w:r>
              <w:rPr>
                <w:rFonts w:ascii="Arial" w:hAnsi="Arial" w:eastAsia="Arial" w:cs="Arial"/>
                <w:color w:val="auto"/>
                <w:sz w:val="20"/>
                <w:szCs w:val="20"/>
              </w:rPr>
              <w:t>19.1(33.7)</w:t>
            </w:r>
          </w:p>
        </w:tc>
        <w:tc>
          <w:tcPr>
            <w:tcW w:w="1040" w:type="dxa"/>
            <w:vAlign w:val="bottom"/>
          </w:tcPr>
          <w:p>
            <w:pPr>
              <w:spacing w:after="0"/>
              <w:jc w:val="right"/>
              <w:rPr>
                <w:color w:val="auto"/>
                <w:sz w:val="20"/>
                <w:szCs w:val="20"/>
              </w:rPr>
            </w:pPr>
            <w:r>
              <w:rPr>
                <w:rFonts w:ascii="Arial" w:hAnsi="Arial" w:eastAsia="Arial" w:cs="Arial"/>
                <w:color w:val="auto"/>
                <w:sz w:val="20"/>
                <w:szCs w:val="20"/>
              </w:rPr>
              <w:t>0.74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0.30(0.30)</w:t>
            </w:r>
          </w:p>
        </w:tc>
        <w:tc>
          <w:tcPr>
            <w:tcW w:w="1080" w:type="dxa"/>
            <w:vAlign w:val="bottom"/>
          </w:tcPr>
          <w:p>
            <w:pPr>
              <w:spacing w:after="0"/>
              <w:ind w:left="180"/>
              <w:rPr>
                <w:color w:val="auto"/>
                <w:sz w:val="20"/>
                <w:szCs w:val="20"/>
              </w:rPr>
            </w:pPr>
            <w:r>
              <w:rPr>
                <w:rFonts w:ascii="Arial" w:hAnsi="Arial" w:eastAsia="Arial" w:cs="Arial"/>
                <w:color w:val="auto"/>
                <w:w w:val="96"/>
                <w:sz w:val="20"/>
                <w:szCs w:val="20"/>
              </w:rPr>
              <w:t>0.30(0.30)</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0.30(0.30)</w:t>
            </w:r>
          </w:p>
        </w:tc>
        <w:tc>
          <w:tcPr>
            <w:tcW w:w="1040" w:type="dxa"/>
            <w:vAlign w:val="bottom"/>
          </w:tcPr>
          <w:p>
            <w:pPr>
              <w:spacing w:after="0"/>
              <w:jc w:val="right"/>
              <w:rPr>
                <w:color w:val="auto"/>
                <w:sz w:val="20"/>
                <w:szCs w:val="20"/>
              </w:rPr>
            </w:pPr>
            <w:r>
              <w:rPr>
                <w:rFonts w:ascii="Arial" w:hAnsi="Arial" w:eastAsia="Arial" w:cs="Arial"/>
                <w:color w:val="auto"/>
                <w:sz w:val="20"/>
                <w:szCs w:val="20"/>
              </w:rPr>
              <w:t>0.44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49"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1018(475)</w:t>
            </w:r>
          </w:p>
        </w:tc>
        <w:tc>
          <w:tcPr>
            <w:tcW w:w="1780" w:type="dxa"/>
            <w:gridSpan w:val="2"/>
            <w:vAlign w:val="bottom"/>
          </w:tcPr>
          <w:p>
            <w:pPr>
              <w:spacing w:after="0"/>
              <w:ind w:left="220"/>
              <w:rPr>
                <w:color w:val="auto"/>
                <w:sz w:val="20"/>
                <w:szCs w:val="20"/>
              </w:rPr>
            </w:pPr>
            <w:r>
              <w:rPr>
                <w:rFonts w:ascii="Arial" w:hAnsi="Arial" w:eastAsia="Arial" w:cs="Arial"/>
                <w:color w:val="auto"/>
                <w:sz w:val="20"/>
                <w:szCs w:val="20"/>
              </w:rPr>
              <w:t>1029(533)</w:t>
            </w:r>
          </w:p>
        </w:tc>
        <w:tc>
          <w:tcPr>
            <w:tcW w:w="1700" w:type="dxa"/>
            <w:vAlign w:val="bottom"/>
          </w:tcPr>
          <w:p>
            <w:pPr>
              <w:spacing w:after="0"/>
              <w:ind w:left="160"/>
              <w:rPr>
                <w:color w:val="auto"/>
                <w:sz w:val="20"/>
                <w:szCs w:val="20"/>
              </w:rPr>
            </w:pPr>
            <w:r>
              <w:rPr>
                <w:rFonts w:ascii="Arial" w:hAnsi="Arial" w:eastAsia="Arial" w:cs="Arial"/>
                <w:color w:val="auto"/>
                <w:sz w:val="20"/>
                <w:szCs w:val="20"/>
              </w:rPr>
              <w:t>1010(425)</w:t>
            </w:r>
          </w:p>
        </w:tc>
        <w:tc>
          <w:tcPr>
            <w:tcW w:w="1040" w:type="dxa"/>
            <w:vAlign w:val="bottom"/>
          </w:tcPr>
          <w:p>
            <w:pPr>
              <w:spacing w:after="0"/>
              <w:jc w:val="right"/>
              <w:rPr>
                <w:color w:val="auto"/>
                <w:sz w:val="20"/>
                <w:szCs w:val="20"/>
              </w:rPr>
            </w:pPr>
            <w:r>
              <w:rPr>
                <w:rFonts w:ascii="Arial" w:hAnsi="Arial" w:eastAsia="Arial" w:cs="Arial"/>
                <w:color w:val="auto"/>
                <w:sz w:val="20"/>
                <w:szCs w:val="20"/>
              </w:rPr>
              <w:t>0.79</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52"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2187(785)</w:t>
            </w:r>
          </w:p>
        </w:tc>
        <w:tc>
          <w:tcPr>
            <w:tcW w:w="1780" w:type="dxa"/>
            <w:gridSpan w:val="2"/>
            <w:vAlign w:val="bottom"/>
          </w:tcPr>
          <w:p>
            <w:pPr>
              <w:spacing w:after="0"/>
              <w:ind w:left="280"/>
              <w:rPr>
                <w:color w:val="auto"/>
                <w:sz w:val="20"/>
                <w:szCs w:val="20"/>
              </w:rPr>
            </w:pPr>
            <w:r>
              <w:rPr>
                <w:rFonts w:ascii="Arial" w:hAnsi="Arial" w:eastAsia="Arial" w:cs="Arial"/>
                <w:color w:val="auto"/>
                <w:sz w:val="20"/>
                <w:szCs w:val="20"/>
              </w:rPr>
              <w:t>2279(866)</w:t>
            </w:r>
          </w:p>
        </w:tc>
        <w:tc>
          <w:tcPr>
            <w:tcW w:w="1700" w:type="dxa"/>
            <w:vAlign w:val="bottom"/>
          </w:tcPr>
          <w:p>
            <w:pPr>
              <w:spacing w:after="0"/>
              <w:ind w:left="160"/>
              <w:rPr>
                <w:color w:val="auto"/>
                <w:sz w:val="20"/>
                <w:szCs w:val="20"/>
              </w:rPr>
            </w:pPr>
            <w:r>
              <w:rPr>
                <w:rFonts w:ascii="Arial" w:hAnsi="Arial" w:eastAsia="Arial" w:cs="Arial"/>
                <w:color w:val="auto"/>
                <w:sz w:val="20"/>
                <w:szCs w:val="20"/>
              </w:rPr>
              <w:t>2115(711)</w:t>
            </w:r>
          </w:p>
        </w:tc>
        <w:tc>
          <w:tcPr>
            <w:tcW w:w="1040" w:type="dxa"/>
            <w:vAlign w:val="bottom"/>
          </w:tcPr>
          <w:p>
            <w:pPr>
              <w:spacing w:after="0"/>
              <w:jc w:val="right"/>
              <w:rPr>
                <w:color w:val="auto"/>
                <w:sz w:val="20"/>
                <w:szCs w:val="20"/>
              </w:rPr>
            </w:pPr>
            <w:r>
              <w:rPr>
                <w:rFonts w:ascii="Arial" w:hAnsi="Arial" w:eastAsia="Arial" w:cs="Arial"/>
                <w:color w:val="auto"/>
                <w:sz w:val="20"/>
                <w:szCs w:val="20"/>
              </w:rPr>
              <w:t>0.15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598" w:hRule="atLeast"/>
        </w:trPr>
        <w:tc>
          <w:tcPr>
            <w:tcW w:w="1420" w:type="dxa"/>
            <w:vAlign w:val="bottom"/>
          </w:tcPr>
          <w:p>
            <w:pPr>
              <w:spacing w:after="0"/>
              <w:ind w:left="380"/>
              <w:rPr>
                <w:color w:val="auto"/>
                <w:sz w:val="20"/>
                <w:szCs w:val="20"/>
              </w:rPr>
            </w:pPr>
            <w:r>
              <w:rPr>
                <w:rFonts w:ascii="Arial" w:hAnsi="Arial" w:eastAsia="Arial" w:cs="Arial"/>
                <w:b/>
                <w:bCs/>
                <w:color w:val="auto"/>
                <w:sz w:val="20"/>
                <w:szCs w:val="20"/>
              </w:rPr>
              <w:t>n (%)</w:t>
            </w:r>
          </w:p>
        </w:tc>
        <w:tc>
          <w:tcPr>
            <w:tcW w:w="1080" w:type="dxa"/>
            <w:vAlign w:val="bottom"/>
          </w:tcPr>
          <w:p>
            <w:pPr>
              <w:spacing w:after="0"/>
              <w:ind w:left="280"/>
              <w:rPr>
                <w:color w:val="auto"/>
                <w:sz w:val="20"/>
                <w:szCs w:val="20"/>
              </w:rPr>
            </w:pPr>
            <w:r>
              <w:rPr>
                <w:rFonts w:ascii="Arial" w:hAnsi="Arial" w:eastAsia="Arial" w:cs="Arial"/>
                <w:b/>
                <w:bCs/>
                <w:color w:val="auto"/>
                <w:sz w:val="20"/>
                <w:szCs w:val="20"/>
              </w:rPr>
              <w:t>n (%)</w:t>
            </w:r>
          </w:p>
        </w:tc>
        <w:tc>
          <w:tcPr>
            <w:tcW w:w="700" w:type="dxa"/>
            <w:vAlign w:val="bottom"/>
          </w:tcPr>
          <w:p>
            <w:pPr>
              <w:spacing w:after="0"/>
              <w:rPr>
                <w:color w:val="auto"/>
                <w:sz w:val="24"/>
                <w:szCs w:val="24"/>
              </w:rPr>
            </w:pPr>
          </w:p>
        </w:tc>
        <w:tc>
          <w:tcPr>
            <w:tcW w:w="1700" w:type="dxa"/>
            <w:vAlign w:val="bottom"/>
          </w:tcPr>
          <w:p>
            <w:pPr>
              <w:spacing w:after="0"/>
              <w:ind w:left="160"/>
              <w:rPr>
                <w:color w:val="auto"/>
                <w:sz w:val="20"/>
                <w:szCs w:val="20"/>
              </w:rPr>
            </w:pPr>
            <w:r>
              <w:rPr>
                <w:rFonts w:ascii="Arial" w:hAnsi="Arial" w:eastAsia="Arial" w:cs="Arial"/>
                <w:b/>
                <w:bCs/>
                <w:color w:val="auto"/>
                <w:sz w:val="20"/>
                <w:szCs w:val="20"/>
              </w:rPr>
              <w:t>n (%)</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948"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54(29.0)</w:t>
            </w:r>
          </w:p>
        </w:tc>
        <w:tc>
          <w:tcPr>
            <w:tcW w:w="1080" w:type="dxa"/>
            <w:vAlign w:val="bottom"/>
          </w:tcPr>
          <w:p>
            <w:pPr>
              <w:spacing w:after="0"/>
              <w:ind w:left="180"/>
              <w:rPr>
                <w:color w:val="auto"/>
                <w:sz w:val="20"/>
                <w:szCs w:val="20"/>
              </w:rPr>
            </w:pPr>
            <w:r>
              <w:rPr>
                <w:rFonts w:ascii="Arial" w:hAnsi="Arial" w:eastAsia="Arial" w:cs="Arial"/>
                <w:color w:val="auto"/>
                <w:sz w:val="20"/>
                <w:szCs w:val="20"/>
              </w:rPr>
              <w:t>31(57)</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23(43)</w:t>
            </w:r>
          </w:p>
        </w:tc>
        <w:tc>
          <w:tcPr>
            <w:tcW w:w="1040" w:type="dxa"/>
            <w:vAlign w:val="bottom"/>
          </w:tcPr>
          <w:p>
            <w:pPr>
              <w:spacing w:after="0"/>
              <w:jc w:val="right"/>
              <w:rPr>
                <w:color w:val="auto"/>
                <w:sz w:val="20"/>
                <w:szCs w:val="20"/>
              </w:rPr>
            </w:pPr>
            <w:r>
              <w:rPr>
                <w:rFonts w:ascii="Arial" w:hAnsi="Arial" w:eastAsia="Arial" w:cs="Arial"/>
                <w:b/>
                <w:bCs/>
                <w:color w:val="auto"/>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8(4.3) n=168</w:t>
            </w:r>
          </w:p>
        </w:tc>
        <w:tc>
          <w:tcPr>
            <w:tcW w:w="1080" w:type="dxa"/>
            <w:vAlign w:val="bottom"/>
          </w:tcPr>
          <w:p>
            <w:pPr>
              <w:spacing w:after="0"/>
              <w:ind w:left="180"/>
              <w:rPr>
                <w:color w:val="auto"/>
                <w:sz w:val="20"/>
                <w:szCs w:val="20"/>
              </w:rPr>
            </w:pPr>
            <w:r>
              <w:rPr>
                <w:rFonts w:ascii="Arial" w:hAnsi="Arial" w:eastAsia="Arial" w:cs="Arial"/>
                <w:color w:val="auto"/>
                <w:sz w:val="20"/>
                <w:szCs w:val="20"/>
              </w:rPr>
              <w:t>5(63)</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3(37)</w:t>
            </w:r>
          </w:p>
        </w:tc>
        <w:tc>
          <w:tcPr>
            <w:tcW w:w="1040" w:type="dxa"/>
            <w:vAlign w:val="bottom"/>
          </w:tcPr>
          <w:p>
            <w:pPr>
              <w:spacing w:after="0"/>
              <w:jc w:val="right"/>
              <w:rPr>
                <w:color w:val="auto"/>
                <w:sz w:val="20"/>
                <w:szCs w:val="20"/>
              </w:rPr>
            </w:pPr>
            <w:r>
              <w:rPr>
                <w:rFonts w:ascii="Arial" w:hAnsi="Arial" w:eastAsia="Arial" w:cs="Arial"/>
                <w:color w:val="auto"/>
                <w:sz w:val="20"/>
                <w:szCs w:val="20"/>
              </w:rPr>
              <w:t>0.28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110(59.2)</w:t>
            </w:r>
          </w:p>
        </w:tc>
        <w:tc>
          <w:tcPr>
            <w:tcW w:w="1080" w:type="dxa"/>
            <w:vAlign w:val="bottom"/>
          </w:tcPr>
          <w:p>
            <w:pPr>
              <w:spacing w:after="0"/>
              <w:ind w:left="180"/>
              <w:rPr>
                <w:color w:val="auto"/>
                <w:sz w:val="20"/>
                <w:szCs w:val="20"/>
              </w:rPr>
            </w:pPr>
            <w:r>
              <w:rPr>
                <w:rFonts w:ascii="Arial" w:hAnsi="Arial" w:eastAsia="Arial" w:cs="Arial"/>
                <w:color w:val="auto"/>
                <w:sz w:val="20"/>
                <w:szCs w:val="20"/>
              </w:rPr>
              <w:t>48(44)</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62(56)</w:t>
            </w:r>
          </w:p>
        </w:tc>
        <w:tc>
          <w:tcPr>
            <w:tcW w:w="1040" w:type="dxa"/>
            <w:vAlign w:val="bottom"/>
          </w:tcPr>
          <w:p>
            <w:pPr>
              <w:spacing w:after="0"/>
              <w:jc w:val="right"/>
              <w:rPr>
                <w:color w:val="auto"/>
                <w:sz w:val="20"/>
                <w:szCs w:val="20"/>
              </w:rPr>
            </w:pPr>
            <w:r>
              <w:rPr>
                <w:rFonts w:ascii="Arial" w:hAnsi="Arial" w:eastAsia="Arial" w:cs="Arial"/>
                <w:color w:val="auto"/>
                <w:sz w:val="20"/>
                <w:szCs w:val="20"/>
              </w:rPr>
              <w:t>0.88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rPr>
                <w:color w:val="auto"/>
                <w:sz w:val="24"/>
                <w:szCs w:val="24"/>
              </w:rPr>
            </w:pPr>
          </w:p>
        </w:tc>
        <w:tc>
          <w:tcPr>
            <w:tcW w:w="1080" w:type="dxa"/>
            <w:vAlign w:val="bottom"/>
          </w:tcPr>
          <w:p>
            <w:pPr>
              <w:spacing w:after="0"/>
              <w:rPr>
                <w:color w:val="auto"/>
                <w:sz w:val="24"/>
                <w:szCs w:val="24"/>
              </w:rPr>
            </w:pPr>
          </w:p>
        </w:tc>
        <w:tc>
          <w:tcPr>
            <w:tcW w:w="700" w:type="dxa"/>
            <w:vAlign w:val="bottom"/>
          </w:tcPr>
          <w:p>
            <w:pPr>
              <w:spacing w:after="0"/>
              <w:rPr>
                <w:color w:val="auto"/>
                <w:sz w:val="24"/>
                <w:szCs w:val="24"/>
              </w:rPr>
            </w:pPr>
          </w:p>
        </w:tc>
        <w:tc>
          <w:tcPr>
            <w:tcW w:w="1700" w:type="dxa"/>
            <w:vAlign w:val="bottom"/>
          </w:tcPr>
          <w:p>
            <w:pPr>
              <w:spacing w:after="0"/>
              <w:rPr>
                <w:color w:val="auto"/>
                <w:sz w:val="24"/>
                <w:szCs w:val="24"/>
              </w:rPr>
            </w:pPr>
          </w:p>
        </w:tc>
        <w:tc>
          <w:tcPr>
            <w:tcW w:w="1040" w:type="dxa"/>
            <w:vAlign w:val="bottom"/>
          </w:tcPr>
          <w:p>
            <w:pPr>
              <w:spacing w:after="0"/>
              <w:jc w:val="right"/>
              <w:rPr>
                <w:color w:val="auto"/>
                <w:sz w:val="20"/>
                <w:szCs w:val="20"/>
              </w:rPr>
            </w:pPr>
            <w:r>
              <w:rPr>
                <w:rFonts w:ascii="Arial" w:hAnsi="Arial" w:eastAsia="Arial" w:cs="Arial"/>
                <w:color w:val="auto"/>
                <w:sz w:val="20"/>
                <w:szCs w:val="20"/>
              </w:rPr>
              <w:t>0.44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22"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140(75.3)</w:t>
            </w:r>
          </w:p>
        </w:tc>
        <w:tc>
          <w:tcPr>
            <w:tcW w:w="1080" w:type="dxa"/>
            <w:vAlign w:val="bottom"/>
          </w:tcPr>
          <w:p>
            <w:pPr>
              <w:spacing w:after="0"/>
              <w:ind w:left="180"/>
              <w:rPr>
                <w:color w:val="auto"/>
                <w:sz w:val="20"/>
                <w:szCs w:val="20"/>
              </w:rPr>
            </w:pPr>
            <w:r>
              <w:rPr>
                <w:rFonts w:ascii="Arial" w:hAnsi="Arial" w:eastAsia="Arial" w:cs="Arial"/>
                <w:color w:val="auto"/>
                <w:sz w:val="20"/>
                <w:szCs w:val="20"/>
              </w:rPr>
              <w:t>64(46)</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76(54)</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6"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46(24.7)</w:t>
            </w:r>
          </w:p>
        </w:tc>
        <w:tc>
          <w:tcPr>
            <w:tcW w:w="1080" w:type="dxa"/>
            <w:vAlign w:val="bottom"/>
          </w:tcPr>
          <w:p>
            <w:pPr>
              <w:spacing w:after="0"/>
              <w:ind w:left="180"/>
              <w:rPr>
                <w:color w:val="auto"/>
                <w:sz w:val="20"/>
                <w:szCs w:val="20"/>
              </w:rPr>
            </w:pPr>
            <w:r>
              <w:rPr>
                <w:rFonts w:ascii="Arial" w:hAnsi="Arial" w:eastAsia="Arial" w:cs="Arial"/>
                <w:color w:val="auto"/>
                <w:sz w:val="20"/>
                <w:szCs w:val="20"/>
              </w:rPr>
              <w:t>18(39)</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28(61)</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22"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49(26.3)</w:t>
            </w:r>
          </w:p>
        </w:tc>
        <w:tc>
          <w:tcPr>
            <w:tcW w:w="1080" w:type="dxa"/>
            <w:vAlign w:val="bottom"/>
          </w:tcPr>
          <w:p>
            <w:pPr>
              <w:spacing w:after="0"/>
              <w:ind w:left="180"/>
              <w:rPr>
                <w:color w:val="auto"/>
                <w:sz w:val="20"/>
                <w:szCs w:val="20"/>
              </w:rPr>
            </w:pPr>
            <w:r>
              <w:rPr>
                <w:rFonts w:ascii="Arial" w:hAnsi="Arial" w:eastAsia="Arial" w:cs="Arial"/>
                <w:color w:val="auto"/>
                <w:sz w:val="20"/>
                <w:szCs w:val="20"/>
              </w:rPr>
              <w:t>27(55)</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22(45)</w:t>
            </w:r>
          </w:p>
        </w:tc>
        <w:tc>
          <w:tcPr>
            <w:tcW w:w="1040" w:type="dxa"/>
            <w:vAlign w:val="bottom"/>
          </w:tcPr>
          <w:p>
            <w:pPr>
              <w:spacing w:after="0"/>
              <w:jc w:val="right"/>
              <w:rPr>
                <w:color w:val="auto"/>
                <w:sz w:val="20"/>
                <w:szCs w:val="20"/>
              </w:rPr>
            </w:pPr>
            <w:r>
              <w:rPr>
                <w:rFonts w:ascii="Arial" w:hAnsi="Arial" w:eastAsia="Arial" w:cs="Arial"/>
                <w:color w:val="auto"/>
                <w:sz w:val="20"/>
                <w:szCs w:val="20"/>
              </w:rPr>
              <w:t>0.07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98" w:hRule="atLeast"/>
        </w:trPr>
        <w:tc>
          <w:tcPr>
            <w:tcW w:w="1420" w:type="dxa"/>
            <w:vAlign w:val="bottom"/>
          </w:tcPr>
          <w:p>
            <w:pPr>
              <w:spacing w:after="0"/>
              <w:rPr>
                <w:color w:val="auto"/>
                <w:sz w:val="24"/>
                <w:szCs w:val="24"/>
              </w:rPr>
            </w:pPr>
          </w:p>
        </w:tc>
        <w:tc>
          <w:tcPr>
            <w:tcW w:w="1080" w:type="dxa"/>
            <w:vAlign w:val="bottom"/>
          </w:tcPr>
          <w:p>
            <w:pPr>
              <w:spacing w:after="0"/>
              <w:rPr>
                <w:color w:val="auto"/>
                <w:sz w:val="24"/>
                <w:szCs w:val="24"/>
              </w:rPr>
            </w:pPr>
          </w:p>
        </w:tc>
        <w:tc>
          <w:tcPr>
            <w:tcW w:w="700" w:type="dxa"/>
            <w:vAlign w:val="bottom"/>
          </w:tcPr>
          <w:p>
            <w:pPr>
              <w:spacing w:after="0"/>
              <w:rPr>
                <w:color w:val="auto"/>
                <w:sz w:val="24"/>
                <w:szCs w:val="24"/>
              </w:rPr>
            </w:pPr>
          </w:p>
        </w:tc>
        <w:tc>
          <w:tcPr>
            <w:tcW w:w="1700" w:type="dxa"/>
            <w:vAlign w:val="bottom"/>
          </w:tcPr>
          <w:p>
            <w:pPr>
              <w:spacing w:after="0"/>
              <w:rPr>
                <w:color w:val="auto"/>
                <w:sz w:val="24"/>
                <w:szCs w:val="24"/>
              </w:rPr>
            </w:pPr>
          </w:p>
        </w:tc>
        <w:tc>
          <w:tcPr>
            <w:tcW w:w="1040" w:type="dxa"/>
            <w:vAlign w:val="bottom"/>
          </w:tcPr>
          <w:p>
            <w:pPr>
              <w:spacing w:after="0"/>
              <w:jc w:val="right"/>
              <w:rPr>
                <w:color w:val="auto"/>
                <w:sz w:val="20"/>
                <w:szCs w:val="20"/>
              </w:rPr>
            </w:pPr>
            <w:r>
              <w:rPr>
                <w:rFonts w:ascii="Arial" w:hAnsi="Arial" w:eastAsia="Arial" w:cs="Arial"/>
                <w:b/>
                <w:bCs/>
                <w:color w:val="auto"/>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36"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102(54.9)</w:t>
            </w:r>
          </w:p>
        </w:tc>
        <w:tc>
          <w:tcPr>
            <w:tcW w:w="1080" w:type="dxa"/>
            <w:vAlign w:val="bottom"/>
          </w:tcPr>
          <w:p>
            <w:pPr>
              <w:spacing w:after="0"/>
              <w:ind w:left="180"/>
              <w:rPr>
                <w:color w:val="auto"/>
                <w:sz w:val="20"/>
                <w:szCs w:val="20"/>
              </w:rPr>
            </w:pPr>
            <w:r>
              <w:rPr>
                <w:rFonts w:ascii="Arial" w:hAnsi="Arial" w:eastAsia="Arial" w:cs="Arial"/>
                <w:color w:val="auto"/>
                <w:sz w:val="20"/>
                <w:szCs w:val="20"/>
              </w:rPr>
              <w:t>37(36)</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65(64)</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1"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84(45.2)</w:t>
            </w:r>
          </w:p>
        </w:tc>
        <w:tc>
          <w:tcPr>
            <w:tcW w:w="1080" w:type="dxa"/>
            <w:vAlign w:val="bottom"/>
          </w:tcPr>
          <w:p>
            <w:pPr>
              <w:spacing w:after="0"/>
              <w:ind w:left="180"/>
              <w:rPr>
                <w:color w:val="auto"/>
                <w:sz w:val="20"/>
                <w:szCs w:val="20"/>
              </w:rPr>
            </w:pPr>
            <w:r>
              <w:rPr>
                <w:rFonts w:ascii="Arial" w:hAnsi="Arial" w:eastAsia="Arial" w:cs="Arial"/>
                <w:color w:val="auto"/>
                <w:sz w:val="20"/>
                <w:szCs w:val="20"/>
              </w:rPr>
              <w:t>45(54)</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39(46)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0" w:hRule="atLeast"/>
        </w:trPr>
        <w:tc>
          <w:tcPr>
            <w:tcW w:w="1420" w:type="dxa"/>
            <w:vAlign w:val="bottom"/>
          </w:tcPr>
          <w:p>
            <w:pPr>
              <w:spacing w:after="0"/>
              <w:rPr>
                <w:color w:val="auto"/>
                <w:sz w:val="24"/>
                <w:szCs w:val="24"/>
              </w:rPr>
            </w:pPr>
          </w:p>
        </w:tc>
        <w:tc>
          <w:tcPr>
            <w:tcW w:w="1080" w:type="dxa"/>
            <w:vAlign w:val="bottom"/>
          </w:tcPr>
          <w:p>
            <w:pPr>
              <w:spacing w:after="0"/>
              <w:rPr>
                <w:color w:val="auto"/>
                <w:sz w:val="24"/>
                <w:szCs w:val="24"/>
              </w:rPr>
            </w:pPr>
          </w:p>
        </w:tc>
        <w:tc>
          <w:tcPr>
            <w:tcW w:w="700" w:type="dxa"/>
            <w:vAlign w:val="bottom"/>
          </w:tcPr>
          <w:p>
            <w:pPr>
              <w:spacing w:after="0"/>
              <w:rPr>
                <w:color w:val="auto"/>
                <w:sz w:val="24"/>
                <w:szCs w:val="24"/>
              </w:rPr>
            </w:pPr>
          </w:p>
        </w:tc>
        <w:tc>
          <w:tcPr>
            <w:tcW w:w="1700" w:type="dxa"/>
            <w:vAlign w:val="bottom"/>
          </w:tcPr>
          <w:p>
            <w:pPr>
              <w:spacing w:after="0"/>
              <w:rPr>
                <w:color w:val="auto"/>
                <w:sz w:val="24"/>
                <w:szCs w:val="24"/>
              </w:rPr>
            </w:pPr>
          </w:p>
        </w:tc>
        <w:tc>
          <w:tcPr>
            <w:tcW w:w="1040" w:type="dxa"/>
            <w:vAlign w:val="bottom"/>
          </w:tcPr>
          <w:p>
            <w:pPr>
              <w:spacing w:after="0"/>
              <w:jc w:val="right"/>
              <w:rPr>
                <w:color w:val="auto"/>
                <w:sz w:val="20"/>
                <w:szCs w:val="20"/>
              </w:rPr>
            </w:pPr>
            <w:r>
              <w:rPr>
                <w:rFonts w:ascii="Arial" w:hAnsi="Arial" w:eastAsia="Arial" w:cs="Arial"/>
                <w:color w:val="auto"/>
                <w:sz w:val="20"/>
                <w:szCs w:val="20"/>
              </w:rPr>
              <w:t>0.96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159(85.5)</w:t>
            </w:r>
          </w:p>
        </w:tc>
        <w:tc>
          <w:tcPr>
            <w:tcW w:w="1080" w:type="dxa"/>
            <w:vAlign w:val="bottom"/>
          </w:tcPr>
          <w:p>
            <w:pPr>
              <w:spacing w:after="0"/>
              <w:ind w:left="180"/>
              <w:rPr>
                <w:color w:val="auto"/>
                <w:sz w:val="20"/>
                <w:szCs w:val="20"/>
              </w:rPr>
            </w:pPr>
            <w:r>
              <w:rPr>
                <w:rFonts w:ascii="Arial" w:hAnsi="Arial" w:eastAsia="Arial" w:cs="Arial"/>
                <w:color w:val="auto"/>
                <w:sz w:val="20"/>
                <w:szCs w:val="20"/>
              </w:rPr>
              <w:t>70(44)</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89(56)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1420" w:type="dxa"/>
            <w:vAlign w:val="bottom"/>
          </w:tcPr>
          <w:p>
            <w:pPr>
              <w:spacing w:after="0"/>
              <w:ind w:left="100"/>
              <w:rPr>
                <w:color w:val="auto"/>
                <w:sz w:val="20"/>
                <w:szCs w:val="20"/>
              </w:rPr>
            </w:pPr>
            <w:r>
              <w:rPr>
                <w:rFonts w:ascii="Arial" w:hAnsi="Arial" w:eastAsia="Arial" w:cs="Arial"/>
                <w:color w:val="auto"/>
                <w:sz w:val="20"/>
                <w:szCs w:val="20"/>
              </w:rPr>
              <w:t>21(14.5)</w:t>
            </w:r>
          </w:p>
        </w:tc>
        <w:tc>
          <w:tcPr>
            <w:tcW w:w="1080" w:type="dxa"/>
            <w:vAlign w:val="bottom"/>
          </w:tcPr>
          <w:p>
            <w:pPr>
              <w:spacing w:after="0"/>
              <w:ind w:left="180"/>
              <w:rPr>
                <w:color w:val="auto"/>
                <w:sz w:val="20"/>
                <w:szCs w:val="20"/>
              </w:rPr>
            </w:pPr>
            <w:r>
              <w:rPr>
                <w:rFonts w:ascii="Arial" w:hAnsi="Arial" w:eastAsia="Arial" w:cs="Arial"/>
                <w:color w:val="auto"/>
                <w:sz w:val="20"/>
                <w:szCs w:val="20"/>
              </w:rPr>
              <w:t>12(44)</w:t>
            </w:r>
          </w:p>
        </w:tc>
        <w:tc>
          <w:tcPr>
            <w:tcW w:w="700" w:type="dxa"/>
            <w:vAlign w:val="bottom"/>
          </w:tcPr>
          <w:p>
            <w:pPr>
              <w:spacing w:after="0"/>
              <w:rPr>
                <w:color w:val="auto"/>
                <w:sz w:val="24"/>
                <w:szCs w:val="24"/>
              </w:rPr>
            </w:pPr>
          </w:p>
        </w:tc>
        <w:tc>
          <w:tcPr>
            <w:tcW w:w="1700" w:type="dxa"/>
            <w:vAlign w:val="bottom"/>
          </w:tcPr>
          <w:p>
            <w:pPr>
              <w:spacing w:after="0"/>
              <w:ind w:left="120"/>
              <w:rPr>
                <w:color w:val="auto"/>
                <w:sz w:val="20"/>
                <w:szCs w:val="20"/>
              </w:rPr>
            </w:pPr>
            <w:r>
              <w:rPr>
                <w:rFonts w:ascii="Arial" w:hAnsi="Arial" w:eastAsia="Arial" w:cs="Arial"/>
                <w:color w:val="auto"/>
                <w:sz w:val="20"/>
                <w:szCs w:val="20"/>
              </w:rPr>
              <w:t>15(56)</w:t>
            </w:r>
          </w:p>
        </w:tc>
        <w:tc>
          <w:tcPr>
            <w:tcW w:w="1040" w:type="dxa"/>
            <w:vAlign w:val="bottom"/>
          </w:tcPr>
          <w:p>
            <w:pPr>
              <w:spacing w:after="0"/>
              <w:rPr>
                <w:color w:val="auto"/>
                <w:sz w:val="24"/>
                <w:szCs w:val="24"/>
              </w:rPr>
            </w:pPr>
          </w:p>
        </w:tc>
        <w:tc>
          <w:tcPr>
            <w:tcW w:w="0" w:type="dxa"/>
            <w:vAlign w:val="bottom"/>
          </w:tcPr>
          <w:p>
            <w:pPr>
              <w:spacing w:after="0"/>
              <w:rPr>
                <w:color w:val="auto"/>
                <w:sz w:val="1"/>
                <w:szCs w:val="1"/>
              </w:rPr>
            </w:pPr>
          </w:p>
        </w:tc>
      </w:tr>
    </w:tbl>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-1783080</wp:posOffset>
                </wp:positionH>
                <wp:positionV relativeFrom="paragraph">
                  <wp:posOffset>29210</wp:posOffset>
                </wp:positionV>
                <wp:extent cx="5546725" cy="0"/>
                <wp:effectExtent l="0" t="0" r="0" b="0"/>
                <wp:wrapNone/>
                <wp:docPr id="11" name="Shape 11"/>
                <wp:cNvGraphicFramePr/>
                <a:graphic xmlns:a="http://schemas.openxmlformats.org/drawingml/2006/main">
                  <a:graphicData uri="http://schemas.microsoft.com/office/word/2010/wordprocessingShape">
                    <wps:wsp>
                      <wps:cNvCnPr/>
                      <wps:spPr>
                        <a:xfrm>
                          <a:off x="0" y="0"/>
                          <a:ext cx="5546725" cy="4763"/>
                        </a:xfrm>
                        <a:prstGeom prst="line">
                          <a:avLst/>
                        </a:prstGeom>
                        <a:solidFill>
                          <a:srgbClr val="FFFFFF"/>
                        </a:solidFill>
                        <a:ln w="6096">
                          <a:solidFill>
                            <a:srgbClr val="000000"/>
                          </a:solidFill>
                          <a:miter lim="800000"/>
                        </a:ln>
                      </wps:spPr>
                      <wps:bodyPr/>
                    </wps:wsp>
                  </a:graphicData>
                </a:graphic>
              </wp:anchor>
            </w:drawing>
          </mc:Choice>
          <mc:Fallback>
            <w:pict>
              <v:line id="Shape 11" o:spid="_x0000_s1026" o:spt="20" style="position:absolute;left:0pt;margin-left:-140.4pt;margin-top:2.3pt;height:0pt;width:436.75pt;z-index:-251657216;mso-width-relative:page;mso-height-relative:page;" fillcolor="#FFFFFF" filled="t" stroked="t" coordsize="21600,21600" o:allowincell="f" o:gfxdata="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u&#10;+t4B2AAAAAgBAAAPAAAAAAAAAAEAIAAAACIAAABkcnMvZG93bnJldi54bWxQSwECFAAUAAAACACH&#10;TuJAq+cqarIBAACbAwAADgAAAAAAAAABACAAAAAnAQAAZHJzL2Uyb0RvYy54bWxQSwUGAAAAAAYA&#10;BgBZAQAASwUAAAAA&#10;">
                <v:fill on="t" focussize="0,0"/>
                <v:stroke weight="0.48pt" color="#000000" miterlimit="8" joinstyle="miter"/>
                <v:imagedata o:title=""/>
                <o:lock v:ext="edit" aspectratio="f"/>
              </v:line>
            </w:pict>
          </mc:Fallback>
        </mc:AlternateContent>
      </w:r>
    </w:p>
    <w:p>
      <w:pPr>
        <w:spacing w:after="0" w:line="200" w:lineRule="exact"/>
        <w:rPr>
          <w:color w:val="auto"/>
          <w:sz w:val="20"/>
          <w:szCs w:val="20"/>
        </w:rPr>
      </w:pPr>
    </w:p>
    <w:p>
      <w:pPr>
        <w:sectPr>
          <w:type w:val="continuous"/>
          <w:pgSz w:w="12240" w:h="15842"/>
          <w:pgMar w:top="1434" w:right="1382" w:bottom="134" w:left="1440" w:header="0" w:footer="0" w:gutter="0"/>
          <w:cols w:equalWidth="0" w:num="2">
            <w:col w:w="3260" w:space="240"/>
            <w:col w:w="592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7" w:lineRule="exact"/>
        <w:rPr>
          <w:color w:val="auto"/>
          <w:sz w:val="20"/>
          <w:szCs w:val="20"/>
        </w:rPr>
      </w:pPr>
    </w:p>
    <w:p>
      <w:pPr>
        <w:spacing w:after="0"/>
        <w:ind w:left="4920"/>
        <w:rPr>
          <w:color w:val="auto"/>
          <w:sz w:val="20"/>
          <w:szCs w:val="20"/>
        </w:rPr>
      </w:pPr>
      <w:r>
        <w:rPr>
          <w:rFonts w:ascii="Calibri" w:hAnsi="Calibri" w:eastAsia="Calibri" w:cs="Calibri"/>
          <w:color w:val="auto"/>
          <w:sz w:val="23"/>
          <w:szCs w:val="23"/>
        </w:rPr>
        <w:t>42</w:t>
      </w:r>
    </w:p>
    <w:p>
      <w:pPr>
        <w:sectPr>
          <w:type w:val="continuous"/>
          <w:pgSz w:w="12240" w:h="15842"/>
          <w:pgMar w:top="1434" w:right="1382" w:bottom="134" w:left="1440" w:header="0" w:footer="0" w:gutter="0"/>
          <w:cols w:equalWidth="0" w:num="1">
            <w:col w:w="9420"/>
          </w:cols>
        </w:sectPr>
      </w:pPr>
    </w:p>
    <w:p>
      <w:pPr>
        <w:spacing w:after="0"/>
        <w:ind w:left="720"/>
        <w:rPr>
          <w:color w:val="auto"/>
          <w:sz w:val="20"/>
          <w:szCs w:val="20"/>
        </w:rPr>
      </w:pPr>
      <w:bookmarkStart w:id="47" w:name="page53"/>
      <w:bookmarkEnd w:id="47"/>
      <w:r>
        <w:rPr>
          <w:rFonts w:ascii="Arial" w:hAnsi="Arial" w:eastAsia="Arial" w:cs="Arial"/>
          <w:b/>
          <w:bCs/>
          <w:color w:val="auto"/>
          <w:sz w:val="21"/>
          <w:szCs w:val="21"/>
        </w:rPr>
        <w:t>Table 7.2 continued</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448310</wp:posOffset>
                </wp:positionH>
                <wp:positionV relativeFrom="paragraph">
                  <wp:posOffset>6985</wp:posOffset>
                </wp:positionV>
                <wp:extent cx="5634990" cy="0"/>
                <wp:effectExtent l="0" t="0" r="0" b="0"/>
                <wp:wrapNone/>
                <wp:docPr id="12" name="Shape 12"/>
                <wp:cNvGraphicFramePr/>
                <a:graphic xmlns:a="http://schemas.openxmlformats.org/drawingml/2006/main">
                  <a:graphicData uri="http://schemas.microsoft.com/office/word/2010/wordprocessingShape">
                    <wps:wsp>
                      <wps:cNvCnPr/>
                      <wps:spPr>
                        <a:xfrm>
                          <a:off x="0" y="0"/>
                          <a:ext cx="5634990" cy="4763"/>
                        </a:xfrm>
                        <a:prstGeom prst="line">
                          <a:avLst/>
                        </a:prstGeom>
                        <a:solidFill>
                          <a:srgbClr val="FFFFFF"/>
                        </a:solidFill>
                        <a:ln w="6095">
                          <a:solidFill>
                            <a:srgbClr val="000000"/>
                          </a:solidFill>
                          <a:miter lim="800000"/>
                        </a:ln>
                      </wps:spPr>
                      <wps:bodyPr/>
                    </wps:wsp>
                  </a:graphicData>
                </a:graphic>
              </wp:anchor>
            </w:drawing>
          </mc:Choice>
          <mc:Fallback>
            <w:pict>
              <v:line id="Shape 12" o:spid="_x0000_s1026" o:spt="20" style="position:absolute;left:0pt;margin-left:35.3pt;margin-top:0.55pt;height:0pt;width:443.7pt;z-index:-251657216;mso-width-relative:page;mso-height-relative:page;" fillcolor="#FFFFFF" filled="t" stroked="t" coordsize="21600,21600" o:allowincell="f" o:gfxdata="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ATJ+t3U&#10;AAAABgEAAA8AAAAAAAAAAQAgAAAAIgAAAGRycy9kb3ducmV2LnhtbFBLAQIUABQAAAAIAIdO4kBH&#10;ODwWsgEAAJs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after="0" w:line="207" w:lineRule="exact"/>
        <w:rPr>
          <w:color w:val="auto"/>
          <w:sz w:val="20"/>
          <w:szCs w:val="20"/>
        </w:rPr>
      </w:pPr>
    </w:p>
    <w:tbl>
      <w:tblPr>
        <w:tblStyle w:val="3"/>
        <w:tblW w:w="0" w:type="auto"/>
        <w:tblInd w:w="700" w:type="dxa"/>
        <w:tblLayout w:type="fixed"/>
        <w:tblCellMar>
          <w:top w:w="0" w:type="dxa"/>
          <w:left w:w="0" w:type="dxa"/>
          <w:bottom w:w="0" w:type="dxa"/>
          <w:right w:w="0" w:type="dxa"/>
        </w:tblCellMar>
      </w:tblPr>
      <w:tblGrid>
        <w:gridCol w:w="3380"/>
        <w:gridCol w:w="1180"/>
        <w:gridCol w:w="1820"/>
        <w:gridCol w:w="1460"/>
        <w:gridCol w:w="1060"/>
        <w:gridCol w:w="360"/>
      </w:tblGrid>
      <w:tr>
        <w:tblPrEx>
          <w:tblCellMar>
            <w:top w:w="0" w:type="dxa"/>
            <w:left w:w="0" w:type="dxa"/>
            <w:bottom w:w="0" w:type="dxa"/>
            <w:right w:w="0" w:type="dxa"/>
          </w:tblCellMar>
        </w:tblPrEx>
        <w:trPr>
          <w:trHeight w:val="230" w:hRule="atLeast"/>
        </w:trPr>
        <w:tc>
          <w:tcPr>
            <w:tcW w:w="3380" w:type="dxa"/>
            <w:vAlign w:val="bottom"/>
          </w:tcPr>
          <w:p>
            <w:pPr>
              <w:spacing w:after="0"/>
              <w:rPr>
                <w:color w:val="auto"/>
                <w:sz w:val="19"/>
                <w:szCs w:val="19"/>
              </w:rPr>
            </w:pPr>
          </w:p>
        </w:tc>
        <w:tc>
          <w:tcPr>
            <w:tcW w:w="1180" w:type="dxa"/>
            <w:vMerge w:val="restart"/>
            <w:vAlign w:val="bottom"/>
          </w:tcPr>
          <w:p>
            <w:pPr>
              <w:spacing w:after="0"/>
              <w:ind w:left="340"/>
              <w:rPr>
                <w:color w:val="auto"/>
                <w:sz w:val="20"/>
                <w:szCs w:val="20"/>
              </w:rPr>
            </w:pPr>
            <w:r>
              <w:rPr>
                <w:rFonts w:ascii="Arial" w:hAnsi="Arial" w:eastAsia="Arial" w:cs="Arial"/>
                <w:b/>
                <w:bCs/>
                <w:color w:val="auto"/>
                <w:sz w:val="20"/>
                <w:szCs w:val="20"/>
              </w:rPr>
              <w:t>Total</w:t>
            </w:r>
          </w:p>
        </w:tc>
        <w:tc>
          <w:tcPr>
            <w:tcW w:w="1820" w:type="dxa"/>
            <w:vAlign w:val="bottom"/>
          </w:tcPr>
          <w:p>
            <w:pPr>
              <w:spacing w:after="0"/>
              <w:ind w:left="220"/>
              <w:rPr>
                <w:color w:val="auto"/>
                <w:sz w:val="20"/>
                <w:szCs w:val="20"/>
              </w:rPr>
            </w:pPr>
            <w:r>
              <w:rPr>
                <w:rFonts w:ascii="Arial" w:hAnsi="Arial" w:eastAsia="Arial" w:cs="Arial"/>
                <w:b/>
                <w:bCs/>
                <w:color w:val="auto"/>
                <w:sz w:val="20"/>
                <w:szCs w:val="20"/>
              </w:rPr>
              <w:t>Wheeze/asthma</w:t>
            </w:r>
          </w:p>
        </w:tc>
        <w:tc>
          <w:tcPr>
            <w:tcW w:w="1460" w:type="dxa"/>
            <w:vAlign w:val="bottom"/>
          </w:tcPr>
          <w:p>
            <w:pPr>
              <w:spacing w:after="0"/>
              <w:jc w:val="center"/>
              <w:rPr>
                <w:color w:val="auto"/>
                <w:sz w:val="20"/>
                <w:szCs w:val="20"/>
              </w:rPr>
            </w:pPr>
            <w:r>
              <w:rPr>
                <w:rFonts w:ascii="Arial" w:hAnsi="Arial" w:eastAsia="Arial" w:cs="Arial"/>
                <w:b/>
                <w:bCs/>
                <w:color w:val="auto"/>
                <w:w w:val="97"/>
                <w:sz w:val="20"/>
                <w:szCs w:val="20"/>
              </w:rPr>
              <w:t>No</w:t>
            </w:r>
          </w:p>
        </w:tc>
        <w:tc>
          <w:tcPr>
            <w:tcW w:w="106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3380" w:type="dxa"/>
            <w:vMerge w:val="restart"/>
            <w:vAlign w:val="bottom"/>
          </w:tcPr>
          <w:p>
            <w:pPr>
              <w:spacing w:after="0"/>
              <w:ind w:left="120"/>
              <w:rPr>
                <w:color w:val="auto"/>
                <w:sz w:val="20"/>
                <w:szCs w:val="20"/>
              </w:rPr>
            </w:pPr>
            <w:r>
              <w:rPr>
                <w:rFonts w:ascii="Arial" w:hAnsi="Arial" w:eastAsia="Arial" w:cs="Arial"/>
                <w:b/>
                <w:bCs/>
                <w:color w:val="auto"/>
                <w:sz w:val="20"/>
                <w:szCs w:val="20"/>
              </w:rPr>
              <w:t>Variable</w:t>
            </w:r>
          </w:p>
        </w:tc>
        <w:tc>
          <w:tcPr>
            <w:tcW w:w="1180" w:type="dxa"/>
            <w:vMerge w:val="continue"/>
            <w:vAlign w:val="bottom"/>
          </w:tcPr>
          <w:p>
            <w:pPr>
              <w:spacing w:after="0"/>
              <w:rPr>
                <w:color w:val="auto"/>
                <w:sz w:val="10"/>
                <w:szCs w:val="10"/>
              </w:rPr>
            </w:pPr>
          </w:p>
        </w:tc>
        <w:tc>
          <w:tcPr>
            <w:tcW w:w="1820" w:type="dxa"/>
            <w:vMerge w:val="restart"/>
            <w:vAlign w:val="bottom"/>
          </w:tcPr>
          <w:p>
            <w:pPr>
              <w:spacing w:after="0"/>
              <w:ind w:left="460"/>
              <w:rPr>
                <w:color w:val="auto"/>
                <w:sz w:val="20"/>
                <w:szCs w:val="20"/>
              </w:rPr>
            </w:pPr>
            <w:r>
              <w:rPr>
                <w:rFonts w:ascii="Arial" w:hAnsi="Arial" w:eastAsia="Arial" w:cs="Arial"/>
                <w:b/>
                <w:bCs/>
                <w:color w:val="auto"/>
                <w:sz w:val="20"/>
                <w:szCs w:val="20"/>
              </w:rPr>
              <w:t>symptoms</w:t>
            </w:r>
          </w:p>
        </w:tc>
        <w:tc>
          <w:tcPr>
            <w:tcW w:w="146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symptoms</w:t>
            </w:r>
          </w:p>
        </w:tc>
        <w:tc>
          <w:tcPr>
            <w:tcW w:w="1060" w:type="dxa"/>
            <w:vMerge w:val="restart"/>
            <w:vAlign w:val="bottom"/>
          </w:tcPr>
          <w:p>
            <w:pPr>
              <w:spacing w:after="0"/>
              <w:ind w:right="60"/>
              <w:jc w:val="right"/>
              <w:rPr>
                <w:color w:val="auto"/>
                <w:sz w:val="20"/>
                <w:szCs w:val="20"/>
              </w:rPr>
            </w:pPr>
            <w:r>
              <w:rPr>
                <w:rFonts w:ascii="Arial" w:hAnsi="Arial" w:eastAsia="Arial" w:cs="Arial"/>
                <w:b/>
                <w:bCs/>
                <w:color w:val="auto"/>
                <w:sz w:val="20"/>
                <w:szCs w:val="20"/>
              </w:rPr>
              <w:t>p- 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56" w:hRule="atLeast"/>
        </w:trPr>
        <w:tc>
          <w:tcPr>
            <w:tcW w:w="3380" w:type="dxa"/>
            <w:vMerge w:val="continue"/>
            <w:vAlign w:val="bottom"/>
          </w:tcPr>
          <w:p>
            <w:pPr>
              <w:spacing w:after="0"/>
              <w:rPr>
                <w:color w:val="auto"/>
                <w:sz w:val="13"/>
                <w:szCs w:val="13"/>
              </w:rPr>
            </w:pPr>
          </w:p>
        </w:tc>
        <w:tc>
          <w:tcPr>
            <w:tcW w:w="1180" w:type="dxa"/>
            <w:vAlign w:val="bottom"/>
          </w:tcPr>
          <w:p>
            <w:pPr>
              <w:spacing w:after="0"/>
              <w:rPr>
                <w:color w:val="auto"/>
                <w:sz w:val="13"/>
                <w:szCs w:val="13"/>
              </w:rPr>
            </w:pPr>
          </w:p>
        </w:tc>
        <w:tc>
          <w:tcPr>
            <w:tcW w:w="1820" w:type="dxa"/>
            <w:vMerge w:val="continue"/>
            <w:vAlign w:val="bottom"/>
          </w:tcPr>
          <w:p>
            <w:pPr>
              <w:spacing w:after="0"/>
              <w:rPr>
                <w:color w:val="auto"/>
                <w:sz w:val="13"/>
                <w:szCs w:val="13"/>
              </w:rPr>
            </w:pPr>
          </w:p>
        </w:tc>
        <w:tc>
          <w:tcPr>
            <w:tcW w:w="1460" w:type="dxa"/>
            <w:vMerge w:val="continue"/>
            <w:vAlign w:val="bottom"/>
          </w:tcPr>
          <w:p>
            <w:pPr>
              <w:spacing w:after="0"/>
              <w:rPr>
                <w:color w:val="auto"/>
                <w:sz w:val="13"/>
                <w:szCs w:val="13"/>
              </w:rPr>
            </w:pPr>
          </w:p>
        </w:tc>
        <w:tc>
          <w:tcPr>
            <w:tcW w:w="1060" w:type="dxa"/>
            <w:vMerge w:val="continue"/>
            <w:vAlign w:val="bottom"/>
          </w:tcPr>
          <w:p>
            <w:pPr>
              <w:spacing w:after="0"/>
              <w:rPr>
                <w:color w:val="auto"/>
                <w:sz w:val="13"/>
                <w:szCs w:val="1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88" w:hRule="atLeast"/>
        </w:trPr>
        <w:tc>
          <w:tcPr>
            <w:tcW w:w="3380" w:type="dxa"/>
            <w:vAlign w:val="bottom"/>
          </w:tcPr>
          <w:p>
            <w:pPr>
              <w:spacing w:after="0"/>
              <w:rPr>
                <w:color w:val="auto"/>
                <w:sz w:val="16"/>
                <w:szCs w:val="16"/>
              </w:rPr>
            </w:pPr>
          </w:p>
        </w:tc>
        <w:tc>
          <w:tcPr>
            <w:tcW w:w="1180" w:type="dxa"/>
            <w:tcBorders>
              <w:bottom w:val="single" w:color="auto" w:sz="8" w:space="0"/>
            </w:tcBorders>
            <w:vAlign w:val="bottom"/>
          </w:tcPr>
          <w:p>
            <w:pPr>
              <w:spacing w:after="0"/>
              <w:rPr>
                <w:color w:val="auto"/>
                <w:sz w:val="16"/>
                <w:szCs w:val="16"/>
              </w:rPr>
            </w:pPr>
          </w:p>
        </w:tc>
        <w:tc>
          <w:tcPr>
            <w:tcW w:w="1820" w:type="dxa"/>
            <w:tcBorders>
              <w:bottom w:val="single" w:color="auto" w:sz="8" w:space="0"/>
            </w:tcBorders>
            <w:vAlign w:val="bottom"/>
          </w:tcPr>
          <w:p>
            <w:pPr>
              <w:spacing w:after="0"/>
              <w:rPr>
                <w:color w:val="auto"/>
                <w:sz w:val="16"/>
                <w:szCs w:val="16"/>
              </w:rPr>
            </w:pPr>
          </w:p>
        </w:tc>
        <w:tc>
          <w:tcPr>
            <w:tcW w:w="1460" w:type="dxa"/>
            <w:tcBorders>
              <w:bottom w:val="single" w:color="auto" w:sz="8" w:space="0"/>
            </w:tcBorders>
            <w:vAlign w:val="bottom"/>
          </w:tcPr>
          <w:p>
            <w:pPr>
              <w:spacing w:after="0"/>
              <w:rPr>
                <w:color w:val="auto"/>
                <w:sz w:val="16"/>
                <w:szCs w:val="16"/>
              </w:rPr>
            </w:pPr>
          </w:p>
        </w:tc>
        <w:tc>
          <w:tcPr>
            <w:tcW w:w="1060" w:type="dxa"/>
            <w:vAlign w:val="bottom"/>
          </w:tcPr>
          <w:p>
            <w:pPr>
              <w:spacing w:after="0"/>
              <w:rPr>
                <w:color w:val="auto"/>
                <w:sz w:val="16"/>
                <w:szCs w:val="16"/>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8" w:hRule="atLeast"/>
        </w:trPr>
        <w:tc>
          <w:tcPr>
            <w:tcW w:w="3380" w:type="dxa"/>
            <w:vAlign w:val="bottom"/>
          </w:tcPr>
          <w:p>
            <w:pPr>
              <w:spacing w:after="0"/>
              <w:rPr>
                <w:color w:val="auto"/>
                <w:sz w:val="21"/>
                <w:szCs w:val="21"/>
              </w:rPr>
            </w:pPr>
          </w:p>
        </w:tc>
        <w:tc>
          <w:tcPr>
            <w:tcW w:w="1180" w:type="dxa"/>
            <w:vAlign w:val="bottom"/>
          </w:tcPr>
          <w:p>
            <w:pPr>
              <w:spacing w:after="0"/>
              <w:ind w:left="360"/>
              <w:rPr>
                <w:color w:val="auto"/>
                <w:sz w:val="20"/>
                <w:szCs w:val="20"/>
              </w:rPr>
            </w:pPr>
            <w:r>
              <w:rPr>
                <w:rFonts w:ascii="Arial" w:hAnsi="Arial" w:eastAsia="Arial" w:cs="Arial"/>
                <w:b/>
                <w:bCs/>
                <w:color w:val="auto"/>
                <w:sz w:val="20"/>
                <w:szCs w:val="20"/>
              </w:rPr>
              <w:t>n=186</w:t>
            </w:r>
          </w:p>
        </w:tc>
        <w:tc>
          <w:tcPr>
            <w:tcW w:w="1820" w:type="dxa"/>
            <w:vAlign w:val="bottom"/>
          </w:tcPr>
          <w:p>
            <w:pPr>
              <w:spacing w:after="0"/>
              <w:ind w:left="20"/>
              <w:jc w:val="center"/>
              <w:rPr>
                <w:color w:val="auto"/>
                <w:sz w:val="20"/>
                <w:szCs w:val="20"/>
              </w:rPr>
            </w:pPr>
            <w:r>
              <w:rPr>
                <w:rFonts w:ascii="Arial" w:hAnsi="Arial" w:eastAsia="Arial" w:cs="Arial"/>
                <w:b/>
                <w:bCs/>
                <w:color w:val="auto"/>
                <w:w w:val="99"/>
                <w:sz w:val="20"/>
                <w:szCs w:val="20"/>
              </w:rPr>
              <w:t>n=82</w:t>
            </w:r>
          </w:p>
        </w:tc>
        <w:tc>
          <w:tcPr>
            <w:tcW w:w="1460" w:type="dxa"/>
            <w:vAlign w:val="bottom"/>
          </w:tcPr>
          <w:p>
            <w:pPr>
              <w:spacing w:after="0"/>
              <w:jc w:val="center"/>
              <w:rPr>
                <w:color w:val="auto"/>
                <w:sz w:val="20"/>
                <w:szCs w:val="20"/>
              </w:rPr>
            </w:pPr>
            <w:r>
              <w:rPr>
                <w:rFonts w:ascii="Arial" w:hAnsi="Arial" w:eastAsia="Arial" w:cs="Arial"/>
                <w:b/>
                <w:bCs/>
                <w:color w:val="auto"/>
                <w:sz w:val="20"/>
                <w:szCs w:val="20"/>
              </w:rPr>
              <w:t>n=104</w:t>
            </w:r>
          </w:p>
        </w:tc>
        <w:tc>
          <w:tcPr>
            <w:tcW w:w="106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2" w:hRule="atLeast"/>
        </w:trPr>
        <w:tc>
          <w:tcPr>
            <w:tcW w:w="3380" w:type="dxa"/>
            <w:vAlign w:val="bottom"/>
          </w:tcPr>
          <w:p>
            <w:pPr>
              <w:spacing w:after="0"/>
              <w:rPr>
                <w:color w:val="auto"/>
                <w:sz w:val="3"/>
                <w:szCs w:val="3"/>
              </w:rPr>
            </w:pPr>
          </w:p>
        </w:tc>
        <w:tc>
          <w:tcPr>
            <w:tcW w:w="1180" w:type="dxa"/>
            <w:tcBorders>
              <w:bottom w:val="single" w:color="auto" w:sz="8" w:space="0"/>
            </w:tcBorders>
            <w:vAlign w:val="bottom"/>
          </w:tcPr>
          <w:p>
            <w:pPr>
              <w:spacing w:after="0"/>
              <w:rPr>
                <w:color w:val="auto"/>
                <w:sz w:val="3"/>
                <w:szCs w:val="3"/>
              </w:rPr>
            </w:pPr>
          </w:p>
        </w:tc>
        <w:tc>
          <w:tcPr>
            <w:tcW w:w="1820" w:type="dxa"/>
            <w:tcBorders>
              <w:bottom w:val="single" w:color="auto" w:sz="8" w:space="0"/>
            </w:tcBorders>
            <w:vAlign w:val="bottom"/>
          </w:tcPr>
          <w:p>
            <w:pPr>
              <w:spacing w:after="0"/>
              <w:rPr>
                <w:color w:val="auto"/>
                <w:sz w:val="3"/>
                <w:szCs w:val="3"/>
              </w:rPr>
            </w:pPr>
          </w:p>
        </w:tc>
        <w:tc>
          <w:tcPr>
            <w:tcW w:w="1460" w:type="dxa"/>
            <w:tcBorders>
              <w:bottom w:val="single" w:color="auto" w:sz="8" w:space="0"/>
            </w:tcBorders>
            <w:vAlign w:val="bottom"/>
          </w:tcPr>
          <w:p>
            <w:pPr>
              <w:spacing w:after="0"/>
              <w:rPr>
                <w:color w:val="auto"/>
                <w:sz w:val="3"/>
                <w:szCs w:val="3"/>
              </w:rPr>
            </w:pPr>
          </w:p>
        </w:tc>
        <w:tc>
          <w:tcPr>
            <w:tcW w:w="1060" w:type="dxa"/>
            <w:vAlign w:val="bottom"/>
          </w:tcPr>
          <w:p>
            <w:pPr>
              <w:spacing w:after="0"/>
              <w:rPr>
                <w:color w:val="auto"/>
                <w:sz w:val="3"/>
                <w:szCs w:val="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8" w:hRule="atLeast"/>
        </w:trPr>
        <w:tc>
          <w:tcPr>
            <w:tcW w:w="3380" w:type="dxa"/>
            <w:vAlign w:val="bottom"/>
          </w:tcPr>
          <w:p>
            <w:pPr>
              <w:spacing w:after="0"/>
              <w:rPr>
                <w:color w:val="auto"/>
                <w:sz w:val="21"/>
                <w:szCs w:val="21"/>
              </w:rPr>
            </w:pPr>
          </w:p>
        </w:tc>
        <w:tc>
          <w:tcPr>
            <w:tcW w:w="1180" w:type="dxa"/>
            <w:vAlign w:val="bottom"/>
          </w:tcPr>
          <w:p>
            <w:pPr>
              <w:spacing w:after="0"/>
              <w:ind w:left="280"/>
              <w:rPr>
                <w:color w:val="auto"/>
                <w:sz w:val="20"/>
                <w:szCs w:val="20"/>
              </w:rPr>
            </w:pPr>
            <w:r>
              <w:rPr>
                <w:rFonts w:ascii="Arial" w:hAnsi="Arial" w:eastAsia="Arial" w:cs="Arial"/>
                <w:b/>
                <w:bCs/>
                <w:color w:val="auto"/>
                <w:sz w:val="20"/>
                <w:szCs w:val="20"/>
              </w:rPr>
              <w:t>n (%)</w:t>
            </w:r>
          </w:p>
        </w:tc>
        <w:tc>
          <w:tcPr>
            <w:tcW w:w="1820" w:type="dxa"/>
            <w:vAlign w:val="bottom"/>
          </w:tcPr>
          <w:p>
            <w:pPr>
              <w:spacing w:after="0"/>
              <w:ind w:left="480"/>
              <w:rPr>
                <w:color w:val="auto"/>
                <w:sz w:val="20"/>
                <w:szCs w:val="20"/>
              </w:rPr>
            </w:pPr>
            <w:r>
              <w:rPr>
                <w:rFonts w:ascii="Arial" w:hAnsi="Arial" w:eastAsia="Arial" w:cs="Arial"/>
                <w:b/>
                <w:bCs/>
                <w:color w:val="auto"/>
                <w:sz w:val="20"/>
                <w:szCs w:val="20"/>
              </w:rPr>
              <w:t>n (%)</w:t>
            </w:r>
          </w:p>
        </w:tc>
        <w:tc>
          <w:tcPr>
            <w:tcW w:w="1460" w:type="dxa"/>
            <w:vAlign w:val="bottom"/>
          </w:tcPr>
          <w:p>
            <w:pPr>
              <w:spacing w:after="0"/>
              <w:jc w:val="center"/>
              <w:rPr>
                <w:color w:val="auto"/>
                <w:sz w:val="20"/>
                <w:szCs w:val="20"/>
              </w:rPr>
            </w:pPr>
            <w:r>
              <w:rPr>
                <w:rFonts w:ascii="Arial" w:hAnsi="Arial" w:eastAsia="Arial" w:cs="Arial"/>
                <w:b/>
                <w:bCs/>
                <w:color w:val="auto"/>
                <w:sz w:val="20"/>
                <w:szCs w:val="20"/>
              </w:rPr>
              <w:t>n (%)</w:t>
            </w:r>
          </w:p>
        </w:tc>
        <w:tc>
          <w:tcPr>
            <w:tcW w:w="106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36" w:hRule="atLeast"/>
        </w:trPr>
        <w:tc>
          <w:tcPr>
            <w:tcW w:w="3380" w:type="dxa"/>
            <w:vAlign w:val="bottom"/>
          </w:tcPr>
          <w:p>
            <w:pPr>
              <w:spacing w:after="0"/>
              <w:ind w:left="120"/>
              <w:rPr>
                <w:color w:val="auto"/>
                <w:sz w:val="20"/>
                <w:szCs w:val="20"/>
              </w:rPr>
            </w:pPr>
            <w:r>
              <w:rPr>
                <w:rFonts w:ascii="Arial" w:hAnsi="Arial" w:eastAsia="Arial" w:cs="Arial"/>
                <w:b/>
                <w:bCs/>
                <w:color w:val="auto"/>
                <w:sz w:val="20"/>
                <w:szCs w:val="20"/>
              </w:rPr>
              <w:t>Time outdoors in past week</w:t>
            </w:r>
          </w:p>
        </w:tc>
        <w:tc>
          <w:tcPr>
            <w:tcW w:w="1180" w:type="dxa"/>
            <w:vAlign w:val="bottom"/>
          </w:tcPr>
          <w:p>
            <w:pPr>
              <w:spacing w:after="0"/>
              <w:rPr>
                <w:color w:val="auto"/>
                <w:sz w:val="24"/>
                <w:szCs w:val="24"/>
              </w:rPr>
            </w:pPr>
          </w:p>
        </w:tc>
        <w:tc>
          <w:tcPr>
            <w:tcW w:w="1820" w:type="dxa"/>
            <w:vAlign w:val="bottom"/>
          </w:tcPr>
          <w:p>
            <w:pPr>
              <w:spacing w:after="0"/>
              <w:rPr>
                <w:color w:val="auto"/>
                <w:sz w:val="24"/>
                <w:szCs w:val="24"/>
              </w:rPr>
            </w:pPr>
          </w:p>
        </w:tc>
        <w:tc>
          <w:tcPr>
            <w:tcW w:w="1460" w:type="dxa"/>
            <w:vAlign w:val="bottom"/>
          </w:tcPr>
          <w:p>
            <w:pPr>
              <w:spacing w:after="0"/>
              <w:rPr>
                <w:color w:val="auto"/>
                <w:sz w:val="24"/>
                <w:szCs w:val="24"/>
              </w:rPr>
            </w:pPr>
          </w:p>
        </w:tc>
        <w:tc>
          <w:tcPr>
            <w:tcW w:w="1060" w:type="dxa"/>
            <w:vAlign w:val="bottom"/>
          </w:tcPr>
          <w:p>
            <w:pPr>
              <w:spacing w:after="0"/>
              <w:ind w:right="20"/>
              <w:jc w:val="right"/>
              <w:rPr>
                <w:color w:val="auto"/>
                <w:sz w:val="20"/>
                <w:szCs w:val="20"/>
              </w:rPr>
            </w:pPr>
            <w:r>
              <w:rPr>
                <w:rFonts w:ascii="Arial" w:hAnsi="Arial" w:eastAsia="Arial" w:cs="Arial"/>
                <w:color w:val="auto"/>
                <w:sz w:val="20"/>
                <w:szCs w:val="20"/>
              </w:rPr>
              <w:t>0.007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4"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 2 hours</w:t>
            </w:r>
          </w:p>
        </w:tc>
        <w:tc>
          <w:tcPr>
            <w:tcW w:w="1180" w:type="dxa"/>
            <w:vAlign w:val="bottom"/>
          </w:tcPr>
          <w:p>
            <w:pPr>
              <w:spacing w:after="0"/>
              <w:ind w:left="100"/>
              <w:rPr>
                <w:color w:val="auto"/>
                <w:sz w:val="20"/>
                <w:szCs w:val="20"/>
              </w:rPr>
            </w:pPr>
            <w:r>
              <w:rPr>
                <w:rFonts w:ascii="Arial" w:hAnsi="Arial" w:eastAsia="Arial" w:cs="Arial"/>
                <w:color w:val="auto"/>
                <w:sz w:val="20"/>
                <w:szCs w:val="20"/>
              </w:rPr>
              <w:t>156(83.9)</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62(40)</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94(60)</w:t>
            </w:r>
          </w:p>
        </w:tc>
        <w:tc>
          <w:tcPr>
            <w:tcW w:w="1060" w:type="dxa"/>
            <w:vAlign w:val="bottom"/>
          </w:tcPr>
          <w:p>
            <w:pPr>
              <w:spacing w:after="0"/>
              <w:rPr>
                <w:color w:val="auto"/>
                <w:sz w:val="22"/>
                <w:szCs w:val="2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1"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 3 hours</w:t>
            </w:r>
          </w:p>
        </w:tc>
        <w:tc>
          <w:tcPr>
            <w:tcW w:w="1180" w:type="dxa"/>
            <w:vAlign w:val="bottom"/>
          </w:tcPr>
          <w:p>
            <w:pPr>
              <w:spacing w:after="0"/>
              <w:ind w:left="100"/>
              <w:rPr>
                <w:color w:val="auto"/>
                <w:sz w:val="20"/>
                <w:szCs w:val="20"/>
              </w:rPr>
            </w:pPr>
            <w:r>
              <w:rPr>
                <w:rFonts w:ascii="Arial" w:hAnsi="Arial" w:eastAsia="Arial" w:cs="Arial"/>
                <w:color w:val="auto"/>
                <w:sz w:val="20"/>
                <w:szCs w:val="20"/>
              </w:rPr>
              <w:t>30(16.1)</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20(67)</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10(33)</w:t>
            </w:r>
          </w:p>
        </w:tc>
        <w:tc>
          <w:tcPr>
            <w:tcW w:w="1060" w:type="dxa"/>
            <w:vAlign w:val="bottom"/>
          </w:tcPr>
          <w:p>
            <w:pPr>
              <w:spacing w:after="0"/>
              <w:rPr>
                <w:color w:val="auto"/>
                <w:sz w:val="23"/>
                <w:szCs w:val="2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7" w:hRule="atLeast"/>
        </w:trPr>
        <w:tc>
          <w:tcPr>
            <w:tcW w:w="3380" w:type="dxa"/>
            <w:vAlign w:val="bottom"/>
          </w:tcPr>
          <w:p>
            <w:pPr>
              <w:spacing w:after="0"/>
              <w:ind w:left="120"/>
              <w:rPr>
                <w:color w:val="auto"/>
                <w:sz w:val="20"/>
                <w:szCs w:val="20"/>
              </w:rPr>
            </w:pPr>
            <w:r>
              <w:rPr>
                <w:rFonts w:ascii="Arial" w:hAnsi="Arial" w:eastAsia="Arial" w:cs="Arial"/>
                <w:b/>
                <w:bCs/>
                <w:color w:val="auto"/>
                <w:sz w:val="20"/>
                <w:szCs w:val="20"/>
              </w:rPr>
              <w:t>No sunscreen use</w:t>
            </w:r>
          </w:p>
        </w:tc>
        <w:tc>
          <w:tcPr>
            <w:tcW w:w="1180" w:type="dxa"/>
            <w:vMerge w:val="restart"/>
            <w:vAlign w:val="bottom"/>
          </w:tcPr>
          <w:p>
            <w:pPr>
              <w:spacing w:after="0"/>
              <w:ind w:left="100"/>
              <w:rPr>
                <w:color w:val="auto"/>
                <w:sz w:val="20"/>
                <w:szCs w:val="20"/>
              </w:rPr>
            </w:pPr>
            <w:r>
              <w:rPr>
                <w:rFonts w:ascii="Arial" w:hAnsi="Arial" w:eastAsia="Arial" w:cs="Arial"/>
                <w:color w:val="auto"/>
                <w:sz w:val="20"/>
                <w:szCs w:val="20"/>
              </w:rPr>
              <w:t>76(40.9)</w:t>
            </w:r>
          </w:p>
        </w:tc>
        <w:tc>
          <w:tcPr>
            <w:tcW w:w="1820" w:type="dxa"/>
            <w:vMerge w:val="restart"/>
            <w:vAlign w:val="bottom"/>
          </w:tcPr>
          <w:p>
            <w:pPr>
              <w:spacing w:after="0"/>
              <w:jc w:val="center"/>
              <w:rPr>
                <w:color w:val="auto"/>
                <w:sz w:val="20"/>
                <w:szCs w:val="20"/>
              </w:rPr>
            </w:pPr>
            <w:r>
              <w:rPr>
                <w:rFonts w:ascii="Arial" w:hAnsi="Arial" w:eastAsia="Arial" w:cs="Arial"/>
                <w:color w:val="auto"/>
                <w:w w:val="96"/>
                <w:sz w:val="20"/>
                <w:szCs w:val="20"/>
              </w:rPr>
              <w:t>31(41)</w:t>
            </w:r>
          </w:p>
        </w:tc>
        <w:tc>
          <w:tcPr>
            <w:tcW w:w="1460" w:type="dxa"/>
            <w:vMerge w:val="restart"/>
            <w:vAlign w:val="bottom"/>
          </w:tcPr>
          <w:p>
            <w:pPr>
              <w:spacing w:after="0"/>
              <w:ind w:right="680"/>
              <w:jc w:val="right"/>
              <w:rPr>
                <w:color w:val="auto"/>
                <w:sz w:val="20"/>
                <w:szCs w:val="20"/>
              </w:rPr>
            </w:pPr>
            <w:r>
              <w:rPr>
                <w:rFonts w:ascii="Arial" w:hAnsi="Arial" w:eastAsia="Arial" w:cs="Arial"/>
                <w:color w:val="auto"/>
                <w:sz w:val="20"/>
                <w:szCs w:val="20"/>
              </w:rPr>
              <w:t>45(59)</w:t>
            </w:r>
          </w:p>
        </w:tc>
        <w:tc>
          <w:tcPr>
            <w:tcW w:w="1060" w:type="dxa"/>
            <w:vAlign w:val="bottom"/>
          </w:tcPr>
          <w:p>
            <w:pPr>
              <w:spacing w:after="0"/>
              <w:ind w:right="20"/>
              <w:jc w:val="right"/>
              <w:rPr>
                <w:color w:val="auto"/>
                <w:sz w:val="20"/>
                <w:szCs w:val="20"/>
              </w:rPr>
            </w:pPr>
            <w:r>
              <w:rPr>
                <w:rFonts w:ascii="Arial" w:hAnsi="Arial" w:eastAsia="Arial" w:cs="Arial"/>
                <w:color w:val="auto"/>
                <w:sz w:val="20"/>
                <w:szCs w:val="20"/>
              </w:rPr>
              <w:t>0.45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77" w:hRule="atLeast"/>
        </w:trPr>
        <w:tc>
          <w:tcPr>
            <w:tcW w:w="3380" w:type="dxa"/>
            <w:vAlign w:val="bottom"/>
          </w:tcPr>
          <w:p>
            <w:pPr>
              <w:spacing w:after="0"/>
              <w:rPr>
                <w:color w:val="auto"/>
                <w:sz w:val="6"/>
                <w:szCs w:val="6"/>
              </w:rPr>
            </w:pPr>
          </w:p>
        </w:tc>
        <w:tc>
          <w:tcPr>
            <w:tcW w:w="1180" w:type="dxa"/>
            <w:vMerge w:val="continue"/>
            <w:vAlign w:val="bottom"/>
          </w:tcPr>
          <w:p>
            <w:pPr>
              <w:spacing w:after="0"/>
              <w:rPr>
                <w:color w:val="auto"/>
                <w:sz w:val="6"/>
                <w:szCs w:val="6"/>
              </w:rPr>
            </w:pPr>
          </w:p>
        </w:tc>
        <w:tc>
          <w:tcPr>
            <w:tcW w:w="1820" w:type="dxa"/>
            <w:vMerge w:val="continue"/>
            <w:vAlign w:val="bottom"/>
          </w:tcPr>
          <w:p>
            <w:pPr>
              <w:spacing w:after="0"/>
              <w:rPr>
                <w:color w:val="auto"/>
                <w:sz w:val="6"/>
                <w:szCs w:val="6"/>
              </w:rPr>
            </w:pPr>
          </w:p>
        </w:tc>
        <w:tc>
          <w:tcPr>
            <w:tcW w:w="1460" w:type="dxa"/>
            <w:vMerge w:val="continue"/>
            <w:vAlign w:val="bottom"/>
          </w:tcPr>
          <w:p>
            <w:pPr>
              <w:spacing w:after="0"/>
              <w:rPr>
                <w:color w:val="auto"/>
                <w:sz w:val="6"/>
                <w:szCs w:val="6"/>
              </w:rPr>
            </w:pPr>
          </w:p>
        </w:tc>
        <w:tc>
          <w:tcPr>
            <w:tcW w:w="1060" w:type="dxa"/>
            <w:vAlign w:val="bottom"/>
          </w:tcPr>
          <w:p>
            <w:pPr>
              <w:spacing w:after="0"/>
              <w:rPr>
                <w:color w:val="auto"/>
                <w:sz w:val="6"/>
                <w:szCs w:val="6"/>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6" w:hRule="atLeast"/>
        </w:trPr>
        <w:tc>
          <w:tcPr>
            <w:tcW w:w="3380" w:type="dxa"/>
            <w:vAlign w:val="bottom"/>
          </w:tcPr>
          <w:p>
            <w:pPr>
              <w:spacing w:after="0"/>
              <w:ind w:left="120"/>
              <w:rPr>
                <w:color w:val="auto"/>
                <w:sz w:val="20"/>
                <w:szCs w:val="20"/>
              </w:rPr>
            </w:pPr>
            <w:r>
              <w:rPr>
                <w:rFonts w:ascii="Arial" w:hAnsi="Arial" w:eastAsia="Arial" w:cs="Arial"/>
                <w:b/>
                <w:bCs/>
                <w:color w:val="auto"/>
                <w:sz w:val="20"/>
                <w:szCs w:val="20"/>
              </w:rPr>
              <w:t>Education</w:t>
            </w:r>
          </w:p>
        </w:tc>
        <w:tc>
          <w:tcPr>
            <w:tcW w:w="1180" w:type="dxa"/>
            <w:vAlign w:val="bottom"/>
          </w:tcPr>
          <w:p>
            <w:pPr>
              <w:spacing w:after="0"/>
              <w:rPr>
                <w:color w:val="auto"/>
                <w:sz w:val="23"/>
                <w:szCs w:val="23"/>
              </w:rPr>
            </w:pPr>
          </w:p>
        </w:tc>
        <w:tc>
          <w:tcPr>
            <w:tcW w:w="1820" w:type="dxa"/>
            <w:vAlign w:val="bottom"/>
          </w:tcPr>
          <w:p>
            <w:pPr>
              <w:spacing w:after="0"/>
              <w:rPr>
                <w:color w:val="auto"/>
                <w:sz w:val="23"/>
                <w:szCs w:val="23"/>
              </w:rPr>
            </w:pPr>
          </w:p>
        </w:tc>
        <w:tc>
          <w:tcPr>
            <w:tcW w:w="1460" w:type="dxa"/>
            <w:vAlign w:val="bottom"/>
          </w:tcPr>
          <w:p>
            <w:pPr>
              <w:spacing w:after="0"/>
              <w:rPr>
                <w:color w:val="auto"/>
                <w:sz w:val="23"/>
                <w:szCs w:val="23"/>
              </w:rPr>
            </w:pPr>
          </w:p>
        </w:tc>
        <w:tc>
          <w:tcPr>
            <w:tcW w:w="1060" w:type="dxa"/>
            <w:vAlign w:val="bottom"/>
          </w:tcPr>
          <w:p>
            <w:pPr>
              <w:spacing w:after="0"/>
              <w:ind w:right="20"/>
              <w:jc w:val="right"/>
              <w:rPr>
                <w:color w:val="auto"/>
                <w:sz w:val="20"/>
                <w:szCs w:val="20"/>
              </w:rPr>
            </w:pPr>
            <w:r>
              <w:rPr>
                <w:rFonts w:ascii="Arial" w:hAnsi="Arial" w:eastAsia="Arial" w:cs="Arial"/>
                <w:color w:val="auto"/>
                <w:sz w:val="20"/>
                <w:szCs w:val="20"/>
              </w:rPr>
              <w:t>0.15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1"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Some college</w:t>
            </w:r>
          </w:p>
        </w:tc>
        <w:tc>
          <w:tcPr>
            <w:tcW w:w="1180" w:type="dxa"/>
            <w:vAlign w:val="bottom"/>
          </w:tcPr>
          <w:p>
            <w:pPr>
              <w:spacing w:after="0"/>
              <w:ind w:left="100"/>
              <w:rPr>
                <w:color w:val="auto"/>
                <w:sz w:val="20"/>
                <w:szCs w:val="20"/>
              </w:rPr>
            </w:pPr>
            <w:r>
              <w:rPr>
                <w:rFonts w:ascii="Arial" w:hAnsi="Arial" w:eastAsia="Arial" w:cs="Arial"/>
                <w:color w:val="auto"/>
                <w:sz w:val="20"/>
                <w:szCs w:val="20"/>
              </w:rPr>
              <w:t>150(80.7)</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70(47)</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80(53)</w:t>
            </w:r>
          </w:p>
        </w:tc>
        <w:tc>
          <w:tcPr>
            <w:tcW w:w="106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4"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College graduate</w:t>
            </w:r>
          </w:p>
        </w:tc>
        <w:tc>
          <w:tcPr>
            <w:tcW w:w="1180" w:type="dxa"/>
            <w:vAlign w:val="bottom"/>
          </w:tcPr>
          <w:p>
            <w:pPr>
              <w:spacing w:after="0"/>
              <w:ind w:left="100"/>
              <w:rPr>
                <w:color w:val="auto"/>
                <w:sz w:val="20"/>
                <w:szCs w:val="20"/>
              </w:rPr>
            </w:pPr>
            <w:r>
              <w:rPr>
                <w:rFonts w:ascii="Arial" w:hAnsi="Arial" w:eastAsia="Arial" w:cs="Arial"/>
                <w:color w:val="auto"/>
                <w:sz w:val="20"/>
                <w:szCs w:val="20"/>
              </w:rPr>
              <w:t>36(19.3)</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12(33)</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24(67)</w:t>
            </w:r>
          </w:p>
        </w:tc>
        <w:tc>
          <w:tcPr>
            <w:tcW w:w="1060" w:type="dxa"/>
            <w:vAlign w:val="bottom"/>
          </w:tcPr>
          <w:p>
            <w:pPr>
              <w:spacing w:after="0"/>
              <w:rPr>
                <w:color w:val="auto"/>
                <w:sz w:val="22"/>
                <w:szCs w:val="2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38" w:hRule="atLeast"/>
        </w:trPr>
        <w:tc>
          <w:tcPr>
            <w:tcW w:w="3380" w:type="dxa"/>
            <w:vAlign w:val="bottom"/>
          </w:tcPr>
          <w:p>
            <w:pPr>
              <w:spacing w:after="0"/>
              <w:ind w:left="120"/>
              <w:rPr>
                <w:color w:val="auto"/>
                <w:sz w:val="20"/>
                <w:szCs w:val="20"/>
              </w:rPr>
            </w:pPr>
            <w:r>
              <w:rPr>
                <w:rFonts w:ascii="Arial" w:hAnsi="Arial" w:eastAsia="Arial" w:cs="Arial"/>
                <w:b/>
                <w:bCs/>
                <w:color w:val="auto"/>
                <w:sz w:val="20"/>
                <w:szCs w:val="20"/>
              </w:rPr>
              <w:t>Smoking Status</w:t>
            </w:r>
          </w:p>
        </w:tc>
        <w:tc>
          <w:tcPr>
            <w:tcW w:w="1180" w:type="dxa"/>
            <w:vAlign w:val="bottom"/>
          </w:tcPr>
          <w:p>
            <w:pPr>
              <w:spacing w:after="0"/>
              <w:rPr>
                <w:color w:val="auto"/>
                <w:sz w:val="20"/>
                <w:szCs w:val="20"/>
              </w:rPr>
            </w:pPr>
          </w:p>
        </w:tc>
        <w:tc>
          <w:tcPr>
            <w:tcW w:w="1820" w:type="dxa"/>
            <w:vAlign w:val="bottom"/>
          </w:tcPr>
          <w:p>
            <w:pPr>
              <w:spacing w:after="0"/>
              <w:rPr>
                <w:color w:val="auto"/>
                <w:sz w:val="20"/>
                <w:szCs w:val="20"/>
              </w:rPr>
            </w:pPr>
          </w:p>
        </w:tc>
        <w:tc>
          <w:tcPr>
            <w:tcW w:w="1460" w:type="dxa"/>
            <w:vAlign w:val="bottom"/>
          </w:tcPr>
          <w:p>
            <w:pPr>
              <w:spacing w:after="0"/>
              <w:rPr>
                <w:color w:val="auto"/>
                <w:sz w:val="20"/>
                <w:szCs w:val="20"/>
              </w:rPr>
            </w:pPr>
          </w:p>
        </w:tc>
        <w:tc>
          <w:tcPr>
            <w:tcW w:w="1060" w:type="dxa"/>
            <w:vAlign w:val="bottom"/>
          </w:tcPr>
          <w:p>
            <w:pPr>
              <w:spacing w:after="0"/>
              <w:ind w:right="20"/>
              <w:jc w:val="right"/>
              <w:rPr>
                <w:color w:val="auto"/>
                <w:sz w:val="20"/>
                <w:szCs w:val="20"/>
              </w:rPr>
            </w:pPr>
            <w:r>
              <w:rPr>
                <w:rFonts w:ascii="Arial" w:hAnsi="Arial" w:eastAsia="Arial" w:cs="Arial"/>
                <w:color w:val="auto"/>
                <w:sz w:val="20"/>
                <w:szCs w:val="20"/>
              </w:rPr>
              <w:t>0.51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69"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Ever/current smoker</w:t>
            </w:r>
          </w:p>
        </w:tc>
        <w:tc>
          <w:tcPr>
            <w:tcW w:w="1180" w:type="dxa"/>
            <w:vAlign w:val="bottom"/>
          </w:tcPr>
          <w:p>
            <w:pPr>
              <w:spacing w:after="0"/>
              <w:ind w:left="100"/>
              <w:rPr>
                <w:color w:val="auto"/>
                <w:sz w:val="20"/>
                <w:szCs w:val="20"/>
              </w:rPr>
            </w:pPr>
            <w:r>
              <w:rPr>
                <w:rFonts w:ascii="Arial" w:hAnsi="Arial" w:eastAsia="Arial" w:cs="Arial"/>
                <w:color w:val="auto"/>
                <w:sz w:val="20"/>
                <w:szCs w:val="20"/>
              </w:rPr>
              <w:t>26(14.0)</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13(50)</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13(50)</w:t>
            </w:r>
          </w:p>
        </w:tc>
        <w:tc>
          <w:tcPr>
            <w:tcW w:w="1060" w:type="dxa"/>
            <w:vAlign w:val="bottom"/>
          </w:tcPr>
          <w:p>
            <w:pPr>
              <w:spacing w:after="0"/>
              <w:rPr>
                <w:color w:val="auto"/>
                <w:sz w:val="23"/>
                <w:szCs w:val="2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380" w:type="dxa"/>
            <w:vAlign w:val="bottom"/>
          </w:tcPr>
          <w:p>
            <w:pPr>
              <w:spacing w:after="0"/>
              <w:ind w:left="440"/>
              <w:rPr>
                <w:color w:val="auto"/>
                <w:sz w:val="20"/>
                <w:szCs w:val="20"/>
              </w:rPr>
            </w:pPr>
            <w:r>
              <w:rPr>
                <w:rFonts w:ascii="Arial" w:hAnsi="Arial" w:eastAsia="Arial" w:cs="Arial"/>
                <w:b/>
                <w:bCs/>
                <w:color w:val="auto"/>
                <w:sz w:val="20"/>
                <w:szCs w:val="20"/>
              </w:rPr>
              <w:t>Non- smoker</w:t>
            </w:r>
          </w:p>
        </w:tc>
        <w:tc>
          <w:tcPr>
            <w:tcW w:w="1180" w:type="dxa"/>
            <w:vAlign w:val="bottom"/>
          </w:tcPr>
          <w:p>
            <w:pPr>
              <w:spacing w:after="0"/>
              <w:ind w:left="100"/>
              <w:rPr>
                <w:color w:val="auto"/>
                <w:sz w:val="20"/>
                <w:szCs w:val="20"/>
              </w:rPr>
            </w:pPr>
            <w:r>
              <w:rPr>
                <w:rFonts w:ascii="Arial" w:hAnsi="Arial" w:eastAsia="Arial" w:cs="Arial"/>
                <w:color w:val="auto"/>
                <w:sz w:val="20"/>
                <w:szCs w:val="20"/>
              </w:rPr>
              <w:t>160(86.0)</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69(43)</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91(57)</w:t>
            </w:r>
          </w:p>
        </w:tc>
        <w:tc>
          <w:tcPr>
            <w:tcW w:w="106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3" w:hRule="atLeast"/>
        </w:trPr>
        <w:tc>
          <w:tcPr>
            <w:tcW w:w="3380" w:type="dxa"/>
            <w:vAlign w:val="bottom"/>
          </w:tcPr>
          <w:p>
            <w:pPr>
              <w:spacing w:after="0"/>
              <w:ind w:left="120"/>
              <w:rPr>
                <w:color w:val="auto"/>
                <w:sz w:val="20"/>
                <w:szCs w:val="20"/>
              </w:rPr>
            </w:pPr>
            <w:r>
              <w:rPr>
                <w:rFonts w:ascii="Arial" w:hAnsi="Arial" w:eastAsia="Arial" w:cs="Arial"/>
                <w:b/>
                <w:bCs/>
                <w:color w:val="auto"/>
                <w:sz w:val="20"/>
                <w:szCs w:val="20"/>
              </w:rPr>
              <w:t>Current oral contraceptives use</w:t>
            </w:r>
          </w:p>
        </w:tc>
        <w:tc>
          <w:tcPr>
            <w:tcW w:w="1180" w:type="dxa"/>
            <w:vAlign w:val="bottom"/>
          </w:tcPr>
          <w:p>
            <w:pPr>
              <w:spacing w:after="0"/>
              <w:ind w:left="100"/>
              <w:rPr>
                <w:color w:val="auto"/>
                <w:sz w:val="20"/>
                <w:szCs w:val="20"/>
              </w:rPr>
            </w:pPr>
            <w:r>
              <w:rPr>
                <w:rFonts w:ascii="Arial" w:hAnsi="Arial" w:eastAsia="Arial" w:cs="Arial"/>
                <w:color w:val="auto"/>
                <w:sz w:val="20"/>
                <w:szCs w:val="20"/>
              </w:rPr>
              <w:t>73(39.3)</w:t>
            </w:r>
          </w:p>
        </w:tc>
        <w:tc>
          <w:tcPr>
            <w:tcW w:w="1820" w:type="dxa"/>
            <w:vAlign w:val="bottom"/>
          </w:tcPr>
          <w:p>
            <w:pPr>
              <w:spacing w:after="0"/>
              <w:jc w:val="center"/>
              <w:rPr>
                <w:color w:val="auto"/>
                <w:sz w:val="20"/>
                <w:szCs w:val="20"/>
              </w:rPr>
            </w:pPr>
            <w:r>
              <w:rPr>
                <w:rFonts w:ascii="Arial" w:hAnsi="Arial" w:eastAsia="Arial" w:cs="Arial"/>
                <w:color w:val="auto"/>
                <w:w w:val="96"/>
                <w:sz w:val="20"/>
                <w:szCs w:val="20"/>
              </w:rPr>
              <w:t>36(49)</w:t>
            </w:r>
          </w:p>
        </w:tc>
        <w:tc>
          <w:tcPr>
            <w:tcW w:w="1460" w:type="dxa"/>
            <w:vAlign w:val="bottom"/>
          </w:tcPr>
          <w:p>
            <w:pPr>
              <w:spacing w:after="0"/>
              <w:ind w:right="680"/>
              <w:jc w:val="right"/>
              <w:rPr>
                <w:color w:val="auto"/>
                <w:sz w:val="20"/>
                <w:szCs w:val="20"/>
              </w:rPr>
            </w:pPr>
            <w:r>
              <w:rPr>
                <w:rFonts w:ascii="Arial" w:hAnsi="Arial" w:eastAsia="Arial" w:cs="Arial"/>
                <w:color w:val="auto"/>
                <w:sz w:val="20"/>
                <w:szCs w:val="20"/>
              </w:rPr>
              <w:t>37(51)</w:t>
            </w:r>
          </w:p>
        </w:tc>
        <w:tc>
          <w:tcPr>
            <w:tcW w:w="1060" w:type="dxa"/>
            <w:vAlign w:val="bottom"/>
          </w:tcPr>
          <w:p>
            <w:pPr>
              <w:spacing w:after="0"/>
              <w:ind w:right="20"/>
              <w:jc w:val="right"/>
              <w:rPr>
                <w:color w:val="auto"/>
                <w:sz w:val="20"/>
                <w:szCs w:val="20"/>
              </w:rPr>
            </w:pPr>
            <w:r>
              <w:rPr>
                <w:rFonts w:ascii="Arial" w:hAnsi="Arial" w:eastAsia="Arial" w:cs="Arial"/>
                <w:color w:val="auto"/>
                <w:sz w:val="20"/>
                <w:szCs w:val="20"/>
              </w:rPr>
              <w:t>0.25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82" w:hRule="atLeast"/>
        </w:trPr>
        <w:tc>
          <w:tcPr>
            <w:tcW w:w="3380" w:type="dxa"/>
            <w:tcBorders>
              <w:bottom w:val="single" w:color="auto" w:sz="8" w:space="0"/>
            </w:tcBorders>
            <w:vAlign w:val="bottom"/>
          </w:tcPr>
          <w:p>
            <w:pPr>
              <w:spacing w:after="0"/>
              <w:rPr>
                <w:color w:val="auto"/>
                <w:sz w:val="7"/>
                <w:szCs w:val="7"/>
              </w:rPr>
            </w:pPr>
          </w:p>
        </w:tc>
        <w:tc>
          <w:tcPr>
            <w:tcW w:w="1180" w:type="dxa"/>
            <w:tcBorders>
              <w:bottom w:val="single" w:color="auto" w:sz="8" w:space="0"/>
            </w:tcBorders>
            <w:vAlign w:val="bottom"/>
          </w:tcPr>
          <w:p>
            <w:pPr>
              <w:spacing w:after="0"/>
              <w:rPr>
                <w:color w:val="auto"/>
                <w:sz w:val="7"/>
                <w:szCs w:val="7"/>
              </w:rPr>
            </w:pPr>
          </w:p>
        </w:tc>
        <w:tc>
          <w:tcPr>
            <w:tcW w:w="1820" w:type="dxa"/>
            <w:tcBorders>
              <w:bottom w:val="single" w:color="auto" w:sz="8" w:space="0"/>
            </w:tcBorders>
            <w:vAlign w:val="bottom"/>
          </w:tcPr>
          <w:p>
            <w:pPr>
              <w:spacing w:after="0"/>
              <w:rPr>
                <w:color w:val="auto"/>
                <w:sz w:val="7"/>
                <w:szCs w:val="7"/>
              </w:rPr>
            </w:pPr>
          </w:p>
        </w:tc>
        <w:tc>
          <w:tcPr>
            <w:tcW w:w="1460" w:type="dxa"/>
            <w:tcBorders>
              <w:bottom w:val="single" w:color="auto" w:sz="8" w:space="0"/>
            </w:tcBorders>
            <w:vAlign w:val="bottom"/>
          </w:tcPr>
          <w:p>
            <w:pPr>
              <w:spacing w:after="0"/>
              <w:rPr>
                <w:color w:val="auto"/>
                <w:sz w:val="7"/>
                <w:szCs w:val="7"/>
              </w:rPr>
            </w:pPr>
          </w:p>
        </w:tc>
        <w:tc>
          <w:tcPr>
            <w:tcW w:w="1060" w:type="dxa"/>
            <w:tcBorders>
              <w:bottom w:val="single" w:color="auto" w:sz="8" w:space="0"/>
            </w:tcBorders>
            <w:vAlign w:val="bottom"/>
          </w:tcPr>
          <w:p>
            <w:pPr>
              <w:spacing w:after="0"/>
              <w:rPr>
                <w:color w:val="auto"/>
                <w:sz w:val="7"/>
                <w:szCs w:val="7"/>
              </w:rPr>
            </w:pPr>
          </w:p>
        </w:tc>
        <w:tc>
          <w:tcPr>
            <w:tcW w:w="0" w:type="dxa"/>
            <w:vAlign w:val="bottom"/>
          </w:tcPr>
          <w:p>
            <w:pPr>
              <w:spacing w:after="0"/>
              <w:rPr>
                <w:color w:val="auto"/>
                <w:sz w:val="1"/>
                <w:szCs w:val="1"/>
              </w:rPr>
            </w:pPr>
          </w:p>
        </w:tc>
      </w:tr>
    </w:tbl>
    <w:p>
      <w:pPr>
        <w:spacing w:after="0" w:line="110" w:lineRule="exact"/>
        <w:rPr>
          <w:color w:val="auto"/>
          <w:sz w:val="20"/>
          <w:szCs w:val="20"/>
        </w:rPr>
      </w:pPr>
    </w:p>
    <w:p>
      <w:pPr>
        <w:numPr>
          <w:ilvl w:val="0"/>
          <w:numId w:val="5"/>
        </w:numPr>
        <w:tabs>
          <w:tab w:val="left" w:pos="900"/>
        </w:tabs>
        <w:spacing w:after="0"/>
        <w:ind w:left="900" w:hanging="180"/>
        <w:rPr>
          <w:rFonts w:ascii="Arial" w:hAnsi="Arial" w:eastAsia="Arial" w:cs="Arial"/>
          <w:color w:val="auto"/>
          <w:sz w:val="16"/>
          <w:szCs w:val="16"/>
        </w:rPr>
      </w:pPr>
      <w:r>
        <w:rPr>
          <w:rFonts w:ascii="Arial" w:hAnsi="Arial" w:eastAsia="Arial" w:cs="Arial"/>
          <w:color w:val="auto"/>
          <w:sz w:val="16"/>
          <w:szCs w:val="16"/>
        </w:rPr>
        <w:t>MET: Metabolic Equivalent, a unit used to estimate the amount of oxygen used by the body during physical activity.</w:t>
      </w:r>
    </w:p>
    <w:p>
      <w:pPr>
        <w:spacing w:after="0" w:line="185" w:lineRule="exact"/>
        <w:rPr>
          <w:rFonts w:ascii="Arial" w:hAnsi="Arial" w:eastAsia="Arial" w:cs="Arial"/>
          <w:color w:val="auto"/>
          <w:sz w:val="16"/>
          <w:szCs w:val="16"/>
        </w:rPr>
      </w:pPr>
    </w:p>
    <w:p>
      <w:pPr>
        <w:numPr>
          <w:ilvl w:val="0"/>
          <w:numId w:val="5"/>
        </w:numPr>
        <w:tabs>
          <w:tab w:val="left" w:pos="900"/>
        </w:tabs>
        <w:spacing w:after="0"/>
        <w:ind w:left="900" w:hanging="180"/>
        <w:rPr>
          <w:rFonts w:ascii="Arial" w:hAnsi="Arial" w:eastAsia="Arial" w:cs="Arial"/>
          <w:color w:val="auto"/>
          <w:sz w:val="16"/>
          <w:szCs w:val="16"/>
        </w:rPr>
      </w:pPr>
      <w:r>
        <w:rPr>
          <w:rFonts w:ascii="Arial" w:hAnsi="Arial" w:eastAsia="Arial" w:cs="Arial"/>
          <w:color w:val="auto"/>
          <w:sz w:val="16"/>
          <w:szCs w:val="16"/>
        </w:rPr>
        <w:t>DRI: Dietary Reference Intake (includes adequate intake, AI, and recommended dietary allowance, RDA.</w:t>
      </w:r>
    </w:p>
    <w:p>
      <w:pPr>
        <w:spacing w:after="0" w:line="237" w:lineRule="auto"/>
        <w:ind w:left="1440"/>
        <w:rPr>
          <w:color w:val="auto"/>
          <w:sz w:val="20"/>
          <w:szCs w:val="20"/>
        </w:rPr>
      </w:pPr>
      <w:r>
        <w:rPr>
          <w:rFonts w:ascii="Arial" w:hAnsi="Arial" w:eastAsia="Arial" w:cs="Arial"/>
          <w:color w:val="auto"/>
          <w:sz w:val="16"/>
          <w:szCs w:val="16"/>
        </w:rPr>
        <w:t>The AI for vitamin D =200 IU; the RDAs for vitamin C=60mg and vitamin E=15mg</w:t>
      </w:r>
    </w:p>
    <w:p>
      <w:pPr>
        <w:spacing w:after="0" w:line="289" w:lineRule="exact"/>
        <w:rPr>
          <w:color w:val="auto"/>
          <w:sz w:val="20"/>
          <w:szCs w:val="20"/>
        </w:rPr>
      </w:pPr>
    </w:p>
    <w:p>
      <w:pPr>
        <w:spacing w:after="0" w:line="478" w:lineRule="auto"/>
        <w:ind w:left="720" w:right="240" w:firstLine="720"/>
        <w:rPr>
          <w:color w:val="auto"/>
          <w:sz w:val="20"/>
          <w:szCs w:val="20"/>
        </w:rPr>
      </w:pPr>
      <w:r>
        <w:rPr>
          <w:rFonts w:ascii="Arial" w:hAnsi="Arial" w:eastAsia="Arial" w:cs="Arial"/>
          <w:color w:val="auto"/>
          <w:sz w:val="22"/>
          <w:szCs w:val="22"/>
        </w:rPr>
        <w:t>Univariable logistic regression was used to assess the relationship between wheeze/ asthma symptoms and each exposure variable (Table 7.3). Physical activity level, in Metabolic Equivalents (METS; used to estimate the amount of oxygen consumed during physical activity) and total energy intake were divided into quartiles. Suboptimal serum 25(OH)D status, short time (≤ 2 hours) daily spent outside and high physical activity (the highest quartiles of physical activity level) were significantly associated with reduced risk of wheeze/asthma symptoms (p&lt;0.05), whereas low dietary vitamin D and high hs-CRP were associated with increased risk of symptoms (p =0.02 and 0.07, respectively).</w:t>
      </w:r>
    </w:p>
    <w:p>
      <w:pPr>
        <w:spacing w:after="0" w:line="19" w:lineRule="exact"/>
        <w:rPr>
          <w:color w:val="auto"/>
          <w:sz w:val="20"/>
          <w:szCs w:val="20"/>
        </w:rPr>
      </w:pPr>
    </w:p>
    <w:p>
      <w:pPr>
        <w:spacing w:after="0" w:line="504" w:lineRule="auto"/>
        <w:ind w:left="720" w:right="360" w:firstLine="720"/>
        <w:rPr>
          <w:color w:val="auto"/>
          <w:sz w:val="20"/>
          <w:szCs w:val="20"/>
        </w:rPr>
      </w:pPr>
      <w:r>
        <w:rPr>
          <w:rFonts w:ascii="Arial" w:hAnsi="Arial" w:eastAsia="Arial" w:cs="Arial"/>
          <w:color w:val="auto"/>
          <w:sz w:val="21"/>
          <w:szCs w:val="21"/>
        </w:rPr>
        <w:t>Variables with p ≤0.25 in univariable models as well as BMI, energy intake and smoking status, which were considered important components of the model for physiologic reasons, were entered into a multivariable logistic regression model. (Model 1, Table 7.4). After adjusting for other covariates, all previously significant variables</w:t>
      </w:r>
    </w:p>
    <w:p>
      <w:pPr>
        <w:spacing w:after="0" w:line="200" w:lineRule="exact"/>
        <w:rPr>
          <w:color w:val="auto"/>
          <w:sz w:val="20"/>
          <w:szCs w:val="20"/>
        </w:rPr>
      </w:pPr>
    </w:p>
    <w:p>
      <w:pPr>
        <w:spacing w:after="0" w:line="200" w:lineRule="exact"/>
        <w:rPr>
          <w:color w:val="auto"/>
          <w:sz w:val="20"/>
          <w:szCs w:val="20"/>
        </w:rPr>
      </w:pPr>
    </w:p>
    <w:p>
      <w:pPr>
        <w:spacing w:after="0" w:line="22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43</w:t>
      </w:r>
    </w:p>
    <w:p>
      <w:pPr>
        <w:sectPr>
          <w:pgSz w:w="12240" w:h="15842"/>
          <w:pgMar w:top="1434" w:right="1222" w:bottom="134" w:left="1440" w:header="0" w:footer="0" w:gutter="0"/>
          <w:cols w:equalWidth="0" w:num="1">
            <w:col w:w="9580"/>
          </w:cols>
        </w:sectPr>
      </w:pPr>
    </w:p>
    <w:p>
      <w:pPr>
        <w:spacing w:after="0" w:line="6" w:lineRule="exact"/>
        <w:rPr>
          <w:color w:val="auto"/>
          <w:sz w:val="20"/>
          <w:szCs w:val="20"/>
        </w:rPr>
      </w:pPr>
      <w:bookmarkStart w:id="48" w:name="page54"/>
      <w:bookmarkEnd w:id="48"/>
    </w:p>
    <w:p>
      <w:pPr>
        <w:spacing w:after="0" w:line="501" w:lineRule="auto"/>
        <w:ind w:left="720" w:right="1080"/>
        <w:jc w:val="both"/>
        <w:rPr>
          <w:color w:val="auto"/>
          <w:sz w:val="20"/>
          <w:szCs w:val="20"/>
        </w:rPr>
      </w:pPr>
      <w:r>
        <w:rPr>
          <w:rFonts w:ascii="Arial" w:hAnsi="Arial" w:eastAsia="Arial" w:cs="Arial"/>
          <w:color w:val="auto"/>
          <w:sz w:val="21"/>
          <w:szCs w:val="21"/>
        </w:rPr>
        <w:t>except physical activity remained significantly associated with wheeze/asthma (p &lt;0.1; Model 2) and were entered into Model 3. Controlling for energy, BMI, smoking and age (Model 4) did not substantially alter OR estimates or the level of statistical significance.</w:t>
      </w:r>
    </w:p>
    <w:p>
      <w:pPr>
        <w:spacing w:after="0" w:line="233" w:lineRule="auto"/>
        <w:ind w:left="720"/>
        <w:rPr>
          <w:color w:val="auto"/>
          <w:sz w:val="20"/>
          <w:szCs w:val="20"/>
        </w:rPr>
      </w:pPr>
      <w:r>
        <w:rPr>
          <w:rFonts w:ascii="Arial" w:hAnsi="Arial" w:eastAsia="Arial" w:cs="Arial"/>
          <w:b/>
          <w:bCs/>
          <w:color w:val="auto"/>
          <w:sz w:val="21"/>
          <w:szCs w:val="21"/>
        </w:rPr>
        <w:t>Table 7.3 Univariable Logistic Regression by Wheeze/Asthma Symptoms</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448310</wp:posOffset>
                </wp:positionH>
                <wp:positionV relativeFrom="paragraph">
                  <wp:posOffset>6985</wp:posOffset>
                </wp:positionV>
                <wp:extent cx="6045200" cy="0"/>
                <wp:effectExtent l="0" t="0" r="0" b="0"/>
                <wp:wrapNone/>
                <wp:docPr id="13" name="Shape 13"/>
                <wp:cNvGraphicFramePr/>
                <a:graphic xmlns:a="http://schemas.openxmlformats.org/drawingml/2006/main">
                  <a:graphicData uri="http://schemas.microsoft.com/office/word/2010/wordprocessingShape">
                    <wps:wsp>
                      <wps:cNvCnPr/>
                      <wps:spPr>
                        <a:xfrm>
                          <a:off x="0" y="0"/>
                          <a:ext cx="6045200" cy="4763"/>
                        </a:xfrm>
                        <a:prstGeom prst="line">
                          <a:avLst/>
                        </a:prstGeom>
                        <a:solidFill>
                          <a:srgbClr val="FFFFFF"/>
                        </a:solidFill>
                        <a:ln w="6096">
                          <a:solidFill>
                            <a:srgbClr val="000000"/>
                          </a:solidFill>
                          <a:miter lim="800000"/>
                        </a:ln>
                      </wps:spPr>
                      <wps:bodyPr/>
                    </wps:wsp>
                  </a:graphicData>
                </a:graphic>
              </wp:anchor>
            </w:drawing>
          </mc:Choice>
          <mc:Fallback>
            <w:pict>
              <v:line id="Shape 13" o:spid="_x0000_s1026" o:spt="20" style="position:absolute;left:0pt;margin-left:35.3pt;margin-top:0.55pt;height:0pt;width:476pt;z-index:-251657216;mso-width-relative:page;mso-height-relative:page;" fillcolor="#FFFFFF" filled="t" stroked="t" coordsize="21600,21600" o:allowincell="f" o:gfxdata="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6p0s7U&#10;AAAABwEAAA8AAAAAAAAAAQAgAAAAIgAAAGRycy9kb3ducmV2LnhtbFBLAQIUABQAAAAIAIdO4kDJ&#10;B6eLsgEAAJsDAAAOAAAAAAAAAAEAIAAAACMBAABkcnMvZTJvRG9jLnhtbFBLBQYAAAAABgAGAFkB&#10;AABHBQAAAAA=&#10;">
                <v:fill on="t" focussize="0,0"/>
                <v:stroke weight="0.48pt" color="#000000" miterlimit="8" joinstyle="miter"/>
                <v:imagedata o:title=""/>
                <o:lock v:ext="edit" aspectratio="f"/>
              </v:line>
            </w:pict>
          </mc:Fallback>
        </mc:AlternateContent>
      </w:r>
    </w:p>
    <w:p>
      <w:pPr>
        <w:spacing w:after="0" w:line="25" w:lineRule="exact"/>
        <w:rPr>
          <w:color w:val="auto"/>
          <w:sz w:val="20"/>
          <w:szCs w:val="20"/>
        </w:rPr>
      </w:pPr>
    </w:p>
    <w:tbl>
      <w:tblPr>
        <w:tblStyle w:val="3"/>
        <w:tblW w:w="0" w:type="auto"/>
        <w:tblInd w:w="700" w:type="dxa"/>
        <w:tblLayout w:type="fixed"/>
        <w:tblCellMar>
          <w:top w:w="0" w:type="dxa"/>
          <w:left w:w="0" w:type="dxa"/>
          <w:bottom w:w="0" w:type="dxa"/>
          <w:right w:w="0" w:type="dxa"/>
        </w:tblCellMar>
      </w:tblPr>
      <w:tblGrid>
        <w:gridCol w:w="2220"/>
        <w:gridCol w:w="3420"/>
        <w:gridCol w:w="3880"/>
        <w:gridCol w:w="20"/>
        <w:gridCol w:w="340"/>
        <w:gridCol w:w="20"/>
      </w:tblGrid>
      <w:tr>
        <w:tblPrEx>
          <w:tblCellMar>
            <w:top w:w="0" w:type="dxa"/>
            <w:left w:w="0" w:type="dxa"/>
            <w:bottom w:w="0" w:type="dxa"/>
            <w:right w:w="0" w:type="dxa"/>
          </w:tblCellMar>
        </w:tblPrEx>
        <w:trPr>
          <w:trHeight w:val="230" w:hRule="atLeast"/>
        </w:trPr>
        <w:tc>
          <w:tcPr>
            <w:tcW w:w="2220" w:type="dxa"/>
            <w:vAlign w:val="bottom"/>
          </w:tcPr>
          <w:p>
            <w:pPr>
              <w:spacing w:after="0"/>
              <w:ind w:left="120"/>
              <w:rPr>
                <w:color w:val="auto"/>
                <w:sz w:val="20"/>
                <w:szCs w:val="20"/>
              </w:rPr>
            </w:pPr>
            <w:r>
              <w:rPr>
                <w:rFonts w:ascii="Arial" w:hAnsi="Arial" w:eastAsia="Arial" w:cs="Arial"/>
                <w:b/>
                <w:bCs/>
                <w:color w:val="auto"/>
                <w:sz w:val="20"/>
                <w:szCs w:val="20"/>
              </w:rPr>
              <w:t>Variable</w:t>
            </w:r>
          </w:p>
        </w:tc>
        <w:tc>
          <w:tcPr>
            <w:tcW w:w="3420" w:type="dxa"/>
            <w:vAlign w:val="bottom"/>
          </w:tcPr>
          <w:p>
            <w:pPr>
              <w:spacing w:after="0"/>
              <w:ind w:left="600"/>
              <w:rPr>
                <w:color w:val="auto"/>
                <w:sz w:val="20"/>
                <w:szCs w:val="20"/>
              </w:rPr>
            </w:pPr>
            <w:r>
              <w:rPr>
                <w:rFonts w:ascii="Arial" w:hAnsi="Arial" w:eastAsia="Arial" w:cs="Arial"/>
                <w:b/>
                <w:bCs/>
                <w:color w:val="auto"/>
                <w:sz w:val="20"/>
                <w:szCs w:val="20"/>
              </w:rPr>
              <w:t>Unadjusted OR (95%)</w:t>
            </w:r>
          </w:p>
        </w:tc>
        <w:tc>
          <w:tcPr>
            <w:tcW w:w="3900" w:type="dxa"/>
            <w:gridSpan w:val="2"/>
            <w:vAlign w:val="bottom"/>
          </w:tcPr>
          <w:p>
            <w:pPr>
              <w:spacing w:after="0"/>
              <w:ind w:right="220"/>
              <w:jc w:val="center"/>
              <w:rPr>
                <w:color w:val="auto"/>
                <w:sz w:val="20"/>
                <w:szCs w:val="20"/>
              </w:rPr>
            </w:pPr>
            <w:r>
              <w:rPr>
                <w:rFonts w:ascii="Arial" w:hAnsi="Arial" w:eastAsia="Arial" w:cs="Arial"/>
                <w:b/>
                <w:bCs/>
                <w:color w:val="auto"/>
                <w:sz w:val="20"/>
                <w:szCs w:val="20"/>
              </w:rPr>
              <w:t>p- value</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42" w:hRule="atLeast"/>
        </w:trPr>
        <w:tc>
          <w:tcPr>
            <w:tcW w:w="2220" w:type="dxa"/>
            <w:tcBorders>
              <w:bottom w:val="single" w:color="auto" w:sz="8" w:space="0"/>
            </w:tcBorders>
            <w:vAlign w:val="bottom"/>
          </w:tcPr>
          <w:p>
            <w:pPr>
              <w:spacing w:after="0"/>
              <w:rPr>
                <w:color w:val="auto"/>
                <w:sz w:val="3"/>
                <w:szCs w:val="3"/>
              </w:rPr>
            </w:pPr>
          </w:p>
        </w:tc>
        <w:tc>
          <w:tcPr>
            <w:tcW w:w="3420" w:type="dxa"/>
            <w:tcBorders>
              <w:bottom w:val="single" w:color="auto" w:sz="8" w:space="0"/>
            </w:tcBorders>
            <w:vAlign w:val="bottom"/>
          </w:tcPr>
          <w:p>
            <w:pPr>
              <w:spacing w:after="0"/>
              <w:rPr>
                <w:color w:val="auto"/>
                <w:sz w:val="3"/>
                <w:szCs w:val="3"/>
              </w:rPr>
            </w:pPr>
          </w:p>
        </w:tc>
        <w:tc>
          <w:tcPr>
            <w:tcW w:w="3900" w:type="dxa"/>
            <w:gridSpan w:val="2"/>
            <w:tcBorders>
              <w:bottom w:val="single" w:color="auto" w:sz="8" w:space="0"/>
            </w:tcBorders>
            <w:vAlign w:val="bottom"/>
          </w:tcPr>
          <w:p>
            <w:pPr>
              <w:spacing w:after="0"/>
              <w:rPr>
                <w:color w:val="auto"/>
                <w:sz w:val="3"/>
                <w:szCs w:val="3"/>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3"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Education</w:t>
            </w:r>
          </w:p>
        </w:tc>
        <w:tc>
          <w:tcPr>
            <w:tcW w:w="3420" w:type="dxa"/>
            <w:vAlign w:val="bottom"/>
          </w:tcPr>
          <w:p>
            <w:pPr>
              <w:spacing w:after="0"/>
              <w:rPr>
                <w:color w:val="auto"/>
                <w:sz w:val="24"/>
                <w:szCs w:val="24"/>
              </w:rPr>
            </w:pPr>
          </w:p>
        </w:tc>
        <w:tc>
          <w:tcPr>
            <w:tcW w:w="3900" w:type="dxa"/>
            <w:gridSpan w:val="2"/>
            <w:vAlign w:val="bottom"/>
          </w:tcPr>
          <w:p>
            <w:pPr>
              <w:spacing w:after="0"/>
              <w:ind w:right="2620"/>
              <w:jc w:val="right"/>
              <w:rPr>
                <w:color w:val="auto"/>
                <w:sz w:val="20"/>
                <w:szCs w:val="20"/>
              </w:rPr>
            </w:pPr>
            <w:r>
              <w:rPr>
                <w:rFonts w:ascii="Arial" w:hAnsi="Arial" w:eastAsia="Arial" w:cs="Arial"/>
                <w:b/>
                <w:bCs/>
                <w:color w:val="auto"/>
                <w:sz w:val="20"/>
                <w:szCs w:val="20"/>
              </w:rPr>
              <w:t>0.15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53" w:hRule="atLeast"/>
        </w:trPr>
        <w:tc>
          <w:tcPr>
            <w:tcW w:w="2220" w:type="dxa"/>
            <w:vAlign w:val="bottom"/>
          </w:tcPr>
          <w:p>
            <w:pPr>
              <w:spacing w:after="0"/>
              <w:ind w:left="340"/>
              <w:rPr>
                <w:color w:val="auto"/>
                <w:sz w:val="20"/>
                <w:szCs w:val="20"/>
              </w:rPr>
            </w:pPr>
            <w:r>
              <w:rPr>
                <w:rFonts w:ascii="Arial" w:hAnsi="Arial" w:eastAsia="Arial" w:cs="Arial"/>
                <w:color w:val="auto"/>
                <w:sz w:val="20"/>
                <w:szCs w:val="20"/>
              </w:rPr>
              <w:t>Some college</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1.75(0.82,3.76)</w:t>
            </w: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340"/>
              <w:rPr>
                <w:color w:val="auto"/>
                <w:sz w:val="20"/>
                <w:szCs w:val="20"/>
              </w:rPr>
            </w:pPr>
            <w:r>
              <w:rPr>
                <w:rFonts w:ascii="Arial" w:hAnsi="Arial" w:eastAsia="Arial" w:cs="Arial"/>
                <w:color w:val="auto"/>
                <w:sz w:val="20"/>
                <w:szCs w:val="20"/>
              </w:rPr>
              <w:t>College graduate</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72" w:hRule="atLeast"/>
        </w:trPr>
        <w:tc>
          <w:tcPr>
            <w:tcW w:w="2220" w:type="dxa"/>
            <w:vAlign w:val="bottom"/>
          </w:tcPr>
          <w:p>
            <w:pPr>
              <w:spacing w:after="0" w:line="288" w:lineRule="exact"/>
              <w:ind w:left="120"/>
              <w:rPr>
                <w:color w:val="auto"/>
                <w:sz w:val="20"/>
                <w:szCs w:val="20"/>
              </w:rPr>
            </w:pPr>
            <w:r>
              <w:rPr>
                <w:rFonts w:ascii="Arial" w:hAnsi="Arial" w:eastAsia="Arial" w:cs="Arial"/>
                <w:color w:val="auto"/>
                <w:sz w:val="20"/>
                <w:szCs w:val="20"/>
              </w:rPr>
              <w:t>BMI</w:t>
            </w:r>
            <w:r>
              <w:rPr>
                <w:rFonts w:ascii="MS Gothic" w:hAnsi="MS Gothic" w:eastAsia="MS Gothic" w:cs="MS Gothic"/>
                <w:color w:val="auto"/>
                <w:sz w:val="20"/>
                <w:szCs w:val="20"/>
              </w:rPr>
              <w:t>（</w:t>
            </w:r>
            <w:r>
              <w:rPr>
                <w:rFonts w:ascii="Arial" w:hAnsi="Arial" w:eastAsia="Arial" w:cs="Arial"/>
                <w:color w:val="auto"/>
                <w:sz w:val="20"/>
                <w:szCs w:val="20"/>
              </w:rPr>
              <w:t>kg/m</w:t>
            </w:r>
            <w:r>
              <w:rPr>
                <w:rFonts w:ascii="Arial" w:hAnsi="Arial" w:eastAsia="Arial" w:cs="Arial"/>
                <w:color w:val="auto"/>
                <w:sz w:val="25"/>
                <w:szCs w:val="25"/>
                <w:vertAlign w:val="superscript"/>
              </w:rPr>
              <w:t>2</w:t>
            </w:r>
            <w:r>
              <w:rPr>
                <w:rFonts w:ascii="MS Gothic" w:hAnsi="MS Gothic" w:eastAsia="MS Gothic" w:cs="MS Gothic"/>
                <w:color w:val="auto"/>
                <w:sz w:val="20"/>
                <w:szCs w:val="20"/>
              </w:rPr>
              <w:t>）</w:t>
            </w:r>
          </w:p>
        </w:tc>
        <w:tc>
          <w:tcPr>
            <w:tcW w:w="3420" w:type="dxa"/>
            <w:vAlign w:val="bottom"/>
          </w:tcPr>
          <w:p>
            <w:pPr>
              <w:spacing w:after="0"/>
              <w:rPr>
                <w:color w:val="auto"/>
                <w:sz w:val="24"/>
                <w:szCs w:val="24"/>
              </w:rPr>
            </w:pPr>
          </w:p>
        </w:tc>
        <w:tc>
          <w:tcPr>
            <w:tcW w:w="3900" w:type="dxa"/>
            <w:gridSpan w:val="2"/>
            <w:vAlign w:val="bottom"/>
          </w:tcPr>
          <w:p>
            <w:pPr>
              <w:spacing w:after="0"/>
              <w:ind w:right="240"/>
              <w:jc w:val="center"/>
              <w:rPr>
                <w:color w:val="auto"/>
                <w:sz w:val="20"/>
                <w:szCs w:val="20"/>
              </w:rPr>
            </w:pPr>
            <w:r>
              <w:rPr>
                <w:rFonts w:ascii="Arial" w:hAnsi="Arial" w:eastAsia="Arial" w:cs="Arial"/>
                <w:color w:val="auto"/>
                <w:w w:val="97"/>
                <w:sz w:val="20"/>
                <w:szCs w:val="20"/>
              </w:rPr>
              <w:t>0.44</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27"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≤25 (kg/m</w:t>
            </w:r>
            <w:r>
              <w:rPr>
                <w:rFonts w:ascii="Arial" w:hAnsi="Arial" w:eastAsia="Arial" w:cs="Arial"/>
                <w:color w:val="auto"/>
                <w:sz w:val="25"/>
                <w:szCs w:val="25"/>
                <w:vertAlign w:val="superscript"/>
              </w:rPr>
              <w:t>2</w:t>
            </w:r>
            <w:r>
              <w:rPr>
                <w:rFonts w:ascii="Arial" w:hAnsi="Arial" w:eastAsia="Arial" w:cs="Arial"/>
                <w:color w:val="auto"/>
                <w:sz w:val="20"/>
                <w:szCs w:val="20"/>
              </w:rPr>
              <w:t>)</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31"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&gt;25 (kg/m</w:t>
            </w:r>
            <w:r>
              <w:rPr>
                <w:rFonts w:ascii="Arial" w:hAnsi="Arial" w:eastAsia="Arial" w:cs="Arial"/>
                <w:color w:val="auto"/>
                <w:sz w:val="25"/>
                <w:szCs w:val="25"/>
                <w:vertAlign w:val="superscript"/>
              </w:rPr>
              <w:t>2</w:t>
            </w:r>
            <w:r>
              <w:rPr>
                <w:rFonts w:ascii="Arial" w:hAnsi="Arial" w:eastAsia="Arial" w:cs="Arial"/>
                <w:color w:val="auto"/>
                <w:sz w:val="20"/>
                <w:szCs w:val="20"/>
              </w:rPr>
              <w:t>)</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0.76(0.39,1.51)</w:t>
            </w: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60"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Body Fat (%)</w:t>
            </w:r>
          </w:p>
        </w:tc>
        <w:tc>
          <w:tcPr>
            <w:tcW w:w="3420" w:type="dxa"/>
            <w:vAlign w:val="bottom"/>
          </w:tcPr>
          <w:p>
            <w:pPr>
              <w:spacing w:after="0"/>
              <w:rPr>
                <w:color w:val="auto"/>
                <w:sz w:val="22"/>
                <w:szCs w:val="22"/>
              </w:rPr>
            </w:pPr>
          </w:p>
        </w:tc>
        <w:tc>
          <w:tcPr>
            <w:tcW w:w="3900" w:type="dxa"/>
            <w:gridSpan w:val="2"/>
            <w:vAlign w:val="bottom"/>
          </w:tcPr>
          <w:p>
            <w:pPr>
              <w:spacing w:after="0"/>
              <w:rPr>
                <w:color w:val="auto"/>
                <w:sz w:val="22"/>
                <w:szCs w:val="22"/>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≤32</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40"/>
              <w:jc w:val="center"/>
              <w:rPr>
                <w:color w:val="auto"/>
                <w:sz w:val="20"/>
                <w:szCs w:val="20"/>
              </w:rPr>
            </w:pPr>
            <w:r>
              <w:rPr>
                <w:rFonts w:ascii="Arial" w:hAnsi="Arial" w:eastAsia="Arial" w:cs="Arial"/>
                <w:color w:val="auto"/>
                <w:w w:val="97"/>
                <w:sz w:val="20"/>
                <w:szCs w:val="20"/>
              </w:rPr>
              <w:t>0.88</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&gt;32</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1.05(0.59,1.87)</w:t>
            </w: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16"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Physical Activity</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13"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(MET</w:t>
            </w:r>
            <w:r>
              <w:rPr>
                <w:rFonts w:ascii="Arial" w:hAnsi="Arial" w:eastAsia="Arial" w:cs="Arial"/>
                <w:color w:val="auto"/>
                <w:sz w:val="25"/>
                <w:szCs w:val="25"/>
                <w:vertAlign w:val="superscript"/>
              </w:rPr>
              <w:t>1</w:t>
            </w:r>
            <w:r>
              <w:rPr>
                <w:rFonts w:ascii="Arial" w:hAnsi="Arial" w:eastAsia="Arial" w:cs="Arial"/>
                <w:color w:val="auto"/>
                <w:sz w:val="20"/>
                <w:szCs w:val="20"/>
              </w:rPr>
              <w:t>/week)</w:t>
            </w:r>
            <w:r>
              <w:rPr>
                <w:rFonts w:ascii="Arial" w:hAnsi="Arial" w:eastAsia="Arial" w:cs="Arial"/>
                <w:color w:val="auto"/>
                <w:sz w:val="25"/>
                <w:szCs w:val="25"/>
                <w:vertAlign w:val="superscript"/>
              </w:rPr>
              <w:t>3</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6"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1</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20"/>
              <w:jc w:val="center"/>
              <w:rPr>
                <w:color w:val="auto"/>
                <w:sz w:val="20"/>
                <w:szCs w:val="20"/>
              </w:rPr>
            </w:pPr>
            <w:r>
              <w:rPr>
                <w:rFonts w:ascii="Arial" w:hAnsi="Arial" w:eastAsia="Arial" w:cs="Arial"/>
                <w:color w:val="auto"/>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2</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1.14(0.51,2.59)</w:t>
            </w:r>
          </w:p>
        </w:tc>
        <w:tc>
          <w:tcPr>
            <w:tcW w:w="3900" w:type="dxa"/>
            <w:gridSpan w:val="2"/>
            <w:vAlign w:val="bottom"/>
          </w:tcPr>
          <w:p>
            <w:pPr>
              <w:spacing w:after="0"/>
              <w:ind w:right="240"/>
              <w:jc w:val="center"/>
              <w:rPr>
                <w:color w:val="auto"/>
                <w:sz w:val="20"/>
                <w:szCs w:val="20"/>
              </w:rPr>
            </w:pPr>
            <w:r>
              <w:rPr>
                <w:rFonts w:ascii="Arial" w:hAnsi="Arial" w:eastAsia="Arial" w:cs="Arial"/>
                <w:color w:val="auto"/>
                <w:w w:val="97"/>
                <w:sz w:val="20"/>
                <w:szCs w:val="20"/>
              </w:rPr>
              <w:t>0.65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3</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1.55(0.68,3.52)</w:t>
            </w:r>
          </w:p>
        </w:tc>
        <w:tc>
          <w:tcPr>
            <w:tcW w:w="3900" w:type="dxa"/>
            <w:gridSpan w:val="2"/>
            <w:vAlign w:val="bottom"/>
          </w:tcPr>
          <w:p>
            <w:pPr>
              <w:spacing w:after="0"/>
              <w:ind w:right="1780"/>
              <w:jc w:val="right"/>
              <w:rPr>
                <w:color w:val="auto"/>
                <w:sz w:val="20"/>
                <w:szCs w:val="20"/>
              </w:rPr>
            </w:pPr>
            <w:r>
              <w:rPr>
                <w:rFonts w:ascii="Arial" w:hAnsi="Arial" w:eastAsia="Arial" w:cs="Arial"/>
                <w:b/>
                <w:bCs/>
                <w:color w:val="auto"/>
                <w:sz w:val="20"/>
                <w:szCs w:val="20"/>
              </w:rPr>
              <w:t>0.10</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4</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0.61(0.26,1.42)</w:t>
            </w:r>
          </w:p>
        </w:tc>
        <w:tc>
          <w:tcPr>
            <w:tcW w:w="3900" w:type="dxa"/>
            <w:gridSpan w:val="2"/>
            <w:vAlign w:val="bottom"/>
          </w:tcPr>
          <w:p>
            <w:pPr>
              <w:spacing w:after="0"/>
              <w:ind w:right="240"/>
              <w:jc w:val="center"/>
              <w:rPr>
                <w:color w:val="auto"/>
                <w:sz w:val="20"/>
                <w:szCs w:val="20"/>
              </w:rPr>
            </w:pPr>
            <w:r>
              <w:rPr>
                <w:rFonts w:ascii="Arial" w:hAnsi="Arial" w:eastAsia="Arial" w:cs="Arial"/>
                <w:b/>
                <w:bCs/>
                <w:color w:val="auto"/>
                <w:w w:val="97"/>
                <w:sz w:val="20"/>
                <w:szCs w:val="20"/>
              </w:rPr>
              <w:t>0.05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Serum 25(OH) D</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&lt;75 nmol/l</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0.49(0.27,0.89)</w:t>
            </w:r>
          </w:p>
        </w:tc>
        <w:tc>
          <w:tcPr>
            <w:tcW w:w="3900" w:type="dxa"/>
            <w:gridSpan w:val="2"/>
            <w:vAlign w:val="bottom"/>
          </w:tcPr>
          <w:p>
            <w:pPr>
              <w:spacing w:after="0"/>
              <w:ind w:right="240"/>
              <w:jc w:val="center"/>
              <w:rPr>
                <w:color w:val="auto"/>
                <w:sz w:val="20"/>
                <w:szCs w:val="20"/>
              </w:rPr>
            </w:pPr>
            <w:r>
              <w:rPr>
                <w:rFonts w:ascii="Arial" w:hAnsi="Arial" w:eastAsia="Arial" w:cs="Arial"/>
                <w:b/>
                <w:bCs/>
                <w:color w:val="auto"/>
                <w:w w:val="97"/>
                <w:sz w:val="20"/>
                <w:szCs w:val="20"/>
              </w:rPr>
              <w:t>0.02</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≥75 nmol/L</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20"/>
              <w:jc w:val="center"/>
              <w:rPr>
                <w:color w:val="auto"/>
                <w:sz w:val="20"/>
                <w:szCs w:val="20"/>
              </w:rPr>
            </w:pPr>
            <w:r>
              <w:rPr>
                <w:rFonts w:ascii="Arial" w:hAnsi="Arial" w:eastAsia="Arial" w:cs="Arial"/>
                <w:color w:val="auto"/>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46"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Dietary vitamin D</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43"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&lt;200IU</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2.14(1.13,4.07)</w:t>
            </w:r>
          </w:p>
        </w:tc>
        <w:tc>
          <w:tcPr>
            <w:tcW w:w="3900" w:type="dxa"/>
            <w:gridSpan w:val="2"/>
            <w:vAlign w:val="bottom"/>
          </w:tcPr>
          <w:p>
            <w:pPr>
              <w:spacing w:after="0"/>
              <w:ind w:right="240"/>
              <w:jc w:val="center"/>
              <w:rPr>
                <w:color w:val="auto"/>
                <w:sz w:val="20"/>
                <w:szCs w:val="20"/>
              </w:rPr>
            </w:pPr>
            <w:r>
              <w:rPr>
                <w:rFonts w:ascii="Arial" w:hAnsi="Arial" w:eastAsia="Arial" w:cs="Arial"/>
                <w:b/>
                <w:bCs/>
                <w:color w:val="auto"/>
                <w:w w:val="97"/>
                <w:sz w:val="20"/>
                <w:szCs w:val="20"/>
              </w:rPr>
              <w:t>0.02</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≥200IU</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20"/>
              <w:jc w:val="center"/>
              <w:rPr>
                <w:color w:val="auto"/>
                <w:sz w:val="20"/>
                <w:szCs w:val="20"/>
              </w:rPr>
            </w:pPr>
            <w:r>
              <w:rPr>
                <w:rFonts w:ascii="Arial" w:hAnsi="Arial" w:eastAsia="Arial" w:cs="Arial"/>
                <w:color w:val="auto"/>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hs CRP&gt;3 mg/L</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1.83(0.95,3.54)</w:t>
            </w:r>
          </w:p>
        </w:tc>
        <w:tc>
          <w:tcPr>
            <w:tcW w:w="3900" w:type="dxa"/>
            <w:gridSpan w:val="2"/>
            <w:vAlign w:val="bottom"/>
          </w:tcPr>
          <w:p>
            <w:pPr>
              <w:spacing w:after="0"/>
              <w:ind w:right="240"/>
              <w:jc w:val="center"/>
              <w:rPr>
                <w:color w:val="auto"/>
                <w:sz w:val="20"/>
                <w:szCs w:val="20"/>
              </w:rPr>
            </w:pPr>
            <w:r>
              <w:rPr>
                <w:rFonts w:ascii="Arial" w:hAnsi="Arial" w:eastAsia="Arial" w:cs="Arial"/>
                <w:b/>
                <w:bCs/>
                <w:color w:val="auto"/>
                <w:w w:val="97"/>
                <w:sz w:val="20"/>
                <w:szCs w:val="20"/>
              </w:rPr>
              <w:t>0.07</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Time outside</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 2 hours</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0.33(0.15,0.75)</w:t>
            </w:r>
          </w:p>
        </w:tc>
        <w:tc>
          <w:tcPr>
            <w:tcW w:w="3900" w:type="dxa"/>
            <w:gridSpan w:val="2"/>
            <w:vAlign w:val="bottom"/>
          </w:tcPr>
          <w:p>
            <w:pPr>
              <w:spacing w:after="0"/>
              <w:ind w:right="240"/>
              <w:jc w:val="center"/>
              <w:rPr>
                <w:color w:val="auto"/>
                <w:sz w:val="20"/>
                <w:szCs w:val="20"/>
              </w:rPr>
            </w:pPr>
            <w:r>
              <w:rPr>
                <w:rFonts w:ascii="Arial" w:hAnsi="Arial" w:eastAsia="Arial" w:cs="Arial"/>
                <w:b/>
                <w:bCs/>
                <w:color w:val="auto"/>
                <w:w w:val="99"/>
                <w:sz w:val="20"/>
                <w:szCs w:val="20"/>
              </w:rPr>
              <w:t>0.008</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1"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 3 hours</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20"/>
              <w:jc w:val="center"/>
              <w:rPr>
                <w:color w:val="auto"/>
                <w:sz w:val="20"/>
                <w:szCs w:val="20"/>
              </w:rPr>
            </w:pPr>
            <w:r>
              <w:rPr>
                <w:rFonts w:ascii="Arial" w:hAnsi="Arial" w:eastAsia="Arial" w:cs="Arial"/>
                <w:color w:val="auto"/>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19"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Current oral</w:t>
            </w:r>
          </w:p>
        </w:tc>
        <w:tc>
          <w:tcPr>
            <w:tcW w:w="3420" w:type="dxa"/>
            <w:vMerge w:val="restart"/>
            <w:vAlign w:val="bottom"/>
          </w:tcPr>
          <w:p>
            <w:pPr>
              <w:spacing w:after="0"/>
              <w:ind w:right="201"/>
              <w:jc w:val="center"/>
              <w:rPr>
                <w:color w:val="auto"/>
                <w:sz w:val="20"/>
                <w:szCs w:val="20"/>
              </w:rPr>
            </w:pPr>
            <w:r>
              <w:rPr>
                <w:rFonts w:ascii="Arial" w:hAnsi="Arial" w:eastAsia="Arial" w:cs="Arial"/>
                <w:color w:val="auto"/>
                <w:sz w:val="20"/>
                <w:szCs w:val="20"/>
              </w:rPr>
              <w:t>1.42(0.78,2.56)</w:t>
            </w:r>
          </w:p>
        </w:tc>
        <w:tc>
          <w:tcPr>
            <w:tcW w:w="3900" w:type="dxa"/>
            <w:gridSpan w:val="2"/>
            <w:vMerge w:val="restart"/>
            <w:vAlign w:val="bottom"/>
          </w:tcPr>
          <w:p>
            <w:pPr>
              <w:spacing w:after="0"/>
              <w:ind w:right="240"/>
              <w:jc w:val="center"/>
              <w:rPr>
                <w:color w:val="auto"/>
                <w:sz w:val="20"/>
                <w:szCs w:val="20"/>
              </w:rPr>
            </w:pPr>
            <w:r>
              <w:rPr>
                <w:rFonts w:ascii="Arial" w:hAnsi="Arial" w:eastAsia="Arial" w:cs="Arial"/>
                <w:color w:val="auto"/>
                <w:w w:val="97"/>
                <w:sz w:val="20"/>
                <w:szCs w:val="20"/>
              </w:rPr>
              <w:t>0.24</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220" w:type="dxa"/>
            <w:vMerge w:val="restart"/>
            <w:vAlign w:val="bottom"/>
          </w:tcPr>
          <w:p>
            <w:pPr>
              <w:spacing w:after="0"/>
              <w:ind w:left="120"/>
              <w:rPr>
                <w:color w:val="auto"/>
                <w:sz w:val="20"/>
                <w:szCs w:val="20"/>
              </w:rPr>
            </w:pPr>
            <w:r>
              <w:rPr>
                <w:rFonts w:ascii="Arial" w:hAnsi="Arial" w:eastAsia="Arial" w:cs="Arial"/>
                <w:color w:val="auto"/>
                <w:sz w:val="20"/>
                <w:szCs w:val="20"/>
              </w:rPr>
              <w:t>contraceptives use</w:t>
            </w:r>
          </w:p>
        </w:tc>
        <w:tc>
          <w:tcPr>
            <w:tcW w:w="3420" w:type="dxa"/>
            <w:vMerge w:val="continue"/>
            <w:vAlign w:val="bottom"/>
          </w:tcPr>
          <w:p>
            <w:pPr>
              <w:spacing w:after="0"/>
              <w:rPr>
                <w:color w:val="auto"/>
                <w:sz w:val="10"/>
                <w:szCs w:val="10"/>
              </w:rPr>
            </w:pPr>
          </w:p>
        </w:tc>
        <w:tc>
          <w:tcPr>
            <w:tcW w:w="3900" w:type="dxa"/>
            <w:gridSpan w:val="2"/>
            <w:vMerge w:val="continue"/>
            <w:vAlign w:val="bottom"/>
          </w:tcPr>
          <w:p>
            <w:pPr>
              <w:spacing w:after="0"/>
              <w:rPr>
                <w:color w:val="auto"/>
                <w:sz w:val="10"/>
                <w:szCs w:val="10"/>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220" w:type="dxa"/>
            <w:vMerge w:val="continue"/>
            <w:vAlign w:val="bottom"/>
          </w:tcPr>
          <w:p>
            <w:pPr>
              <w:spacing w:after="0"/>
              <w:rPr>
                <w:color w:val="auto"/>
                <w:sz w:val="10"/>
                <w:szCs w:val="10"/>
              </w:rPr>
            </w:pPr>
          </w:p>
        </w:tc>
        <w:tc>
          <w:tcPr>
            <w:tcW w:w="3420" w:type="dxa"/>
            <w:vAlign w:val="bottom"/>
          </w:tcPr>
          <w:p>
            <w:pPr>
              <w:spacing w:after="0"/>
              <w:rPr>
                <w:color w:val="auto"/>
                <w:sz w:val="10"/>
                <w:szCs w:val="10"/>
              </w:rPr>
            </w:pPr>
          </w:p>
        </w:tc>
        <w:tc>
          <w:tcPr>
            <w:tcW w:w="3900" w:type="dxa"/>
            <w:gridSpan w:val="2"/>
            <w:vAlign w:val="bottom"/>
          </w:tcPr>
          <w:p>
            <w:pPr>
              <w:spacing w:after="0"/>
              <w:rPr>
                <w:color w:val="auto"/>
                <w:sz w:val="10"/>
                <w:szCs w:val="10"/>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74" w:hRule="atLeast"/>
        </w:trPr>
        <w:tc>
          <w:tcPr>
            <w:tcW w:w="2220" w:type="dxa"/>
            <w:vAlign w:val="bottom"/>
          </w:tcPr>
          <w:p>
            <w:pPr>
              <w:spacing w:after="0"/>
              <w:ind w:left="120"/>
              <w:rPr>
                <w:color w:val="auto"/>
                <w:sz w:val="20"/>
                <w:szCs w:val="20"/>
              </w:rPr>
            </w:pPr>
            <w:r>
              <w:rPr>
                <w:rFonts w:ascii="Arial" w:hAnsi="Arial" w:eastAsia="Arial" w:cs="Arial"/>
                <w:color w:val="auto"/>
                <w:sz w:val="20"/>
                <w:szCs w:val="20"/>
              </w:rPr>
              <w:t>Energy Intake</w:t>
            </w:r>
            <w:r>
              <w:rPr>
                <w:rFonts w:ascii="Arial" w:hAnsi="Arial" w:eastAsia="Arial" w:cs="Arial"/>
                <w:color w:val="auto"/>
                <w:sz w:val="25"/>
                <w:szCs w:val="25"/>
                <w:vertAlign w:val="superscript"/>
              </w:rPr>
              <w:t>3</w:t>
            </w:r>
          </w:p>
        </w:tc>
        <w:tc>
          <w:tcPr>
            <w:tcW w:w="3420" w:type="dxa"/>
            <w:vAlign w:val="bottom"/>
          </w:tcPr>
          <w:p>
            <w:pPr>
              <w:spacing w:after="0"/>
              <w:rPr>
                <w:color w:val="auto"/>
                <w:sz w:val="24"/>
                <w:szCs w:val="24"/>
              </w:rPr>
            </w:pPr>
          </w:p>
        </w:tc>
        <w:tc>
          <w:tcPr>
            <w:tcW w:w="3900" w:type="dxa"/>
            <w:gridSpan w:val="2"/>
            <w:vAlign w:val="bottom"/>
          </w:tcPr>
          <w:p>
            <w:pPr>
              <w:spacing w:after="0"/>
              <w:rPr>
                <w:color w:val="auto"/>
                <w:sz w:val="24"/>
                <w:szCs w:val="24"/>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45"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1</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w:t>
            </w:r>
          </w:p>
        </w:tc>
        <w:tc>
          <w:tcPr>
            <w:tcW w:w="3900" w:type="dxa"/>
            <w:gridSpan w:val="2"/>
            <w:vAlign w:val="bottom"/>
          </w:tcPr>
          <w:p>
            <w:pPr>
              <w:spacing w:after="0"/>
              <w:ind w:right="220"/>
              <w:jc w:val="center"/>
              <w:rPr>
                <w:color w:val="auto"/>
                <w:sz w:val="20"/>
                <w:szCs w:val="20"/>
              </w:rPr>
            </w:pPr>
            <w:r>
              <w:rPr>
                <w:rFonts w:ascii="Arial" w:hAnsi="Arial" w:eastAsia="Arial" w:cs="Arial"/>
                <w:color w:val="auto"/>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2</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1.38(0.60,3.16)</w:t>
            </w:r>
          </w:p>
        </w:tc>
        <w:tc>
          <w:tcPr>
            <w:tcW w:w="3900" w:type="dxa"/>
            <w:gridSpan w:val="2"/>
            <w:vAlign w:val="bottom"/>
          </w:tcPr>
          <w:p>
            <w:pPr>
              <w:spacing w:after="0"/>
              <w:ind w:right="240"/>
              <w:jc w:val="center"/>
              <w:rPr>
                <w:color w:val="auto"/>
                <w:sz w:val="20"/>
                <w:szCs w:val="20"/>
              </w:rPr>
            </w:pPr>
            <w:r>
              <w:rPr>
                <w:rFonts w:ascii="Arial" w:hAnsi="Arial" w:eastAsia="Arial" w:cs="Arial"/>
                <w:color w:val="auto"/>
                <w:w w:val="97"/>
                <w:sz w:val="20"/>
                <w:szCs w:val="20"/>
              </w:rPr>
              <w:t>0.91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2220" w:type="dxa"/>
            <w:vAlign w:val="bottom"/>
          </w:tcPr>
          <w:p>
            <w:pPr>
              <w:spacing w:after="0"/>
              <w:ind w:left="400"/>
              <w:rPr>
                <w:color w:val="auto"/>
                <w:sz w:val="20"/>
                <w:szCs w:val="20"/>
              </w:rPr>
            </w:pPr>
            <w:r>
              <w:rPr>
                <w:rFonts w:ascii="Arial" w:hAnsi="Arial" w:eastAsia="Arial" w:cs="Arial"/>
                <w:color w:val="auto"/>
                <w:sz w:val="20"/>
                <w:szCs w:val="20"/>
              </w:rPr>
              <w:t>Quartile 3</w:t>
            </w:r>
          </w:p>
        </w:tc>
        <w:tc>
          <w:tcPr>
            <w:tcW w:w="3420" w:type="dxa"/>
            <w:vAlign w:val="bottom"/>
          </w:tcPr>
          <w:p>
            <w:pPr>
              <w:spacing w:after="0"/>
              <w:ind w:right="201"/>
              <w:jc w:val="center"/>
              <w:rPr>
                <w:color w:val="auto"/>
                <w:sz w:val="20"/>
                <w:szCs w:val="20"/>
              </w:rPr>
            </w:pPr>
            <w:r>
              <w:rPr>
                <w:rFonts w:ascii="Arial" w:hAnsi="Arial" w:eastAsia="Arial" w:cs="Arial"/>
                <w:color w:val="auto"/>
                <w:sz w:val="20"/>
                <w:szCs w:val="20"/>
              </w:rPr>
              <w:t>1.20(0.52,2.78)</w:t>
            </w:r>
          </w:p>
        </w:tc>
        <w:tc>
          <w:tcPr>
            <w:tcW w:w="3900" w:type="dxa"/>
            <w:gridSpan w:val="2"/>
            <w:vAlign w:val="bottom"/>
          </w:tcPr>
          <w:p>
            <w:pPr>
              <w:spacing w:after="0"/>
              <w:ind w:right="240"/>
              <w:jc w:val="center"/>
              <w:rPr>
                <w:color w:val="auto"/>
                <w:sz w:val="20"/>
                <w:szCs w:val="20"/>
              </w:rPr>
            </w:pPr>
            <w:r>
              <w:rPr>
                <w:rFonts w:ascii="Arial" w:hAnsi="Arial" w:eastAsia="Arial" w:cs="Arial"/>
                <w:color w:val="auto"/>
                <w:w w:val="97"/>
                <w:sz w:val="20"/>
                <w:szCs w:val="20"/>
              </w:rPr>
              <w:t>0.67</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69" w:hRule="atLeast"/>
        </w:trPr>
        <w:tc>
          <w:tcPr>
            <w:tcW w:w="2220" w:type="dxa"/>
            <w:tcBorders>
              <w:bottom w:val="single" w:color="auto" w:sz="8" w:space="0"/>
            </w:tcBorders>
            <w:vAlign w:val="bottom"/>
          </w:tcPr>
          <w:p>
            <w:pPr>
              <w:spacing w:after="0"/>
              <w:ind w:left="400"/>
              <w:rPr>
                <w:color w:val="auto"/>
                <w:sz w:val="20"/>
                <w:szCs w:val="20"/>
              </w:rPr>
            </w:pPr>
            <w:r>
              <w:rPr>
                <w:rFonts w:ascii="Arial" w:hAnsi="Arial" w:eastAsia="Arial" w:cs="Arial"/>
                <w:color w:val="auto"/>
                <w:sz w:val="20"/>
                <w:szCs w:val="20"/>
              </w:rPr>
              <w:t>Quartile 4</w:t>
            </w:r>
          </w:p>
        </w:tc>
        <w:tc>
          <w:tcPr>
            <w:tcW w:w="3420" w:type="dxa"/>
            <w:tcBorders>
              <w:bottom w:val="single" w:color="auto" w:sz="8" w:space="0"/>
            </w:tcBorders>
            <w:vAlign w:val="bottom"/>
          </w:tcPr>
          <w:p>
            <w:pPr>
              <w:spacing w:after="0"/>
              <w:ind w:right="201"/>
              <w:jc w:val="center"/>
              <w:rPr>
                <w:color w:val="auto"/>
                <w:sz w:val="20"/>
                <w:szCs w:val="20"/>
              </w:rPr>
            </w:pPr>
            <w:r>
              <w:rPr>
                <w:rFonts w:ascii="Arial" w:hAnsi="Arial" w:eastAsia="Arial" w:cs="Arial"/>
                <w:color w:val="auto"/>
                <w:sz w:val="20"/>
                <w:szCs w:val="20"/>
              </w:rPr>
              <w:t>1.94(0.85,4.44)</w:t>
            </w:r>
          </w:p>
        </w:tc>
        <w:tc>
          <w:tcPr>
            <w:tcW w:w="3900" w:type="dxa"/>
            <w:gridSpan w:val="2"/>
            <w:tcBorders>
              <w:bottom w:val="single" w:color="auto" w:sz="8" w:space="0"/>
            </w:tcBorders>
            <w:vAlign w:val="bottom"/>
          </w:tcPr>
          <w:p>
            <w:pPr>
              <w:spacing w:after="0"/>
              <w:ind w:right="240"/>
              <w:jc w:val="center"/>
              <w:rPr>
                <w:color w:val="auto"/>
                <w:sz w:val="20"/>
                <w:szCs w:val="20"/>
              </w:rPr>
            </w:pPr>
            <w:r>
              <w:rPr>
                <w:rFonts w:ascii="Arial" w:hAnsi="Arial" w:eastAsia="Arial" w:cs="Arial"/>
                <w:b/>
                <w:bCs/>
                <w:color w:val="auto"/>
                <w:w w:val="97"/>
                <w:sz w:val="20"/>
                <w:szCs w:val="20"/>
              </w:rPr>
              <w:t>0.15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216" w:hRule="atLeast"/>
        </w:trPr>
        <w:tc>
          <w:tcPr>
            <w:tcW w:w="2220" w:type="dxa"/>
            <w:vAlign w:val="bottom"/>
          </w:tcPr>
          <w:p>
            <w:pPr>
              <w:spacing w:after="0"/>
              <w:ind w:left="20"/>
              <w:rPr>
                <w:color w:val="auto"/>
                <w:sz w:val="20"/>
                <w:szCs w:val="20"/>
              </w:rPr>
            </w:pPr>
            <w:r>
              <w:rPr>
                <w:rFonts w:ascii="Arial" w:hAnsi="Arial" w:eastAsia="Arial" w:cs="Arial"/>
                <w:color w:val="auto"/>
                <w:sz w:val="16"/>
                <w:szCs w:val="16"/>
              </w:rPr>
              <w:t>1. MET: Metabolic Equivalent,</w:t>
            </w:r>
          </w:p>
        </w:tc>
        <w:tc>
          <w:tcPr>
            <w:tcW w:w="7300" w:type="dxa"/>
            <w:gridSpan w:val="2"/>
            <w:vAlign w:val="bottom"/>
          </w:tcPr>
          <w:p>
            <w:pPr>
              <w:spacing w:after="0"/>
              <w:ind w:right="1000"/>
              <w:jc w:val="right"/>
              <w:rPr>
                <w:color w:val="auto"/>
                <w:sz w:val="20"/>
                <w:szCs w:val="20"/>
              </w:rPr>
            </w:pPr>
            <w:r>
              <w:rPr>
                <w:rFonts w:ascii="Arial" w:hAnsi="Arial" w:eastAsia="Arial" w:cs="Arial"/>
                <w:color w:val="auto"/>
                <w:sz w:val="16"/>
                <w:szCs w:val="16"/>
              </w:rPr>
              <w:t>a unit used to estimate the amount of oxygen used by the body during physical activity.</w:t>
            </w:r>
          </w:p>
        </w:tc>
        <w:tc>
          <w:tcPr>
            <w:tcW w:w="0" w:type="dxa"/>
            <w:gridSpan w:val="2"/>
            <w:vAlign w:val="bottom"/>
          </w:tcPr>
          <w:p>
            <w:pPr>
              <w:spacing w:after="0"/>
              <w:rPr>
                <w:color w:val="auto"/>
                <w:sz w:val="1"/>
                <w:szCs w:val="1"/>
              </w:rPr>
            </w:pPr>
          </w:p>
        </w:tc>
      </w:tr>
    </w:tbl>
    <w:p>
      <w:pPr>
        <w:numPr>
          <w:ilvl w:val="0"/>
          <w:numId w:val="6"/>
        </w:numPr>
        <w:tabs>
          <w:tab w:val="left" w:pos="900"/>
        </w:tabs>
        <w:spacing w:after="0" w:line="237" w:lineRule="auto"/>
        <w:ind w:left="900" w:hanging="180"/>
        <w:rPr>
          <w:rFonts w:ascii="Arial" w:hAnsi="Arial" w:eastAsia="Arial" w:cs="Arial"/>
          <w:color w:val="auto"/>
          <w:sz w:val="16"/>
          <w:szCs w:val="16"/>
        </w:rPr>
      </w:pPr>
      <w:r>
        <w:rPr>
          <w:rFonts w:ascii="Arial" w:hAnsi="Arial" w:eastAsia="Arial" w:cs="Arial"/>
          <w:color w:val="auto"/>
          <w:sz w:val="16"/>
          <w:szCs w:val="16"/>
        </w:rPr>
        <w:t>RDA: Reference Daily Allowance .The RDA for vitamin D =200IU, vitamin C=60mg, vitamin E=15mg</w:t>
      </w:r>
    </w:p>
    <w:p>
      <w:pPr>
        <w:spacing w:after="0" w:line="9" w:lineRule="exact"/>
        <w:rPr>
          <w:rFonts w:ascii="Arial" w:hAnsi="Arial" w:eastAsia="Arial" w:cs="Arial"/>
          <w:color w:val="auto"/>
          <w:sz w:val="16"/>
          <w:szCs w:val="16"/>
        </w:rPr>
      </w:pPr>
    </w:p>
    <w:p>
      <w:pPr>
        <w:numPr>
          <w:ilvl w:val="0"/>
          <w:numId w:val="6"/>
        </w:numPr>
        <w:tabs>
          <w:tab w:val="left" w:pos="900"/>
        </w:tabs>
        <w:spacing w:after="0" w:line="235" w:lineRule="auto"/>
        <w:ind w:left="720" w:right="1020"/>
        <w:rPr>
          <w:rFonts w:ascii="Arial" w:hAnsi="Arial" w:eastAsia="Arial" w:cs="Arial"/>
          <w:color w:val="auto"/>
          <w:sz w:val="16"/>
          <w:szCs w:val="16"/>
        </w:rPr>
      </w:pPr>
      <w:r>
        <w:rPr>
          <w:rFonts w:ascii="Arial" w:hAnsi="Arial" w:eastAsia="Arial" w:cs="Arial"/>
          <w:color w:val="auto"/>
          <w:sz w:val="16"/>
          <w:szCs w:val="16"/>
        </w:rPr>
        <w:t>Quartile 1: cut off lowest 25% of data, Quartile 2: cut data set in half, Quartile 3: cut at 75% of data, Quartile 4: cut off highest 25% of data.</w:t>
      </w:r>
    </w:p>
    <w:p>
      <w:pPr>
        <w:spacing w:after="0" w:line="200" w:lineRule="exact"/>
        <w:rPr>
          <w:color w:val="auto"/>
          <w:sz w:val="20"/>
          <w:szCs w:val="20"/>
        </w:rPr>
      </w:pPr>
    </w:p>
    <w:p>
      <w:pPr>
        <w:spacing w:after="0" w:line="200" w:lineRule="exact"/>
        <w:rPr>
          <w:color w:val="auto"/>
          <w:sz w:val="20"/>
          <w:szCs w:val="20"/>
        </w:rPr>
      </w:pPr>
    </w:p>
    <w:p>
      <w:pPr>
        <w:spacing w:after="0" w:line="347" w:lineRule="exact"/>
        <w:rPr>
          <w:color w:val="auto"/>
          <w:sz w:val="20"/>
          <w:szCs w:val="20"/>
        </w:rPr>
      </w:pPr>
    </w:p>
    <w:p>
      <w:pPr>
        <w:spacing w:after="0"/>
        <w:ind w:right="140"/>
        <w:jc w:val="center"/>
        <w:rPr>
          <w:color w:val="auto"/>
          <w:sz w:val="20"/>
          <w:szCs w:val="20"/>
        </w:rPr>
      </w:pPr>
      <w:r>
        <w:rPr>
          <w:rFonts w:ascii="Calibri" w:hAnsi="Calibri" w:eastAsia="Calibri" w:cs="Calibri"/>
          <w:color w:val="auto"/>
          <w:sz w:val="24"/>
          <w:szCs w:val="24"/>
        </w:rPr>
        <w:t>44</w:t>
      </w:r>
    </w:p>
    <w:p>
      <w:pPr>
        <w:sectPr>
          <w:pgSz w:w="12240" w:h="15842"/>
          <w:pgMar w:top="1440" w:right="582" w:bottom="134" w:left="1440" w:header="0" w:footer="0" w:gutter="0"/>
          <w:cols w:equalWidth="0" w:num="1">
            <w:col w:w="10220"/>
          </w:cols>
        </w:sectPr>
      </w:pPr>
    </w:p>
    <w:p>
      <w:pPr>
        <w:spacing w:after="0"/>
        <w:ind w:left="720"/>
        <w:rPr>
          <w:color w:val="auto"/>
          <w:sz w:val="20"/>
          <w:szCs w:val="20"/>
        </w:rPr>
      </w:pPr>
      <w:bookmarkStart w:id="49" w:name="page55"/>
      <w:bookmarkEnd w:id="49"/>
      <w:r>
        <w:rPr>
          <w:rFonts w:ascii="Arial" w:hAnsi="Arial" w:eastAsia="Arial" w:cs="Arial"/>
          <w:b/>
          <w:bCs/>
          <w:color w:val="auto"/>
          <w:sz w:val="22"/>
          <w:szCs w:val="22"/>
        </w:rPr>
        <w:t>Table 7.4 Multivariable Logistic Regression of wheeze/asthma symptom by selected covariates</w:t>
      </w:r>
    </w:p>
    <w:tbl>
      <w:tblPr>
        <w:tblStyle w:val="3"/>
        <w:tblW w:w="0" w:type="auto"/>
        <w:tblInd w:w="700" w:type="dxa"/>
        <w:tblLayout w:type="fixed"/>
        <w:tblCellMar>
          <w:top w:w="0" w:type="dxa"/>
          <w:left w:w="0" w:type="dxa"/>
          <w:bottom w:w="0" w:type="dxa"/>
          <w:right w:w="0" w:type="dxa"/>
        </w:tblCellMar>
      </w:tblPr>
      <w:tblGrid>
        <w:gridCol w:w="1620"/>
        <w:gridCol w:w="1680"/>
        <w:gridCol w:w="860"/>
        <w:gridCol w:w="1300"/>
        <w:gridCol w:w="920"/>
        <w:gridCol w:w="1420"/>
        <w:gridCol w:w="1000"/>
        <w:gridCol w:w="1300"/>
        <w:gridCol w:w="800"/>
        <w:gridCol w:w="1280"/>
        <w:gridCol w:w="820"/>
        <w:gridCol w:w="360"/>
      </w:tblGrid>
      <w:tr>
        <w:tblPrEx>
          <w:tblCellMar>
            <w:top w:w="0" w:type="dxa"/>
            <w:left w:w="0" w:type="dxa"/>
            <w:bottom w:w="0" w:type="dxa"/>
            <w:right w:w="0" w:type="dxa"/>
          </w:tblCellMar>
        </w:tblPrEx>
        <w:trPr>
          <w:trHeight w:val="296" w:hRule="atLeast"/>
        </w:trPr>
        <w:tc>
          <w:tcPr>
            <w:tcW w:w="1620" w:type="dxa"/>
            <w:tcBorders>
              <w:top w:val="single" w:color="auto" w:sz="8" w:space="0"/>
            </w:tcBorders>
            <w:vAlign w:val="bottom"/>
          </w:tcPr>
          <w:p>
            <w:pPr>
              <w:spacing w:after="0"/>
              <w:rPr>
                <w:color w:val="auto"/>
                <w:sz w:val="24"/>
                <w:szCs w:val="24"/>
              </w:rPr>
            </w:pPr>
          </w:p>
        </w:tc>
        <w:tc>
          <w:tcPr>
            <w:tcW w:w="2540" w:type="dxa"/>
            <w:gridSpan w:val="2"/>
            <w:tcBorders>
              <w:top w:val="single" w:color="auto" w:sz="8" w:space="0"/>
            </w:tcBorders>
            <w:vAlign w:val="bottom"/>
          </w:tcPr>
          <w:p>
            <w:pPr>
              <w:spacing w:after="0"/>
              <w:ind w:left="800"/>
              <w:rPr>
                <w:color w:val="auto"/>
                <w:sz w:val="20"/>
                <w:szCs w:val="20"/>
              </w:rPr>
            </w:pPr>
            <w:r>
              <w:rPr>
                <w:rFonts w:ascii="Arial" w:hAnsi="Arial" w:eastAsia="Arial" w:cs="Arial"/>
                <w:b/>
                <w:bCs/>
                <w:color w:val="auto"/>
                <w:sz w:val="20"/>
                <w:szCs w:val="20"/>
              </w:rPr>
              <w:t>Univariable</w:t>
            </w:r>
            <w:r>
              <w:rPr>
                <w:rFonts w:ascii="Arial" w:hAnsi="Arial" w:eastAsia="Arial" w:cs="Arial"/>
                <w:b/>
                <w:bCs/>
                <w:color w:val="auto"/>
                <w:sz w:val="25"/>
                <w:szCs w:val="25"/>
                <w:vertAlign w:val="superscript"/>
              </w:rPr>
              <w:t>1</w:t>
            </w:r>
          </w:p>
        </w:tc>
        <w:tc>
          <w:tcPr>
            <w:tcW w:w="1300" w:type="dxa"/>
            <w:tcBorders>
              <w:top w:val="single" w:color="auto" w:sz="8" w:space="0"/>
              <w:bottom w:val="single" w:color="auto" w:sz="8" w:space="0"/>
            </w:tcBorders>
            <w:vAlign w:val="bottom"/>
          </w:tcPr>
          <w:p>
            <w:pPr>
              <w:spacing w:after="0"/>
              <w:rPr>
                <w:color w:val="auto"/>
                <w:sz w:val="24"/>
                <w:szCs w:val="24"/>
              </w:rPr>
            </w:pPr>
          </w:p>
        </w:tc>
        <w:tc>
          <w:tcPr>
            <w:tcW w:w="920" w:type="dxa"/>
            <w:tcBorders>
              <w:top w:val="single" w:color="auto" w:sz="8" w:space="0"/>
              <w:bottom w:val="single" w:color="auto" w:sz="8" w:space="0"/>
            </w:tcBorders>
            <w:vAlign w:val="bottom"/>
          </w:tcPr>
          <w:p>
            <w:pPr>
              <w:spacing w:after="0"/>
              <w:rPr>
                <w:color w:val="auto"/>
                <w:sz w:val="24"/>
                <w:szCs w:val="24"/>
              </w:rPr>
            </w:pPr>
          </w:p>
        </w:tc>
        <w:tc>
          <w:tcPr>
            <w:tcW w:w="1420" w:type="dxa"/>
            <w:tcBorders>
              <w:top w:val="single" w:color="auto" w:sz="8" w:space="0"/>
              <w:bottom w:val="single" w:color="auto" w:sz="8" w:space="0"/>
            </w:tcBorders>
            <w:vAlign w:val="bottom"/>
          </w:tcPr>
          <w:p>
            <w:pPr>
              <w:spacing w:after="0"/>
              <w:rPr>
                <w:color w:val="auto"/>
                <w:sz w:val="24"/>
                <w:szCs w:val="24"/>
              </w:rPr>
            </w:pPr>
          </w:p>
        </w:tc>
        <w:tc>
          <w:tcPr>
            <w:tcW w:w="2300" w:type="dxa"/>
            <w:gridSpan w:val="2"/>
            <w:tcBorders>
              <w:top w:val="single" w:color="auto" w:sz="8" w:space="0"/>
              <w:bottom w:val="single" w:color="auto" w:sz="8" w:space="0"/>
            </w:tcBorders>
            <w:vAlign w:val="bottom"/>
          </w:tcPr>
          <w:p>
            <w:pPr>
              <w:spacing w:after="0"/>
              <w:ind w:left="200"/>
              <w:rPr>
                <w:color w:val="auto"/>
                <w:sz w:val="20"/>
                <w:szCs w:val="20"/>
              </w:rPr>
            </w:pPr>
            <w:r>
              <w:rPr>
                <w:rFonts w:ascii="Arial" w:hAnsi="Arial" w:eastAsia="Arial" w:cs="Arial"/>
                <w:b/>
                <w:bCs/>
                <w:color w:val="auto"/>
                <w:sz w:val="20"/>
                <w:szCs w:val="20"/>
              </w:rPr>
              <w:t>Multivariable</w:t>
            </w:r>
          </w:p>
        </w:tc>
        <w:tc>
          <w:tcPr>
            <w:tcW w:w="800" w:type="dxa"/>
            <w:tcBorders>
              <w:top w:val="single" w:color="auto" w:sz="8" w:space="0"/>
              <w:bottom w:val="single" w:color="auto" w:sz="8" w:space="0"/>
            </w:tcBorders>
            <w:vAlign w:val="bottom"/>
          </w:tcPr>
          <w:p>
            <w:pPr>
              <w:spacing w:after="0"/>
              <w:rPr>
                <w:color w:val="auto"/>
                <w:sz w:val="24"/>
                <w:szCs w:val="24"/>
              </w:rPr>
            </w:pPr>
          </w:p>
        </w:tc>
        <w:tc>
          <w:tcPr>
            <w:tcW w:w="1280" w:type="dxa"/>
            <w:tcBorders>
              <w:top w:val="single" w:color="auto" w:sz="8" w:space="0"/>
              <w:bottom w:val="single" w:color="auto" w:sz="8" w:space="0"/>
            </w:tcBorders>
            <w:vAlign w:val="bottom"/>
          </w:tcPr>
          <w:p>
            <w:pPr>
              <w:spacing w:after="0"/>
              <w:rPr>
                <w:color w:val="auto"/>
                <w:sz w:val="24"/>
                <w:szCs w:val="24"/>
              </w:rPr>
            </w:pPr>
          </w:p>
        </w:tc>
        <w:tc>
          <w:tcPr>
            <w:tcW w:w="820" w:type="dxa"/>
            <w:tcBorders>
              <w:top w:val="single" w:color="auto" w:sz="8" w:space="0"/>
              <w:bottom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46" w:hRule="atLeast"/>
        </w:trPr>
        <w:tc>
          <w:tcPr>
            <w:tcW w:w="1620" w:type="dxa"/>
            <w:vAlign w:val="bottom"/>
          </w:tcPr>
          <w:p>
            <w:pPr>
              <w:spacing w:after="0"/>
              <w:rPr>
                <w:color w:val="auto"/>
                <w:sz w:val="21"/>
                <w:szCs w:val="21"/>
              </w:rPr>
            </w:pPr>
          </w:p>
        </w:tc>
        <w:tc>
          <w:tcPr>
            <w:tcW w:w="1680" w:type="dxa"/>
            <w:vAlign w:val="bottom"/>
          </w:tcPr>
          <w:p>
            <w:pPr>
              <w:spacing w:after="0"/>
              <w:rPr>
                <w:color w:val="auto"/>
                <w:sz w:val="21"/>
                <w:szCs w:val="21"/>
              </w:rPr>
            </w:pPr>
          </w:p>
        </w:tc>
        <w:tc>
          <w:tcPr>
            <w:tcW w:w="860" w:type="dxa"/>
            <w:vAlign w:val="bottom"/>
          </w:tcPr>
          <w:p>
            <w:pPr>
              <w:spacing w:after="0"/>
              <w:rPr>
                <w:color w:val="auto"/>
                <w:sz w:val="21"/>
                <w:szCs w:val="21"/>
              </w:rPr>
            </w:pPr>
          </w:p>
        </w:tc>
        <w:tc>
          <w:tcPr>
            <w:tcW w:w="1300" w:type="dxa"/>
            <w:vAlign w:val="bottom"/>
          </w:tcPr>
          <w:p>
            <w:pPr>
              <w:spacing w:after="0"/>
              <w:jc w:val="center"/>
              <w:rPr>
                <w:color w:val="auto"/>
                <w:sz w:val="20"/>
                <w:szCs w:val="20"/>
              </w:rPr>
            </w:pPr>
            <w:r>
              <w:rPr>
                <w:rFonts w:ascii="Arial" w:hAnsi="Arial" w:eastAsia="Arial" w:cs="Arial"/>
                <w:b/>
                <w:bCs/>
                <w:color w:val="auto"/>
                <w:w w:val="99"/>
                <w:sz w:val="20"/>
                <w:szCs w:val="20"/>
              </w:rPr>
              <w:t>Model 1</w:t>
            </w:r>
          </w:p>
        </w:tc>
        <w:tc>
          <w:tcPr>
            <w:tcW w:w="920" w:type="dxa"/>
            <w:vAlign w:val="bottom"/>
          </w:tcPr>
          <w:p>
            <w:pPr>
              <w:spacing w:after="0"/>
              <w:rPr>
                <w:color w:val="auto"/>
                <w:sz w:val="21"/>
                <w:szCs w:val="21"/>
              </w:rPr>
            </w:pPr>
          </w:p>
        </w:tc>
        <w:tc>
          <w:tcPr>
            <w:tcW w:w="1420" w:type="dxa"/>
            <w:vAlign w:val="bottom"/>
          </w:tcPr>
          <w:p>
            <w:pPr>
              <w:spacing w:after="0"/>
              <w:ind w:left="320"/>
              <w:rPr>
                <w:color w:val="auto"/>
                <w:sz w:val="20"/>
                <w:szCs w:val="20"/>
              </w:rPr>
            </w:pPr>
            <w:r>
              <w:rPr>
                <w:rFonts w:ascii="Arial" w:hAnsi="Arial" w:eastAsia="Arial" w:cs="Arial"/>
                <w:b/>
                <w:bCs/>
                <w:color w:val="auto"/>
                <w:sz w:val="20"/>
                <w:szCs w:val="20"/>
              </w:rPr>
              <w:t>Model 2</w:t>
            </w:r>
          </w:p>
        </w:tc>
        <w:tc>
          <w:tcPr>
            <w:tcW w:w="1000" w:type="dxa"/>
            <w:vAlign w:val="bottom"/>
          </w:tcPr>
          <w:p>
            <w:pPr>
              <w:spacing w:after="0"/>
              <w:rPr>
                <w:color w:val="auto"/>
                <w:sz w:val="21"/>
                <w:szCs w:val="21"/>
              </w:rPr>
            </w:pPr>
          </w:p>
        </w:tc>
        <w:tc>
          <w:tcPr>
            <w:tcW w:w="1300" w:type="dxa"/>
            <w:vAlign w:val="bottom"/>
          </w:tcPr>
          <w:p>
            <w:pPr>
              <w:spacing w:after="0"/>
              <w:ind w:left="200"/>
              <w:rPr>
                <w:color w:val="auto"/>
                <w:sz w:val="20"/>
                <w:szCs w:val="20"/>
              </w:rPr>
            </w:pPr>
            <w:r>
              <w:rPr>
                <w:rFonts w:ascii="Arial" w:hAnsi="Arial" w:eastAsia="Arial" w:cs="Arial"/>
                <w:b/>
                <w:bCs/>
                <w:color w:val="auto"/>
                <w:sz w:val="20"/>
                <w:szCs w:val="20"/>
              </w:rPr>
              <w:t>Model 3</w:t>
            </w:r>
          </w:p>
        </w:tc>
        <w:tc>
          <w:tcPr>
            <w:tcW w:w="800" w:type="dxa"/>
            <w:vAlign w:val="bottom"/>
          </w:tcPr>
          <w:p>
            <w:pPr>
              <w:spacing w:after="0"/>
              <w:rPr>
                <w:color w:val="auto"/>
                <w:sz w:val="21"/>
                <w:szCs w:val="21"/>
              </w:rPr>
            </w:pPr>
          </w:p>
        </w:tc>
        <w:tc>
          <w:tcPr>
            <w:tcW w:w="1280" w:type="dxa"/>
            <w:vAlign w:val="bottom"/>
          </w:tcPr>
          <w:p>
            <w:pPr>
              <w:spacing w:after="0"/>
              <w:ind w:left="220"/>
              <w:rPr>
                <w:color w:val="auto"/>
                <w:sz w:val="20"/>
                <w:szCs w:val="20"/>
              </w:rPr>
            </w:pPr>
            <w:r>
              <w:rPr>
                <w:rFonts w:ascii="Arial" w:hAnsi="Arial" w:eastAsia="Arial" w:cs="Arial"/>
                <w:b/>
                <w:bCs/>
                <w:color w:val="auto"/>
                <w:sz w:val="20"/>
                <w:szCs w:val="20"/>
              </w:rPr>
              <w:t>Model 4</w:t>
            </w:r>
          </w:p>
        </w:tc>
        <w:tc>
          <w:tcPr>
            <w:tcW w:w="820" w:type="dxa"/>
            <w:vAlign w:val="bottom"/>
          </w:tcPr>
          <w:p>
            <w:pPr>
              <w:spacing w:after="0"/>
              <w:rPr>
                <w:color w:val="auto"/>
                <w:sz w:val="21"/>
                <w:szCs w:val="21"/>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98" w:hRule="atLeast"/>
        </w:trPr>
        <w:tc>
          <w:tcPr>
            <w:tcW w:w="1620" w:type="dxa"/>
            <w:vMerge w:val="restart"/>
            <w:vAlign w:val="bottom"/>
          </w:tcPr>
          <w:p>
            <w:pPr>
              <w:spacing w:after="0"/>
              <w:ind w:left="120"/>
              <w:rPr>
                <w:color w:val="auto"/>
                <w:sz w:val="20"/>
                <w:szCs w:val="20"/>
              </w:rPr>
            </w:pPr>
            <w:r>
              <w:rPr>
                <w:rFonts w:ascii="Arial" w:hAnsi="Arial" w:eastAsia="Arial" w:cs="Arial"/>
                <w:b/>
                <w:bCs/>
                <w:color w:val="auto"/>
                <w:sz w:val="20"/>
                <w:szCs w:val="20"/>
              </w:rPr>
              <w:t>Variable</w:t>
            </w:r>
          </w:p>
        </w:tc>
        <w:tc>
          <w:tcPr>
            <w:tcW w:w="1680" w:type="dxa"/>
            <w:vAlign w:val="bottom"/>
          </w:tcPr>
          <w:p>
            <w:pPr>
              <w:spacing w:after="0"/>
              <w:ind w:left="780"/>
              <w:rPr>
                <w:color w:val="auto"/>
                <w:sz w:val="20"/>
                <w:szCs w:val="20"/>
              </w:rPr>
            </w:pPr>
            <w:r>
              <w:rPr>
                <w:rFonts w:ascii="Arial" w:hAnsi="Arial" w:eastAsia="Arial" w:cs="Arial"/>
                <w:b/>
                <w:bCs/>
                <w:color w:val="auto"/>
                <w:sz w:val="20"/>
                <w:szCs w:val="20"/>
              </w:rPr>
              <w:t>OR</w:t>
            </w:r>
          </w:p>
        </w:tc>
        <w:tc>
          <w:tcPr>
            <w:tcW w:w="860" w:type="dxa"/>
            <w:vAlign w:val="bottom"/>
          </w:tcPr>
          <w:p>
            <w:pPr>
              <w:spacing w:after="0"/>
              <w:jc w:val="center"/>
              <w:rPr>
                <w:color w:val="auto"/>
                <w:sz w:val="20"/>
                <w:szCs w:val="20"/>
              </w:rPr>
            </w:pPr>
            <w:r>
              <w:rPr>
                <w:rFonts w:ascii="Arial" w:hAnsi="Arial" w:eastAsia="Arial" w:cs="Arial"/>
                <w:b/>
                <w:bCs/>
                <w:color w:val="auto"/>
                <w:sz w:val="20"/>
                <w:szCs w:val="20"/>
              </w:rPr>
              <w:t>p-</w:t>
            </w:r>
          </w:p>
        </w:tc>
        <w:tc>
          <w:tcPr>
            <w:tcW w:w="1300" w:type="dxa"/>
            <w:vAlign w:val="bottom"/>
          </w:tcPr>
          <w:p>
            <w:pPr>
              <w:spacing w:after="0"/>
              <w:jc w:val="center"/>
              <w:rPr>
                <w:color w:val="auto"/>
                <w:sz w:val="20"/>
                <w:szCs w:val="20"/>
              </w:rPr>
            </w:pPr>
            <w:r>
              <w:rPr>
                <w:rFonts w:ascii="Arial" w:hAnsi="Arial" w:eastAsia="Arial" w:cs="Arial"/>
                <w:b/>
                <w:bCs/>
                <w:color w:val="auto"/>
                <w:w w:val="99"/>
                <w:sz w:val="20"/>
                <w:szCs w:val="20"/>
              </w:rPr>
              <w:t>OR</w:t>
            </w:r>
          </w:p>
        </w:tc>
        <w:tc>
          <w:tcPr>
            <w:tcW w:w="920" w:type="dxa"/>
            <w:vAlign w:val="bottom"/>
          </w:tcPr>
          <w:p>
            <w:pPr>
              <w:spacing w:after="0"/>
              <w:jc w:val="center"/>
              <w:rPr>
                <w:color w:val="auto"/>
                <w:sz w:val="20"/>
                <w:szCs w:val="20"/>
              </w:rPr>
            </w:pPr>
            <w:r>
              <w:rPr>
                <w:rFonts w:ascii="Arial" w:hAnsi="Arial" w:eastAsia="Arial" w:cs="Arial"/>
                <w:b/>
                <w:bCs/>
                <w:color w:val="auto"/>
                <w:sz w:val="20"/>
                <w:szCs w:val="20"/>
              </w:rPr>
              <w:t>p-</w:t>
            </w:r>
          </w:p>
        </w:tc>
        <w:tc>
          <w:tcPr>
            <w:tcW w:w="1420" w:type="dxa"/>
            <w:vAlign w:val="bottom"/>
          </w:tcPr>
          <w:p>
            <w:pPr>
              <w:spacing w:after="0"/>
              <w:jc w:val="center"/>
              <w:rPr>
                <w:color w:val="auto"/>
                <w:sz w:val="20"/>
                <w:szCs w:val="20"/>
              </w:rPr>
            </w:pPr>
            <w:r>
              <w:rPr>
                <w:rFonts w:ascii="Arial" w:hAnsi="Arial" w:eastAsia="Arial" w:cs="Arial"/>
                <w:b/>
                <w:bCs/>
                <w:color w:val="auto"/>
                <w:w w:val="99"/>
                <w:sz w:val="20"/>
                <w:szCs w:val="20"/>
              </w:rPr>
              <w:t>OR</w:t>
            </w:r>
          </w:p>
        </w:tc>
        <w:tc>
          <w:tcPr>
            <w:tcW w:w="1000" w:type="dxa"/>
            <w:vAlign w:val="bottom"/>
          </w:tcPr>
          <w:p>
            <w:pPr>
              <w:spacing w:after="0"/>
              <w:ind w:left="40"/>
              <w:jc w:val="center"/>
              <w:rPr>
                <w:color w:val="auto"/>
                <w:sz w:val="20"/>
                <w:szCs w:val="20"/>
              </w:rPr>
            </w:pPr>
            <w:r>
              <w:rPr>
                <w:rFonts w:ascii="Arial" w:hAnsi="Arial" w:eastAsia="Arial" w:cs="Arial"/>
                <w:b/>
                <w:bCs/>
                <w:color w:val="auto"/>
                <w:w w:val="95"/>
                <w:sz w:val="20"/>
                <w:szCs w:val="20"/>
              </w:rPr>
              <w:t>p-</w:t>
            </w:r>
          </w:p>
        </w:tc>
        <w:tc>
          <w:tcPr>
            <w:tcW w:w="1300" w:type="dxa"/>
            <w:vAlign w:val="bottom"/>
          </w:tcPr>
          <w:p>
            <w:pPr>
              <w:spacing w:after="0"/>
              <w:ind w:left="520"/>
              <w:rPr>
                <w:color w:val="auto"/>
                <w:sz w:val="20"/>
                <w:szCs w:val="20"/>
              </w:rPr>
            </w:pPr>
            <w:r>
              <w:rPr>
                <w:rFonts w:ascii="Arial" w:hAnsi="Arial" w:eastAsia="Arial" w:cs="Arial"/>
                <w:b/>
                <w:bCs/>
                <w:color w:val="auto"/>
                <w:sz w:val="20"/>
                <w:szCs w:val="20"/>
              </w:rPr>
              <w:t>OR</w:t>
            </w:r>
          </w:p>
        </w:tc>
        <w:tc>
          <w:tcPr>
            <w:tcW w:w="800" w:type="dxa"/>
            <w:vAlign w:val="bottom"/>
          </w:tcPr>
          <w:p>
            <w:pPr>
              <w:spacing w:after="0"/>
              <w:jc w:val="center"/>
              <w:rPr>
                <w:color w:val="auto"/>
                <w:sz w:val="20"/>
                <w:szCs w:val="20"/>
              </w:rPr>
            </w:pPr>
            <w:r>
              <w:rPr>
                <w:rFonts w:ascii="Arial" w:hAnsi="Arial" w:eastAsia="Arial" w:cs="Arial"/>
                <w:b/>
                <w:bCs/>
                <w:color w:val="auto"/>
                <w:w w:val="95"/>
                <w:sz w:val="20"/>
                <w:szCs w:val="20"/>
              </w:rPr>
              <w:t>p-</w:t>
            </w:r>
          </w:p>
        </w:tc>
        <w:tc>
          <w:tcPr>
            <w:tcW w:w="1280" w:type="dxa"/>
            <w:vAlign w:val="bottom"/>
          </w:tcPr>
          <w:p>
            <w:pPr>
              <w:spacing w:after="0"/>
              <w:jc w:val="center"/>
              <w:rPr>
                <w:color w:val="auto"/>
                <w:sz w:val="20"/>
                <w:szCs w:val="20"/>
              </w:rPr>
            </w:pPr>
            <w:r>
              <w:rPr>
                <w:rFonts w:ascii="Arial" w:hAnsi="Arial" w:eastAsia="Arial" w:cs="Arial"/>
                <w:b/>
                <w:bCs/>
                <w:color w:val="auto"/>
                <w:w w:val="99"/>
                <w:sz w:val="20"/>
                <w:szCs w:val="20"/>
              </w:rPr>
              <w:t>OR</w:t>
            </w:r>
          </w:p>
        </w:tc>
        <w:tc>
          <w:tcPr>
            <w:tcW w:w="820" w:type="dxa"/>
            <w:vAlign w:val="bottom"/>
          </w:tcPr>
          <w:p>
            <w:pPr>
              <w:spacing w:after="0"/>
              <w:jc w:val="center"/>
              <w:rPr>
                <w:color w:val="auto"/>
                <w:sz w:val="20"/>
                <w:szCs w:val="20"/>
              </w:rPr>
            </w:pPr>
            <w:r>
              <w:rPr>
                <w:rFonts w:ascii="Arial" w:hAnsi="Arial" w:eastAsia="Arial" w:cs="Arial"/>
                <w:b/>
                <w:bCs/>
                <w:color w:val="auto"/>
                <w:w w:val="95"/>
                <w:sz w:val="20"/>
                <w:szCs w:val="20"/>
              </w:rPr>
              <w:t>p-</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620" w:type="dxa"/>
            <w:vMerge w:val="continue"/>
            <w:vAlign w:val="bottom"/>
          </w:tcPr>
          <w:p>
            <w:pPr>
              <w:spacing w:after="0"/>
              <w:rPr>
                <w:color w:val="auto"/>
                <w:sz w:val="10"/>
                <w:szCs w:val="10"/>
              </w:rPr>
            </w:pPr>
          </w:p>
        </w:tc>
        <w:tc>
          <w:tcPr>
            <w:tcW w:w="1680" w:type="dxa"/>
            <w:vMerge w:val="restart"/>
            <w:vAlign w:val="bottom"/>
          </w:tcPr>
          <w:p>
            <w:pPr>
              <w:spacing w:after="0" w:line="228" w:lineRule="exact"/>
              <w:ind w:left="80"/>
              <w:jc w:val="center"/>
              <w:rPr>
                <w:color w:val="auto"/>
                <w:sz w:val="20"/>
                <w:szCs w:val="20"/>
              </w:rPr>
            </w:pPr>
            <w:r>
              <w:rPr>
                <w:rFonts w:ascii="Arial" w:hAnsi="Arial" w:eastAsia="Arial" w:cs="Arial"/>
                <w:b/>
                <w:bCs/>
                <w:color w:val="auto"/>
                <w:sz w:val="20"/>
                <w:szCs w:val="20"/>
              </w:rPr>
              <w:t>(95%CI)</w:t>
            </w:r>
          </w:p>
        </w:tc>
        <w:tc>
          <w:tcPr>
            <w:tcW w:w="860" w:type="dxa"/>
            <w:vMerge w:val="restart"/>
            <w:vAlign w:val="bottom"/>
          </w:tcPr>
          <w:p>
            <w:pPr>
              <w:spacing w:after="0" w:line="228" w:lineRule="exact"/>
              <w:jc w:val="center"/>
              <w:rPr>
                <w:color w:val="auto"/>
                <w:sz w:val="20"/>
                <w:szCs w:val="20"/>
              </w:rPr>
            </w:pPr>
            <w:r>
              <w:rPr>
                <w:rFonts w:ascii="Arial" w:hAnsi="Arial" w:eastAsia="Arial" w:cs="Arial"/>
                <w:b/>
                <w:bCs/>
                <w:color w:val="auto"/>
                <w:sz w:val="20"/>
                <w:szCs w:val="20"/>
              </w:rPr>
              <w:t>value</w:t>
            </w:r>
          </w:p>
        </w:tc>
        <w:tc>
          <w:tcPr>
            <w:tcW w:w="1300" w:type="dxa"/>
            <w:vMerge w:val="restart"/>
            <w:vAlign w:val="bottom"/>
          </w:tcPr>
          <w:p>
            <w:pPr>
              <w:spacing w:after="0" w:line="228" w:lineRule="exact"/>
              <w:jc w:val="center"/>
              <w:rPr>
                <w:color w:val="auto"/>
                <w:sz w:val="20"/>
                <w:szCs w:val="20"/>
              </w:rPr>
            </w:pPr>
            <w:r>
              <w:rPr>
                <w:rFonts w:ascii="Arial" w:hAnsi="Arial" w:eastAsia="Arial" w:cs="Arial"/>
                <w:b/>
                <w:bCs/>
                <w:color w:val="auto"/>
                <w:sz w:val="20"/>
                <w:szCs w:val="20"/>
              </w:rPr>
              <w:t>(95%CI)</w:t>
            </w:r>
          </w:p>
        </w:tc>
        <w:tc>
          <w:tcPr>
            <w:tcW w:w="920" w:type="dxa"/>
            <w:vMerge w:val="restart"/>
            <w:vAlign w:val="bottom"/>
          </w:tcPr>
          <w:p>
            <w:pPr>
              <w:spacing w:after="0" w:line="228" w:lineRule="exact"/>
              <w:jc w:val="center"/>
              <w:rPr>
                <w:color w:val="auto"/>
                <w:sz w:val="20"/>
                <w:szCs w:val="20"/>
              </w:rPr>
            </w:pPr>
            <w:r>
              <w:rPr>
                <w:rFonts w:ascii="Arial" w:hAnsi="Arial" w:eastAsia="Arial" w:cs="Arial"/>
                <w:b/>
                <w:bCs/>
                <w:color w:val="auto"/>
                <w:sz w:val="20"/>
                <w:szCs w:val="20"/>
              </w:rPr>
              <w:t>value</w:t>
            </w:r>
          </w:p>
        </w:tc>
        <w:tc>
          <w:tcPr>
            <w:tcW w:w="1420" w:type="dxa"/>
            <w:vMerge w:val="restart"/>
            <w:vAlign w:val="bottom"/>
          </w:tcPr>
          <w:p>
            <w:pPr>
              <w:spacing w:after="0" w:line="228" w:lineRule="exact"/>
              <w:jc w:val="center"/>
              <w:rPr>
                <w:color w:val="auto"/>
                <w:sz w:val="20"/>
                <w:szCs w:val="20"/>
              </w:rPr>
            </w:pPr>
            <w:r>
              <w:rPr>
                <w:rFonts w:ascii="Arial" w:hAnsi="Arial" w:eastAsia="Arial" w:cs="Arial"/>
                <w:b/>
                <w:bCs/>
                <w:color w:val="auto"/>
                <w:w w:val="98"/>
                <w:sz w:val="20"/>
                <w:szCs w:val="20"/>
              </w:rPr>
              <w:t>(95%CI)</w:t>
            </w:r>
          </w:p>
        </w:tc>
        <w:tc>
          <w:tcPr>
            <w:tcW w:w="1000" w:type="dxa"/>
            <w:vMerge w:val="restart"/>
            <w:vAlign w:val="bottom"/>
          </w:tcPr>
          <w:p>
            <w:pPr>
              <w:spacing w:after="0" w:line="228" w:lineRule="exact"/>
              <w:ind w:left="40"/>
              <w:jc w:val="center"/>
              <w:rPr>
                <w:color w:val="auto"/>
                <w:sz w:val="20"/>
                <w:szCs w:val="20"/>
              </w:rPr>
            </w:pPr>
            <w:r>
              <w:rPr>
                <w:rFonts w:ascii="Arial" w:hAnsi="Arial" w:eastAsia="Arial" w:cs="Arial"/>
                <w:b/>
                <w:bCs/>
                <w:color w:val="auto"/>
                <w:w w:val="97"/>
                <w:sz w:val="20"/>
                <w:szCs w:val="20"/>
              </w:rPr>
              <w:t>value</w:t>
            </w:r>
          </w:p>
        </w:tc>
        <w:tc>
          <w:tcPr>
            <w:tcW w:w="1300" w:type="dxa"/>
            <w:vMerge w:val="restart"/>
            <w:vAlign w:val="bottom"/>
          </w:tcPr>
          <w:p>
            <w:pPr>
              <w:spacing w:after="0" w:line="228" w:lineRule="exact"/>
              <w:jc w:val="center"/>
              <w:rPr>
                <w:color w:val="auto"/>
                <w:sz w:val="20"/>
                <w:szCs w:val="20"/>
              </w:rPr>
            </w:pPr>
            <w:r>
              <w:rPr>
                <w:rFonts w:ascii="Arial" w:hAnsi="Arial" w:eastAsia="Arial" w:cs="Arial"/>
                <w:b/>
                <w:bCs/>
                <w:color w:val="auto"/>
                <w:w w:val="98"/>
                <w:sz w:val="20"/>
                <w:szCs w:val="20"/>
              </w:rPr>
              <w:t>( 95%CI)</w:t>
            </w:r>
          </w:p>
        </w:tc>
        <w:tc>
          <w:tcPr>
            <w:tcW w:w="800" w:type="dxa"/>
            <w:vMerge w:val="restart"/>
            <w:vAlign w:val="bottom"/>
          </w:tcPr>
          <w:p>
            <w:pPr>
              <w:spacing w:after="0" w:line="228" w:lineRule="exact"/>
              <w:jc w:val="center"/>
              <w:rPr>
                <w:color w:val="auto"/>
                <w:sz w:val="20"/>
                <w:szCs w:val="20"/>
              </w:rPr>
            </w:pPr>
            <w:r>
              <w:rPr>
                <w:rFonts w:ascii="Arial" w:hAnsi="Arial" w:eastAsia="Arial" w:cs="Arial"/>
                <w:b/>
                <w:bCs/>
                <w:color w:val="auto"/>
                <w:sz w:val="20"/>
                <w:szCs w:val="20"/>
              </w:rPr>
              <w:t>value</w:t>
            </w:r>
          </w:p>
        </w:tc>
        <w:tc>
          <w:tcPr>
            <w:tcW w:w="1280" w:type="dxa"/>
            <w:vMerge w:val="restart"/>
            <w:vAlign w:val="bottom"/>
          </w:tcPr>
          <w:p>
            <w:pPr>
              <w:spacing w:after="0" w:line="228" w:lineRule="exact"/>
              <w:jc w:val="center"/>
              <w:rPr>
                <w:color w:val="auto"/>
                <w:sz w:val="20"/>
                <w:szCs w:val="20"/>
              </w:rPr>
            </w:pPr>
            <w:r>
              <w:rPr>
                <w:rFonts w:ascii="Arial" w:hAnsi="Arial" w:eastAsia="Arial" w:cs="Arial"/>
                <w:b/>
                <w:bCs/>
                <w:color w:val="auto"/>
                <w:sz w:val="20"/>
                <w:szCs w:val="20"/>
              </w:rPr>
              <w:t>(95%CI)</w:t>
            </w:r>
          </w:p>
        </w:tc>
        <w:tc>
          <w:tcPr>
            <w:tcW w:w="820" w:type="dxa"/>
            <w:vMerge w:val="restart"/>
            <w:vAlign w:val="bottom"/>
          </w:tcPr>
          <w:p>
            <w:pPr>
              <w:spacing w:after="0" w:line="228" w:lineRule="exact"/>
              <w:jc w:val="center"/>
              <w:rPr>
                <w:color w:val="auto"/>
                <w:sz w:val="20"/>
                <w:szCs w:val="20"/>
              </w:rPr>
            </w:pPr>
            <w:r>
              <w:rPr>
                <w:rFonts w:ascii="Arial" w:hAnsi="Arial" w:eastAsia="Arial" w:cs="Arial"/>
                <w:b/>
                <w:bCs/>
                <w:color w:val="auto"/>
                <w:w w:val="97"/>
                <w:sz w:val="20"/>
                <w:szCs w:val="20"/>
              </w:rPr>
              <w:t>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1620" w:type="dxa"/>
            <w:vAlign w:val="bottom"/>
          </w:tcPr>
          <w:p>
            <w:pPr>
              <w:spacing w:after="0"/>
              <w:rPr>
                <w:color w:val="auto"/>
                <w:sz w:val="9"/>
                <w:szCs w:val="9"/>
              </w:rPr>
            </w:pPr>
          </w:p>
        </w:tc>
        <w:tc>
          <w:tcPr>
            <w:tcW w:w="1680" w:type="dxa"/>
            <w:vMerge w:val="continue"/>
            <w:vAlign w:val="bottom"/>
          </w:tcPr>
          <w:p>
            <w:pPr>
              <w:spacing w:after="0"/>
              <w:rPr>
                <w:color w:val="auto"/>
                <w:sz w:val="9"/>
                <w:szCs w:val="9"/>
              </w:rPr>
            </w:pPr>
          </w:p>
        </w:tc>
        <w:tc>
          <w:tcPr>
            <w:tcW w:w="860" w:type="dxa"/>
            <w:vMerge w:val="continue"/>
            <w:vAlign w:val="bottom"/>
          </w:tcPr>
          <w:p>
            <w:pPr>
              <w:spacing w:after="0"/>
              <w:rPr>
                <w:color w:val="auto"/>
                <w:sz w:val="9"/>
                <w:szCs w:val="9"/>
              </w:rPr>
            </w:pPr>
          </w:p>
        </w:tc>
        <w:tc>
          <w:tcPr>
            <w:tcW w:w="1300" w:type="dxa"/>
            <w:vMerge w:val="continue"/>
            <w:vAlign w:val="bottom"/>
          </w:tcPr>
          <w:p>
            <w:pPr>
              <w:spacing w:after="0"/>
              <w:rPr>
                <w:color w:val="auto"/>
                <w:sz w:val="9"/>
                <w:szCs w:val="9"/>
              </w:rPr>
            </w:pPr>
          </w:p>
        </w:tc>
        <w:tc>
          <w:tcPr>
            <w:tcW w:w="920" w:type="dxa"/>
            <w:vMerge w:val="continue"/>
            <w:vAlign w:val="bottom"/>
          </w:tcPr>
          <w:p>
            <w:pPr>
              <w:spacing w:after="0"/>
              <w:rPr>
                <w:color w:val="auto"/>
                <w:sz w:val="9"/>
                <w:szCs w:val="9"/>
              </w:rPr>
            </w:pPr>
          </w:p>
        </w:tc>
        <w:tc>
          <w:tcPr>
            <w:tcW w:w="1420" w:type="dxa"/>
            <w:vMerge w:val="continue"/>
            <w:vAlign w:val="bottom"/>
          </w:tcPr>
          <w:p>
            <w:pPr>
              <w:spacing w:after="0"/>
              <w:rPr>
                <w:color w:val="auto"/>
                <w:sz w:val="9"/>
                <w:szCs w:val="9"/>
              </w:rPr>
            </w:pPr>
          </w:p>
        </w:tc>
        <w:tc>
          <w:tcPr>
            <w:tcW w:w="1000" w:type="dxa"/>
            <w:vMerge w:val="continue"/>
            <w:vAlign w:val="bottom"/>
          </w:tcPr>
          <w:p>
            <w:pPr>
              <w:spacing w:after="0"/>
              <w:rPr>
                <w:color w:val="auto"/>
                <w:sz w:val="9"/>
                <w:szCs w:val="9"/>
              </w:rPr>
            </w:pPr>
          </w:p>
        </w:tc>
        <w:tc>
          <w:tcPr>
            <w:tcW w:w="1300" w:type="dxa"/>
            <w:vMerge w:val="continue"/>
            <w:vAlign w:val="bottom"/>
          </w:tcPr>
          <w:p>
            <w:pPr>
              <w:spacing w:after="0"/>
              <w:rPr>
                <w:color w:val="auto"/>
                <w:sz w:val="9"/>
                <w:szCs w:val="9"/>
              </w:rPr>
            </w:pPr>
          </w:p>
        </w:tc>
        <w:tc>
          <w:tcPr>
            <w:tcW w:w="800" w:type="dxa"/>
            <w:vMerge w:val="continue"/>
            <w:vAlign w:val="bottom"/>
          </w:tcPr>
          <w:p>
            <w:pPr>
              <w:spacing w:after="0"/>
              <w:rPr>
                <w:color w:val="auto"/>
                <w:sz w:val="9"/>
                <w:szCs w:val="9"/>
              </w:rPr>
            </w:pPr>
          </w:p>
        </w:tc>
        <w:tc>
          <w:tcPr>
            <w:tcW w:w="1280" w:type="dxa"/>
            <w:vMerge w:val="continue"/>
            <w:vAlign w:val="bottom"/>
          </w:tcPr>
          <w:p>
            <w:pPr>
              <w:spacing w:after="0"/>
              <w:rPr>
                <w:color w:val="auto"/>
                <w:sz w:val="9"/>
                <w:szCs w:val="9"/>
              </w:rPr>
            </w:pPr>
          </w:p>
        </w:tc>
        <w:tc>
          <w:tcPr>
            <w:tcW w:w="820" w:type="dxa"/>
            <w:vMerge w:val="continue"/>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9" w:hRule="atLeast"/>
        </w:trPr>
        <w:tc>
          <w:tcPr>
            <w:tcW w:w="1620" w:type="dxa"/>
            <w:tcBorders>
              <w:bottom w:val="single" w:color="auto" w:sz="8" w:space="0"/>
            </w:tcBorders>
            <w:vAlign w:val="bottom"/>
          </w:tcPr>
          <w:p>
            <w:pPr>
              <w:spacing w:after="0"/>
              <w:rPr>
                <w:color w:val="auto"/>
                <w:sz w:val="3"/>
                <w:szCs w:val="3"/>
              </w:rPr>
            </w:pPr>
          </w:p>
        </w:tc>
        <w:tc>
          <w:tcPr>
            <w:tcW w:w="1680" w:type="dxa"/>
            <w:tcBorders>
              <w:bottom w:val="single" w:color="auto" w:sz="8" w:space="0"/>
            </w:tcBorders>
            <w:vAlign w:val="bottom"/>
          </w:tcPr>
          <w:p>
            <w:pPr>
              <w:spacing w:after="0"/>
              <w:rPr>
                <w:color w:val="auto"/>
                <w:sz w:val="3"/>
                <w:szCs w:val="3"/>
              </w:rPr>
            </w:pPr>
          </w:p>
        </w:tc>
        <w:tc>
          <w:tcPr>
            <w:tcW w:w="860" w:type="dxa"/>
            <w:tcBorders>
              <w:bottom w:val="single" w:color="auto" w:sz="8" w:space="0"/>
            </w:tcBorders>
            <w:vAlign w:val="bottom"/>
          </w:tcPr>
          <w:p>
            <w:pPr>
              <w:spacing w:after="0"/>
              <w:rPr>
                <w:color w:val="auto"/>
                <w:sz w:val="3"/>
                <w:szCs w:val="3"/>
              </w:rPr>
            </w:pPr>
          </w:p>
        </w:tc>
        <w:tc>
          <w:tcPr>
            <w:tcW w:w="1300" w:type="dxa"/>
            <w:tcBorders>
              <w:bottom w:val="single" w:color="auto" w:sz="8" w:space="0"/>
            </w:tcBorders>
            <w:vAlign w:val="bottom"/>
          </w:tcPr>
          <w:p>
            <w:pPr>
              <w:spacing w:after="0"/>
              <w:rPr>
                <w:color w:val="auto"/>
                <w:sz w:val="3"/>
                <w:szCs w:val="3"/>
              </w:rPr>
            </w:pPr>
          </w:p>
        </w:tc>
        <w:tc>
          <w:tcPr>
            <w:tcW w:w="920" w:type="dxa"/>
            <w:tcBorders>
              <w:bottom w:val="single" w:color="auto" w:sz="8" w:space="0"/>
            </w:tcBorders>
            <w:vAlign w:val="bottom"/>
          </w:tcPr>
          <w:p>
            <w:pPr>
              <w:spacing w:after="0"/>
              <w:rPr>
                <w:color w:val="auto"/>
                <w:sz w:val="3"/>
                <w:szCs w:val="3"/>
              </w:rPr>
            </w:pPr>
          </w:p>
        </w:tc>
        <w:tc>
          <w:tcPr>
            <w:tcW w:w="1420" w:type="dxa"/>
            <w:tcBorders>
              <w:bottom w:val="single" w:color="auto" w:sz="8" w:space="0"/>
            </w:tcBorders>
            <w:vAlign w:val="bottom"/>
          </w:tcPr>
          <w:p>
            <w:pPr>
              <w:spacing w:after="0"/>
              <w:rPr>
                <w:color w:val="auto"/>
                <w:sz w:val="3"/>
                <w:szCs w:val="3"/>
              </w:rPr>
            </w:pPr>
          </w:p>
        </w:tc>
        <w:tc>
          <w:tcPr>
            <w:tcW w:w="1000" w:type="dxa"/>
            <w:tcBorders>
              <w:bottom w:val="single" w:color="auto" w:sz="8" w:space="0"/>
            </w:tcBorders>
            <w:vAlign w:val="bottom"/>
          </w:tcPr>
          <w:p>
            <w:pPr>
              <w:spacing w:after="0"/>
              <w:rPr>
                <w:color w:val="auto"/>
                <w:sz w:val="3"/>
                <w:szCs w:val="3"/>
              </w:rPr>
            </w:pPr>
          </w:p>
        </w:tc>
        <w:tc>
          <w:tcPr>
            <w:tcW w:w="1300" w:type="dxa"/>
            <w:tcBorders>
              <w:bottom w:val="single" w:color="auto" w:sz="8" w:space="0"/>
            </w:tcBorders>
            <w:vAlign w:val="bottom"/>
          </w:tcPr>
          <w:p>
            <w:pPr>
              <w:spacing w:after="0"/>
              <w:rPr>
                <w:color w:val="auto"/>
                <w:sz w:val="3"/>
                <w:szCs w:val="3"/>
              </w:rPr>
            </w:pPr>
          </w:p>
        </w:tc>
        <w:tc>
          <w:tcPr>
            <w:tcW w:w="800" w:type="dxa"/>
            <w:tcBorders>
              <w:bottom w:val="single" w:color="auto" w:sz="8" w:space="0"/>
            </w:tcBorders>
            <w:vAlign w:val="bottom"/>
          </w:tcPr>
          <w:p>
            <w:pPr>
              <w:spacing w:after="0"/>
              <w:rPr>
                <w:color w:val="auto"/>
                <w:sz w:val="3"/>
                <w:szCs w:val="3"/>
              </w:rPr>
            </w:pPr>
          </w:p>
        </w:tc>
        <w:tc>
          <w:tcPr>
            <w:tcW w:w="1280" w:type="dxa"/>
            <w:tcBorders>
              <w:bottom w:val="single" w:color="auto" w:sz="8" w:space="0"/>
            </w:tcBorders>
            <w:vAlign w:val="bottom"/>
          </w:tcPr>
          <w:p>
            <w:pPr>
              <w:spacing w:after="0"/>
              <w:rPr>
                <w:color w:val="auto"/>
                <w:sz w:val="3"/>
                <w:szCs w:val="3"/>
              </w:rPr>
            </w:pPr>
          </w:p>
        </w:tc>
        <w:tc>
          <w:tcPr>
            <w:tcW w:w="820" w:type="dxa"/>
            <w:tcBorders>
              <w:bottom w:val="single" w:color="auto" w:sz="8" w:space="0"/>
            </w:tcBorders>
            <w:vAlign w:val="bottom"/>
          </w:tcPr>
          <w:p>
            <w:pPr>
              <w:spacing w:after="0"/>
              <w:rPr>
                <w:color w:val="auto"/>
                <w:sz w:val="3"/>
                <w:szCs w:val="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2" w:hRule="atLeast"/>
        </w:trPr>
        <w:tc>
          <w:tcPr>
            <w:tcW w:w="1620" w:type="dxa"/>
            <w:vAlign w:val="bottom"/>
          </w:tcPr>
          <w:p>
            <w:pPr>
              <w:spacing w:after="0" w:line="212" w:lineRule="exact"/>
              <w:ind w:left="120"/>
              <w:rPr>
                <w:color w:val="auto"/>
                <w:sz w:val="20"/>
                <w:szCs w:val="20"/>
              </w:rPr>
            </w:pPr>
            <w:r>
              <w:rPr>
                <w:rFonts w:ascii="Arial" w:hAnsi="Arial" w:eastAsia="Arial" w:cs="Arial"/>
                <w:b/>
                <w:bCs/>
                <w:color w:val="auto"/>
                <w:sz w:val="20"/>
                <w:szCs w:val="20"/>
              </w:rPr>
              <w:t>Low serum</w:t>
            </w:r>
          </w:p>
        </w:tc>
        <w:tc>
          <w:tcPr>
            <w:tcW w:w="1680" w:type="dxa"/>
            <w:vMerge w:val="restart"/>
            <w:vAlign w:val="bottom"/>
          </w:tcPr>
          <w:p>
            <w:pPr>
              <w:spacing w:after="0"/>
              <w:ind w:left="800"/>
              <w:rPr>
                <w:color w:val="auto"/>
                <w:sz w:val="20"/>
                <w:szCs w:val="20"/>
              </w:rPr>
            </w:pPr>
            <w:r>
              <w:rPr>
                <w:rFonts w:ascii="Arial" w:hAnsi="Arial" w:eastAsia="Arial" w:cs="Arial"/>
                <w:color w:val="auto"/>
                <w:sz w:val="20"/>
                <w:szCs w:val="20"/>
              </w:rPr>
              <w:t>0.49</w:t>
            </w:r>
          </w:p>
        </w:tc>
        <w:tc>
          <w:tcPr>
            <w:tcW w:w="860" w:type="dxa"/>
            <w:vAlign w:val="bottom"/>
          </w:tcPr>
          <w:p>
            <w:pPr>
              <w:spacing w:after="0"/>
              <w:rPr>
                <w:color w:val="auto"/>
                <w:sz w:val="18"/>
                <w:szCs w:val="18"/>
              </w:rPr>
            </w:pPr>
          </w:p>
        </w:tc>
        <w:tc>
          <w:tcPr>
            <w:tcW w:w="1300" w:type="dxa"/>
            <w:vMerge w:val="restart"/>
            <w:vAlign w:val="bottom"/>
          </w:tcPr>
          <w:p>
            <w:pPr>
              <w:spacing w:after="0"/>
              <w:jc w:val="center"/>
              <w:rPr>
                <w:color w:val="auto"/>
                <w:sz w:val="20"/>
                <w:szCs w:val="20"/>
              </w:rPr>
            </w:pPr>
            <w:r>
              <w:rPr>
                <w:rFonts w:ascii="Arial" w:hAnsi="Arial" w:eastAsia="Arial" w:cs="Arial"/>
                <w:color w:val="auto"/>
                <w:w w:val="97"/>
                <w:sz w:val="20"/>
                <w:szCs w:val="20"/>
              </w:rPr>
              <w:t>0.48</w:t>
            </w:r>
          </w:p>
        </w:tc>
        <w:tc>
          <w:tcPr>
            <w:tcW w:w="920" w:type="dxa"/>
            <w:vAlign w:val="bottom"/>
          </w:tcPr>
          <w:p>
            <w:pPr>
              <w:spacing w:after="0"/>
              <w:rPr>
                <w:color w:val="auto"/>
                <w:sz w:val="18"/>
                <w:szCs w:val="18"/>
              </w:rPr>
            </w:pPr>
          </w:p>
        </w:tc>
        <w:tc>
          <w:tcPr>
            <w:tcW w:w="1420" w:type="dxa"/>
            <w:vMerge w:val="restart"/>
            <w:vAlign w:val="bottom"/>
          </w:tcPr>
          <w:p>
            <w:pPr>
              <w:spacing w:after="0"/>
              <w:ind w:right="400"/>
              <w:jc w:val="right"/>
              <w:rPr>
                <w:color w:val="auto"/>
                <w:sz w:val="20"/>
                <w:szCs w:val="20"/>
              </w:rPr>
            </w:pPr>
            <w:r>
              <w:rPr>
                <w:rFonts w:ascii="Arial" w:hAnsi="Arial" w:eastAsia="Arial" w:cs="Arial"/>
                <w:color w:val="auto"/>
                <w:sz w:val="20"/>
                <w:szCs w:val="20"/>
              </w:rPr>
              <w:t>0.45</w:t>
            </w:r>
          </w:p>
        </w:tc>
        <w:tc>
          <w:tcPr>
            <w:tcW w:w="1000" w:type="dxa"/>
            <w:vAlign w:val="bottom"/>
          </w:tcPr>
          <w:p>
            <w:pPr>
              <w:spacing w:after="0"/>
              <w:rPr>
                <w:color w:val="auto"/>
                <w:sz w:val="18"/>
                <w:szCs w:val="18"/>
              </w:rPr>
            </w:pPr>
          </w:p>
        </w:tc>
        <w:tc>
          <w:tcPr>
            <w:tcW w:w="1300" w:type="dxa"/>
            <w:vMerge w:val="restart"/>
            <w:vAlign w:val="bottom"/>
          </w:tcPr>
          <w:p>
            <w:pPr>
              <w:spacing w:after="0"/>
              <w:jc w:val="center"/>
              <w:rPr>
                <w:color w:val="auto"/>
                <w:sz w:val="20"/>
                <w:szCs w:val="20"/>
              </w:rPr>
            </w:pPr>
            <w:r>
              <w:rPr>
                <w:rFonts w:ascii="Arial" w:hAnsi="Arial" w:eastAsia="Arial" w:cs="Arial"/>
                <w:color w:val="auto"/>
                <w:sz w:val="20"/>
                <w:szCs w:val="20"/>
              </w:rPr>
              <w:t>0.50</w:t>
            </w:r>
          </w:p>
        </w:tc>
        <w:tc>
          <w:tcPr>
            <w:tcW w:w="800" w:type="dxa"/>
            <w:vAlign w:val="bottom"/>
          </w:tcPr>
          <w:p>
            <w:pPr>
              <w:spacing w:after="0"/>
              <w:rPr>
                <w:color w:val="auto"/>
                <w:sz w:val="18"/>
                <w:szCs w:val="18"/>
              </w:rPr>
            </w:pPr>
          </w:p>
        </w:tc>
        <w:tc>
          <w:tcPr>
            <w:tcW w:w="1280" w:type="dxa"/>
            <w:vMerge w:val="restart"/>
            <w:vAlign w:val="bottom"/>
          </w:tcPr>
          <w:p>
            <w:pPr>
              <w:spacing w:after="0"/>
              <w:ind w:right="340"/>
              <w:jc w:val="right"/>
              <w:rPr>
                <w:color w:val="auto"/>
                <w:sz w:val="20"/>
                <w:szCs w:val="20"/>
              </w:rPr>
            </w:pPr>
            <w:r>
              <w:rPr>
                <w:rFonts w:ascii="Arial" w:hAnsi="Arial" w:eastAsia="Arial" w:cs="Arial"/>
                <w:color w:val="auto"/>
                <w:sz w:val="20"/>
                <w:szCs w:val="20"/>
              </w:rPr>
              <w:t>0.52</w:t>
            </w:r>
          </w:p>
        </w:tc>
        <w:tc>
          <w:tcPr>
            <w:tcW w:w="820" w:type="dxa"/>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8" w:hRule="atLeast"/>
        </w:trPr>
        <w:tc>
          <w:tcPr>
            <w:tcW w:w="1620" w:type="dxa"/>
            <w:vMerge w:val="restart"/>
            <w:vAlign w:val="bottom"/>
          </w:tcPr>
          <w:p>
            <w:pPr>
              <w:spacing w:after="0"/>
              <w:ind w:left="120"/>
              <w:rPr>
                <w:color w:val="auto"/>
                <w:sz w:val="20"/>
                <w:szCs w:val="20"/>
              </w:rPr>
            </w:pPr>
            <w:r>
              <w:rPr>
                <w:rFonts w:ascii="Arial" w:hAnsi="Arial" w:eastAsia="Arial" w:cs="Arial"/>
                <w:b/>
                <w:bCs/>
                <w:color w:val="auto"/>
                <w:sz w:val="20"/>
                <w:szCs w:val="20"/>
              </w:rPr>
              <w:t>25(OH)D</w:t>
            </w:r>
          </w:p>
        </w:tc>
        <w:tc>
          <w:tcPr>
            <w:tcW w:w="1680" w:type="dxa"/>
            <w:vMerge w:val="continue"/>
            <w:vAlign w:val="bottom"/>
          </w:tcPr>
          <w:p>
            <w:pPr>
              <w:spacing w:after="0"/>
              <w:rPr>
                <w:color w:val="auto"/>
                <w:sz w:val="10"/>
                <w:szCs w:val="10"/>
              </w:rPr>
            </w:pPr>
          </w:p>
        </w:tc>
        <w:tc>
          <w:tcPr>
            <w:tcW w:w="860" w:type="dxa"/>
            <w:vMerge w:val="restart"/>
            <w:vAlign w:val="bottom"/>
          </w:tcPr>
          <w:p>
            <w:pPr>
              <w:spacing w:after="0"/>
              <w:jc w:val="center"/>
              <w:rPr>
                <w:color w:val="auto"/>
                <w:sz w:val="20"/>
                <w:szCs w:val="20"/>
              </w:rPr>
            </w:pPr>
            <w:r>
              <w:rPr>
                <w:rFonts w:ascii="Arial" w:hAnsi="Arial" w:eastAsia="Arial" w:cs="Arial"/>
                <w:color w:val="auto"/>
                <w:sz w:val="20"/>
                <w:szCs w:val="20"/>
              </w:rPr>
              <w:t>0.02</w:t>
            </w:r>
          </w:p>
        </w:tc>
        <w:tc>
          <w:tcPr>
            <w:tcW w:w="1300" w:type="dxa"/>
            <w:vMerge w:val="continue"/>
            <w:vAlign w:val="bottom"/>
          </w:tcPr>
          <w:p>
            <w:pPr>
              <w:spacing w:after="0"/>
              <w:rPr>
                <w:color w:val="auto"/>
                <w:sz w:val="10"/>
                <w:szCs w:val="10"/>
              </w:rPr>
            </w:pPr>
          </w:p>
        </w:tc>
        <w:tc>
          <w:tcPr>
            <w:tcW w:w="92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0.04</w:t>
            </w:r>
          </w:p>
        </w:tc>
        <w:tc>
          <w:tcPr>
            <w:tcW w:w="1420" w:type="dxa"/>
            <w:vMerge w:val="continue"/>
            <w:vAlign w:val="bottom"/>
          </w:tcPr>
          <w:p>
            <w:pPr>
              <w:spacing w:after="0"/>
              <w:rPr>
                <w:color w:val="auto"/>
                <w:sz w:val="10"/>
                <w:szCs w:val="10"/>
              </w:rPr>
            </w:pPr>
          </w:p>
        </w:tc>
        <w:tc>
          <w:tcPr>
            <w:tcW w:w="1000" w:type="dxa"/>
            <w:vMerge w:val="restart"/>
            <w:vAlign w:val="bottom"/>
          </w:tcPr>
          <w:p>
            <w:pPr>
              <w:spacing w:after="0"/>
              <w:ind w:left="40"/>
              <w:jc w:val="center"/>
              <w:rPr>
                <w:color w:val="auto"/>
                <w:sz w:val="20"/>
                <w:szCs w:val="20"/>
              </w:rPr>
            </w:pPr>
            <w:r>
              <w:rPr>
                <w:rFonts w:ascii="Arial" w:hAnsi="Arial" w:eastAsia="Arial" w:cs="Arial"/>
                <w:b/>
                <w:bCs/>
                <w:color w:val="auto"/>
                <w:w w:val="97"/>
                <w:sz w:val="20"/>
                <w:szCs w:val="20"/>
              </w:rPr>
              <w:t>0.03</w:t>
            </w:r>
          </w:p>
        </w:tc>
        <w:tc>
          <w:tcPr>
            <w:tcW w:w="1300" w:type="dxa"/>
            <w:vMerge w:val="continue"/>
            <w:vAlign w:val="bottom"/>
          </w:tcPr>
          <w:p>
            <w:pPr>
              <w:spacing w:after="0"/>
              <w:rPr>
                <w:color w:val="auto"/>
                <w:sz w:val="10"/>
                <w:szCs w:val="10"/>
              </w:rPr>
            </w:pPr>
          </w:p>
        </w:tc>
        <w:tc>
          <w:tcPr>
            <w:tcW w:w="800" w:type="dxa"/>
            <w:vMerge w:val="restart"/>
            <w:vAlign w:val="bottom"/>
          </w:tcPr>
          <w:p>
            <w:pPr>
              <w:spacing w:after="0"/>
              <w:jc w:val="center"/>
              <w:rPr>
                <w:color w:val="auto"/>
                <w:sz w:val="20"/>
                <w:szCs w:val="20"/>
              </w:rPr>
            </w:pPr>
            <w:r>
              <w:rPr>
                <w:rFonts w:ascii="Arial" w:hAnsi="Arial" w:eastAsia="Arial" w:cs="Arial"/>
                <w:color w:val="auto"/>
                <w:w w:val="97"/>
                <w:sz w:val="20"/>
                <w:szCs w:val="20"/>
              </w:rPr>
              <w:t>0.03</w:t>
            </w:r>
          </w:p>
        </w:tc>
        <w:tc>
          <w:tcPr>
            <w:tcW w:w="1280" w:type="dxa"/>
            <w:vMerge w:val="continue"/>
            <w:vAlign w:val="bottom"/>
          </w:tcPr>
          <w:p>
            <w:pPr>
              <w:spacing w:after="0"/>
              <w:rPr>
                <w:color w:val="auto"/>
                <w:sz w:val="10"/>
                <w:szCs w:val="10"/>
              </w:rPr>
            </w:pPr>
          </w:p>
        </w:tc>
        <w:tc>
          <w:tcPr>
            <w:tcW w:w="82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0.04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1620" w:type="dxa"/>
            <w:vMerge w:val="continue"/>
            <w:vAlign w:val="bottom"/>
          </w:tcPr>
          <w:p>
            <w:pPr>
              <w:spacing w:after="0"/>
              <w:rPr>
                <w:color w:val="auto"/>
                <w:sz w:val="10"/>
                <w:szCs w:val="10"/>
              </w:rPr>
            </w:pPr>
          </w:p>
        </w:tc>
        <w:tc>
          <w:tcPr>
            <w:tcW w:w="1680" w:type="dxa"/>
            <w:vMerge w:val="restart"/>
            <w:vAlign w:val="bottom"/>
          </w:tcPr>
          <w:p>
            <w:pPr>
              <w:spacing w:after="0"/>
              <w:ind w:right="160"/>
              <w:jc w:val="right"/>
              <w:rPr>
                <w:color w:val="auto"/>
                <w:sz w:val="20"/>
                <w:szCs w:val="20"/>
              </w:rPr>
            </w:pPr>
            <w:r>
              <w:rPr>
                <w:rFonts w:ascii="Arial" w:hAnsi="Arial" w:eastAsia="Arial" w:cs="Arial"/>
                <w:color w:val="auto"/>
                <w:sz w:val="20"/>
                <w:szCs w:val="20"/>
              </w:rPr>
              <w:t>(0.27,0.89)</w:t>
            </w:r>
          </w:p>
        </w:tc>
        <w:tc>
          <w:tcPr>
            <w:tcW w:w="860" w:type="dxa"/>
            <w:vMerge w:val="continue"/>
            <w:vAlign w:val="bottom"/>
          </w:tcPr>
          <w:p>
            <w:pPr>
              <w:spacing w:after="0"/>
              <w:rPr>
                <w:color w:val="auto"/>
                <w:sz w:val="10"/>
                <w:szCs w:val="10"/>
              </w:rPr>
            </w:pPr>
          </w:p>
        </w:tc>
        <w:tc>
          <w:tcPr>
            <w:tcW w:w="1300" w:type="dxa"/>
            <w:vMerge w:val="restart"/>
            <w:vAlign w:val="bottom"/>
          </w:tcPr>
          <w:p>
            <w:pPr>
              <w:spacing w:after="0"/>
              <w:jc w:val="center"/>
              <w:rPr>
                <w:color w:val="auto"/>
                <w:sz w:val="20"/>
                <w:szCs w:val="20"/>
              </w:rPr>
            </w:pPr>
            <w:r>
              <w:rPr>
                <w:rFonts w:ascii="Arial" w:hAnsi="Arial" w:eastAsia="Arial" w:cs="Arial"/>
                <w:color w:val="auto"/>
                <w:w w:val="99"/>
                <w:sz w:val="20"/>
                <w:szCs w:val="20"/>
              </w:rPr>
              <w:t>(0.24,0.96)</w:t>
            </w:r>
          </w:p>
        </w:tc>
        <w:tc>
          <w:tcPr>
            <w:tcW w:w="920" w:type="dxa"/>
            <w:vMerge w:val="continue"/>
            <w:vAlign w:val="bottom"/>
          </w:tcPr>
          <w:p>
            <w:pPr>
              <w:spacing w:after="0"/>
              <w:rPr>
                <w:color w:val="auto"/>
                <w:sz w:val="10"/>
                <w:szCs w:val="10"/>
              </w:rPr>
            </w:pPr>
          </w:p>
        </w:tc>
        <w:tc>
          <w:tcPr>
            <w:tcW w:w="1420" w:type="dxa"/>
            <w:vMerge w:val="restart"/>
            <w:vAlign w:val="bottom"/>
          </w:tcPr>
          <w:p>
            <w:pPr>
              <w:spacing w:after="0"/>
              <w:ind w:right="100"/>
              <w:jc w:val="right"/>
              <w:rPr>
                <w:color w:val="auto"/>
                <w:sz w:val="20"/>
                <w:szCs w:val="20"/>
              </w:rPr>
            </w:pPr>
            <w:r>
              <w:rPr>
                <w:rFonts w:ascii="Arial" w:hAnsi="Arial" w:eastAsia="Arial" w:cs="Arial"/>
                <w:color w:val="auto"/>
                <w:sz w:val="20"/>
                <w:szCs w:val="20"/>
              </w:rPr>
              <w:t>(0.22,0.91)</w:t>
            </w:r>
          </w:p>
        </w:tc>
        <w:tc>
          <w:tcPr>
            <w:tcW w:w="1000" w:type="dxa"/>
            <w:vMerge w:val="continue"/>
            <w:vAlign w:val="bottom"/>
          </w:tcPr>
          <w:p>
            <w:pPr>
              <w:spacing w:after="0"/>
              <w:rPr>
                <w:color w:val="auto"/>
                <w:sz w:val="10"/>
                <w:szCs w:val="10"/>
              </w:rPr>
            </w:pPr>
          </w:p>
        </w:tc>
        <w:tc>
          <w:tcPr>
            <w:tcW w:w="1300" w:type="dxa"/>
            <w:vMerge w:val="restart"/>
            <w:vAlign w:val="bottom"/>
          </w:tcPr>
          <w:p>
            <w:pPr>
              <w:spacing w:after="0"/>
              <w:jc w:val="center"/>
              <w:rPr>
                <w:color w:val="auto"/>
                <w:sz w:val="20"/>
                <w:szCs w:val="20"/>
              </w:rPr>
            </w:pPr>
            <w:r>
              <w:rPr>
                <w:rFonts w:ascii="Arial" w:hAnsi="Arial" w:eastAsia="Arial" w:cs="Arial"/>
                <w:color w:val="auto"/>
                <w:w w:val="99"/>
                <w:sz w:val="20"/>
                <w:szCs w:val="20"/>
              </w:rPr>
              <w:t>(0.27,0.95)</w:t>
            </w:r>
          </w:p>
        </w:tc>
        <w:tc>
          <w:tcPr>
            <w:tcW w:w="800" w:type="dxa"/>
            <w:vMerge w:val="continue"/>
            <w:vAlign w:val="bottom"/>
          </w:tcPr>
          <w:p>
            <w:pPr>
              <w:spacing w:after="0"/>
              <w:rPr>
                <w:color w:val="auto"/>
                <w:sz w:val="10"/>
                <w:szCs w:val="10"/>
              </w:rPr>
            </w:pPr>
          </w:p>
        </w:tc>
        <w:tc>
          <w:tcPr>
            <w:tcW w:w="1280" w:type="dxa"/>
            <w:vMerge w:val="restart"/>
            <w:vAlign w:val="bottom"/>
          </w:tcPr>
          <w:p>
            <w:pPr>
              <w:spacing w:after="0"/>
              <w:ind w:right="60"/>
              <w:jc w:val="right"/>
              <w:rPr>
                <w:color w:val="auto"/>
                <w:sz w:val="20"/>
                <w:szCs w:val="20"/>
              </w:rPr>
            </w:pPr>
            <w:r>
              <w:rPr>
                <w:rFonts w:ascii="Arial" w:hAnsi="Arial" w:eastAsia="Arial" w:cs="Arial"/>
                <w:color w:val="auto"/>
                <w:sz w:val="20"/>
                <w:szCs w:val="20"/>
              </w:rPr>
              <w:t>(0.27,0.98)</w:t>
            </w:r>
          </w:p>
        </w:tc>
        <w:tc>
          <w:tcPr>
            <w:tcW w:w="82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6" w:hRule="atLeast"/>
        </w:trPr>
        <w:tc>
          <w:tcPr>
            <w:tcW w:w="1620" w:type="dxa"/>
            <w:vMerge w:val="restart"/>
            <w:vAlign w:val="bottom"/>
          </w:tcPr>
          <w:p>
            <w:pPr>
              <w:spacing w:after="0" w:line="229" w:lineRule="exact"/>
              <w:ind w:left="120"/>
              <w:rPr>
                <w:color w:val="auto"/>
                <w:sz w:val="20"/>
                <w:szCs w:val="20"/>
              </w:rPr>
            </w:pPr>
            <w:r>
              <w:rPr>
                <w:rFonts w:ascii="Arial" w:hAnsi="Arial" w:eastAsia="Arial" w:cs="Arial"/>
                <w:b/>
                <w:bCs/>
                <w:color w:val="auto"/>
                <w:sz w:val="20"/>
                <w:szCs w:val="20"/>
              </w:rPr>
              <w:t>(&lt;75nmol/l)</w:t>
            </w:r>
          </w:p>
        </w:tc>
        <w:tc>
          <w:tcPr>
            <w:tcW w:w="1680" w:type="dxa"/>
            <w:vMerge w:val="continue"/>
            <w:vAlign w:val="bottom"/>
          </w:tcPr>
          <w:p>
            <w:pPr>
              <w:spacing w:after="0"/>
              <w:rPr>
                <w:color w:val="auto"/>
                <w:sz w:val="10"/>
                <w:szCs w:val="10"/>
              </w:rPr>
            </w:pPr>
          </w:p>
        </w:tc>
        <w:tc>
          <w:tcPr>
            <w:tcW w:w="860" w:type="dxa"/>
            <w:vAlign w:val="bottom"/>
          </w:tcPr>
          <w:p>
            <w:pPr>
              <w:spacing w:after="0"/>
              <w:rPr>
                <w:color w:val="auto"/>
                <w:sz w:val="10"/>
                <w:szCs w:val="10"/>
              </w:rPr>
            </w:pPr>
          </w:p>
        </w:tc>
        <w:tc>
          <w:tcPr>
            <w:tcW w:w="1300" w:type="dxa"/>
            <w:vMerge w:val="continue"/>
            <w:vAlign w:val="bottom"/>
          </w:tcPr>
          <w:p>
            <w:pPr>
              <w:spacing w:after="0"/>
              <w:rPr>
                <w:color w:val="auto"/>
                <w:sz w:val="10"/>
                <w:szCs w:val="10"/>
              </w:rPr>
            </w:pPr>
          </w:p>
        </w:tc>
        <w:tc>
          <w:tcPr>
            <w:tcW w:w="920" w:type="dxa"/>
            <w:vAlign w:val="bottom"/>
          </w:tcPr>
          <w:p>
            <w:pPr>
              <w:spacing w:after="0"/>
              <w:rPr>
                <w:color w:val="auto"/>
                <w:sz w:val="10"/>
                <w:szCs w:val="10"/>
              </w:rPr>
            </w:pPr>
          </w:p>
        </w:tc>
        <w:tc>
          <w:tcPr>
            <w:tcW w:w="1420" w:type="dxa"/>
            <w:vMerge w:val="continue"/>
            <w:vAlign w:val="bottom"/>
          </w:tcPr>
          <w:p>
            <w:pPr>
              <w:spacing w:after="0"/>
              <w:rPr>
                <w:color w:val="auto"/>
                <w:sz w:val="10"/>
                <w:szCs w:val="10"/>
              </w:rPr>
            </w:pPr>
          </w:p>
        </w:tc>
        <w:tc>
          <w:tcPr>
            <w:tcW w:w="1000" w:type="dxa"/>
            <w:vAlign w:val="bottom"/>
          </w:tcPr>
          <w:p>
            <w:pPr>
              <w:spacing w:after="0"/>
              <w:rPr>
                <w:color w:val="auto"/>
                <w:sz w:val="10"/>
                <w:szCs w:val="10"/>
              </w:rPr>
            </w:pPr>
          </w:p>
        </w:tc>
        <w:tc>
          <w:tcPr>
            <w:tcW w:w="1300" w:type="dxa"/>
            <w:vMerge w:val="continue"/>
            <w:vAlign w:val="bottom"/>
          </w:tcPr>
          <w:p>
            <w:pPr>
              <w:spacing w:after="0"/>
              <w:rPr>
                <w:color w:val="auto"/>
                <w:sz w:val="10"/>
                <w:szCs w:val="10"/>
              </w:rPr>
            </w:pPr>
          </w:p>
        </w:tc>
        <w:tc>
          <w:tcPr>
            <w:tcW w:w="800" w:type="dxa"/>
            <w:vAlign w:val="bottom"/>
          </w:tcPr>
          <w:p>
            <w:pPr>
              <w:spacing w:after="0"/>
              <w:rPr>
                <w:color w:val="auto"/>
                <w:sz w:val="10"/>
                <w:szCs w:val="10"/>
              </w:rPr>
            </w:pPr>
          </w:p>
        </w:tc>
        <w:tc>
          <w:tcPr>
            <w:tcW w:w="1280" w:type="dxa"/>
            <w:vMerge w:val="continue"/>
            <w:vAlign w:val="bottom"/>
          </w:tcPr>
          <w:p>
            <w:pPr>
              <w:spacing w:after="0"/>
              <w:rPr>
                <w:color w:val="auto"/>
                <w:sz w:val="10"/>
                <w:szCs w:val="10"/>
              </w:rPr>
            </w:pPr>
          </w:p>
        </w:tc>
        <w:tc>
          <w:tcPr>
            <w:tcW w:w="820" w:type="dxa"/>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3" w:hRule="atLeast"/>
        </w:trPr>
        <w:tc>
          <w:tcPr>
            <w:tcW w:w="1620" w:type="dxa"/>
            <w:vMerge w:val="continue"/>
            <w:vAlign w:val="bottom"/>
          </w:tcPr>
          <w:p>
            <w:pPr>
              <w:spacing w:after="0"/>
              <w:rPr>
                <w:color w:val="auto"/>
                <w:sz w:val="9"/>
                <w:szCs w:val="9"/>
              </w:rPr>
            </w:pPr>
          </w:p>
        </w:tc>
        <w:tc>
          <w:tcPr>
            <w:tcW w:w="1680" w:type="dxa"/>
            <w:vAlign w:val="bottom"/>
          </w:tcPr>
          <w:p>
            <w:pPr>
              <w:spacing w:after="0"/>
              <w:rPr>
                <w:color w:val="auto"/>
                <w:sz w:val="9"/>
                <w:szCs w:val="9"/>
              </w:rPr>
            </w:pPr>
          </w:p>
        </w:tc>
        <w:tc>
          <w:tcPr>
            <w:tcW w:w="860" w:type="dxa"/>
            <w:vAlign w:val="bottom"/>
          </w:tcPr>
          <w:p>
            <w:pPr>
              <w:spacing w:after="0"/>
              <w:rPr>
                <w:color w:val="auto"/>
                <w:sz w:val="9"/>
                <w:szCs w:val="9"/>
              </w:rPr>
            </w:pPr>
          </w:p>
        </w:tc>
        <w:tc>
          <w:tcPr>
            <w:tcW w:w="1300" w:type="dxa"/>
            <w:vAlign w:val="bottom"/>
          </w:tcPr>
          <w:p>
            <w:pPr>
              <w:spacing w:after="0"/>
              <w:rPr>
                <w:color w:val="auto"/>
                <w:sz w:val="9"/>
                <w:szCs w:val="9"/>
              </w:rPr>
            </w:pPr>
          </w:p>
        </w:tc>
        <w:tc>
          <w:tcPr>
            <w:tcW w:w="920" w:type="dxa"/>
            <w:vAlign w:val="bottom"/>
          </w:tcPr>
          <w:p>
            <w:pPr>
              <w:spacing w:after="0"/>
              <w:rPr>
                <w:color w:val="auto"/>
                <w:sz w:val="9"/>
                <w:szCs w:val="9"/>
              </w:rPr>
            </w:pPr>
          </w:p>
        </w:tc>
        <w:tc>
          <w:tcPr>
            <w:tcW w:w="1420" w:type="dxa"/>
            <w:vAlign w:val="bottom"/>
          </w:tcPr>
          <w:p>
            <w:pPr>
              <w:spacing w:after="0"/>
              <w:rPr>
                <w:color w:val="auto"/>
                <w:sz w:val="9"/>
                <w:szCs w:val="9"/>
              </w:rPr>
            </w:pPr>
          </w:p>
        </w:tc>
        <w:tc>
          <w:tcPr>
            <w:tcW w:w="1000" w:type="dxa"/>
            <w:vAlign w:val="bottom"/>
          </w:tcPr>
          <w:p>
            <w:pPr>
              <w:spacing w:after="0"/>
              <w:rPr>
                <w:color w:val="auto"/>
                <w:sz w:val="9"/>
                <w:szCs w:val="9"/>
              </w:rPr>
            </w:pPr>
          </w:p>
        </w:tc>
        <w:tc>
          <w:tcPr>
            <w:tcW w:w="1300" w:type="dxa"/>
            <w:vAlign w:val="bottom"/>
          </w:tcPr>
          <w:p>
            <w:pPr>
              <w:spacing w:after="0"/>
              <w:rPr>
                <w:color w:val="auto"/>
                <w:sz w:val="9"/>
                <w:szCs w:val="9"/>
              </w:rPr>
            </w:pPr>
          </w:p>
        </w:tc>
        <w:tc>
          <w:tcPr>
            <w:tcW w:w="800" w:type="dxa"/>
            <w:vAlign w:val="bottom"/>
          </w:tcPr>
          <w:p>
            <w:pPr>
              <w:spacing w:after="0"/>
              <w:rPr>
                <w:color w:val="auto"/>
                <w:sz w:val="9"/>
                <w:szCs w:val="9"/>
              </w:rPr>
            </w:pPr>
          </w:p>
        </w:tc>
        <w:tc>
          <w:tcPr>
            <w:tcW w:w="1280" w:type="dxa"/>
            <w:vAlign w:val="bottom"/>
          </w:tcPr>
          <w:p>
            <w:pPr>
              <w:spacing w:after="0"/>
              <w:rPr>
                <w:color w:val="auto"/>
                <w:sz w:val="9"/>
                <w:szCs w:val="9"/>
              </w:rPr>
            </w:pPr>
          </w:p>
        </w:tc>
        <w:tc>
          <w:tcPr>
            <w:tcW w:w="820" w:type="dxa"/>
            <w:vAlign w:val="bottom"/>
          </w:tcPr>
          <w:p>
            <w:pPr>
              <w:spacing w:after="0"/>
              <w:rPr>
                <w:color w:val="auto"/>
                <w:sz w:val="9"/>
                <w:szCs w:val="9"/>
              </w:rPr>
            </w:pPr>
          </w:p>
        </w:tc>
        <w:tc>
          <w:tcPr>
            <w:tcW w:w="0" w:type="dxa"/>
            <w:vAlign w:val="bottom"/>
          </w:tcPr>
          <w:p>
            <w:pPr>
              <w:spacing w:after="0"/>
              <w:rPr>
                <w:color w:val="auto"/>
                <w:sz w:val="1"/>
                <w:szCs w:val="1"/>
              </w:rPr>
            </w:pPr>
          </w:p>
        </w:tc>
      </w:tr>
    </w:tbl>
    <w:p>
      <w:pPr>
        <w:spacing w:after="0" w:line="1" w:lineRule="exact"/>
        <w:rPr>
          <w:color w:val="auto"/>
          <w:sz w:val="20"/>
          <w:szCs w:val="20"/>
        </w:rPr>
      </w:pPr>
    </w:p>
    <w:p>
      <w:pPr>
        <w:sectPr>
          <w:pgSz w:w="15840" w:h="12242" w:orient="landscape"/>
          <w:pgMar w:top="1435" w:right="722" w:bottom="134" w:left="1440" w:header="0" w:footer="0" w:gutter="0"/>
          <w:cols w:equalWidth="0" w:num="1">
            <w:col w:w="13680"/>
          </w:cols>
        </w:sectPr>
      </w:pPr>
    </w:p>
    <w:p>
      <w:pPr>
        <w:spacing w:after="0" w:line="58" w:lineRule="exact"/>
        <w:rPr>
          <w:color w:val="auto"/>
          <w:sz w:val="20"/>
          <w:szCs w:val="20"/>
        </w:rPr>
      </w:pPr>
    </w:p>
    <w:p>
      <w:pPr>
        <w:spacing w:after="0" w:line="254" w:lineRule="auto"/>
        <w:ind w:left="820" w:right="220"/>
        <w:rPr>
          <w:color w:val="auto"/>
          <w:sz w:val="20"/>
          <w:szCs w:val="20"/>
        </w:rPr>
      </w:pPr>
      <w:r>
        <w:rPr>
          <w:rFonts w:ascii="Arial" w:hAnsi="Arial" w:eastAsia="Arial" w:cs="Arial"/>
          <w:b/>
          <w:bCs/>
          <w:color w:val="auto"/>
          <w:sz w:val="19"/>
          <w:szCs w:val="19"/>
        </w:rPr>
        <w:t>Low vitamin intake(&lt;200IU)</w:t>
      </w:r>
    </w:p>
    <w:p>
      <w:pPr>
        <w:spacing w:after="0" w:line="34"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Hs_CRP</w:t>
      </w:r>
    </w:p>
    <w:p>
      <w:pPr>
        <w:spacing w:after="0"/>
        <w:ind w:left="820"/>
        <w:rPr>
          <w:color w:val="auto"/>
          <w:sz w:val="20"/>
          <w:szCs w:val="20"/>
        </w:rPr>
      </w:pPr>
      <w:r>
        <w:rPr>
          <w:rFonts w:ascii="Arial" w:hAnsi="Arial" w:eastAsia="Arial" w:cs="Arial"/>
          <w:b/>
          <w:bCs/>
          <w:color w:val="auto"/>
          <w:sz w:val="20"/>
          <w:szCs w:val="20"/>
        </w:rPr>
        <w:t>(&gt;=3mg/l)</w:t>
      </w:r>
    </w:p>
    <w:p>
      <w:pPr>
        <w:spacing w:after="0" w:line="32"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Time outside</w:t>
      </w:r>
    </w:p>
    <w:p>
      <w:pPr>
        <w:spacing w:after="0"/>
        <w:ind w:left="820"/>
        <w:rPr>
          <w:color w:val="auto"/>
          <w:sz w:val="20"/>
          <w:szCs w:val="20"/>
        </w:rPr>
      </w:pPr>
      <w:r>
        <w:rPr>
          <w:rFonts w:ascii="Arial" w:hAnsi="Arial" w:eastAsia="Arial" w:cs="Arial"/>
          <w:b/>
          <w:bCs/>
          <w:color w:val="auto"/>
          <w:sz w:val="20"/>
          <w:szCs w:val="20"/>
        </w:rPr>
        <w:t>&lt;=2hours</w:t>
      </w:r>
    </w:p>
    <w:p>
      <w:pPr>
        <w:spacing w:after="0" w:line="34"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High physical</w:t>
      </w:r>
    </w:p>
    <w:p>
      <w:pPr>
        <w:spacing w:after="0" w:line="237" w:lineRule="auto"/>
        <w:ind w:left="820"/>
        <w:rPr>
          <w:color w:val="auto"/>
          <w:sz w:val="20"/>
          <w:szCs w:val="20"/>
        </w:rPr>
      </w:pPr>
      <w:r>
        <w:rPr>
          <w:rFonts w:ascii="Arial" w:hAnsi="Arial" w:eastAsia="Arial" w:cs="Arial"/>
          <w:b/>
          <w:bCs/>
          <w:color w:val="auto"/>
          <w:sz w:val="20"/>
          <w:szCs w:val="20"/>
        </w:rPr>
        <w:t>activity</w:t>
      </w:r>
    </w:p>
    <w:p>
      <w:pPr>
        <w:spacing w:after="0" w:line="12" w:lineRule="exact"/>
        <w:rPr>
          <w:color w:val="auto"/>
          <w:sz w:val="20"/>
          <w:szCs w:val="20"/>
        </w:rPr>
      </w:pPr>
    </w:p>
    <w:p>
      <w:pPr>
        <w:spacing w:after="0" w:line="234" w:lineRule="auto"/>
        <w:ind w:left="820" w:right="60"/>
        <w:rPr>
          <w:color w:val="auto"/>
          <w:sz w:val="20"/>
          <w:szCs w:val="20"/>
        </w:rPr>
      </w:pPr>
      <w:r>
        <w:rPr>
          <w:rFonts w:ascii="Arial" w:hAnsi="Arial" w:eastAsia="Arial" w:cs="Arial"/>
          <w:b/>
          <w:bCs/>
          <w:color w:val="auto"/>
          <w:sz w:val="20"/>
          <w:szCs w:val="20"/>
        </w:rPr>
        <w:t>(Mets &gt;10.13/we ek)</w:t>
      </w:r>
    </w:p>
    <w:p>
      <w:pPr>
        <w:spacing w:after="0" w:line="12" w:lineRule="exact"/>
        <w:rPr>
          <w:color w:val="auto"/>
          <w:sz w:val="20"/>
          <w:szCs w:val="20"/>
        </w:rPr>
      </w:pPr>
    </w:p>
    <w:p>
      <w:pPr>
        <w:spacing w:after="0" w:line="252" w:lineRule="auto"/>
        <w:ind w:left="820" w:right="180"/>
        <w:rPr>
          <w:color w:val="auto"/>
          <w:sz w:val="20"/>
          <w:szCs w:val="20"/>
        </w:rPr>
      </w:pPr>
      <w:r>
        <w:rPr>
          <w:rFonts w:ascii="Arial" w:hAnsi="Arial" w:eastAsia="Arial" w:cs="Arial"/>
          <w:b/>
          <w:bCs/>
          <w:color w:val="auto"/>
          <w:sz w:val="19"/>
          <w:szCs w:val="19"/>
        </w:rPr>
        <w:t>Low education level( some college) Current oral contraceptives user</w:t>
      </w:r>
    </w:p>
    <w:p>
      <w:pPr>
        <w:spacing w:after="0" w:line="232" w:lineRule="auto"/>
        <w:ind w:left="820"/>
        <w:rPr>
          <w:color w:val="auto"/>
          <w:sz w:val="20"/>
          <w:szCs w:val="20"/>
        </w:rPr>
      </w:pPr>
      <w:r>
        <w:rPr>
          <w:rFonts w:ascii="Arial" w:hAnsi="Arial" w:eastAsia="Arial" w:cs="Arial"/>
          <w:b/>
          <w:bCs/>
          <w:color w:val="auto"/>
          <w:sz w:val="20"/>
          <w:szCs w:val="20"/>
        </w:rPr>
        <w:t>High energy</w:t>
      </w:r>
    </w:p>
    <w:p>
      <w:pPr>
        <w:spacing w:after="0" w:line="1"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intake</w:t>
      </w:r>
    </w:p>
    <w:p>
      <w:pPr>
        <w:spacing w:after="0" w:line="238" w:lineRule="auto"/>
        <w:ind w:left="820"/>
        <w:rPr>
          <w:color w:val="auto"/>
          <w:sz w:val="20"/>
          <w:szCs w:val="20"/>
        </w:rPr>
      </w:pPr>
      <w:r>
        <w:rPr>
          <w:rFonts w:ascii="Arial" w:hAnsi="Arial" w:eastAsia="Arial" w:cs="Arial"/>
          <w:b/>
          <w:bCs/>
          <w:color w:val="auto"/>
          <w:sz w:val="20"/>
          <w:szCs w:val="20"/>
        </w:rPr>
        <w:t>( &gt;2614kcal)</w:t>
      </w:r>
    </w:p>
    <w:p>
      <w:pPr>
        <w:spacing w:after="0" w:line="1" w:lineRule="exact"/>
        <w:rPr>
          <w:color w:val="auto"/>
          <w:sz w:val="20"/>
          <w:szCs w:val="20"/>
        </w:rPr>
      </w:pPr>
    </w:p>
    <w:p>
      <w:pPr>
        <w:spacing w:after="0"/>
        <w:ind w:left="820"/>
        <w:rPr>
          <w:color w:val="auto"/>
          <w:sz w:val="20"/>
          <w:szCs w:val="20"/>
        </w:rPr>
      </w:pPr>
      <w:r>
        <w:rPr>
          <w:rFonts w:ascii="Arial" w:hAnsi="Arial" w:eastAsia="Arial" w:cs="Arial"/>
          <w:b/>
          <w:bCs/>
          <w:color w:val="auto"/>
          <w:sz w:val="20"/>
          <w:szCs w:val="20"/>
        </w:rPr>
        <w:t>High BMI</w:t>
      </w:r>
    </w:p>
    <w:p>
      <w:pPr>
        <w:spacing w:after="0" w:line="192" w:lineRule="auto"/>
        <w:ind w:left="820"/>
        <w:rPr>
          <w:color w:val="auto"/>
          <w:sz w:val="20"/>
          <w:szCs w:val="20"/>
        </w:rPr>
      </w:pPr>
      <w:r>
        <w:rPr>
          <w:rFonts w:ascii="Arial" w:hAnsi="Arial" w:eastAsia="Arial" w:cs="Arial"/>
          <w:b/>
          <w:bCs/>
          <w:color w:val="auto"/>
          <w:sz w:val="20"/>
          <w:szCs w:val="20"/>
        </w:rPr>
        <w:t>(&gt;25kg/m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p>
      <w:pPr>
        <w:spacing w:after="0" w:line="119" w:lineRule="exact"/>
        <w:rPr>
          <w:color w:val="auto"/>
          <w:sz w:val="20"/>
          <w:szCs w:val="20"/>
        </w:rPr>
      </w:pPr>
    </w:p>
    <w:p>
      <w:pPr>
        <w:spacing w:after="0" w:line="234" w:lineRule="auto"/>
        <w:ind w:left="820"/>
        <w:rPr>
          <w:color w:val="auto"/>
          <w:sz w:val="20"/>
          <w:szCs w:val="20"/>
        </w:rPr>
      </w:pPr>
      <w:r>
        <w:rPr>
          <w:rFonts w:ascii="Arial" w:hAnsi="Arial" w:eastAsia="Arial" w:cs="Arial"/>
          <w:b/>
          <w:bCs/>
          <w:color w:val="auto"/>
          <w:sz w:val="20"/>
          <w:szCs w:val="20"/>
        </w:rPr>
        <w:t>Ever and current smoker</w:t>
      </w:r>
    </w:p>
    <w:p>
      <w:pPr>
        <w:spacing w:after="0" w:line="233" w:lineRule="exact"/>
        <w:rPr>
          <w:color w:val="auto"/>
          <w:sz w:val="20"/>
          <w:szCs w:val="20"/>
        </w:rPr>
      </w:pPr>
    </w:p>
    <w:p>
      <w:pPr>
        <w:spacing w:after="0"/>
        <w:ind w:left="260"/>
        <w:jc w:val="center"/>
        <w:rPr>
          <w:color w:val="auto"/>
          <w:sz w:val="20"/>
          <w:szCs w:val="20"/>
        </w:rPr>
      </w:pPr>
      <w:r>
        <w:rPr>
          <w:rFonts w:ascii="Arial" w:hAnsi="Arial" w:eastAsia="Arial" w:cs="Arial"/>
          <w:b/>
          <w:bCs/>
          <w:color w:val="auto"/>
          <w:sz w:val="19"/>
          <w:szCs w:val="19"/>
        </w:rPr>
        <w:t>Age(years)</w:t>
      </w:r>
    </w:p>
    <w:p>
      <w:pPr>
        <w:spacing w:after="0" w:line="20" w:lineRule="exact"/>
        <w:rPr>
          <w:color w:val="auto"/>
          <w:sz w:val="20"/>
          <w:szCs w:val="20"/>
        </w:rPr>
      </w:pPr>
      <w:r>
        <w:rPr>
          <w:color w:val="auto"/>
          <w:sz w:val="20"/>
          <w:szCs w:val="20"/>
        </w:rPr>
        <w:br w:type="column"/>
      </w:r>
    </w:p>
    <w:p>
      <w:pPr>
        <w:spacing w:after="0" w:line="30"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2.14</w:t>
      </w:r>
    </w:p>
    <w:p>
      <w:pPr>
        <w:spacing w:after="0"/>
        <w:jc w:val="center"/>
        <w:rPr>
          <w:color w:val="auto"/>
          <w:sz w:val="20"/>
          <w:szCs w:val="20"/>
        </w:rPr>
      </w:pPr>
      <w:r>
        <w:rPr>
          <w:rFonts w:ascii="Arial" w:hAnsi="Arial" w:eastAsia="Arial" w:cs="Arial"/>
          <w:color w:val="auto"/>
          <w:sz w:val="20"/>
          <w:szCs w:val="20"/>
        </w:rPr>
        <w:t>(1.13,4.07)</w:t>
      </w:r>
    </w:p>
    <w:p>
      <w:pPr>
        <w:spacing w:after="0" w:line="46"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1.83</w:t>
      </w:r>
    </w:p>
    <w:p>
      <w:pPr>
        <w:spacing w:after="0"/>
        <w:jc w:val="center"/>
        <w:rPr>
          <w:color w:val="auto"/>
          <w:sz w:val="20"/>
          <w:szCs w:val="20"/>
        </w:rPr>
      </w:pPr>
      <w:r>
        <w:rPr>
          <w:rFonts w:ascii="Arial" w:hAnsi="Arial" w:eastAsia="Arial" w:cs="Arial"/>
          <w:color w:val="auto"/>
          <w:sz w:val="20"/>
          <w:szCs w:val="20"/>
        </w:rPr>
        <w:t>(0.95,3.54)</w:t>
      </w:r>
    </w:p>
    <w:p>
      <w:pPr>
        <w:spacing w:after="0" w:line="32"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0.33</w:t>
      </w:r>
    </w:p>
    <w:p>
      <w:pPr>
        <w:spacing w:after="0"/>
        <w:jc w:val="center"/>
        <w:rPr>
          <w:color w:val="auto"/>
          <w:sz w:val="20"/>
          <w:szCs w:val="20"/>
        </w:rPr>
      </w:pPr>
      <w:r>
        <w:rPr>
          <w:rFonts w:ascii="Arial" w:hAnsi="Arial" w:eastAsia="Arial" w:cs="Arial"/>
          <w:color w:val="auto"/>
          <w:sz w:val="20"/>
          <w:szCs w:val="20"/>
        </w:rPr>
        <w:t>(0.15,0.75)</w:t>
      </w:r>
    </w:p>
    <w:p>
      <w:pPr>
        <w:spacing w:after="0" w:line="262"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0.50</w:t>
      </w:r>
    </w:p>
    <w:p>
      <w:pPr>
        <w:spacing w:after="0" w:line="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(0.25,1.01)</w:t>
      </w:r>
    </w:p>
    <w:p>
      <w:pPr>
        <w:spacing w:after="0" w:line="346"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1.75</w:t>
      </w:r>
    </w:p>
    <w:p>
      <w:pPr>
        <w:spacing w:after="0"/>
        <w:jc w:val="center"/>
        <w:rPr>
          <w:color w:val="auto"/>
          <w:sz w:val="20"/>
          <w:szCs w:val="20"/>
        </w:rPr>
      </w:pPr>
      <w:r>
        <w:rPr>
          <w:rFonts w:ascii="Arial" w:hAnsi="Arial" w:eastAsia="Arial" w:cs="Arial"/>
          <w:color w:val="auto"/>
          <w:sz w:val="20"/>
          <w:szCs w:val="20"/>
        </w:rPr>
        <w:t>(0.82,3.76)</w:t>
      </w:r>
    </w:p>
    <w:p>
      <w:pPr>
        <w:spacing w:after="0" w:line="228"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1.42</w:t>
      </w:r>
    </w:p>
    <w:p>
      <w:pPr>
        <w:spacing w:after="0"/>
        <w:jc w:val="center"/>
        <w:rPr>
          <w:color w:val="auto"/>
          <w:sz w:val="20"/>
          <w:szCs w:val="20"/>
        </w:rPr>
      </w:pPr>
      <w:r>
        <w:rPr>
          <w:rFonts w:ascii="Arial" w:hAnsi="Arial" w:eastAsia="Arial" w:cs="Arial"/>
          <w:color w:val="auto"/>
          <w:sz w:val="20"/>
          <w:szCs w:val="20"/>
        </w:rPr>
        <w:t>(0.78,2.56)</w:t>
      </w:r>
    </w:p>
    <w:p>
      <w:pPr>
        <w:spacing w:after="0" w:line="23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1.94</w:t>
      </w:r>
    </w:p>
    <w:p>
      <w:pPr>
        <w:spacing w:after="0" w:line="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(0.85,4.44)</w:t>
      </w:r>
    </w:p>
    <w:p>
      <w:pPr>
        <w:spacing w:after="0" w:line="113"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0.76</w:t>
      </w:r>
    </w:p>
    <w:p>
      <w:pPr>
        <w:spacing w:after="0"/>
        <w:jc w:val="center"/>
        <w:rPr>
          <w:color w:val="auto"/>
          <w:sz w:val="20"/>
          <w:szCs w:val="20"/>
        </w:rPr>
      </w:pPr>
      <w:r>
        <w:rPr>
          <w:rFonts w:ascii="Arial" w:hAnsi="Arial" w:eastAsia="Arial" w:cs="Arial"/>
          <w:color w:val="auto"/>
          <w:sz w:val="20"/>
          <w:szCs w:val="20"/>
        </w:rPr>
        <w:t>(0.39,1.51)</w:t>
      </w:r>
    </w:p>
    <w:p>
      <w:pPr>
        <w:spacing w:after="0" w:line="108"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0.76</w:t>
      </w:r>
    </w:p>
    <w:p>
      <w:pPr>
        <w:spacing w:after="0"/>
        <w:jc w:val="center"/>
        <w:rPr>
          <w:color w:val="auto"/>
          <w:sz w:val="20"/>
          <w:szCs w:val="20"/>
        </w:rPr>
      </w:pPr>
      <w:r>
        <w:rPr>
          <w:rFonts w:ascii="Arial" w:hAnsi="Arial" w:eastAsia="Arial" w:cs="Arial"/>
          <w:color w:val="auto"/>
          <w:sz w:val="20"/>
          <w:szCs w:val="20"/>
        </w:rPr>
        <w:t>(0.33,1.74)</w:t>
      </w:r>
    </w:p>
    <w:p>
      <w:pPr>
        <w:spacing w:after="0" w:line="106" w:lineRule="exact"/>
        <w:rPr>
          <w:color w:val="auto"/>
          <w:sz w:val="20"/>
          <w:szCs w:val="20"/>
        </w:rPr>
      </w:pPr>
    </w:p>
    <w:p>
      <w:pPr>
        <w:spacing w:after="0"/>
        <w:ind w:left="360"/>
        <w:rPr>
          <w:color w:val="auto"/>
          <w:sz w:val="20"/>
          <w:szCs w:val="20"/>
        </w:rPr>
      </w:pPr>
      <w:r>
        <w:rPr>
          <w:rFonts w:ascii="Arial" w:hAnsi="Arial" w:eastAsia="Arial" w:cs="Arial"/>
          <w:color w:val="auto"/>
          <w:sz w:val="20"/>
          <w:szCs w:val="20"/>
        </w:rPr>
        <w:t>0.90</w:t>
      </w:r>
    </w:p>
    <w:p>
      <w:pPr>
        <w:spacing w:after="0" w:line="11" w:lineRule="exact"/>
        <w:rPr>
          <w:color w:val="auto"/>
          <w:sz w:val="20"/>
          <w:szCs w:val="20"/>
        </w:rPr>
      </w:pPr>
    </w:p>
    <w:p>
      <w:pPr>
        <w:spacing w:after="0"/>
        <w:rPr>
          <w:color w:val="auto"/>
          <w:sz w:val="20"/>
          <w:szCs w:val="20"/>
        </w:rPr>
      </w:pPr>
      <w:r>
        <w:rPr>
          <w:rFonts w:ascii="Arial" w:hAnsi="Arial" w:eastAsia="Arial" w:cs="Arial"/>
          <w:color w:val="auto"/>
          <w:sz w:val="19"/>
          <w:szCs w:val="19"/>
        </w:rPr>
        <w:t>( 0.81, 0.99)</w:t>
      </w:r>
    </w:p>
    <w:p>
      <w:pPr>
        <w:spacing w:after="0" w:line="20" w:lineRule="exact"/>
        <w:rPr>
          <w:color w:val="auto"/>
          <w:sz w:val="20"/>
          <w:szCs w:val="20"/>
        </w:rPr>
      </w:pPr>
      <w:r>
        <w:rPr>
          <w:color w:val="auto"/>
          <w:sz w:val="20"/>
          <w:szCs w:val="20"/>
        </w:rPr>
        <w:br w:type="column"/>
      </w:r>
    </w:p>
    <w:p>
      <w:pPr>
        <w:tabs>
          <w:tab w:val="left" w:pos="1120"/>
        </w:tabs>
        <w:spacing w:after="0" w:line="214" w:lineRule="auto"/>
        <w:ind w:left="40"/>
        <w:rPr>
          <w:color w:val="auto"/>
          <w:sz w:val="20"/>
          <w:szCs w:val="20"/>
        </w:rPr>
      </w:pPr>
      <w:r>
        <w:rPr>
          <w:rFonts w:ascii="Arial" w:hAnsi="Arial" w:eastAsia="Arial" w:cs="Arial"/>
          <w:color w:val="auto"/>
          <w:sz w:val="20"/>
          <w:szCs w:val="20"/>
        </w:rPr>
        <w:t>0.02</w:t>
      </w:r>
      <w:r>
        <w:rPr>
          <w:color w:val="auto"/>
          <w:sz w:val="20"/>
          <w:szCs w:val="20"/>
        </w:rPr>
        <w:tab/>
      </w:r>
      <w:r>
        <w:rPr>
          <w:rFonts w:ascii="Arial" w:hAnsi="Arial" w:eastAsia="Arial" w:cs="Arial"/>
          <w:color w:val="auto"/>
          <w:sz w:val="29"/>
          <w:szCs w:val="29"/>
          <w:vertAlign w:val="superscript"/>
        </w:rPr>
        <w:t>3.35</w:t>
      </w:r>
    </w:p>
    <w:p>
      <w:pPr>
        <w:spacing w:after="0" w:line="234" w:lineRule="auto"/>
        <w:ind w:left="860"/>
        <w:rPr>
          <w:color w:val="auto"/>
          <w:sz w:val="20"/>
          <w:szCs w:val="20"/>
        </w:rPr>
      </w:pPr>
      <w:r>
        <w:rPr>
          <w:rFonts w:ascii="Arial" w:hAnsi="Arial" w:eastAsia="Arial" w:cs="Arial"/>
          <w:color w:val="auto"/>
          <w:sz w:val="19"/>
          <w:szCs w:val="19"/>
        </w:rPr>
        <w:t>(1.61,6.96)</w:t>
      </w:r>
    </w:p>
    <w:p>
      <w:pPr>
        <w:tabs>
          <w:tab w:val="left" w:pos="1120"/>
        </w:tabs>
        <w:spacing w:after="0" w:line="211" w:lineRule="auto"/>
        <w:ind w:left="40"/>
        <w:rPr>
          <w:color w:val="auto"/>
          <w:sz w:val="20"/>
          <w:szCs w:val="20"/>
        </w:rPr>
      </w:pPr>
      <w:r>
        <w:rPr>
          <w:rFonts w:ascii="Arial" w:hAnsi="Arial" w:eastAsia="Arial" w:cs="Arial"/>
          <w:color w:val="auto"/>
          <w:sz w:val="20"/>
          <w:szCs w:val="20"/>
        </w:rPr>
        <w:t>0.07</w:t>
      </w:r>
      <w:r>
        <w:rPr>
          <w:color w:val="auto"/>
          <w:sz w:val="20"/>
          <w:szCs w:val="20"/>
        </w:rPr>
        <w:tab/>
      </w:r>
      <w:r>
        <w:rPr>
          <w:rFonts w:ascii="Arial" w:hAnsi="Arial" w:eastAsia="Arial" w:cs="Arial"/>
          <w:color w:val="auto"/>
          <w:sz w:val="29"/>
          <w:szCs w:val="29"/>
          <w:vertAlign w:val="superscript"/>
        </w:rPr>
        <w:t>2.06</w:t>
      </w:r>
    </w:p>
    <w:p>
      <w:pPr>
        <w:spacing w:after="0" w:line="235" w:lineRule="auto"/>
        <w:ind w:left="860"/>
        <w:rPr>
          <w:color w:val="auto"/>
          <w:sz w:val="20"/>
          <w:szCs w:val="20"/>
        </w:rPr>
      </w:pPr>
      <w:r>
        <w:rPr>
          <w:rFonts w:ascii="Arial" w:hAnsi="Arial" w:eastAsia="Arial" w:cs="Arial"/>
          <w:color w:val="auto"/>
          <w:sz w:val="19"/>
          <w:szCs w:val="19"/>
        </w:rPr>
        <w:t>(0.94,4.51)</w:t>
      </w:r>
    </w:p>
    <w:p>
      <w:pPr>
        <w:tabs>
          <w:tab w:val="left" w:pos="1120"/>
        </w:tabs>
        <w:spacing w:after="0" w:line="200" w:lineRule="auto"/>
        <w:rPr>
          <w:color w:val="auto"/>
          <w:sz w:val="20"/>
          <w:szCs w:val="20"/>
        </w:rPr>
      </w:pPr>
      <w:r>
        <w:rPr>
          <w:rFonts w:ascii="Arial" w:hAnsi="Arial" w:eastAsia="Arial" w:cs="Arial"/>
          <w:color w:val="auto"/>
          <w:sz w:val="18"/>
          <w:szCs w:val="18"/>
        </w:rPr>
        <w:t>0.008</w:t>
      </w:r>
      <w:r>
        <w:rPr>
          <w:color w:val="auto"/>
          <w:sz w:val="20"/>
          <w:szCs w:val="20"/>
        </w:rPr>
        <w:tab/>
      </w:r>
      <w:r>
        <w:rPr>
          <w:rFonts w:ascii="Arial" w:hAnsi="Arial" w:eastAsia="Arial" w:cs="Arial"/>
          <w:color w:val="auto"/>
          <w:sz w:val="29"/>
          <w:szCs w:val="29"/>
          <w:vertAlign w:val="superscript"/>
        </w:rPr>
        <w:t>0.28</w:t>
      </w:r>
    </w:p>
    <w:p>
      <w:pPr>
        <w:spacing w:after="0" w:line="235" w:lineRule="auto"/>
        <w:ind w:left="860"/>
        <w:rPr>
          <w:color w:val="auto"/>
          <w:sz w:val="20"/>
          <w:szCs w:val="20"/>
        </w:rPr>
      </w:pPr>
      <w:r>
        <w:rPr>
          <w:rFonts w:ascii="Arial" w:hAnsi="Arial" w:eastAsia="Arial" w:cs="Arial"/>
          <w:color w:val="auto"/>
          <w:sz w:val="19"/>
          <w:szCs w:val="19"/>
        </w:rPr>
        <w:t>(0.11,0.68)</w:t>
      </w:r>
    </w:p>
    <w:p>
      <w:pPr>
        <w:spacing w:after="0" w:line="164" w:lineRule="exact"/>
        <w:rPr>
          <w:color w:val="auto"/>
          <w:sz w:val="20"/>
          <w:szCs w:val="20"/>
        </w:rPr>
      </w:pPr>
    </w:p>
    <w:p>
      <w:pPr>
        <w:tabs>
          <w:tab w:val="left" w:pos="1120"/>
        </w:tabs>
        <w:spacing w:after="0"/>
        <w:ind w:left="40"/>
        <w:rPr>
          <w:color w:val="auto"/>
          <w:sz w:val="20"/>
          <w:szCs w:val="20"/>
        </w:rPr>
      </w:pPr>
      <w:r>
        <w:rPr>
          <w:rFonts w:ascii="Arial" w:hAnsi="Arial" w:eastAsia="Arial" w:cs="Arial"/>
          <w:color w:val="auto"/>
          <w:sz w:val="20"/>
          <w:szCs w:val="20"/>
        </w:rPr>
        <w:t>0.05</w:t>
      </w:r>
      <w:r>
        <w:rPr>
          <w:color w:val="auto"/>
          <w:sz w:val="20"/>
          <w:szCs w:val="20"/>
        </w:rPr>
        <w:tab/>
      </w:r>
      <w:r>
        <w:rPr>
          <w:rFonts w:ascii="Arial" w:hAnsi="Arial" w:eastAsia="Arial" w:cs="Arial"/>
          <w:color w:val="auto"/>
          <w:sz w:val="28"/>
          <w:szCs w:val="28"/>
          <w:vertAlign w:val="superscript"/>
        </w:rPr>
        <w:t>0.50</w:t>
      </w:r>
    </w:p>
    <w:p>
      <w:pPr>
        <w:spacing w:after="0" w:line="223" w:lineRule="auto"/>
        <w:jc w:val="right"/>
        <w:rPr>
          <w:color w:val="auto"/>
          <w:sz w:val="20"/>
          <w:szCs w:val="20"/>
        </w:rPr>
      </w:pPr>
      <w:r>
        <w:rPr>
          <w:rFonts w:ascii="Arial" w:hAnsi="Arial" w:eastAsia="Arial" w:cs="Arial"/>
          <w:color w:val="auto"/>
          <w:sz w:val="20"/>
          <w:szCs w:val="20"/>
        </w:rPr>
        <w:t>(0.19,1.34)</w:t>
      </w:r>
    </w:p>
    <w:p>
      <w:pPr>
        <w:spacing w:after="0" w:line="248" w:lineRule="exact"/>
        <w:rPr>
          <w:color w:val="auto"/>
          <w:sz w:val="20"/>
          <w:szCs w:val="20"/>
        </w:rPr>
      </w:pPr>
    </w:p>
    <w:p>
      <w:pPr>
        <w:tabs>
          <w:tab w:val="left" w:pos="1120"/>
        </w:tabs>
        <w:spacing w:after="0"/>
        <w:ind w:left="40"/>
        <w:rPr>
          <w:color w:val="auto"/>
          <w:sz w:val="20"/>
          <w:szCs w:val="20"/>
        </w:rPr>
      </w:pPr>
      <w:r>
        <w:rPr>
          <w:rFonts w:ascii="Arial" w:hAnsi="Arial" w:eastAsia="Arial" w:cs="Arial"/>
          <w:color w:val="auto"/>
          <w:sz w:val="20"/>
          <w:szCs w:val="20"/>
        </w:rPr>
        <w:t>0.15</w:t>
      </w:r>
      <w:r>
        <w:rPr>
          <w:color w:val="auto"/>
          <w:sz w:val="20"/>
          <w:szCs w:val="20"/>
        </w:rPr>
        <w:tab/>
      </w:r>
      <w:r>
        <w:rPr>
          <w:rFonts w:ascii="Arial" w:hAnsi="Arial" w:eastAsia="Arial" w:cs="Arial"/>
          <w:color w:val="auto"/>
          <w:sz w:val="28"/>
          <w:szCs w:val="28"/>
          <w:vertAlign w:val="superscript"/>
        </w:rPr>
        <w:t>1.19</w:t>
      </w:r>
    </w:p>
    <w:p>
      <w:pPr>
        <w:spacing w:after="0" w:line="234" w:lineRule="auto"/>
        <w:ind w:left="860"/>
        <w:rPr>
          <w:color w:val="auto"/>
          <w:sz w:val="20"/>
          <w:szCs w:val="20"/>
        </w:rPr>
      </w:pPr>
      <w:r>
        <w:rPr>
          <w:rFonts w:ascii="Arial" w:hAnsi="Arial" w:eastAsia="Arial" w:cs="Arial"/>
          <w:color w:val="auto"/>
          <w:sz w:val="19"/>
          <w:szCs w:val="19"/>
        </w:rPr>
        <w:t>(0.41,3.48)</w:t>
      </w:r>
    </w:p>
    <w:p>
      <w:pPr>
        <w:spacing w:after="0" w:line="131" w:lineRule="exact"/>
        <w:rPr>
          <w:color w:val="auto"/>
          <w:sz w:val="20"/>
          <w:szCs w:val="20"/>
        </w:rPr>
      </w:pPr>
    </w:p>
    <w:p>
      <w:pPr>
        <w:tabs>
          <w:tab w:val="left" w:pos="1120"/>
        </w:tabs>
        <w:spacing w:after="0"/>
        <w:ind w:left="40"/>
        <w:rPr>
          <w:color w:val="auto"/>
          <w:sz w:val="20"/>
          <w:szCs w:val="20"/>
        </w:rPr>
      </w:pPr>
      <w:r>
        <w:rPr>
          <w:rFonts w:ascii="Arial" w:hAnsi="Arial" w:eastAsia="Arial" w:cs="Arial"/>
          <w:color w:val="auto"/>
          <w:sz w:val="20"/>
          <w:szCs w:val="20"/>
        </w:rPr>
        <w:t>0.24</w:t>
      </w:r>
      <w:r>
        <w:rPr>
          <w:color w:val="auto"/>
          <w:sz w:val="20"/>
          <w:szCs w:val="20"/>
        </w:rPr>
        <w:tab/>
      </w:r>
      <w:r>
        <w:rPr>
          <w:rFonts w:ascii="Arial" w:hAnsi="Arial" w:eastAsia="Arial" w:cs="Arial"/>
          <w:color w:val="auto"/>
          <w:sz w:val="28"/>
          <w:szCs w:val="28"/>
          <w:vertAlign w:val="superscript"/>
        </w:rPr>
        <w:t>0.98</w:t>
      </w:r>
    </w:p>
    <w:p>
      <w:pPr>
        <w:spacing w:after="0" w:line="234" w:lineRule="auto"/>
        <w:ind w:left="860"/>
        <w:rPr>
          <w:color w:val="auto"/>
          <w:sz w:val="20"/>
          <w:szCs w:val="20"/>
        </w:rPr>
      </w:pPr>
      <w:r>
        <w:rPr>
          <w:rFonts w:ascii="Arial" w:hAnsi="Arial" w:eastAsia="Arial" w:cs="Arial"/>
          <w:color w:val="auto"/>
          <w:sz w:val="19"/>
          <w:szCs w:val="19"/>
        </w:rPr>
        <w:t>(0.47,2.05)</w:t>
      </w:r>
    </w:p>
    <w:p>
      <w:pPr>
        <w:spacing w:after="0" w:line="19" w:lineRule="exact"/>
        <w:rPr>
          <w:color w:val="auto"/>
          <w:sz w:val="20"/>
          <w:szCs w:val="20"/>
        </w:rPr>
      </w:pPr>
    </w:p>
    <w:p>
      <w:pPr>
        <w:tabs>
          <w:tab w:val="left" w:pos="1120"/>
        </w:tabs>
        <w:spacing w:after="0"/>
        <w:ind w:left="40"/>
        <w:rPr>
          <w:color w:val="auto"/>
          <w:sz w:val="20"/>
          <w:szCs w:val="20"/>
        </w:rPr>
      </w:pPr>
      <w:r>
        <w:rPr>
          <w:rFonts w:ascii="Arial" w:hAnsi="Arial" w:eastAsia="Arial" w:cs="Arial"/>
          <w:color w:val="auto"/>
          <w:sz w:val="40"/>
          <w:szCs w:val="40"/>
          <w:vertAlign w:val="subscript"/>
        </w:rPr>
        <w:t>0.15</w:t>
      </w:r>
      <w:r>
        <w:rPr>
          <w:color w:val="auto"/>
          <w:sz w:val="20"/>
          <w:szCs w:val="20"/>
        </w:rPr>
        <w:tab/>
      </w:r>
      <w:r>
        <w:rPr>
          <w:rFonts w:ascii="Arial" w:hAnsi="Arial" w:eastAsia="Arial" w:cs="Arial"/>
          <w:color w:val="auto"/>
          <w:sz w:val="19"/>
          <w:szCs w:val="19"/>
        </w:rPr>
        <w:t>1.86</w:t>
      </w:r>
    </w:p>
    <w:p>
      <w:pPr>
        <w:spacing w:after="0" w:line="234" w:lineRule="auto"/>
        <w:ind w:left="860"/>
        <w:rPr>
          <w:color w:val="auto"/>
          <w:sz w:val="20"/>
          <w:szCs w:val="20"/>
        </w:rPr>
      </w:pPr>
      <w:r>
        <w:rPr>
          <w:rFonts w:ascii="Arial" w:hAnsi="Arial" w:eastAsia="Arial" w:cs="Arial"/>
          <w:color w:val="auto"/>
          <w:sz w:val="19"/>
          <w:szCs w:val="19"/>
        </w:rPr>
        <w:t>(0.89,3.93)</w:t>
      </w:r>
    </w:p>
    <w:p>
      <w:pPr>
        <w:tabs>
          <w:tab w:val="left" w:pos="1120"/>
        </w:tabs>
        <w:spacing w:after="0"/>
        <w:ind w:left="40"/>
        <w:rPr>
          <w:color w:val="auto"/>
          <w:sz w:val="20"/>
          <w:szCs w:val="20"/>
        </w:rPr>
      </w:pPr>
      <w:r>
        <w:rPr>
          <w:rFonts w:ascii="Arial" w:hAnsi="Arial" w:eastAsia="Arial" w:cs="Arial"/>
          <w:color w:val="auto"/>
          <w:sz w:val="40"/>
          <w:szCs w:val="40"/>
          <w:vertAlign w:val="subscript"/>
        </w:rPr>
        <w:t>0.44</w:t>
      </w:r>
      <w:r>
        <w:rPr>
          <w:color w:val="auto"/>
          <w:sz w:val="20"/>
          <w:szCs w:val="20"/>
        </w:rPr>
        <w:tab/>
      </w:r>
      <w:r>
        <w:rPr>
          <w:rFonts w:ascii="Arial" w:hAnsi="Arial" w:eastAsia="Arial" w:cs="Arial"/>
          <w:color w:val="auto"/>
          <w:sz w:val="19"/>
          <w:szCs w:val="19"/>
        </w:rPr>
        <w:t>0.68</w:t>
      </w:r>
    </w:p>
    <w:p>
      <w:pPr>
        <w:spacing w:after="0" w:line="235" w:lineRule="auto"/>
        <w:ind w:left="860"/>
        <w:rPr>
          <w:color w:val="auto"/>
          <w:sz w:val="20"/>
          <w:szCs w:val="20"/>
        </w:rPr>
      </w:pPr>
      <w:r>
        <w:rPr>
          <w:rFonts w:ascii="Arial" w:hAnsi="Arial" w:eastAsia="Arial" w:cs="Arial"/>
          <w:color w:val="auto"/>
          <w:sz w:val="19"/>
          <w:szCs w:val="19"/>
        </w:rPr>
        <w:t>(0.32,1.47)</w:t>
      </w:r>
    </w:p>
    <w:p>
      <w:pPr>
        <w:tabs>
          <w:tab w:val="left" w:pos="1120"/>
        </w:tabs>
        <w:spacing w:after="0"/>
        <w:ind w:left="40"/>
        <w:rPr>
          <w:color w:val="auto"/>
          <w:sz w:val="20"/>
          <w:szCs w:val="20"/>
        </w:rPr>
      </w:pPr>
      <w:r>
        <w:rPr>
          <w:rFonts w:ascii="Arial" w:hAnsi="Arial" w:eastAsia="Arial" w:cs="Arial"/>
          <w:color w:val="auto"/>
          <w:sz w:val="40"/>
          <w:szCs w:val="40"/>
          <w:vertAlign w:val="subscript"/>
        </w:rPr>
        <w:t>0.51</w:t>
      </w:r>
      <w:r>
        <w:rPr>
          <w:color w:val="auto"/>
          <w:sz w:val="20"/>
          <w:szCs w:val="20"/>
        </w:rPr>
        <w:tab/>
      </w:r>
      <w:r>
        <w:rPr>
          <w:rFonts w:ascii="Arial" w:hAnsi="Arial" w:eastAsia="Arial" w:cs="Arial"/>
          <w:color w:val="auto"/>
          <w:sz w:val="19"/>
          <w:szCs w:val="19"/>
        </w:rPr>
        <w:t>0.67</w:t>
      </w:r>
    </w:p>
    <w:p>
      <w:pPr>
        <w:spacing w:after="0" w:line="223" w:lineRule="auto"/>
        <w:jc w:val="right"/>
        <w:rPr>
          <w:color w:val="auto"/>
          <w:sz w:val="20"/>
          <w:szCs w:val="20"/>
        </w:rPr>
      </w:pPr>
      <w:r>
        <w:rPr>
          <w:rFonts w:ascii="Arial" w:hAnsi="Arial" w:eastAsia="Arial" w:cs="Arial"/>
          <w:color w:val="auto"/>
          <w:sz w:val="20"/>
          <w:szCs w:val="20"/>
        </w:rPr>
        <w:t>(0.26,1.72)</w:t>
      </w:r>
    </w:p>
    <w:p>
      <w:pPr>
        <w:spacing w:after="0" w:line="222" w:lineRule="exact"/>
        <w:rPr>
          <w:color w:val="auto"/>
          <w:sz w:val="20"/>
          <w:szCs w:val="20"/>
        </w:rPr>
      </w:pPr>
    </w:p>
    <w:p>
      <w:pPr>
        <w:spacing w:after="0"/>
        <w:ind w:left="40"/>
        <w:rPr>
          <w:color w:val="auto"/>
          <w:sz w:val="20"/>
          <w:szCs w:val="20"/>
        </w:rPr>
      </w:pPr>
      <w:r>
        <w:rPr>
          <w:rFonts w:ascii="Arial" w:hAnsi="Arial" w:eastAsia="Arial" w:cs="Arial"/>
          <w:color w:val="auto"/>
          <w:sz w:val="20"/>
          <w:szCs w:val="20"/>
        </w:rPr>
        <w:t>0.03</w:t>
      </w:r>
    </w:p>
    <w:p>
      <w:pPr>
        <w:spacing w:after="0" w:line="20" w:lineRule="exact"/>
        <w:rPr>
          <w:color w:val="auto"/>
          <w:sz w:val="20"/>
          <w:szCs w:val="20"/>
        </w:rPr>
      </w:pPr>
      <w:r>
        <w:rPr>
          <w:color w:val="auto"/>
          <w:sz w:val="20"/>
          <w:szCs w:val="20"/>
        </w:rPr>
        <w:br w:type="column"/>
      </w:r>
    </w:p>
    <w:p>
      <w:pPr>
        <w:spacing w:after="0" w:line="153" w:lineRule="exact"/>
        <w:rPr>
          <w:color w:val="auto"/>
          <w:sz w:val="20"/>
          <w:szCs w:val="20"/>
        </w:rPr>
      </w:pPr>
    </w:p>
    <w:p>
      <w:pPr>
        <w:spacing w:after="0"/>
        <w:rPr>
          <w:color w:val="auto"/>
          <w:sz w:val="20"/>
          <w:szCs w:val="20"/>
        </w:rPr>
      </w:pPr>
      <w:r>
        <w:rPr>
          <w:rFonts w:ascii="Arial" w:hAnsi="Arial" w:eastAsia="Arial" w:cs="Arial"/>
          <w:b/>
          <w:bCs/>
          <w:color w:val="auto"/>
          <w:sz w:val="19"/>
          <w:szCs w:val="19"/>
        </w:rPr>
        <w:t>0.001</w:t>
      </w:r>
    </w:p>
    <w:p>
      <w:pPr>
        <w:spacing w:after="0" w:line="278" w:lineRule="exact"/>
        <w:rPr>
          <w:color w:val="auto"/>
          <w:sz w:val="20"/>
          <w:szCs w:val="20"/>
        </w:rPr>
      </w:pPr>
    </w:p>
    <w:p>
      <w:pPr>
        <w:spacing w:after="0"/>
        <w:ind w:left="60"/>
        <w:rPr>
          <w:color w:val="auto"/>
          <w:sz w:val="20"/>
          <w:szCs w:val="20"/>
        </w:rPr>
      </w:pPr>
      <w:r>
        <w:rPr>
          <w:rFonts w:ascii="Arial" w:hAnsi="Arial" w:eastAsia="Arial" w:cs="Arial"/>
          <w:b/>
          <w:bCs/>
          <w:color w:val="auto"/>
          <w:sz w:val="20"/>
          <w:szCs w:val="20"/>
        </w:rPr>
        <w:t>0.07</w:t>
      </w:r>
    </w:p>
    <w:p>
      <w:pPr>
        <w:spacing w:after="0" w:line="272" w:lineRule="exact"/>
        <w:rPr>
          <w:color w:val="auto"/>
          <w:sz w:val="20"/>
          <w:szCs w:val="20"/>
        </w:rPr>
      </w:pPr>
    </w:p>
    <w:p>
      <w:pPr>
        <w:spacing w:after="0"/>
        <w:rPr>
          <w:color w:val="auto"/>
          <w:sz w:val="20"/>
          <w:szCs w:val="20"/>
        </w:rPr>
      </w:pPr>
      <w:r>
        <w:rPr>
          <w:rFonts w:ascii="Arial" w:hAnsi="Arial" w:eastAsia="Arial" w:cs="Arial"/>
          <w:b/>
          <w:bCs/>
          <w:color w:val="auto"/>
          <w:sz w:val="19"/>
          <w:szCs w:val="19"/>
        </w:rPr>
        <w:t>0.005</w:t>
      </w:r>
    </w:p>
    <w:p>
      <w:pPr>
        <w:spacing w:after="0" w:line="200" w:lineRule="exact"/>
        <w:rPr>
          <w:color w:val="auto"/>
          <w:sz w:val="20"/>
          <w:szCs w:val="20"/>
        </w:rPr>
      </w:pPr>
    </w:p>
    <w:p>
      <w:pPr>
        <w:spacing w:after="0" w:line="296" w:lineRule="exact"/>
        <w:rPr>
          <w:color w:val="auto"/>
          <w:sz w:val="20"/>
          <w:szCs w:val="20"/>
        </w:rPr>
      </w:pPr>
    </w:p>
    <w:p>
      <w:pPr>
        <w:spacing w:after="0"/>
        <w:ind w:left="60"/>
        <w:rPr>
          <w:color w:val="auto"/>
          <w:sz w:val="20"/>
          <w:szCs w:val="20"/>
        </w:rPr>
      </w:pPr>
      <w:r>
        <w:rPr>
          <w:rFonts w:ascii="Arial" w:hAnsi="Arial" w:eastAsia="Arial" w:cs="Arial"/>
          <w:color w:val="auto"/>
          <w:sz w:val="20"/>
          <w:szCs w:val="20"/>
        </w:rPr>
        <w:t>0.17</w:t>
      </w:r>
    </w:p>
    <w:p>
      <w:pPr>
        <w:spacing w:after="0" w:line="200" w:lineRule="exact"/>
        <w:rPr>
          <w:color w:val="auto"/>
          <w:sz w:val="20"/>
          <w:szCs w:val="20"/>
        </w:rPr>
      </w:pPr>
    </w:p>
    <w:p>
      <w:pPr>
        <w:spacing w:after="0" w:line="377" w:lineRule="exact"/>
        <w:rPr>
          <w:color w:val="auto"/>
          <w:sz w:val="20"/>
          <w:szCs w:val="20"/>
        </w:rPr>
      </w:pPr>
    </w:p>
    <w:p>
      <w:pPr>
        <w:spacing w:after="0"/>
        <w:ind w:left="60"/>
        <w:rPr>
          <w:color w:val="auto"/>
          <w:sz w:val="20"/>
          <w:szCs w:val="20"/>
        </w:rPr>
      </w:pPr>
      <w:r>
        <w:rPr>
          <w:rFonts w:ascii="Arial" w:hAnsi="Arial" w:eastAsia="Arial" w:cs="Arial"/>
          <w:color w:val="auto"/>
          <w:sz w:val="20"/>
          <w:szCs w:val="20"/>
        </w:rPr>
        <w:t>0.75</w:t>
      </w:r>
    </w:p>
    <w:p>
      <w:pPr>
        <w:spacing w:after="0" w:line="200" w:lineRule="exact"/>
        <w:rPr>
          <w:color w:val="auto"/>
          <w:sz w:val="20"/>
          <w:szCs w:val="20"/>
        </w:rPr>
      </w:pPr>
    </w:p>
    <w:p>
      <w:pPr>
        <w:spacing w:after="0" w:line="259" w:lineRule="exact"/>
        <w:rPr>
          <w:color w:val="auto"/>
          <w:sz w:val="20"/>
          <w:szCs w:val="20"/>
        </w:rPr>
      </w:pPr>
    </w:p>
    <w:p>
      <w:pPr>
        <w:spacing w:after="0"/>
        <w:ind w:left="60"/>
        <w:rPr>
          <w:color w:val="auto"/>
          <w:sz w:val="20"/>
          <w:szCs w:val="20"/>
        </w:rPr>
      </w:pPr>
      <w:r>
        <w:rPr>
          <w:rFonts w:ascii="Arial" w:hAnsi="Arial" w:eastAsia="Arial" w:cs="Arial"/>
          <w:color w:val="auto"/>
          <w:sz w:val="20"/>
          <w:szCs w:val="20"/>
        </w:rPr>
        <w:t>0.96</w:t>
      </w:r>
    </w:p>
    <w:p>
      <w:pPr>
        <w:spacing w:after="0" w:line="200" w:lineRule="exact"/>
        <w:rPr>
          <w:color w:val="auto"/>
          <w:sz w:val="20"/>
          <w:szCs w:val="20"/>
        </w:rPr>
      </w:pPr>
    </w:p>
    <w:p>
      <w:pPr>
        <w:spacing w:after="0" w:line="261" w:lineRule="exact"/>
        <w:rPr>
          <w:color w:val="auto"/>
          <w:sz w:val="20"/>
          <w:szCs w:val="20"/>
        </w:rPr>
      </w:pPr>
    </w:p>
    <w:p>
      <w:pPr>
        <w:spacing w:after="0"/>
        <w:ind w:left="60"/>
        <w:rPr>
          <w:color w:val="auto"/>
          <w:sz w:val="20"/>
          <w:szCs w:val="20"/>
        </w:rPr>
      </w:pPr>
      <w:r>
        <w:rPr>
          <w:rFonts w:ascii="Arial" w:hAnsi="Arial" w:eastAsia="Arial" w:cs="Arial"/>
          <w:color w:val="auto"/>
          <w:sz w:val="20"/>
          <w:szCs w:val="20"/>
        </w:rPr>
        <w:t>0.11</w:t>
      </w:r>
    </w:p>
    <w:p>
      <w:pPr>
        <w:spacing w:after="0" w:line="344" w:lineRule="exact"/>
        <w:rPr>
          <w:color w:val="auto"/>
          <w:sz w:val="20"/>
          <w:szCs w:val="20"/>
        </w:rPr>
      </w:pPr>
    </w:p>
    <w:p>
      <w:pPr>
        <w:spacing w:after="0"/>
        <w:ind w:left="60"/>
        <w:rPr>
          <w:color w:val="auto"/>
          <w:sz w:val="20"/>
          <w:szCs w:val="20"/>
        </w:rPr>
      </w:pPr>
      <w:r>
        <w:rPr>
          <w:rFonts w:ascii="Arial" w:hAnsi="Arial" w:eastAsia="Arial" w:cs="Arial"/>
          <w:color w:val="auto"/>
          <w:sz w:val="20"/>
          <w:szCs w:val="20"/>
        </w:rPr>
        <w:t>0.32</w:t>
      </w:r>
    </w:p>
    <w:p>
      <w:pPr>
        <w:spacing w:after="0" w:line="339" w:lineRule="exact"/>
        <w:rPr>
          <w:color w:val="auto"/>
          <w:sz w:val="20"/>
          <w:szCs w:val="20"/>
        </w:rPr>
      </w:pPr>
    </w:p>
    <w:p>
      <w:pPr>
        <w:spacing w:after="0"/>
        <w:ind w:left="120"/>
        <w:rPr>
          <w:color w:val="auto"/>
          <w:sz w:val="20"/>
          <w:szCs w:val="20"/>
        </w:rPr>
      </w:pPr>
      <w:r>
        <w:rPr>
          <w:rFonts w:ascii="Arial" w:hAnsi="Arial" w:eastAsia="Arial" w:cs="Arial"/>
          <w:color w:val="auto"/>
          <w:sz w:val="20"/>
          <w:szCs w:val="20"/>
        </w:rPr>
        <w:t>0.4</w:t>
      </w:r>
    </w:p>
    <w:p>
      <w:pPr>
        <w:spacing w:after="0" w:line="20" w:lineRule="exact"/>
        <w:rPr>
          <w:color w:val="auto"/>
          <w:sz w:val="20"/>
          <w:szCs w:val="20"/>
        </w:rPr>
      </w:pPr>
      <w:r>
        <w:rPr>
          <w:color w:val="auto"/>
          <w:sz w:val="20"/>
          <w:szCs w:val="20"/>
        </w:rPr>
        <w:br w:type="column"/>
      </w:r>
    </w:p>
    <w:p>
      <w:pPr>
        <w:spacing w:after="0" w:line="30"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3.63</w:t>
      </w:r>
    </w:p>
    <w:p>
      <w:pPr>
        <w:spacing w:after="0"/>
        <w:jc w:val="center"/>
        <w:rPr>
          <w:color w:val="auto"/>
          <w:sz w:val="20"/>
          <w:szCs w:val="20"/>
        </w:rPr>
      </w:pPr>
      <w:r>
        <w:rPr>
          <w:rFonts w:ascii="Arial" w:hAnsi="Arial" w:eastAsia="Arial" w:cs="Arial"/>
          <w:color w:val="auto"/>
          <w:sz w:val="20"/>
          <w:szCs w:val="20"/>
        </w:rPr>
        <w:t>(1.72,7.63)</w:t>
      </w:r>
    </w:p>
    <w:p>
      <w:pPr>
        <w:spacing w:after="0" w:line="46"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1.97</w:t>
      </w:r>
    </w:p>
    <w:p>
      <w:pPr>
        <w:spacing w:after="0"/>
        <w:jc w:val="center"/>
        <w:rPr>
          <w:color w:val="auto"/>
          <w:sz w:val="20"/>
          <w:szCs w:val="20"/>
        </w:rPr>
      </w:pPr>
      <w:r>
        <w:rPr>
          <w:rFonts w:ascii="Arial" w:hAnsi="Arial" w:eastAsia="Arial" w:cs="Arial"/>
          <w:color w:val="auto"/>
          <w:sz w:val="20"/>
          <w:szCs w:val="20"/>
        </w:rPr>
        <w:t>(0.89,4.35)</w:t>
      </w:r>
    </w:p>
    <w:p>
      <w:pPr>
        <w:spacing w:after="0" w:line="32"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0.30</w:t>
      </w:r>
    </w:p>
    <w:p>
      <w:pPr>
        <w:spacing w:after="0"/>
        <w:jc w:val="center"/>
        <w:rPr>
          <w:color w:val="auto"/>
          <w:sz w:val="20"/>
          <w:szCs w:val="20"/>
        </w:rPr>
      </w:pPr>
      <w:r>
        <w:rPr>
          <w:rFonts w:ascii="Arial" w:hAnsi="Arial" w:eastAsia="Arial" w:cs="Arial"/>
          <w:color w:val="auto"/>
          <w:sz w:val="20"/>
          <w:szCs w:val="20"/>
        </w:rPr>
        <w:t>(0.12,0.74)</w:t>
      </w:r>
    </w:p>
    <w:p>
      <w:pPr>
        <w:spacing w:after="0" w:line="262"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0.89</w:t>
      </w:r>
    </w:p>
    <w:p>
      <w:pPr>
        <w:spacing w:after="0" w:line="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(0.28,2.89)</w:t>
      </w:r>
    </w:p>
    <w:p>
      <w:pPr>
        <w:spacing w:after="0" w:line="346"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2.53</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(0.63,10.18)</w:t>
      </w:r>
    </w:p>
    <w:p>
      <w:pPr>
        <w:spacing w:after="0" w:line="230"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0.92</w:t>
      </w:r>
    </w:p>
    <w:p>
      <w:pPr>
        <w:spacing w:after="0"/>
        <w:jc w:val="center"/>
        <w:rPr>
          <w:color w:val="auto"/>
          <w:sz w:val="20"/>
          <w:szCs w:val="20"/>
        </w:rPr>
      </w:pPr>
      <w:r>
        <w:rPr>
          <w:rFonts w:ascii="Arial" w:hAnsi="Arial" w:eastAsia="Arial" w:cs="Arial"/>
          <w:color w:val="auto"/>
          <w:sz w:val="20"/>
          <w:szCs w:val="20"/>
        </w:rPr>
        <w:t>(0.44,1.94)</w:t>
      </w:r>
    </w:p>
    <w:p>
      <w:pPr>
        <w:spacing w:after="0" w:line="23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1.95</w:t>
      </w:r>
    </w:p>
    <w:p>
      <w:pPr>
        <w:spacing w:after="0" w:line="1"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(0.91,4.15)</w:t>
      </w:r>
    </w:p>
    <w:p>
      <w:pPr>
        <w:spacing w:after="0" w:line="113"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0.62</w:t>
      </w:r>
    </w:p>
    <w:p>
      <w:pPr>
        <w:spacing w:after="0"/>
        <w:jc w:val="center"/>
        <w:rPr>
          <w:color w:val="auto"/>
          <w:sz w:val="20"/>
          <w:szCs w:val="20"/>
        </w:rPr>
      </w:pPr>
      <w:r>
        <w:rPr>
          <w:rFonts w:ascii="Arial" w:hAnsi="Arial" w:eastAsia="Arial" w:cs="Arial"/>
          <w:color w:val="auto"/>
          <w:sz w:val="20"/>
          <w:szCs w:val="20"/>
        </w:rPr>
        <w:t>(0.29,1.35)</w:t>
      </w:r>
    </w:p>
    <w:p>
      <w:pPr>
        <w:spacing w:after="0" w:line="108"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0.57</w:t>
      </w:r>
    </w:p>
    <w:p>
      <w:pPr>
        <w:spacing w:after="0"/>
        <w:jc w:val="center"/>
        <w:rPr>
          <w:color w:val="auto"/>
          <w:sz w:val="20"/>
          <w:szCs w:val="20"/>
        </w:rPr>
      </w:pPr>
      <w:r>
        <w:rPr>
          <w:rFonts w:ascii="Arial" w:hAnsi="Arial" w:eastAsia="Arial" w:cs="Arial"/>
          <w:color w:val="auto"/>
          <w:sz w:val="20"/>
          <w:szCs w:val="20"/>
        </w:rPr>
        <w:t>(0.21,1.52)</w:t>
      </w:r>
    </w:p>
    <w:p>
      <w:pPr>
        <w:spacing w:after="0" w:line="106"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0.83</w:t>
      </w:r>
    </w:p>
    <w:p>
      <w:pPr>
        <w:spacing w:after="0"/>
        <w:jc w:val="center"/>
        <w:rPr>
          <w:color w:val="auto"/>
          <w:sz w:val="20"/>
          <w:szCs w:val="20"/>
        </w:rPr>
      </w:pPr>
      <w:r>
        <w:rPr>
          <w:rFonts w:ascii="Arial" w:hAnsi="Arial" w:eastAsia="Arial" w:cs="Arial"/>
          <w:color w:val="auto"/>
          <w:sz w:val="20"/>
          <w:szCs w:val="20"/>
        </w:rPr>
        <w:t>(0.66,1.03)</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-4183380</wp:posOffset>
                </wp:positionH>
                <wp:positionV relativeFrom="paragraph">
                  <wp:posOffset>6350</wp:posOffset>
                </wp:positionV>
                <wp:extent cx="8248650" cy="0"/>
                <wp:effectExtent l="0" t="0" r="0" b="0"/>
                <wp:wrapNone/>
                <wp:docPr id="14" name="Shape 14"/>
                <wp:cNvGraphicFramePr/>
                <a:graphic xmlns:a="http://schemas.openxmlformats.org/drawingml/2006/main">
                  <a:graphicData uri="http://schemas.microsoft.com/office/word/2010/wordprocessingShape">
                    <wps:wsp>
                      <wps:cNvCnPr/>
                      <wps:spPr>
                        <a:xfrm>
                          <a:off x="0" y="0"/>
                          <a:ext cx="8248650" cy="4763"/>
                        </a:xfrm>
                        <a:prstGeom prst="line">
                          <a:avLst/>
                        </a:prstGeom>
                        <a:solidFill>
                          <a:srgbClr val="FFFFFF"/>
                        </a:solidFill>
                        <a:ln w="6096">
                          <a:solidFill>
                            <a:srgbClr val="000000"/>
                          </a:solidFill>
                          <a:miter lim="800000"/>
                        </a:ln>
                      </wps:spPr>
                      <wps:bodyPr/>
                    </wps:wsp>
                  </a:graphicData>
                </a:graphic>
              </wp:anchor>
            </w:drawing>
          </mc:Choice>
          <mc:Fallback>
            <w:pict>
              <v:line id="Shape 14" o:spid="_x0000_s1026" o:spt="20" style="position:absolute;left:0pt;margin-left:-329.4pt;margin-top:0.5pt;height:0pt;width:649.5pt;z-index:-251657216;mso-width-relative:page;mso-height-relative:page;" fillcolor="#FFFFFF" filled="t" stroked="t" coordsize="21600,21600" o:allowincell="f" o:gfxdata="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mUVTX&#10;1gAAAAgBAAAPAAAAAAAAAAEAIAAAACIAAABkcnMvZG93bnJldi54bWxQSwECFAAUAAAACACHTuJA&#10;wt5HoLEBAACbAwAADgAAAAAAAAABACAAAAAlAQAAZHJzL2Uyb0RvYy54bWxQSwUGAAAAAAYABgBZ&#10;AQAASAUAAAAA&#10;">
                <v:fill on="t" focussize="0,0"/>
                <v:stroke weight="0.48pt" color="#000000" miterlimit="8" joinstyle="miter"/>
                <v:imagedata o:title=""/>
                <o:lock v:ext="edit" aspectratio="f"/>
              </v:line>
            </w:pict>
          </mc:Fallback>
        </mc:AlternateContent>
      </w:r>
    </w:p>
    <w:p>
      <w:pPr>
        <w:spacing w:after="0" w:line="20" w:lineRule="exact"/>
        <w:rPr>
          <w:color w:val="auto"/>
          <w:sz w:val="20"/>
          <w:szCs w:val="20"/>
        </w:rPr>
      </w:pPr>
      <w:r>
        <w:rPr>
          <w:color w:val="auto"/>
          <w:sz w:val="20"/>
          <w:szCs w:val="20"/>
        </w:rPr>
        <w:br w:type="column"/>
      </w:r>
    </w:p>
    <w:p>
      <w:pPr>
        <w:tabs>
          <w:tab w:val="left" w:pos="1240"/>
        </w:tabs>
        <w:spacing w:after="0" w:line="206" w:lineRule="auto"/>
        <w:rPr>
          <w:color w:val="auto"/>
          <w:sz w:val="20"/>
          <w:szCs w:val="20"/>
        </w:rPr>
      </w:pPr>
      <w:r>
        <w:rPr>
          <w:rFonts w:ascii="Arial" w:hAnsi="Arial" w:eastAsia="Arial" w:cs="Arial"/>
          <w:b/>
          <w:bCs/>
          <w:color w:val="auto"/>
          <w:sz w:val="20"/>
          <w:szCs w:val="20"/>
        </w:rPr>
        <w:t>0.0007</w:t>
      </w:r>
      <w:r>
        <w:rPr>
          <w:color w:val="auto"/>
          <w:sz w:val="20"/>
          <w:szCs w:val="20"/>
        </w:rPr>
        <w:tab/>
      </w:r>
      <w:r>
        <w:rPr>
          <w:rFonts w:ascii="Arial" w:hAnsi="Arial" w:eastAsia="Arial" w:cs="Arial"/>
          <w:color w:val="auto"/>
          <w:sz w:val="30"/>
          <w:szCs w:val="30"/>
          <w:vertAlign w:val="superscript"/>
        </w:rPr>
        <w:t>2.93</w:t>
      </w:r>
    </w:p>
    <w:p>
      <w:pPr>
        <w:spacing w:after="0" w:line="236" w:lineRule="auto"/>
        <w:ind w:left="980"/>
        <w:rPr>
          <w:color w:val="auto"/>
          <w:sz w:val="20"/>
          <w:szCs w:val="20"/>
        </w:rPr>
      </w:pPr>
      <w:r>
        <w:rPr>
          <w:rFonts w:ascii="Arial" w:hAnsi="Arial" w:eastAsia="Arial" w:cs="Arial"/>
          <w:color w:val="auto"/>
          <w:sz w:val="19"/>
          <w:szCs w:val="19"/>
        </w:rPr>
        <w:t>(1.46,5.90)</w:t>
      </w:r>
    </w:p>
    <w:p>
      <w:pPr>
        <w:tabs>
          <w:tab w:val="left" w:pos="1240"/>
        </w:tabs>
        <w:spacing w:after="0" w:line="229" w:lineRule="auto"/>
        <w:ind w:left="220"/>
        <w:rPr>
          <w:color w:val="auto"/>
          <w:sz w:val="20"/>
          <w:szCs w:val="20"/>
        </w:rPr>
      </w:pPr>
      <w:r>
        <w:rPr>
          <w:rFonts w:ascii="Arial" w:hAnsi="Arial" w:eastAsia="Arial" w:cs="Arial"/>
          <w:color w:val="auto"/>
          <w:sz w:val="33"/>
          <w:szCs w:val="33"/>
          <w:vertAlign w:val="subscript"/>
        </w:rPr>
        <w:t>0.1</w:t>
      </w:r>
      <w:r>
        <w:rPr>
          <w:color w:val="auto"/>
          <w:sz w:val="20"/>
          <w:szCs w:val="20"/>
        </w:rPr>
        <w:tab/>
      </w:r>
      <w:r>
        <w:rPr>
          <w:rFonts w:ascii="Arial" w:hAnsi="Arial" w:eastAsia="Arial" w:cs="Arial"/>
          <w:color w:val="auto"/>
          <w:sz w:val="20"/>
          <w:szCs w:val="20"/>
        </w:rPr>
        <w:t>2.06</w:t>
      </w:r>
    </w:p>
    <w:p>
      <w:pPr>
        <w:spacing w:after="0" w:line="235" w:lineRule="auto"/>
        <w:ind w:left="980"/>
        <w:rPr>
          <w:color w:val="auto"/>
          <w:sz w:val="20"/>
          <w:szCs w:val="20"/>
        </w:rPr>
      </w:pPr>
      <w:r>
        <w:rPr>
          <w:rFonts w:ascii="Arial" w:hAnsi="Arial" w:eastAsia="Arial" w:cs="Arial"/>
          <w:color w:val="auto"/>
          <w:sz w:val="19"/>
          <w:szCs w:val="19"/>
        </w:rPr>
        <w:t>(1.00,4.22)</w:t>
      </w:r>
    </w:p>
    <w:p>
      <w:pPr>
        <w:tabs>
          <w:tab w:val="left" w:pos="1240"/>
        </w:tabs>
        <w:spacing w:after="0" w:line="193" w:lineRule="auto"/>
        <w:ind w:left="120"/>
        <w:rPr>
          <w:color w:val="auto"/>
          <w:sz w:val="20"/>
          <w:szCs w:val="20"/>
        </w:rPr>
      </w:pPr>
      <w:r>
        <w:rPr>
          <w:rFonts w:ascii="Arial" w:hAnsi="Arial" w:eastAsia="Arial" w:cs="Arial"/>
          <w:b/>
          <w:bCs/>
          <w:color w:val="auto"/>
          <w:sz w:val="19"/>
          <w:szCs w:val="19"/>
        </w:rPr>
        <w:t>0.009</w:t>
      </w:r>
      <w:r>
        <w:rPr>
          <w:color w:val="auto"/>
          <w:sz w:val="20"/>
          <w:szCs w:val="20"/>
        </w:rPr>
        <w:tab/>
      </w:r>
      <w:r>
        <w:rPr>
          <w:rFonts w:ascii="Arial" w:hAnsi="Arial" w:eastAsia="Arial" w:cs="Arial"/>
          <w:color w:val="auto"/>
          <w:sz w:val="30"/>
          <w:szCs w:val="30"/>
          <w:vertAlign w:val="superscript"/>
        </w:rPr>
        <w:t>0.27</w:t>
      </w:r>
    </w:p>
    <w:p>
      <w:pPr>
        <w:spacing w:after="0" w:line="224" w:lineRule="auto"/>
        <w:jc w:val="right"/>
        <w:rPr>
          <w:color w:val="auto"/>
          <w:sz w:val="20"/>
          <w:szCs w:val="20"/>
        </w:rPr>
      </w:pPr>
      <w:r>
        <w:rPr>
          <w:rFonts w:ascii="Arial" w:hAnsi="Arial" w:eastAsia="Arial" w:cs="Arial"/>
          <w:color w:val="auto"/>
          <w:sz w:val="20"/>
          <w:szCs w:val="20"/>
        </w:rPr>
        <w:t>(0.11,0.66)</w:t>
      </w:r>
    </w:p>
    <w:p>
      <w:pPr>
        <w:spacing w:after="0" w:line="377"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0.85</w:t>
      </w:r>
    </w:p>
    <w:p>
      <w:pPr>
        <w:spacing w:after="0" w:line="200" w:lineRule="exact"/>
        <w:rPr>
          <w:color w:val="auto"/>
          <w:sz w:val="20"/>
          <w:szCs w:val="20"/>
        </w:rPr>
      </w:pPr>
    </w:p>
    <w:p>
      <w:pPr>
        <w:spacing w:after="0" w:line="377"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0.19</w:t>
      </w:r>
    </w:p>
    <w:p>
      <w:pPr>
        <w:spacing w:after="0" w:line="200" w:lineRule="exact"/>
        <w:rPr>
          <w:color w:val="auto"/>
          <w:sz w:val="20"/>
          <w:szCs w:val="20"/>
        </w:rPr>
      </w:pPr>
    </w:p>
    <w:p>
      <w:pPr>
        <w:spacing w:after="0" w:line="259"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0.83</w:t>
      </w:r>
    </w:p>
    <w:p>
      <w:pPr>
        <w:spacing w:after="0" w:line="200" w:lineRule="exact"/>
        <w:rPr>
          <w:color w:val="auto"/>
          <w:sz w:val="20"/>
          <w:szCs w:val="20"/>
        </w:rPr>
      </w:pPr>
    </w:p>
    <w:p>
      <w:pPr>
        <w:spacing w:after="0" w:line="261"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0.09</w:t>
      </w:r>
    </w:p>
    <w:p>
      <w:pPr>
        <w:spacing w:after="0" w:line="344"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0.23</w:t>
      </w:r>
    </w:p>
    <w:p>
      <w:pPr>
        <w:spacing w:after="0" w:line="339"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0.26</w:t>
      </w:r>
    </w:p>
    <w:p>
      <w:pPr>
        <w:spacing w:after="0" w:line="336" w:lineRule="exact"/>
        <w:rPr>
          <w:color w:val="auto"/>
          <w:sz w:val="20"/>
          <w:szCs w:val="20"/>
        </w:rPr>
      </w:pPr>
    </w:p>
    <w:p>
      <w:pPr>
        <w:spacing w:after="0"/>
        <w:ind w:left="180"/>
        <w:rPr>
          <w:color w:val="auto"/>
          <w:sz w:val="20"/>
          <w:szCs w:val="20"/>
        </w:rPr>
      </w:pPr>
      <w:r>
        <w:rPr>
          <w:rFonts w:ascii="Arial" w:hAnsi="Arial" w:eastAsia="Arial" w:cs="Arial"/>
          <w:color w:val="auto"/>
          <w:sz w:val="20"/>
          <w:szCs w:val="20"/>
        </w:rPr>
        <w:t>0.09</w:t>
      </w:r>
    </w:p>
    <w:p>
      <w:pPr>
        <w:spacing w:after="0" w:line="20" w:lineRule="exact"/>
        <w:rPr>
          <w:color w:val="auto"/>
          <w:sz w:val="20"/>
          <w:szCs w:val="20"/>
        </w:rPr>
      </w:pPr>
      <w:r>
        <w:rPr>
          <w:color w:val="auto"/>
          <w:sz w:val="20"/>
          <w:szCs w:val="20"/>
        </w:rPr>
        <w:br w:type="column"/>
      </w:r>
    </w:p>
    <w:p>
      <w:pPr>
        <w:spacing w:after="0" w:line="155"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0.003</w:t>
      </w:r>
    </w:p>
    <w:p>
      <w:pPr>
        <w:spacing w:after="0" w:line="278"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0.05</w:t>
      </w:r>
    </w:p>
    <w:p>
      <w:pPr>
        <w:spacing w:after="0" w:line="272"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0.004</w:t>
      </w:r>
    </w:p>
    <w:p>
      <w:pPr>
        <w:spacing w:after="0" w:line="20" w:lineRule="exact"/>
        <w:rPr>
          <w:color w:val="auto"/>
          <w:sz w:val="20"/>
          <w:szCs w:val="20"/>
        </w:rPr>
      </w:pPr>
      <w:r>
        <w:rPr>
          <w:color w:val="auto"/>
          <w:sz w:val="20"/>
          <w:szCs w:val="20"/>
        </w:rPr>
        <w:br w:type="column"/>
      </w:r>
    </w:p>
    <w:p>
      <w:pPr>
        <w:spacing w:after="0" w:line="30"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3.13</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(1.54,6.39)</w:t>
      </w:r>
    </w:p>
    <w:p>
      <w:pPr>
        <w:spacing w:after="0" w:line="47"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1.96</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(0.94,4.12)</w:t>
      </w:r>
    </w:p>
    <w:p>
      <w:pPr>
        <w:spacing w:after="0" w:line="33"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0.29</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(0.12,0.72)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4"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0.63</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(0.30,1.35)</w:t>
      </w:r>
    </w:p>
    <w:p>
      <w:pPr>
        <w:spacing w:after="0" w:line="110"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0.67</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(0.26,1.72)</w:t>
      </w:r>
    </w:p>
    <w:p>
      <w:pPr>
        <w:spacing w:after="0" w:line="107" w:lineRule="exact"/>
        <w:rPr>
          <w:color w:val="auto"/>
          <w:sz w:val="20"/>
          <w:szCs w:val="20"/>
        </w:rPr>
      </w:pPr>
    </w:p>
    <w:p>
      <w:pPr>
        <w:spacing w:after="0"/>
        <w:jc w:val="center"/>
        <w:rPr>
          <w:color w:val="auto"/>
          <w:sz w:val="20"/>
          <w:szCs w:val="20"/>
        </w:rPr>
      </w:pPr>
      <w:r>
        <w:rPr>
          <w:rFonts w:ascii="Arial" w:hAnsi="Arial" w:eastAsia="Arial" w:cs="Arial"/>
          <w:color w:val="auto"/>
          <w:sz w:val="20"/>
          <w:szCs w:val="20"/>
        </w:rPr>
        <w:t>0.89</w:t>
      </w:r>
    </w:p>
    <w:p>
      <w:pPr>
        <w:spacing w:after="0" w:line="11" w:lineRule="exact"/>
        <w:rPr>
          <w:color w:val="auto"/>
          <w:sz w:val="20"/>
          <w:szCs w:val="20"/>
        </w:rPr>
      </w:pPr>
    </w:p>
    <w:p>
      <w:pPr>
        <w:spacing w:after="0"/>
        <w:jc w:val="center"/>
        <w:rPr>
          <w:color w:val="auto"/>
          <w:sz w:val="20"/>
          <w:szCs w:val="20"/>
        </w:rPr>
      </w:pPr>
      <w:r>
        <w:rPr>
          <w:rFonts w:ascii="Arial" w:hAnsi="Arial" w:eastAsia="Arial" w:cs="Arial"/>
          <w:color w:val="auto"/>
          <w:sz w:val="19"/>
          <w:szCs w:val="19"/>
        </w:rPr>
        <w:t>(0.80,1.00)</w:t>
      </w:r>
    </w:p>
    <w:p>
      <w:pPr>
        <w:spacing w:after="0" w:line="20" w:lineRule="exact"/>
        <w:rPr>
          <w:color w:val="auto"/>
          <w:sz w:val="20"/>
          <w:szCs w:val="20"/>
        </w:rPr>
      </w:pPr>
      <w:r>
        <w:rPr>
          <w:color w:val="auto"/>
          <w:sz w:val="20"/>
          <w:szCs w:val="20"/>
        </w:rPr>
        <w:br w:type="column"/>
      </w:r>
    </w:p>
    <w:p>
      <w:pPr>
        <w:spacing w:after="0" w:line="153" w:lineRule="exact"/>
        <w:rPr>
          <w:color w:val="auto"/>
          <w:sz w:val="20"/>
          <w:szCs w:val="20"/>
        </w:rPr>
      </w:pPr>
    </w:p>
    <w:p>
      <w:pPr>
        <w:spacing w:after="0"/>
        <w:rPr>
          <w:color w:val="auto"/>
          <w:sz w:val="20"/>
          <w:szCs w:val="20"/>
        </w:rPr>
      </w:pPr>
      <w:r>
        <w:rPr>
          <w:rFonts w:ascii="Arial" w:hAnsi="Arial" w:eastAsia="Arial" w:cs="Arial"/>
          <w:b/>
          <w:bCs/>
          <w:color w:val="auto"/>
          <w:sz w:val="19"/>
          <w:szCs w:val="19"/>
        </w:rPr>
        <w:t>0.002</w:t>
      </w:r>
    </w:p>
    <w:p>
      <w:pPr>
        <w:spacing w:after="0" w:line="280" w:lineRule="exact"/>
        <w:rPr>
          <w:color w:val="auto"/>
          <w:sz w:val="20"/>
          <w:szCs w:val="20"/>
        </w:rPr>
      </w:pPr>
    </w:p>
    <w:p>
      <w:pPr>
        <w:spacing w:after="0"/>
        <w:ind w:left="60"/>
        <w:rPr>
          <w:color w:val="auto"/>
          <w:sz w:val="20"/>
          <w:szCs w:val="20"/>
        </w:rPr>
      </w:pPr>
      <w:r>
        <w:rPr>
          <w:rFonts w:ascii="Arial" w:hAnsi="Arial" w:eastAsia="Arial" w:cs="Arial"/>
          <w:color w:val="auto"/>
          <w:sz w:val="20"/>
          <w:szCs w:val="20"/>
        </w:rPr>
        <w:t>0.07</w:t>
      </w:r>
    </w:p>
    <w:p>
      <w:pPr>
        <w:spacing w:after="0" w:line="270" w:lineRule="exact"/>
        <w:rPr>
          <w:color w:val="auto"/>
          <w:sz w:val="20"/>
          <w:szCs w:val="20"/>
        </w:rPr>
      </w:pPr>
    </w:p>
    <w:p>
      <w:pPr>
        <w:spacing w:after="0"/>
        <w:rPr>
          <w:color w:val="auto"/>
          <w:sz w:val="20"/>
          <w:szCs w:val="20"/>
        </w:rPr>
      </w:pPr>
      <w:r>
        <w:rPr>
          <w:rFonts w:ascii="Arial" w:hAnsi="Arial" w:eastAsia="Arial" w:cs="Arial"/>
          <w:b/>
          <w:bCs/>
          <w:color w:val="auto"/>
          <w:sz w:val="19"/>
          <w:szCs w:val="19"/>
        </w:rPr>
        <w:t>0.007</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7" w:lineRule="exact"/>
        <w:rPr>
          <w:color w:val="auto"/>
          <w:sz w:val="20"/>
          <w:szCs w:val="20"/>
        </w:rPr>
      </w:pPr>
    </w:p>
    <w:p>
      <w:pPr>
        <w:spacing w:after="0"/>
        <w:ind w:left="60"/>
        <w:rPr>
          <w:color w:val="auto"/>
          <w:sz w:val="20"/>
          <w:szCs w:val="20"/>
        </w:rPr>
      </w:pPr>
      <w:r>
        <w:rPr>
          <w:rFonts w:ascii="Arial" w:hAnsi="Arial" w:eastAsia="Arial" w:cs="Arial"/>
          <w:color w:val="auto"/>
          <w:sz w:val="20"/>
          <w:szCs w:val="20"/>
        </w:rPr>
        <w:t>0.24</w:t>
      </w:r>
    </w:p>
    <w:p>
      <w:pPr>
        <w:spacing w:after="0" w:line="339" w:lineRule="exact"/>
        <w:rPr>
          <w:color w:val="auto"/>
          <w:sz w:val="20"/>
          <w:szCs w:val="20"/>
        </w:rPr>
      </w:pPr>
    </w:p>
    <w:p>
      <w:pPr>
        <w:spacing w:after="0"/>
        <w:ind w:left="60"/>
        <w:rPr>
          <w:color w:val="auto"/>
          <w:sz w:val="20"/>
          <w:szCs w:val="20"/>
        </w:rPr>
      </w:pPr>
      <w:r>
        <w:rPr>
          <w:rFonts w:ascii="Arial" w:hAnsi="Arial" w:eastAsia="Arial" w:cs="Arial"/>
          <w:color w:val="auto"/>
          <w:sz w:val="20"/>
          <w:szCs w:val="20"/>
        </w:rPr>
        <w:t>0.40</w:t>
      </w:r>
    </w:p>
    <w:p>
      <w:pPr>
        <w:spacing w:after="0" w:line="334" w:lineRule="exact"/>
        <w:rPr>
          <w:color w:val="auto"/>
          <w:sz w:val="20"/>
          <w:szCs w:val="20"/>
        </w:rPr>
      </w:pPr>
    </w:p>
    <w:p>
      <w:pPr>
        <w:spacing w:after="0"/>
        <w:ind w:left="60"/>
        <w:rPr>
          <w:color w:val="auto"/>
          <w:sz w:val="20"/>
          <w:szCs w:val="20"/>
        </w:rPr>
      </w:pPr>
      <w:r>
        <w:rPr>
          <w:rFonts w:ascii="Arial" w:hAnsi="Arial" w:eastAsia="Arial" w:cs="Arial"/>
          <w:b/>
          <w:bCs/>
          <w:color w:val="auto"/>
          <w:sz w:val="20"/>
          <w:szCs w:val="20"/>
        </w:rPr>
        <w:t>0.05</w:t>
      </w:r>
    </w:p>
    <w:p>
      <w:pPr>
        <w:spacing w:after="0" w:line="129" w:lineRule="exact"/>
        <w:rPr>
          <w:color w:val="auto"/>
          <w:sz w:val="20"/>
          <w:szCs w:val="20"/>
        </w:rPr>
      </w:pPr>
    </w:p>
    <w:p>
      <w:pPr>
        <w:sectPr>
          <w:type w:val="continuous"/>
          <w:pgSz w:w="15840" w:h="12242" w:orient="landscape"/>
          <w:pgMar w:top="1435" w:right="722" w:bottom="134" w:left="1440" w:header="0" w:footer="0" w:gutter="0"/>
          <w:cols w:equalWidth="0" w:num="9">
            <w:col w:w="2400" w:space="320"/>
            <w:col w:w="1060" w:space="400"/>
            <w:col w:w="1820" w:space="340"/>
            <w:col w:w="500" w:space="440"/>
            <w:col w:w="1060" w:space="360"/>
            <w:col w:w="1940" w:space="300"/>
            <w:col w:w="500" w:space="320"/>
            <w:col w:w="960" w:space="320"/>
            <w:col w:w="640"/>
          </w:cols>
        </w:sectPr>
      </w:pPr>
    </w:p>
    <w:p>
      <w:pPr>
        <w:numPr>
          <w:ilvl w:val="0"/>
          <w:numId w:val="7"/>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Individual univariable logistic regression models with variable p&lt;0.25 and some important components</w:t>
      </w:r>
    </w:p>
    <w:p>
      <w:pPr>
        <w:numPr>
          <w:ilvl w:val="0"/>
          <w:numId w:val="7"/>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1: Multivariable logistic regression model with variable p&lt;0.25 and some important components.</w:t>
      </w:r>
    </w:p>
    <w:p>
      <w:pPr>
        <w:numPr>
          <w:ilvl w:val="0"/>
          <w:numId w:val="7"/>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2: adjust age for Multivariable logistic regression mode 1</w:t>
      </w:r>
    </w:p>
    <w:p>
      <w:pPr>
        <w:spacing w:after="0" w:line="1" w:lineRule="exact"/>
        <w:rPr>
          <w:rFonts w:ascii="Arial" w:hAnsi="Arial" w:eastAsia="Arial" w:cs="Arial"/>
          <w:color w:val="auto"/>
          <w:sz w:val="18"/>
          <w:szCs w:val="18"/>
        </w:rPr>
      </w:pPr>
    </w:p>
    <w:p>
      <w:pPr>
        <w:numPr>
          <w:ilvl w:val="0"/>
          <w:numId w:val="7"/>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3: Multivariable logistic regression model with variable p&lt;0.1 in model 2</w:t>
      </w:r>
    </w:p>
    <w:p>
      <w:pPr>
        <w:numPr>
          <w:ilvl w:val="0"/>
          <w:numId w:val="7"/>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4: adjust age , BMI, smoking for multivariable logistic regression 3</w:t>
      </w:r>
    </w:p>
    <w:p>
      <w:pPr>
        <w:spacing w:after="0" w:line="200" w:lineRule="exact"/>
        <w:rPr>
          <w:color w:val="auto"/>
          <w:sz w:val="20"/>
          <w:szCs w:val="20"/>
        </w:rPr>
      </w:pPr>
    </w:p>
    <w:p>
      <w:pPr>
        <w:spacing w:after="0" w:line="346" w:lineRule="exact"/>
        <w:rPr>
          <w:color w:val="auto"/>
          <w:sz w:val="20"/>
          <w:szCs w:val="20"/>
        </w:rPr>
      </w:pPr>
    </w:p>
    <w:p>
      <w:pPr>
        <w:spacing w:after="0"/>
        <w:ind w:right="-19"/>
        <w:jc w:val="center"/>
        <w:rPr>
          <w:color w:val="auto"/>
          <w:sz w:val="20"/>
          <w:szCs w:val="20"/>
        </w:rPr>
      </w:pPr>
      <w:r>
        <w:rPr>
          <w:rFonts w:ascii="Calibri" w:hAnsi="Calibri" w:eastAsia="Calibri" w:cs="Calibri"/>
          <w:color w:val="auto"/>
          <w:sz w:val="24"/>
          <w:szCs w:val="24"/>
        </w:rPr>
        <w:t>45</w:t>
      </w:r>
    </w:p>
    <w:p>
      <w:pPr>
        <w:sectPr>
          <w:type w:val="continuous"/>
          <w:pgSz w:w="15840" w:h="12242" w:orient="landscape"/>
          <w:pgMar w:top="1435" w:right="722" w:bottom="134" w:left="1440" w:header="0" w:footer="0" w:gutter="0"/>
          <w:cols w:equalWidth="0" w:num="1">
            <w:col w:w="13680"/>
          </w:cols>
        </w:sectPr>
      </w:pPr>
    </w:p>
    <w:p>
      <w:pPr>
        <w:spacing w:after="0" w:line="6" w:lineRule="exact"/>
        <w:rPr>
          <w:color w:val="auto"/>
          <w:sz w:val="20"/>
          <w:szCs w:val="20"/>
        </w:rPr>
      </w:pPr>
      <w:bookmarkStart w:id="50" w:name="page56"/>
      <w:bookmarkEnd w:id="50"/>
    </w:p>
    <w:p>
      <w:pPr>
        <w:spacing w:after="0" w:line="479" w:lineRule="auto"/>
        <w:ind w:left="720" w:right="122" w:firstLine="660"/>
        <w:rPr>
          <w:color w:val="auto"/>
          <w:sz w:val="20"/>
          <w:szCs w:val="20"/>
        </w:rPr>
      </w:pPr>
      <w:r>
        <w:rPr>
          <w:rFonts w:ascii="Arial" w:hAnsi="Arial" w:eastAsia="Arial" w:cs="Arial"/>
          <w:color w:val="auto"/>
          <w:sz w:val="22"/>
          <w:szCs w:val="22"/>
        </w:rPr>
        <w:t>We used univariable linear regression to assess associations between exposure variables and serum 25 (OH)D (Table 7.5). Dietary vitamin D, blood draw in a high sun-exposure month, cold cereal and milk intake and current OC use were significantly positively associated with serum 25 (OH) D, whereas BMI, sunscreen use and &lt;2 hours outside daily were negatively associated with 25(OH) D levels (p &lt; 0.25). When these variables were entered in multivariable linear regression models (Table 7.6, Models 2 &amp; 3), four variables were significantly positively associated with vitamin D levels after controlling for energy intake: dietary vitamin D, cold cereal intake, OC use and blood draw in a high sun-exposure month; sunscreen use was negatively associated with 25(OH) D.</w:t>
      </w:r>
    </w:p>
    <w:p>
      <w:pPr>
        <w:spacing w:after="0"/>
        <w:ind w:left="720"/>
        <w:rPr>
          <w:color w:val="auto"/>
          <w:sz w:val="20"/>
          <w:szCs w:val="20"/>
        </w:rPr>
      </w:pPr>
      <w:r>
        <w:rPr>
          <w:rFonts w:ascii="Arial" w:hAnsi="Arial" w:eastAsia="Arial" w:cs="Arial"/>
          <w:b/>
          <w:bCs/>
          <w:color w:val="auto"/>
          <w:sz w:val="21"/>
          <w:szCs w:val="21"/>
        </w:rPr>
        <w:t>Table 7.5 Univariable linear regression of serum 25(OH) D by main factors</w:t>
      </w:r>
    </w:p>
    <w:tbl>
      <w:tblPr>
        <w:tblStyle w:val="3"/>
        <w:tblW w:w="0" w:type="auto"/>
        <w:tblInd w:w="700" w:type="dxa"/>
        <w:tblLayout w:type="fixed"/>
        <w:tblCellMar>
          <w:top w:w="0" w:type="dxa"/>
          <w:left w:w="0" w:type="dxa"/>
          <w:bottom w:w="0" w:type="dxa"/>
          <w:right w:w="0" w:type="dxa"/>
        </w:tblCellMar>
      </w:tblPr>
      <w:tblGrid>
        <w:gridCol w:w="3140"/>
        <w:gridCol w:w="1280"/>
        <w:gridCol w:w="1060"/>
        <w:gridCol w:w="980"/>
        <w:gridCol w:w="360"/>
      </w:tblGrid>
      <w:tr>
        <w:tblPrEx>
          <w:tblCellMar>
            <w:top w:w="0" w:type="dxa"/>
            <w:left w:w="0" w:type="dxa"/>
            <w:bottom w:w="0" w:type="dxa"/>
            <w:right w:w="0" w:type="dxa"/>
          </w:tblCellMar>
        </w:tblPrEx>
        <w:trPr>
          <w:trHeight w:val="296" w:hRule="atLeast"/>
        </w:trPr>
        <w:tc>
          <w:tcPr>
            <w:tcW w:w="3140" w:type="dxa"/>
            <w:tcBorders>
              <w:top w:val="single" w:color="auto" w:sz="8" w:space="0"/>
              <w:bottom w:val="single" w:color="auto" w:sz="8" w:space="0"/>
            </w:tcBorders>
            <w:vAlign w:val="bottom"/>
          </w:tcPr>
          <w:p>
            <w:pPr>
              <w:spacing w:after="0"/>
              <w:rPr>
                <w:color w:val="auto"/>
                <w:sz w:val="24"/>
                <w:szCs w:val="24"/>
              </w:rPr>
            </w:pPr>
          </w:p>
        </w:tc>
        <w:tc>
          <w:tcPr>
            <w:tcW w:w="1280" w:type="dxa"/>
            <w:tcBorders>
              <w:top w:val="single" w:color="auto" w:sz="8" w:space="0"/>
              <w:bottom w:val="single" w:color="auto" w:sz="8" w:space="0"/>
            </w:tcBorders>
            <w:vAlign w:val="bottom"/>
          </w:tcPr>
          <w:p>
            <w:pPr>
              <w:spacing w:after="0"/>
              <w:jc w:val="center"/>
              <w:rPr>
                <w:color w:val="auto"/>
                <w:sz w:val="20"/>
                <w:szCs w:val="20"/>
              </w:rPr>
            </w:pPr>
            <w:r>
              <w:rPr>
                <w:rFonts w:ascii="Arial" w:hAnsi="Arial" w:eastAsia="Arial" w:cs="Arial"/>
                <w:b/>
                <w:bCs/>
                <w:color w:val="auto"/>
                <w:w w:val="98"/>
                <w:sz w:val="20"/>
                <w:szCs w:val="20"/>
              </w:rPr>
              <w:t>Coefficient</w:t>
            </w:r>
          </w:p>
        </w:tc>
        <w:tc>
          <w:tcPr>
            <w:tcW w:w="1060" w:type="dxa"/>
            <w:tcBorders>
              <w:top w:val="single" w:color="auto" w:sz="8" w:space="0"/>
              <w:bottom w:val="single" w:color="auto" w:sz="8" w:space="0"/>
            </w:tcBorders>
            <w:vAlign w:val="bottom"/>
          </w:tcPr>
          <w:p>
            <w:pPr>
              <w:spacing w:after="0"/>
              <w:ind w:left="420"/>
              <w:rPr>
                <w:color w:val="auto"/>
                <w:sz w:val="20"/>
                <w:szCs w:val="20"/>
              </w:rPr>
            </w:pPr>
            <w:r>
              <w:rPr>
                <w:rFonts w:ascii="Arial" w:hAnsi="Arial" w:eastAsia="Arial" w:cs="Arial"/>
                <w:b/>
                <w:bCs/>
                <w:color w:val="auto"/>
                <w:sz w:val="20"/>
                <w:szCs w:val="20"/>
              </w:rPr>
              <w:t>R</w:t>
            </w:r>
            <w:r>
              <w:rPr>
                <w:rFonts w:ascii="Arial" w:hAnsi="Arial" w:eastAsia="Arial" w:cs="Arial"/>
                <w:b/>
                <w:bCs/>
                <w:color w:val="auto"/>
                <w:sz w:val="25"/>
                <w:szCs w:val="25"/>
                <w:vertAlign w:val="superscript"/>
              </w:rPr>
              <w:t>2</w:t>
            </w:r>
          </w:p>
        </w:tc>
        <w:tc>
          <w:tcPr>
            <w:tcW w:w="980" w:type="dxa"/>
            <w:tcBorders>
              <w:top w:val="single" w:color="auto" w:sz="8" w:space="0"/>
              <w:bottom w:val="single" w:color="auto" w:sz="8" w:space="0"/>
            </w:tcBorders>
            <w:vAlign w:val="bottom"/>
          </w:tcPr>
          <w:p>
            <w:pPr>
              <w:spacing w:after="0"/>
              <w:ind w:left="120"/>
              <w:rPr>
                <w:color w:val="auto"/>
                <w:sz w:val="20"/>
                <w:szCs w:val="20"/>
              </w:rPr>
            </w:pPr>
            <w:r>
              <w:rPr>
                <w:rFonts w:ascii="Arial" w:hAnsi="Arial" w:eastAsia="Arial" w:cs="Arial"/>
                <w:b/>
                <w:bCs/>
                <w:color w:val="auto"/>
                <w:sz w:val="20"/>
                <w:szCs w:val="20"/>
              </w:rPr>
              <w:t>p-value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5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Dietary Vitamin D</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0.02</w:t>
            </w:r>
          </w:p>
        </w:tc>
        <w:tc>
          <w:tcPr>
            <w:tcW w:w="1060" w:type="dxa"/>
            <w:vAlign w:val="bottom"/>
          </w:tcPr>
          <w:p>
            <w:pPr>
              <w:spacing w:after="0"/>
              <w:jc w:val="center"/>
              <w:rPr>
                <w:color w:val="auto"/>
                <w:sz w:val="20"/>
                <w:szCs w:val="20"/>
              </w:rPr>
            </w:pPr>
            <w:r>
              <w:rPr>
                <w:rFonts w:ascii="Arial" w:hAnsi="Arial" w:eastAsia="Arial" w:cs="Arial"/>
                <w:color w:val="auto"/>
                <w:w w:val="97"/>
                <w:sz w:val="20"/>
                <w:szCs w:val="20"/>
              </w:rPr>
              <w:t>0.04</w:t>
            </w:r>
          </w:p>
        </w:tc>
        <w:tc>
          <w:tcPr>
            <w:tcW w:w="980" w:type="dxa"/>
            <w:vAlign w:val="bottom"/>
          </w:tcPr>
          <w:p>
            <w:pPr>
              <w:spacing w:after="0"/>
              <w:jc w:val="center"/>
              <w:rPr>
                <w:color w:val="auto"/>
                <w:sz w:val="20"/>
                <w:szCs w:val="20"/>
              </w:rPr>
            </w:pPr>
            <w:r>
              <w:rPr>
                <w:rFonts w:ascii="Arial" w:hAnsi="Arial" w:eastAsia="Arial" w:cs="Arial"/>
                <w:b/>
                <w:bCs/>
                <w:color w:val="auto"/>
                <w:w w:val="99"/>
                <w:sz w:val="20"/>
                <w:szCs w:val="20"/>
              </w:rPr>
              <w:t>0.006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BMI</w:t>
            </w:r>
          </w:p>
        </w:tc>
        <w:tc>
          <w:tcPr>
            <w:tcW w:w="1280" w:type="dxa"/>
            <w:vAlign w:val="bottom"/>
          </w:tcPr>
          <w:p>
            <w:pPr>
              <w:spacing w:after="0"/>
              <w:jc w:val="center"/>
              <w:rPr>
                <w:color w:val="auto"/>
                <w:sz w:val="20"/>
                <w:szCs w:val="20"/>
              </w:rPr>
            </w:pPr>
            <w:r>
              <w:rPr>
                <w:rFonts w:ascii="Arial" w:hAnsi="Arial" w:eastAsia="Arial" w:cs="Arial"/>
                <w:color w:val="auto"/>
                <w:sz w:val="20"/>
                <w:szCs w:val="20"/>
              </w:rPr>
              <w:t>-1.03</w:t>
            </w:r>
          </w:p>
        </w:tc>
        <w:tc>
          <w:tcPr>
            <w:tcW w:w="1060" w:type="dxa"/>
            <w:vAlign w:val="bottom"/>
          </w:tcPr>
          <w:p>
            <w:pPr>
              <w:spacing w:after="0"/>
              <w:jc w:val="center"/>
              <w:rPr>
                <w:color w:val="auto"/>
                <w:sz w:val="20"/>
                <w:szCs w:val="20"/>
              </w:rPr>
            </w:pPr>
            <w:r>
              <w:rPr>
                <w:rFonts w:ascii="Arial" w:hAnsi="Arial" w:eastAsia="Arial" w:cs="Arial"/>
                <w:color w:val="auto"/>
                <w:w w:val="97"/>
                <w:sz w:val="20"/>
                <w:szCs w:val="20"/>
              </w:rPr>
              <w:t>0.01</w:t>
            </w:r>
          </w:p>
        </w:tc>
        <w:tc>
          <w:tcPr>
            <w:tcW w:w="980" w:type="dxa"/>
            <w:vAlign w:val="bottom"/>
          </w:tcPr>
          <w:p>
            <w:pPr>
              <w:spacing w:after="0"/>
              <w:jc w:val="center"/>
              <w:rPr>
                <w:color w:val="auto"/>
                <w:sz w:val="20"/>
                <w:szCs w:val="20"/>
              </w:rPr>
            </w:pPr>
            <w:r>
              <w:rPr>
                <w:rFonts w:ascii="Arial" w:hAnsi="Arial" w:eastAsia="Arial" w:cs="Arial"/>
                <w:b/>
                <w:bCs/>
                <w:color w:val="auto"/>
                <w:w w:val="97"/>
                <w:sz w:val="20"/>
                <w:szCs w:val="20"/>
              </w:rPr>
              <w:t>0.17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Calcium without supplement</w:t>
            </w:r>
          </w:p>
        </w:tc>
        <w:tc>
          <w:tcPr>
            <w:tcW w:w="1280" w:type="dxa"/>
            <w:vAlign w:val="bottom"/>
          </w:tcPr>
          <w:p>
            <w:pPr>
              <w:spacing w:after="0"/>
              <w:jc w:val="center"/>
              <w:rPr>
                <w:color w:val="auto"/>
                <w:sz w:val="20"/>
                <w:szCs w:val="20"/>
              </w:rPr>
            </w:pPr>
            <w:r>
              <w:rPr>
                <w:rFonts w:ascii="Arial" w:hAnsi="Arial" w:eastAsia="Arial" w:cs="Arial"/>
                <w:color w:val="auto"/>
                <w:sz w:val="20"/>
                <w:szCs w:val="20"/>
              </w:rPr>
              <w:t>-0.0001</w:t>
            </w:r>
          </w:p>
        </w:tc>
        <w:tc>
          <w:tcPr>
            <w:tcW w:w="1060" w:type="dxa"/>
            <w:vAlign w:val="bottom"/>
          </w:tcPr>
          <w:p>
            <w:pPr>
              <w:spacing w:after="0"/>
              <w:jc w:val="center"/>
              <w:rPr>
                <w:color w:val="auto"/>
                <w:sz w:val="20"/>
                <w:szCs w:val="20"/>
              </w:rPr>
            </w:pPr>
            <w:r>
              <w:rPr>
                <w:rFonts w:ascii="Arial" w:hAnsi="Arial" w:eastAsia="Arial" w:cs="Arial"/>
                <w:color w:val="auto"/>
                <w:sz w:val="20"/>
                <w:szCs w:val="20"/>
              </w:rPr>
              <w:t>0.000003</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0.98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Omega 3</w:t>
            </w:r>
          </w:p>
        </w:tc>
        <w:tc>
          <w:tcPr>
            <w:tcW w:w="1280" w:type="dxa"/>
            <w:vAlign w:val="bottom"/>
          </w:tcPr>
          <w:p>
            <w:pPr>
              <w:spacing w:after="0"/>
              <w:jc w:val="center"/>
              <w:rPr>
                <w:color w:val="auto"/>
                <w:sz w:val="20"/>
                <w:szCs w:val="20"/>
              </w:rPr>
            </w:pPr>
            <w:r>
              <w:rPr>
                <w:rFonts w:ascii="Arial" w:hAnsi="Arial" w:eastAsia="Arial" w:cs="Arial"/>
                <w:color w:val="auto"/>
                <w:sz w:val="20"/>
                <w:szCs w:val="20"/>
              </w:rPr>
              <w:t>1.2</w:t>
            </w:r>
          </w:p>
        </w:tc>
        <w:tc>
          <w:tcPr>
            <w:tcW w:w="1060" w:type="dxa"/>
            <w:vAlign w:val="bottom"/>
          </w:tcPr>
          <w:p>
            <w:pPr>
              <w:spacing w:after="0"/>
              <w:rPr>
                <w:color w:val="auto"/>
                <w:sz w:val="24"/>
                <w:szCs w:val="24"/>
              </w:rPr>
            </w:pP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0.88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440"/>
              <w:rPr>
                <w:color w:val="auto"/>
                <w:sz w:val="20"/>
                <w:szCs w:val="20"/>
              </w:rPr>
            </w:pPr>
            <w:r>
              <w:rPr>
                <w:rFonts w:ascii="Arial" w:hAnsi="Arial" w:eastAsia="Arial" w:cs="Arial"/>
                <w:b/>
                <w:bCs/>
                <w:color w:val="auto"/>
                <w:sz w:val="20"/>
                <w:szCs w:val="20"/>
              </w:rPr>
              <w:t>F205</w:t>
            </w:r>
          </w:p>
        </w:tc>
        <w:tc>
          <w:tcPr>
            <w:tcW w:w="1280" w:type="dxa"/>
            <w:vAlign w:val="bottom"/>
          </w:tcPr>
          <w:p>
            <w:pPr>
              <w:spacing w:after="0"/>
              <w:jc w:val="center"/>
              <w:rPr>
                <w:color w:val="auto"/>
                <w:sz w:val="20"/>
                <w:szCs w:val="20"/>
              </w:rPr>
            </w:pPr>
            <w:r>
              <w:rPr>
                <w:rFonts w:ascii="Arial" w:hAnsi="Arial" w:eastAsia="Arial" w:cs="Arial"/>
                <w:color w:val="auto"/>
                <w:sz w:val="20"/>
                <w:szCs w:val="20"/>
              </w:rPr>
              <w:t>-1.05</w:t>
            </w:r>
          </w:p>
        </w:tc>
        <w:tc>
          <w:tcPr>
            <w:tcW w:w="1060" w:type="dxa"/>
            <w:vAlign w:val="bottom"/>
          </w:tcPr>
          <w:p>
            <w:pPr>
              <w:spacing w:after="0"/>
              <w:jc w:val="center"/>
              <w:rPr>
                <w:color w:val="auto"/>
                <w:sz w:val="20"/>
                <w:szCs w:val="20"/>
              </w:rPr>
            </w:pPr>
            <w:r>
              <w:rPr>
                <w:rFonts w:ascii="Arial" w:hAnsi="Arial" w:eastAsia="Arial" w:cs="Arial"/>
                <w:color w:val="auto"/>
                <w:sz w:val="20"/>
                <w:szCs w:val="20"/>
              </w:rPr>
              <w:t>0.000016</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0.96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440"/>
              <w:rPr>
                <w:color w:val="auto"/>
                <w:sz w:val="20"/>
                <w:szCs w:val="20"/>
              </w:rPr>
            </w:pPr>
            <w:r>
              <w:rPr>
                <w:rFonts w:ascii="Arial" w:hAnsi="Arial" w:eastAsia="Arial" w:cs="Arial"/>
                <w:b/>
                <w:bCs/>
                <w:color w:val="auto"/>
                <w:sz w:val="20"/>
                <w:szCs w:val="20"/>
              </w:rPr>
              <w:t>F225</w:t>
            </w:r>
          </w:p>
        </w:tc>
        <w:tc>
          <w:tcPr>
            <w:tcW w:w="1280" w:type="dxa"/>
            <w:vAlign w:val="bottom"/>
          </w:tcPr>
          <w:p>
            <w:pPr>
              <w:spacing w:after="0"/>
              <w:jc w:val="center"/>
              <w:rPr>
                <w:color w:val="auto"/>
                <w:sz w:val="20"/>
                <w:szCs w:val="20"/>
              </w:rPr>
            </w:pPr>
            <w:r>
              <w:rPr>
                <w:rFonts w:ascii="Arial" w:hAnsi="Arial" w:eastAsia="Arial" w:cs="Arial"/>
                <w:color w:val="auto"/>
                <w:w w:val="99"/>
                <w:sz w:val="20"/>
                <w:szCs w:val="20"/>
              </w:rPr>
              <w:t>74.19</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0.004</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0.37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440"/>
              <w:rPr>
                <w:color w:val="auto"/>
                <w:sz w:val="20"/>
                <w:szCs w:val="20"/>
              </w:rPr>
            </w:pPr>
            <w:r>
              <w:rPr>
                <w:rFonts w:ascii="Arial" w:hAnsi="Arial" w:eastAsia="Arial" w:cs="Arial"/>
                <w:b/>
                <w:bCs/>
                <w:color w:val="auto"/>
                <w:sz w:val="20"/>
                <w:szCs w:val="20"/>
              </w:rPr>
              <w:t>F226</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3.58</w:t>
            </w:r>
          </w:p>
        </w:tc>
        <w:tc>
          <w:tcPr>
            <w:tcW w:w="1060" w:type="dxa"/>
            <w:vAlign w:val="bottom"/>
          </w:tcPr>
          <w:p>
            <w:pPr>
              <w:spacing w:after="0"/>
              <w:jc w:val="center"/>
              <w:rPr>
                <w:color w:val="auto"/>
                <w:sz w:val="20"/>
                <w:szCs w:val="20"/>
              </w:rPr>
            </w:pPr>
            <w:r>
              <w:rPr>
                <w:rFonts w:ascii="Arial" w:hAnsi="Arial" w:eastAsia="Arial" w:cs="Arial"/>
                <w:color w:val="auto"/>
                <w:w w:val="98"/>
                <w:sz w:val="20"/>
                <w:szCs w:val="20"/>
              </w:rPr>
              <w:t>0.0004</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0.78</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Sunscreen use</w:t>
            </w:r>
          </w:p>
        </w:tc>
        <w:tc>
          <w:tcPr>
            <w:tcW w:w="1280" w:type="dxa"/>
            <w:vAlign w:val="bottom"/>
          </w:tcPr>
          <w:p>
            <w:pPr>
              <w:spacing w:after="0"/>
              <w:jc w:val="center"/>
              <w:rPr>
                <w:color w:val="auto"/>
                <w:sz w:val="20"/>
                <w:szCs w:val="20"/>
              </w:rPr>
            </w:pPr>
            <w:r>
              <w:rPr>
                <w:rFonts w:ascii="Arial" w:hAnsi="Arial" w:eastAsia="Arial" w:cs="Arial"/>
                <w:color w:val="auto"/>
                <w:sz w:val="20"/>
                <w:szCs w:val="20"/>
              </w:rPr>
              <w:t>-7.21</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0.012</w:t>
            </w:r>
          </w:p>
        </w:tc>
        <w:tc>
          <w:tcPr>
            <w:tcW w:w="980" w:type="dxa"/>
            <w:vAlign w:val="bottom"/>
          </w:tcPr>
          <w:p>
            <w:pPr>
              <w:spacing w:after="0"/>
              <w:jc w:val="center"/>
              <w:rPr>
                <w:color w:val="auto"/>
                <w:sz w:val="20"/>
                <w:szCs w:val="20"/>
              </w:rPr>
            </w:pPr>
            <w:r>
              <w:rPr>
                <w:rFonts w:ascii="Arial" w:hAnsi="Arial" w:eastAsia="Arial" w:cs="Arial"/>
                <w:b/>
                <w:bCs/>
                <w:color w:val="auto"/>
                <w:w w:val="97"/>
                <w:sz w:val="20"/>
                <w:szCs w:val="20"/>
              </w:rPr>
              <w:t>0.13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Current oral contraceptive use</w:t>
            </w:r>
          </w:p>
        </w:tc>
        <w:tc>
          <w:tcPr>
            <w:tcW w:w="1280" w:type="dxa"/>
            <w:vAlign w:val="bottom"/>
          </w:tcPr>
          <w:p>
            <w:pPr>
              <w:spacing w:after="0"/>
              <w:ind w:right="240"/>
              <w:jc w:val="right"/>
              <w:rPr>
                <w:color w:val="auto"/>
                <w:sz w:val="20"/>
                <w:szCs w:val="20"/>
              </w:rPr>
            </w:pPr>
            <w:r>
              <w:rPr>
                <w:rFonts w:ascii="Arial" w:hAnsi="Arial" w:eastAsia="Arial" w:cs="Arial"/>
                <w:color w:val="auto"/>
                <w:sz w:val="20"/>
                <w:szCs w:val="20"/>
              </w:rPr>
              <w:t>23.69</w:t>
            </w:r>
          </w:p>
        </w:tc>
        <w:tc>
          <w:tcPr>
            <w:tcW w:w="1060" w:type="dxa"/>
            <w:vAlign w:val="bottom"/>
          </w:tcPr>
          <w:p>
            <w:pPr>
              <w:spacing w:after="0"/>
              <w:jc w:val="center"/>
              <w:rPr>
                <w:color w:val="auto"/>
                <w:sz w:val="20"/>
                <w:szCs w:val="20"/>
              </w:rPr>
            </w:pPr>
            <w:r>
              <w:rPr>
                <w:rFonts w:ascii="Arial" w:hAnsi="Arial" w:eastAsia="Arial" w:cs="Arial"/>
                <w:color w:val="auto"/>
                <w:w w:val="97"/>
                <w:sz w:val="20"/>
                <w:szCs w:val="20"/>
              </w:rPr>
              <w:t>0.13</w:t>
            </w:r>
          </w:p>
        </w:tc>
        <w:tc>
          <w:tcPr>
            <w:tcW w:w="980" w:type="dxa"/>
            <w:vAlign w:val="bottom"/>
          </w:tcPr>
          <w:p>
            <w:pPr>
              <w:spacing w:after="0"/>
              <w:jc w:val="center"/>
              <w:rPr>
                <w:color w:val="auto"/>
                <w:sz w:val="20"/>
                <w:szCs w:val="20"/>
              </w:rPr>
            </w:pPr>
            <w:r>
              <w:rPr>
                <w:rFonts w:ascii="Arial" w:hAnsi="Arial" w:eastAsia="Arial" w:cs="Arial"/>
                <w:b/>
                <w:bCs/>
                <w:color w:val="auto"/>
                <w:sz w:val="20"/>
                <w:szCs w:val="20"/>
              </w:rPr>
              <w:t>&lt;.0001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Time outside (≤2hours)</w:t>
            </w:r>
          </w:p>
        </w:tc>
        <w:tc>
          <w:tcPr>
            <w:tcW w:w="1280" w:type="dxa"/>
            <w:vAlign w:val="bottom"/>
          </w:tcPr>
          <w:p>
            <w:pPr>
              <w:spacing w:after="0"/>
              <w:jc w:val="center"/>
              <w:rPr>
                <w:color w:val="auto"/>
                <w:sz w:val="20"/>
                <w:szCs w:val="20"/>
              </w:rPr>
            </w:pPr>
            <w:r>
              <w:rPr>
                <w:rFonts w:ascii="Arial" w:hAnsi="Arial" w:eastAsia="Arial" w:cs="Arial"/>
                <w:color w:val="auto"/>
                <w:sz w:val="20"/>
                <w:szCs w:val="20"/>
              </w:rPr>
              <w:t>-9.08</w:t>
            </w:r>
          </w:p>
        </w:tc>
        <w:tc>
          <w:tcPr>
            <w:tcW w:w="1060" w:type="dxa"/>
            <w:vAlign w:val="bottom"/>
          </w:tcPr>
          <w:p>
            <w:pPr>
              <w:spacing w:after="0"/>
              <w:jc w:val="center"/>
              <w:rPr>
                <w:color w:val="auto"/>
                <w:sz w:val="20"/>
                <w:szCs w:val="20"/>
              </w:rPr>
            </w:pPr>
            <w:r>
              <w:rPr>
                <w:rFonts w:ascii="Arial" w:hAnsi="Arial" w:eastAsia="Arial" w:cs="Arial"/>
                <w:color w:val="auto"/>
                <w:w w:val="97"/>
                <w:sz w:val="20"/>
                <w:szCs w:val="20"/>
              </w:rPr>
              <w:t>0.01</w:t>
            </w:r>
          </w:p>
        </w:tc>
        <w:tc>
          <w:tcPr>
            <w:tcW w:w="980" w:type="dxa"/>
            <w:vAlign w:val="bottom"/>
          </w:tcPr>
          <w:p>
            <w:pPr>
              <w:spacing w:after="0"/>
              <w:jc w:val="center"/>
              <w:rPr>
                <w:color w:val="auto"/>
                <w:sz w:val="20"/>
                <w:szCs w:val="20"/>
              </w:rPr>
            </w:pPr>
            <w:r>
              <w:rPr>
                <w:rFonts w:ascii="Arial" w:hAnsi="Arial" w:eastAsia="Arial" w:cs="Arial"/>
                <w:b/>
                <w:bCs/>
                <w:color w:val="auto"/>
                <w:w w:val="97"/>
                <w:sz w:val="20"/>
                <w:szCs w:val="20"/>
              </w:rPr>
              <w:t>0.15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34"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Blood draw in high sun</w:t>
            </w:r>
          </w:p>
        </w:tc>
        <w:tc>
          <w:tcPr>
            <w:tcW w:w="1280" w:type="dxa"/>
            <w:vMerge w:val="restart"/>
            <w:vAlign w:val="bottom"/>
          </w:tcPr>
          <w:p>
            <w:pPr>
              <w:spacing w:after="0"/>
              <w:jc w:val="center"/>
              <w:rPr>
                <w:color w:val="auto"/>
                <w:sz w:val="20"/>
                <w:szCs w:val="20"/>
              </w:rPr>
            </w:pPr>
            <w:r>
              <w:rPr>
                <w:rFonts w:ascii="Arial" w:hAnsi="Arial" w:eastAsia="Arial" w:cs="Arial"/>
                <w:color w:val="auto"/>
                <w:w w:val="99"/>
                <w:sz w:val="20"/>
                <w:szCs w:val="20"/>
              </w:rPr>
              <w:t>10.67</w:t>
            </w:r>
          </w:p>
        </w:tc>
        <w:tc>
          <w:tcPr>
            <w:tcW w:w="1060" w:type="dxa"/>
            <w:vMerge w:val="restart"/>
            <w:vAlign w:val="bottom"/>
          </w:tcPr>
          <w:p>
            <w:pPr>
              <w:spacing w:after="0"/>
              <w:jc w:val="center"/>
              <w:rPr>
                <w:color w:val="auto"/>
                <w:sz w:val="20"/>
                <w:szCs w:val="20"/>
              </w:rPr>
            </w:pPr>
            <w:r>
              <w:rPr>
                <w:rFonts w:ascii="Arial" w:hAnsi="Arial" w:eastAsia="Arial" w:cs="Arial"/>
                <w:color w:val="auto"/>
                <w:w w:val="97"/>
                <w:sz w:val="20"/>
                <w:szCs w:val="20"/>
              </w:rPr>
              <w:t>0.17</w:t>
            </w:r>
          </w:p>
        </w:tc>
        <w:tc>
          <w:tcPr>
            <w:tcW w:w="98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0.03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2" w:hRule="atLeast"/>
        </w:trPr>
        <w:tc>
          <w:tcPr>
            <w:tcW w:w="3140" w:type="dxa"/>
            <w:vAlign w:val="bottom"/>
          </w:tcPr>
          <w:p>
            <w:pPr>
              <w:spacing w:after="0"/>
              <w:ind w:left="120"/>
              <w:rPr>
                <w:color w:val="auto"/>
                <w:sz w:val="20"/>
                <w:szCs w:val="20"/>
              </w:rPr>
            </w:pPr>
            <w:r>
              <w:rPr>
                <w:rFonts w:ascii="Arial" w:hAnsi="Arial" w:eastAsia="Arial" w:cs="Arial"/>
                <w:b/>
                <w:bCs/>
                <w:color w:val="auto"/>
                <w:sz w:val="20"/>
                <w:szCs w:val="20"/>
              </w:rPr>
              <w:t>exposure month</w:t>
            </w:r>
            <w:r>
              <w:rPr>
                <w:rFonts w:ascii="Arial" w:hAnsi="Arial" w:eastAsia="Arial" w:cs="Arial"/>
                <w:b/>
                <w:bCs/>
                <w:color w:val="auto"/>
                <w:sz w:val="25"/>
                <w:szCs w:val="25"/>
                <w:vertAlign w:val="superscript"/>
              </w:rPr>
              <w:t>1</w:t>
            </w:r>
          </w:p>
        </w:tc>
        <w:tc>
          <w:tcPr>
            <w:tcW w:w="1280" w:type="dxa"/>
            <w:vMerge w:val="continue"/>
            <w:vAlign w:val="bottom"/>
          </w:tcPr>
          <w:p>
            <w:pPr>
              <w:spacing w:after="0"/>
              <w:rPr>
                <w:color w:val="auto"/>
                <w:sz w:val="24"/>
                <w:szCs w:val="24"/>
              </w:rPr>
            </w:pPr>
          </w:p>
        </w:tc>
        <w:tc>
          <w:tcPr>
            <w:tcW w:w="1060" w:type="dxa"/>
            <w:vMerge w:val="continue"/>
            <w:vAlign w:val="bottom"/>
          </w:tcPr>
          <w:p>
            <w:pPr>
              <w:spacing w:after="0"/>
              <w:rPr>
                <w:color w:val="auto"/>
                <w:sz w:val="24"/>
                <w:szCs w:val="24"/>
              </w:rPr>
            </w:pPr>
          </w:p>
        </w:tc>
        <w:tc>
          <w:tcPr>
            <w:tcW w:w="980" w:type="dxa"/>
            <w:vMerge w:val="continue"/>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20" w:hRule="atLeast"/>
        </w:trPr>
        <w:tc>
          <w:tcPr>
            <w:tcW w:w="3140" w:type="dxa"/>
            <w:vAlign w:val="bottom"/>
          </w:tcPr>
          <w:p>
            <w:pPr>
              <w:spacing w:after="0" w:line="220" w:lineRule="exact"/>
              <w:ind w:left="120"/>
              <w:rPr>
                <w:color w:val="auto"/>
                <w:sz w:val="20"/>
                <w:szCs w:val="20"/>
              </w:rPr>
            </w:pPr>
            <w:r>
              <w:rPr>
                <w:rFonts w:ascii="Arial" w:hAnsi="Arial" w:eastAsia="Arial" w:cs="Arial"/>
                <w:b/>
                <w:bCs/>
                <w:color w:val="auto"/>
                <w:sz w:val="20"/>
                <w:szCs w:val="20"/>
              </w:rPr>
              <w:t>Food source</w:t>
            </w:r>
          </w:p>
        </w:tc>
        <w:tc>
          <w:tcPr>
            <w:tcW w:w="1280" w:type="dxa"/>
            <w:vAlign w:val="bottom"/>
          </w:tcPr>
          <w:p>
            <w:pPr>
              <w:spacing w:after="0"/>
              <w:rPr>
                <w:color w:val="auto"/>
                <w:sz w:val="19"/>
                <w:szCs w:val="19"/>
              </w:rPr>
            </w:pPr>
          </w:p>
        </w:tc>
        <w:tc>
          <w:tcPr>
            <w:tcW w:w="1060" w:type="dxa"/>
            <w:vAlign w:val="bottom"/>
          </w:tcPr>
          <w:p>
            <w:pPr>
              <w:spacing w:after="0"/>
              <w:rPr>
                <w:color w:val="auto"/>
                <w:sz w:val="19"/>
                <w:szCs w:val="19"/>
              </w:rPr>
            </w:pPr>
          </w:p>
        </w:tc>
        <w:tc>
          <w:tcPr>
            <w:tcW w:w="98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2"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Skim</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4.81</w:t>
            </w:r>
          </w:p>
        </w:tc>
        <w:tc>
          <w:tcPr>
            <w:tcW w:w="1060" w:type="dxa"/>
            <w:vAlign w:val="bottom"/>
          </w:tcPr>
          <w:p>
            <w:pPr>
              <w:spacing w:after="0"/>
              <w:jc w:val="center"/>
              <w:rPr>
                <w:color w:val="auto"/>
                <w:sz w:val="20"/>
                <w:szCs w:val="20"/>
              </w:rPr>
            </w:pPr>
            <w:r>
              <w:rPr>
                <w:rFonts w:ascii="Arial" w:hAnsi="Arial" w:eastAsia="Arial" w:cs="Arial"/>
                <w:color w:val="auto"/>
                <w:w w:val="98"/>
                <w:sz w:val="20"/>
                <w:szCs w:val="20"/>
              </w:rPr>
              <w:t>0.0056</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0.31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1"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Milk</w:t>
            </w:r>
          </w:p>
        </w:tc>
        <w:tc>
          <w:tcPr>
            <w:tcW w:w="1280" w:type="dxa"/>
            <w:vAlign w:val="bottom"/>
          </w:tcPr>
          <w:p>
            <w:pPr>
              <w:spacing w:after="0"/>
              <w:jc w:val="center"/>
              <w:rPr>
                <w:color w:val="auto"/>
                <w:sz w:val="20"/>
                <w:szCs w:val="20"/>
              </w:rPr>
            </w:pPr>
            <w:r>
              <w:rPr>
                <w:rFonts w:ascii="Arial" w:hAnsi="Arial" w:eastAsia="Arial" w:cs="Arial"/>
                <w:color w:val="auto"/>
                <w:w w:val="99"/>
                <w:sz w:val="20"/>
                <w:szCs w:val="20"/>
              </w:rPr>
              <w:t>11.48</w:t>
            </w:r>
          </w:p>
        </w:tc>
        <w:tc>
          <w:tcPr>
            <w:tcW w:w="1060" w:type="dxa"/>
            <w:vAlign w:val="bottom"/>
          </w:tcPr>
          <w:p>
            <w:pPr>
              <w:spacing w:after="0"/>
              <w:jc w:val="center"/>
              <w:rPr>
                <w:color w:val="auto"/>
                <w:sz w:val="20"/>
                <w:szCs w:val="20"/>
              </w:rPr>
            </w:pPr>
            <w:r>
              <w:rPr>
                <w:rFonts w:ascii="Arial" w:hAnsi="Arial" w:eastAsia="Arial" w:cs="Arial"/>
                <w:color w:val="auto"/>
                <w:w w:val="97"/>
                <w:sz w:val="20"/>
                <w:szCs w:val="20"/>
              </w:rPr>
              <w:t>0.02</w:t>
            </w:r>
          </w:p>
        </w:tc>
        <w:tc>
          <w:tcPr>
            <w:tcW w:w="980" w:type="dxa"/>
            <w:vAlign w:val="bottom"/>
          </w:tcPr>
          <w:p>
            <w:pPr>
              <w:spacing w:after="0"/>
              <w:jc w:val="center"/>
              <w:rPr>
                <w:color w:val="auto"/>
                <w:sz w:val="20"/>
                <w:szCs w:val="20"/>
              </w:rPr>
            </w:pPr>
            <w:r>
              <w:rPr>
                <w:rFonts w:ascii="Arial" w:hAnsi="Arial" w:eastAsia="Arial" w:cs="Arial"/>
                <w:b/>
                <w:bCs/>
                <w:color w:val="auto"/>
                <w:w w:val="97"/>
                <w:sz w:val="20"/>
                <w:szCs w:val="20"/>
              </w:rPr>
              <w:t>0.06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Egg</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3.79</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0.003</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0.46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Liver</w:t>
            </w:r>
          </w:p>
        </w:tc>
        <w:tc>
          <w:tcPr>
            <w:tcW w:w="1280" w:type="dxa"/>
            <w:vAlign w:val="bottom"/>
          </w:tcPr>
          <w:p>
            <w:pPr>
              <w:spacing w:after="0"/>
              <w:jc w:val="center"/>
              <w:rPr>
                <w:color w:val="auto"/>
                <w:sz w:val="20"/>
                <w:szCs w:val="20"/>
              </w:rPr>
            </w:pPr>
            <w:r>
              <w:rPr>
                <w:rFonts w:ascii="Arial" w:hAnsi="Arial" w:eastAsia="Arial" w:cs="Arial"/>
                <w:color w:val="auto"/>
                <w:sz w:val="20"/>
                <w:szCs w:val="20"/>
              </w:rPr>
              <w:t>-6.73</w:t>
            </w:r>
          </w:p>
        </w:tc>
        <w:tc>
          <w:tcPr>
            <w:tcW w:w="1060" w:type="dxa"/>
            <w:vAlign w:val="bottom"/>
          </w:tcPr>
          <w:p>
            <w:pPr>
              <w:spacing w:after="0"/>
              <w:jc w:val="center"/>
              <w:rPr>
                <w:color w:val="auto"/>
                <w:sz w:val="20"/>
                <w:szCs w:val="20"/>
              </w:rPr>
            </w:pPr>
            <w:r>
              <w:rPr>
                <w:rFonts w:ascii="Arial" w:hAnsi="Arial" w:eastAsia="Arial" w:cs="Arial"/>
                <w:color w:val="auto"/>
                <w:w w:val="98"/>
                <w:sz w:val="20"/>
                <w:szCs w:val="20"/>
              </w:rPr>
              <w:t>0.0014</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0.61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Tuna</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0.02</w:t>
            </w:r>
          </w:p>
        </w:tc>
        <w:tc>
          <w:tcPr>
            <w:tcW w:w="1060" w:type="dxa"/>
            <w:vAlign w:val="bottom"/>
          </w:tcPr>
          <w:p>
            <w:pPr>
              <w:spacing w:after="0"/>
              <w:jc w:val="center"/>
              <w:rPr>
                <w:color w:val="auto"/>
                <w:sz w:val="20"/>
                <w:szCs w:val="20"/>
              </w:rPr>
            </w:pPr>
            <w:r>
              <w:rPr>
                <w:rFonts w:ascii="Arial" w:hAnsi="Arial" w:eastAsia="Arial" w:cs="Arial"/>
                <w:color w:val="auto"/>
                <w:w w:val="89"/>
                <w:sz w:val="20"/>
                <w:szCs w:val="20"/>
              </w:rPr>
              <w:t>0</w:t>
            </w:r>
          </w:p>
        </w:tc>
        <w:tc>
          <w:tcPr>
            <w:tcW w:w="980" w:type="dxa"/>
            <w:vAlign w:val="bottom"/>
          </w:tcPr>
          <w:p>
            <w:pPr>
              <w:spacing w:after="0"/>
              <w:jc w:val="center"/>
              <w:rPr>
                <w:color w:val="auto"/>
                <w:sz w:val="20"/>
                <w:szCs w:val="20"/>
              </w:rPr>
            </w:pPr>
            <w:r>
              <w:rPr>
                <w:rFonts w:ascii="Arial" w:hAnsi="Arial" w:eastAsia="Arial" w:cs="Arial"/>
                <w:color w:val="auto"/>
                <w:w w:val="93"/>
                <w:sz w:val="20"/>
                <w:szCs w:val="20"/>
              </w:rPr>
              <w:t>1.0</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Dkfish</w:t>
            </w:r>
          </w:p>
        </w:tc>
        <w:tc>
          <w:tcPr>
            <w:tcW w:w="1280" w:type="dxa"/>
            <w:vAlign w:val="bottom"/>
          </w:tcPr>
          <w:p>
            <w:pPr>
              <w:spacing w:after="0"/>
              <w:jc w:val="center"/>
              <w:rPr>
                <w:color w:val="auto"/>
                <w:sz w:val="20"/>
                <w:szCs w:val="20"/>
              </w:rPr>
            </w:pPr>
            <w:r>
              <w:rPr>
                <w:rFonts w:ascii="Arial" w:hAnsi="Arial" w:eastAsia="Arial" w:cs="Arial"/>
                <w:color w:val="auto"/>
                <w:sz w:val="20"/>
                <w:szCs w:val="20"/>
              </w:rPr>
              <w:t>-1.85</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0.00085</w:t>
            </w:r>
          </w:p>
        </w:tc>
        <w:tc>
          <w:tcPr>
            <w:tcW w:w="980" w:type="dxa"/>
            <w:vAlign w:val="bottom"/>
          </w:tcPr>
          <w:p>
            <w:pPr>
              <w:spacing w:after="0"/>
              <w:jc w:val="center"/>
              <w:rPr>
                <w:color w:val="auto"/>
                <w:sz w:val="20"/>
                <w:szCs w:val="20"/>
              </w:rPr>
            </w:pPr>
            <w:r>
              <w:rPr>
                <w:rFonts w:ascii="Arial" w:hAnsi="Arial" w:eastAsia="Arial" w:cs="Arial"/>
                <w:color w:val="auto"/>
                <w:w w:val="93"/>
                <w:sz w:val="20"/>
                <w:szCs w:val="20"/>
              </w:rPr>
              <w:t>0.7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Cold cereal intake</w:t>
            </w:r>
          </w:p>
        </w:tc>
        <w:tc>
          <w:tcPr>
            <w:tcW w:w="1280" w:type="dxa"/>
            <w:vAlign w:val="bottom"/>
          </w:tcPr>
          <w:p>
            <w:pPr>
              <w:spacing w:after="0"/>
              <w:jc w:val="center"/>
              <w:rPr>
                <w:color w:val="auto"/>
                <w:sz w:val="20"/>
                <w:szCs w:val="20"/>
              </w:rPr>
            </w:pPr>
            <w:r>
              <w:rPr>
                <w:rFonts w:ascii="Arial" w:hAnsi="Arial" w:eastAsia="Arial" w:cs="Arial"/>
                <w:color w:val="auto"/>
                <w:w w:val="99"/>
                <w:sz w:val="20"/>
                <w:szCs w:val="20"/>
              </w:rPr>
              <w:t>16.37</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0.065</w:t>
            </w:r>
          </w:p>
        </w:tc>
        <w:tc>
          <w:tcPr>
            <w:tcW w:w="980" w:type="dxa"/>
            <w:vAlign w:val="bottom"/>
          </w:tcPr>
          <w:p>
            <w:pPr>
              <w:spacing w:after="0"/>
              <w:jc w:val="center"/>
              <w:rPr>
                <w:color w:val="auto"/>
                <w:sz w:val="20"/>
                <w:szCs w:val="20"/>
              </w:rPr>
            </w:pPr>
            <w:r>
              <w:rPr>
                <w:rFonts w:ascii="Arial" w:hAnsi="Arial" w:eastAsia="Arial" w:cs="Arial"/>
                <w:b/>
                <w:bCs/>
                <w:color w:val="auto"/>
                <w:w w:val="99"/>
                <w:sz w:val="20"/>
                <w:szCs w:val="20"/>
              </w:rPr>
              <w:t>0.00005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Orange juice</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0.84</w:t>
            </w:r>
          </w:p>
        </w:tc>
        <w:tc>
          <w:tcPr>
            <w:tcW w:w="1060" w:type="dxa"/>
            <w:vAlign w:val="bottom"/>
          </w:tcPr>
          <w:p>
            <w:pPr>
              <w:spacing w:after="0"/>
              <w:jc w:val="center"/>
              <w:rPr>
                <w:color w:val="auto"/>
                <w:sz w:val="20"/>
                <w:szCs w:val="20"/>
              </w:rPr>
            </w:pPr>
            <w:r>
              <w:rPr>
                <w:rFonts w:ascii="Arial" w:hAnsi="Arial" w:eastAsia="Arial" w:cs="Arial"/>
                <w:color w:val="auto"/>
                <w:w w:val="98"/>
                <w:sz w:val="20"/>
                <w:szCs w:val="20"/>
              </w:rPr>
              <w:t>0.0016</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0.86</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00" w:hRule="atLeast"/>
        </w:trPr>
        <w:tc>
          <w:tcPr>
            <w:tcW w:w="3140" w:type="dxa"/>
            <w:vAlign w:val="bottom"/>
          </w:tcPr>
          <w:p>
            <w:pPr>
              <w:spacing w:after="0"/>
              <w:ind w:left="500"/>
              <w:rPr>
                <w:color w:val="auto"/>
                <w:sz w:val="20"/>
                <w:szCs w:val="20"/>
              </w:rPr>
            </w:pPr>
            <w:r>
              <w:rPr>
                <w:rFonts w:ascii="Arial" w:hAnsi="Arial" w:eastAsia="Arial" w:cs="Arial"/>
                <w:b/>
                <w:bCs/>
                <w:color w:val="auto"/>
                <w:sz w:val="20"/>
                <w:szCs w:val="20"/>
              </w:rPr>
              <w:t>Multivitamins</w:t>
            </w:r>
          </w:p>
        </w:tc>
        <w:tc>
          <w:tcPr>
            <w:tcW w:w="1280" w:type="dxa"/>
            <w:vAlign w:val="bottom"/>
          </w:tcPr>
          <w:p>
            <w:pPr>
              <w:spacing w:after="0"/>
              <w:jc w:val="center"/>
              <w:rPr>
                <w:color w:val="auto"/>
                <w:sz w:val="20"/>
                <w:szCs w:val="20"/>
              </w:rPr>
            </w:pPr>
            <w:r>
              <w:rPr>
                <w:rFonts w:ascii="Arial" w:hAnsi="Arial" w:eastAsia="Arial" w:cs="Arial"/>
                <w:color w:val="auto"/>
                <w:sz w:val="20"/>
                <w:szCs w:val="20"/>
              </w:rPr>
              <w:t>7.7</w:t>
            </w:r>
          </w:p>
        </w:tc>
        <w:tc>
          <w:tcPr>
            <w:tcW w:w="1060" w:type="dxa"/>
            <w:vAlign w:val="bottom"/>
          </w:tcPr>
          <w:p>
            <w:pPr>
              <w:spacing w:after="0"/>
              <w:jc w:val="center"/>
              <w:rPr>
                <w:color w:val="auto"/>
                <w:sz w:val="20"/>
                <w:szCs w:val="20"/>
              </w:rPr>
            </w:pPr>
            <w:r>
              <w:rPr>
                <w:rFonts w:ascii="Arial" w:hAnsi="Arial" w:eastAsia="Arial" w:cs="Arial"/>
                <w:color w:val="auto"/>
                <w:w w:val="99"/>
                <w:sz w:val="20"/>
                <w:szCs w:val="20"/>
              </w:rPr>
              <w:t>0.015</w:t>
            </w:r>
          </w:p>
        </w:tc>
        <w:tc>
          <w:tcPr>
            <w:tcW w:w="980" w:type="dxa"/>
            <w:vAlign w:val="bottom"/>
          </w:tcPr>
          <w:p>
            <w:pPr>
              <w:spacing w:after="0"/>
              <w:jc w:val="center"/>
              <w:rPr>
                <w:color w:val="auto"/>
                <w:sz w:val="20"/>
                <w:szCs w:val="20"/>
              </w:rPr>
            </w:pPr>
            <w:r>
              <w:rPr>
                <w:rFonts w:ascii="Arial" w:hAnsi="Arial" w:eastAsia="Arial" w:cs="Arial"/>
                <w:b/>
                <w:bCs/>
                <w:color w:val="auto"/>
                <w:w w:val="97"/>
                <w:sz w:val="20"/>
                <w:szCs w:val="20"/>
              </w:rPr>
              <w:t>0.10</w:t>
            </w:r>
          </w:p>
        </w:tc>
        <w:tc>
          <w:tcPr>
            <w:tcW w:w="0" w:type="dxa"/>
            <w:vAlign w:val="bottom"/>
          </w:tcPr>
          <w:p>
            <w:pPr>
              <w:spacing w:after="0"/>
              <w:rPr>
                <w:color w:val="auto"/>
                <w:sz w:val="1"/>
                <w:szCs w:val="1"/>
              </w:rPr>
            </w:pPr>
          </w:p>
        </w:tc>
      </w:tr>
    </w:tbl>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438785</wp:posOffset>
                </wp:positionH>
                <wp:positionV relativeFrom="paragraph">
                  <wp:posOffset>29210</wp:posOffset>
                </wp:positionV>
                <wp:extent cx="4090035" cy="0"/>
                <wp:effectExtent l="0" t="0" r="0" b="0"/>
                <wp:wrapNone/>
                <wp:docPr id="15" name="Shape 15"/>
                <wp:cNvGraphicFramePr/>
                <a:graphic xmlns:a="http://schemas.openxmlformats.org/drawingml/2006/main">
                  <a:graphicData uri="http://schemas.microsoft.com/office/word/2010/wordprocessingShape">
                    <wps:wsp>
                      <wps:cNvCnPr/>
                      <wps:spPr>
                        <a:xfrm>
                          <a:off x="0" y="0"/>
                          <a:ext cx="4090035" cy="4763"/>
                        </a:xfrm>
                        <a:prstGeom prst="line">
                          <a:avLst/>
                        </a:prstGeom>
                        <a:solidFill>
                          <a:srgbClr val="FFFFFF"/>
                        </a:solidFill>
                        <a:ln w="6095">
                          <a:solidFill>
                            <a:srgbClr val="000000"/>
                          </a:solidFill>
                          <a:miter lim="800000"/>
                        </a:ln>
                      </wps:spPr>
                      <wps:bodyPr/>
                    </wps:wsp>
                  </a:graphicData>
                </a:graphic>
              </wp:anchor>
            </w:drawing>
          </mc:Choice>
          <mc:Fallback>
            <w:pict>
              <v:line id="Shape 15" o:spid="_x0000_s1026" o:spt="20" style="position:absolute;left:0pt;margin-left:34.55pt;margin-top:2.3pt;height:0pt;width:322.05pt;z-index:-251657216;mso-width-relative:page;mso-height-relative:page;" fillcolor="#FFFFFF" filled="t" stroked="t" coordsize="21600,21600" o:allowincell="f" o:gfxdata="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Kw2im1AAA&#10;AAYBAAAPAAAAAAAAAAEAIAAAACIAAABkcnMvZG93bnJldi54bWxQSwECFAAUAAAACACHTuJAgJTY&#10;ebABAACbAwAADgAAAAAAAAABACAAAAAjAQAAZHJzL2Uyb0RvYy54bWxQSwUGAAAAAAYABgBZAQAA&#10;RQUAAAAA&#10;">
                <v:fill on="t" focussize="0,0"/>
                <v:stroke weight="0.47992125984252pt" color="#000000" miterlimit="8" joinstyle="miter"/>
                <v:imagedata o:title=""/>
                <o:lock v:ext="edit" aspectratio="f"/>
              </v:line>
            </w:pict>
          </mc:Fallback>
        </mc:AlternateContent>
      </w:r>
    </w:p>
    <w:p>
      <w:pPr>
        <w:spacing w:after="0" w:line="38" w:lineRule="exact"/>
        <w:rPr>
          <w:color w:val="auto"/>
          <w:sz w:val="20"/>
          <w:szCs w:val="20"/>
        </w:rPr>
      </w:pPr>
    </w:p>
    <w:p>
      <w:pPr>
        <w:numPr>
          <w:ilvl w:val="0"/>
          <w:numId w:val="8"/>
        </w:numPr>
        <w:tabs>
          <w:tab w:val="left" w:pos="1440"/>
        </w:tabs>
        <w:spacing w:after="0" w:line="233" w:lineRule="auto"/>
        <w:ind w:left="1440" w:right="602" w:hanging="360"/>
        <w:rPr>
          <w:rFonts w:ascii="Arial" w:hAnsi="Arial" w:eastAsia="Arial" w:cs="Arial"/>
          <w:color w:val="auto"/>
          <w:sz w:val="18"/>
          <w:szCs w:val="18"/>
        </w:rPr>
      </w:pPr>
      <w:r>
        <w:rPr>
          <w:rFonts w:ascii="Arial" w:hAnsi="Arial" w:eastAsia="Arial" w:cs="Arial"/>
          <w:color w:val="auto"/>
          <w:sz w:val="18"/>
          <w:szCs w:val="18"/>
        </w:rPr>
        <w:t>High sun exposure months include Apr, May, Sep, Oct. No blood was drawn in June, July or August</w:t>
      </w:r>
    </w:p>
    <w:p>
      <w:pPr>
        <w:spacing w:after="0" w:line="200" w:lineRule="exact"/>
        <w:rPr>
          <w:color w:val="auto"/>
          <w:sz w:val="20"/>
          <w:szCs w:val="20"/>
        </w:rPr>
      </w:pPr>
    </w:p>
    <w:p>
      <w:pPr>
        <w:spacing w:after="0" w:line="200" w:lineRule="exact"/>
        <w:rPr>
          <w:color w:val="auto"/>
          <w:sz w:val="20"/>
          <w:szCs w:val="20"/>
        </w:rPr>
      </w:pPr>
    </w:p>
    <w:p>
      <w:pPr>
        <w:spacing w:after="0" w:line="230"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46</w:t>
      </w:r>
    </w:p>
    <w:p>
      <w:pPr>
        <w:sectPr>
          <w:pgSz w:w="12240" w:h="15842"/>
          <w:pgMar w:top="1440" w:right="1440" w:bottom="412" w:left="1440" w:header="0" w:footer="0" w:gutter="0"/>
          <w:cols w:equalWidth="0" w:num="1">
            <w:col w:w="9362"/>
          </w:cols>
        </w:sectPr>
      </w:pPr>
    </w:p>
    <w:p>
      <w:pPr>
        <w:spacing w:after="0" w:line="2" w:lineRule="exact"/>
        <w:rPr>
          <w:color w:val="auto"/>
          <w:sz w:val="20"/>
          <w:szCs w:val="20"/>
        </w:rPr>
      </w:pPr>
      <w:bookmarkStart w:id="51" w:name="page57"/>
      <w:bookmarkEnd w:id="51"/>
    </w:p>
    <w:p>
      <w:pPr>
        <w:spacing w:after="0" w:line="236" w:lineRule="auto"/>
        <w:ind w:left="720" w:right="1520"/>
        <w:rPr>
          <w:color w:val="auto"/>
          <w:sz w:val="20"/>
          <w:szCs w:val="20"/>
        </w:rPr>
      </w:pPr>
      <w:r>
        <w:rPr>
          <w:rFonts w:ascii="Arial" w:hAnsi="Arial" w:eastAsia="Arial" w:cs="Arial"/>
          <w:b/>
          <w:bCs/>
          <w:color w:val="auto"/>
          <w:sz w:val="21"/>
          <w:szCs w:val="21"/>
        </w:rPr>
        <w:t>Table7. 6 Multivariable Linear Regression Model of Serum 25(OH)D by Selected Covariables</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448310</wp:posOffset>
                </wp:positionH>
                <wp:positionV relativeFrom="paragraph">
                  <wp:posOffset>6350</wp:posOffset>
                </wp:positionV>
                <wp:extent cx="5981065" cy="0"/>
                <wp:effectExtent l="0" t="0" r="0" b="0"/>
                <wp:wrapNone/>
                <wp:docPr id="16" name="Shape 16"/>
                <wp:cNvGraphicFramePr/>
                <a:graphic xmlns:a="http://schemas.openxmlformats.org/drawingml/2006/main">
                  <a:graphicData uri="http://schemas.microsoft.com/office/word/2010/wordprocessingShape">
                    <wps:wsp>
                      <wps:cNvCnPr/>
                      <wps:spPr>
                        <a:xfrm>
                          <a:off x="0" y="0"/>
                          <a:ext cx="5981065" cy="4763"/>
                        </a:xfrm>
                        <a:prstGeom prst="line">
                          <a:avLst/>
                        </a:prstGeom>
                        <a:solidFill>
                          <a:srgbClr val="FFFFFF"/>
                        </a:solidFill>
                        <a:ln w="6095">
                          <a:solidFill>
                            <a:srgbClr val="000000"/>
                          </a:solidFill>
                          <a:miter lim="800000"/>
                        </a:ln>
                      </wps:spPr>
                      <wps:bodyPr/>
                    </wps:wsp>
                  </a:graphicData>
                </a:graphic>
              </wp:anchor>
            </w:drawing>
          </mc:Choice>
          <mc:Fallback>
            <w:pict>
              <v:line id="Shape 16" o:spid="_x0000_s1026" o:spt="20" style="position:absolute;left:0pt;margin-left:35.3pt;margin-top:0.5pt;height:0pt;width:470.95pt;z-index:-251657216;mso-width-relative:page;mso-height-relative:page;" fillcolor="#FFFFFF" filled="t" stroked="t" coordsize="21600,21600" o:allowincell="f" o:gfxdata="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AcovX3U&#10;AAAABwEAAA8AAAAAAAAAAQAgAAAAIgAAAGRycy9kb3ducmV2LnhtbFBLAQIUABQAAAAIAIdO4kCT&#10;kLH8sgEAAJs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after="0" w:line="24" w:lineRule="exact"/>
        <w:rPr>
          <w:color w:val="auto"/>
          <w:sz w:val="20"/>
          <w:szCs w:val="20"/>
        </w:rPr>
      </w:pPr>
    </w:p>
    <w:tbl>
      <w:tblPr>
        <w:tblStyle w:val="3"/>
        <w:tblW w:w="0" w:type="auto"/>
        <w:tblInd w:w="700" w:type="dxa"/>
        <w:tblLayout w:type="fixed"/>
        <w:tblCellMar>
          <w:top w:w="0" w:type="dxa"/>
          <w:left w:w="0" w:type="dxa"/>
          <w:bottom w:w="0" w:type="dxa"/>
          <w:right w:w="0" w:type="dxa"/>
        </w:tblCellMar>
      </w:tblPr>
      <w:tblGrid>
        <w:gridCol w:w="2800"/>
        <w:gridCol w:w="1420"/>
        <w:gridCol w:w="980"/>
        <w:gridCol w:w="1240"/>
        <w:gridCol w:w="860"/>
        <w:gridCol w:w="1280"/>
        <w:gridCol w:w="860"/>
        <w:gridCol w:w="360"/>
      </w:tblGrid>
      <w:tr>
        <w:tblPrEx>
          <w:tblCellMar>
            <w:top w:w="0" w:type="dxa"/>
            <w:left w:w="0" w:type="dxa"/>
            <w:bottom w:w="0" w:type="dxa"/>
            <w:right w:w="0" w:type="dxa"/>
          </w:tblCellMar>
        </w:tblPrEx>
        <w:trPr>
          <w:trHeight w:val="230" w:hRule="atLeast"/>
        </w:trPr>
        <w:tc>
          <w:tcPr>
            <w:tcW w:w="2800" w:type="dxa"/>
            <w:vAlign w:val="bottom"/>
          </w:tcPr>
          <w:p>
            <w:pPr>
              <w:spacing w:after="0"/>
              <w:rPr>
                <w:color w:val="auto"/>
                <w:sz w:val="19"/>
                <w:szCs w:val="19"/>
              </w:rPr>
            </w:pPr>
          </w:p>
        </w:tc>
        <w:tc>
          <w:tcPr>
            <w:tcW w:w="1420" w:type="dxa"/>
            <w:vAlign w:val="bottom"/>
          </w:tcPr>
          <w:p>
            <w:pPr>
              <w:spacing w:after="0"/>
              <w:ind w:left="180"/>
              <w:rPr>
                <w:color w:val="auto"/>
                <w:sz w:val="20"/>
                <w:szCs w:val="20"/>
              </w:rPr>
            </w:pPr>
            <w:r>
              <w:rPr>
                <w:rFonts w:ascii="Arial" w:hAnsi="Arial" w:eastAsia="Arial" w:cs="Arial"/>
                <w:b/>
                <w:bCs/>
                <w:color w:val="auto"/>
                <w:sz w:val="20"/>
                <w:szCs w:val="20"/>
              </w:rPr>
              <w:t>Univariable</w:t>
            </w:r>
          </w:p>
        </w:tc>
        <w:tc>
          <w:tcPr>
            <w:tcW w:w="980" w:type="dxa"/>
            <w:vAlign w:val="bottom"/>
          </w:tcPr>
          <w:p>
            <w:pPr>
              <w:spacing w:after="0"/>
              <w:rPr>
                <w:color w:val="auto"/>
                <w:sz w:val="19"/>
                <w:szCs w:val="19"/>
              </w:rPr>
            </w:pPr>
          </w:p>
        </w:tc>
        <w:tc>
          <w:tcPr>
            <w:tcW w:w="1240" w:type="dxa"/>
            <w:vAlign w:val="bottom"/>
          </w:tcPr>
          <w:p>
            <w:pPr>
              <w:spacing w:after="0"/>
              <w:rPr>
                <w:color w:val="auto"/>
                <w:sz w:val="19"/>
                <w:szCs w:val="19"/>
              </w:rPr>
            </w:pPr>
          </w:p>
        </w:tc>
        <w:tc>
          <w:tcPr>
            <w:tcW w:w="2140" w:type="dxa"/>
            <w:gridSpan w:val="2"/>
            <w:vAlign w:val="bottom"/>
          </w:tcPr>
          <w:p>
            <w:pPr>
              <w:spacing w:after="0"/>
              <w:ind w:left="120"/>
              <w:rPr>
                <w:color w:val="auto"/>
                <w:sz w:val="20"/>
                <w:szCs w:val="20"/>
              </w:rPr>
            </w:pPr>
            <w:r>
              <w:rPr>
                <w:rFonts w:ascii="Arial" w:hAnsi="Arial" w:eastAsia="Arial" w:cs="Arial"/>
                <w:b/>
                <w:bCs/>
                <w:color w:val="auto"/>
                <w:sz w:val="20"/>
                <w:szCs w:val="20"/>
              </w:rPr>
              <w:t>Multivariable</w:t>
            </w:r>
          </w:p>
        </w:tc>
        <w:tc>
          <w:tcPr>
            <w:tcW w:w="860" w:type="dxa"/>
            <w:vAlign w:val="bottom"/>
          </w:tcPr>
          <w:p>
            <w:pPr>
              <w:spacing w:after="0"/>
              <w:rPr>
                <w:color w:val="auto"/>
                <w:sz w:val="19"/>
                <w:szCs w:val="1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2" w:hRule="atLeast"/>
        </w:trPr>
        <w:tc>
          <w:tcPr>
            <w:tcW w:w="2800" w:type="dxa"/>
            <w:vAlign w:val="bottom"/>
          </w:tcPr>
          <w:p>
            <w:pPr>
              <w:spacing w:after="0"/>
              <w:rPr>
                <w:color w:val="auto"/>
                <w:sz w:val="3"/>
                <w:szCs w:val="3"/>
              </w:rPr>
            </w:pPr>
          </w:p>
        </w:tc>
        <w:tc>
          <w:tcPr>
            <w:tcW w:w="1420" w:type="dxa"/>
            <w:tcBorders>
              <w:bottom w:val="single" w:color="auto" w:sz="8" w:space="0"/>
            </w:tcBorders>
            <w:vAlign w:val="bottom"/>
          </w:tcPr>
          <w:p>
            <w:pPr>
              <w:spacing w:after="0"/>
              <w:rPr>
                <w:color w:val="auto"/>
                <w:sz w:val="3"/>
                <w:szCs w:val="3"/>
              </w:rPr>
            </w:pPr>
          </w:p>
        </w:tc>
        <w:tc>
          <w:tcPr>
            <w:tcW w:w="980" w:type="dxa"/>
            <w:tcBorders>
              <w:bottom w:val="single" w:color="auto" w:sz="8" w:space="0"/>
            </w:tcBorders>
            <w:vAlign w:val="bottom"/>
          </w:tcPr>
          <w:p>
            <w:pPr>
              <w:spacing w:after="0"/>
              <w:rPr>
                <w:color w:val="auto"/>
                <w:sz w:val="3"/>
                <w:szCs w:val="3"/>
              </w:rPr>
            </w:pPr>
          </w:p>
        </w:tc>
        <w:tc>
          <w:tcPr>
            <w:tcW w:w="1240" w:type="dxa"/>
            <w:tcBorders>
              <w:bottom w:val="single" w:color="auto" w:sz="8" w:space="0"/>
            </w:tcBorders>
            <w:vAlign w:val="bottom"/>
          </w:tcPr>
          <w:p>
            <w:pPr>
              <w:spacing w:after="0"/>
              <w:rPr>
                <w:color w:val="auto"/>
                <w:sz w:val="3"/>
                <w:szCs w:val="3"/>
              </w:rPr>
            </w:pPr>
          </w:p>
        </w:tc>
        <w:tc>
          <w:tcPr>
            <w:tcW w:w="860" w:type="dxa"/>
            <w:tcBorders>
              <w:bottom w:val="single" w:color="auto" w:sz="8" w:space="0"/>
            </w:tcBorders>
            <w:vAlign w:val="bottom"/>
          </w:tcPr>
          <w:p>
            <w:pPr>
              <w:spacing w:after="0"/>
              <w:rPr>
                <w:color w:val="auto"/>
                <w:sz w:val="3"/>
                <w:szCs w:val="3"/>
              </w:rPr>
            </w:pPr>
          </w:p>
        </w:tc>
        <w:tc>
          <w:tcPr>
            <w:tcW w:w="1280" w:type="dxa"/>
            <w:tcBorders>
              <w:bottom w:val="single" w:color="auto" w:sz="8" w:space="0"/>
            </w:tcBorders>
            <w:vAlign w:val="bottom"/>
          </w:tcPr>
          <w:p>
            <w:pPr>
              <w:spacing w:after="0"/>
              <w:rPr>
                <w:color w:val="auto"/>
                <w:sz w:val="3"/>
                <w:szCs w:val="3"/>
              </w:rPr>
            </w:pPr>
          </w:p>
        </w:tc>
        <w:tc>
          <w:tcPr>
            <w:tcW w:w="860" w:type="dxa"/>
            <w:tcBorders>
              <w:bottom w:val="single" w:color="auto" w:sz="8" w:space="0"/>
            </w:tcBorders>
            <w:vAlign w:val="bottom"/>
          </w:tcPr>
          <w:p>
            <w:pPr>
              <w:spacing w:after="0"/>
              <w:rPr>
                <w:color w:val="auto"/>
                <w:sz w:val="3"/>
                <w:szCs w:val="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92" w:hRule="atLeast"/>
        </w:trPr>
        <w:tc>
          <w:tcPr>
            <w:tcW w:w="2800" w:type="dxa"/>
            <w:vAlign w:val="bottom"/>
          </w:tcPr>
          <w:p>
            <w:pPr>
              <w:spacing w:after="0"/>
              <w:rPr>
                <w:color w:val="auto"/>
                <w:sz w:val="24"/>
                <w:szCs w:val="24"/>
              </w:rPr>
            </w:pPr>
          </w:p>
        </w:tc>
        <w:tc>
          <w:tcPr>
            <w:tcW w:w="1420" w:type="dxa"/>
            <w:vAlign w:val="bottom"/>
          </w:tcPr>
          <w:p>
            <w:pPr>
              <w:spacing w:after="0"/>
              <w:rPr>
                <w:color w:val="auto"/>
                <w:sz w:val="24"/>
                <w:szCs w:val="24"/>
              </w:rPr>
            </w:pPr>
          </w:p>
        </w:tc>
        <w:tc>
          <w:tcPr>
            <w:tcW w:w="980" w:type="dxa"/>
            <w:vAlign w:val="bottom"/>
          </w:tcPr>
          <w:p>
            <w:pPr>
              <w:spacing w:after="0"/>
              <w:rPr>
                <w:color w:val="auto"/>
                <w:sz w:val="24"/>
                <w:szCs w:val="24"/>
              </w:rPr>
            </w:pPr>
          </w:p>
        </w:tc>
        <w:tc>
          <w:tcPr>
            <w:tcW w:w="1240" w:type="dxa"/>
            <w:tcBorders>
              <w:bottom w:val="single" w:color="auto" w:sz="8" w:space="0"/>
            </w:tcBorders>
            <w:vAlign w:val="bottom"/>
          </w:tcPr>
          <w:p>
            <w:pPr>
              <w:spacing w:after="0"/>
              <w:jc w:val="center"/>
              <w:rPr>
                <w:color w:val="auto"/>
                <w:sz w:val="20"/>
                <w:szCs w:val="20"/>
              </w:rPr>
            </w:pPr>
            <w:r>
              <w:rPr>
                <w:rFonts w:ascii="Arial" w:hAnsi="Arial" w:eastAsia="Arial" w:cs="Arial"/>
                <w:b/>
                <w:bCs/>
                <w:color w:val="auto"/>
                <w:w w:val="97"/>
                <w:sz w:val="20"/>
                <w:szCs w:val="20"/>
              </w:rPr>
              <w:t>Model 1</w:t>
            </w:r>
            <w:r>
              <w:rPr>
                <w:rFonts w:ascii="Arial" w:hAnsi="Arial" w:eastAsia="Arial" w:cs="Arial"/>
                <w:b/>
                <w:bCs/>
                <w:color w:val="auto"/>
                <w:w w:val="97"/>
                <w:sz w:val="25"/>
                <w:szCs w:val="25"/>
                <w:vertAlign w:val="superscript"/>
              </w:rPr>
              <w:t>1</w:t>
            </w:r>
          </w:p>
        </w:tc>
        <w:tc>
          <w:tcPr>
            <w:tcW w:w="860" w:type="dxa"/>
            <w:tcBorders>
              <w:bottom w:val="single" w:color="auto" w:sz="8" w:space="0"/>
            </w:tcBorders>
            <w:vAlign w:val="bottom"/>
          </w:tcPr>
          <w:p>
            <w:pPr>
              <w:spacing w:after="0"/>
              <w:rPr>
                <w:color w:val="auto"/>
                <w:sz w:val="24"/>
                <w:szCs w:val="24"/>
              </w:rPr>
            </w:pPr>
          </w:p>
        </w:tc>
        <w:tc>
          <w:tcPr>
            <w:tcW w:w="1280" w:type="dxa"/>
            <w:tcBorders>
              <w:bottom w:val="single" w:color="auto" w:sz="8" w:space="0"/>
            </w:tcBorders>
            <w:vAlign w:val="bottom"/>
          </w:tcPr>
          <w:p>
            <w:pPr>
              <w:spacing w:after="0"/>
              <w:jc w:val="center"/>
              <w:rPr>
                <w:color w:val="auto"/>
                <w:sz w:val="20"/>
                <w:szCs w:val="20"/>
              </w:rPr>
            </w:pPr>
            <w:r>
              <w:rPr>
                <w:rFonts w:ascii="Arial" w:hAnsi="Arial" w:eastAsia="Arial" w:cs="Arial"/>
                <w:b/>
                <w:bCs/>
                <w:color w:val="auto"/>
                <w:w w:val="97"/>
                <w:sz w:val="20"/>
                <w:szCs w:val="20"/>
              </w:rPr>
              <w:t>Model 2</w:t>
            </w:r>
            <w:r>
              <w:rPr>
                <w:rFonts w:ascii="Arial" w:hAnsi="Arial" w:eastAsia="Arial" w:cs="Arial"/>
                <w:b/>
                <w:bCs/>
                <w:color w:val="auto"/>
                <w:w w:val="97"/>
                <w:sz w:val="25"/>
                <w:szCs w:val="25"/>
                <w:vertAlign w:val="superscript"/>
              </w:rPr>
              <w:t>2</w:t>
            </w:r>
          </w:p>
        </w:tc>
        <w:tc>
          <w:tcPr>
            <w:tcW w:w="860" w:type="dxa"/>
            <w:tcBorders>
              <w:bottom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12" w:hRule="atLeast"/>
        </w:trPr>
        <w:tc>
          <w:tcPr>
            <w:tcW w:w="2800" w:type="dxa"/>
            <w:vAlign w:val="bottom"/>
          </w:tcPr>
          <w:p>
            <w:pPr>
              <w:spacing w:after="0"/>
              <w:rPr>
                <w:color w:val="auto"/>
                <w:sz w:val="18"/>
                <w:szCs w:val="18"/>
              </w:rPr>
            </w:pPr>
          </w:p>
        </w:tc>
        <w:tc>
          <w:tcPr>
            <w:tcW w:w="1420" w:type="dxa"/>
            <w:vMerge w:val="restart"/>
            <w:vAlign w:val="bottom"/>
          </w:tcPr>
          <w:p>
            <w:pPr>
              <w:spacing w:after="0"/>
              <w:ind w:left="220"/>
              <w:rPr>
                <w:color w:val="auto"/>
                <w:sz w:val="20"/>
                <w:szCs w:val="20"/>
              </w:rPr>
            </w:pPr>
            <w:r>
              <w:rPr>
                <w:rFonts w:ascii="Arial" w:hAnsi="Arial" w:eastAsia="Arial" w:cs="Arial"/>
                <w:b/>
                <w:bCs/>
                <w:color w:val="auto"/>
                <w:sz w:val="20"/>
                <w:szCs w:val="20"/>
              </w:rPr>
              <w:t>Coefficient</w:t>
            </w:r>
          </w:p>
        </w:tc>
        <w:tc>
          <w:tcPr>
            <w:tcW w:w="980" w:type="dxa"/>
            <w:vMerge w:val="restart"/>
            <w:vAlign w:val="bottom"/>
          </w:tcPr>
          <w:p>
            <w:pPr>
              <w:spacing w:after="0"/>
              <w:ind w:left="160"/>
              <w:rPr>
                <w:color w:val="auto"/>
                <w:sz w:val="20"/>
                <w:szCs w:val="20"/>
              </w:rPr>
            </w:pPr>
            <w:r>
              <w:rPr>
                <w:rFonts w:ascii="Arial" w:hAnsi="Arial" w:eastAsia="Arial" w:cs="Arial"/>
                <w:b/>
                <w:bCs/>
                <w:color w:val="auto"/>
                <w:sz w:val="20"/>
                <w:szCs w:val="20"/>
              </w:rPr>
              <w:t>P-value</w:t>
            </w:r>
          </w:p>
        </w:tc>
        <w:tc>
          <w:tcPr>
            <w:tcW w:w="1240" w:type="dxa"/>
            <w:vMerge w:val="restart"/>
            <w:vAlign w:val="bottom"/>
          </w:tcPr>
          <w:p>
            <w:pPr>
              <w:spacing w:after="0"/>
              <w:jc w:val="center"/>
              <w:rPr>
                <w:color w:val="auto"/>
                <w:sz w:val="20"/>
                <w:szCs w:val="20"/>
              </w:rPr>
            </w:pPr>
            <w:r>
              <w:rPr>
                <w:rFonts w:ascii="Arial" w:hAnsi="Arial" w:eastAsia="Arial" w:cs="Arial"/>
                <w:b/>
                <w:bCs/>
                <w:color w:val="auto"/>
                <w:sz w:val="20"/>
                <w:szCs w:val="20"/>
              </w:rPr>
              <w:t>Coefficient</w:t>
            </w:r>
          </w:p>
        </w:tc>
        <w:tc>
          <w:tcPr>
            <w:tcW w:w="860" w:type="dxa"/>
            <w:vAlign w:val="bottom"/>
          </w:tcPr>
          <w:p>
            <w:pPr>
              <w:spacing w:after="0" w:line="212" w:lineRule="exact"/>
              <w:jc w:val="center"/>
              <w:rPr>
                <w:color w:val="auto"/>
                <w:sz w:val="20"/>
                <w:szCs w:val="20"/>
              </w:rPr>
            </w:pPr>
            <w:r>
              <w:rPr>
                <w:rFonts w:ascii="Arial" w:hAnsi="Arial" w:eastAsia="Arial" w:cs="Arial"/>
                <w:b/>
                <w:bCs/>
                <w:color w:val="auto"/>
                <w:w w:val="99"/>
                <w:sz w:val="20"/>
                <w:szCs w:val="20"/>
              </w:rPr>
              <w:t>P-</w:t>
            </w:r>
          </w:p>
        </w:tc>
        <w:tc>
          <w:tcPr>
            <w:tcW w:w="1280" w:type="dxa"/>
            <w:vMerge w:val="restart"/>
            <w:vAlign w:val="bottom"/>
          </w:tcPr>
          <w:p>
            <w:pPr>
              <w:spacing w:after="0"/>
              <w:jc w:val="center"/>
              <w:rPr>
                <w:color w:val="auto"/>
                <w:sz w:val="20"/>
                <w:szCs w:val="20"/>
              </w:rPr>
            </w:pPr>
            <w:r>
              <w:rPr>
                <w:rFonts w:ascii="Arial" w:hAnsi="Arial" w:eastAsia="Arial" w:cs="Arial"/>
                <w:b/>
                <w:bCs/>
                <w:color w:val="auto"/>
                <w:w w:val="98"/>
                <w:sz w:val="20"/>
                <w:szCs w:val="20"/>
              </w:rPr>
              <w:t>Coefficient</w:t>
            </w:r>
          </w:p>
        </w:tc>
        <w:tc>
          <w:tcPr>
            <w:tcW w:w="860" w:type="dxa"/>
            <w:vAlign w:val="bottom"/>
          </w:tcPr>
          <w:p>
            <w:pPr>
              <w:spacing w:after="0" w:line="212" w:lineRule="exact"/>
              <w:jc w:val="center"/>
              <w:rPr>
                <w:color w:val="auto"/>
                <w:sz w:val="20"/>
                <w:szCs w:val="20"/>
              </w:rPr>
            </w:pPr>
            <w:r>
              <w:rPr>
                <w:rFonts w:ascii="Arial" w:hAnsi="Arial" w:eastAsia="Arial" w:cs="Arial"/>
                <w:b/>
                <w:bCs/>
                <w:color w:val="auto"/>
                <w:w w:val="99"/>
                <w:sz w:val="20"/>
                <w:szCs w:val="20"/>
              </w:rPr>
              <w:t>P-</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800" w:type="dxa"/>
            <w:vAlign w:val="bottom"/>
          </w:tcPr>
          <w:p>
            <w:pPr>
              <w:spacing w:after="0"/>
              <w:rPr>
                <w:color w:val="auto"/>
                <w:sz w:val="10"/>
                <w:szCs w:val="10"/>
              </w:rPr>
            </w:pPr>
          </w:p>
        </w:tc>
        <w:tc>
          <w:tcPr>
            <w:tcW w:w="1420" w:type="dxa"/>
            <w:vMerge w:val="continue"/>
            <w:vAlign w:val="bottom"/>
          </w:tcPr>
          <w:p>
            <w:pPr>
              <w:spacing w:after="0"/>
              <w:rPr>
                <w:color w:val="auto"/>
                <w:sz w:val="10"/>
                <w:szCs w:val="10"/>
              </w:rPr>
            </w:pPr>
          </w:p>
        </w:tc>
        <w:tc>
          <w:tcPr>
            <w:tcW w:w="980" w:type="dxa"/>
            <w:vMerge w:val="continue"/>
            <w:vAlign w:val="bottom"/>
          </w:tcPr>
          <w:p>
            <w:pPr>
              <w:spacing w:after="0"/>
              <w:rPr>
                <w:color w:val="auto"/>
                <w:sz w:val="10"/>
                <w:szCs w:val="10"/>
              </w:rPr>
            </w:pPr>
          </w:p>
        </w:tc>
        <w:tc>
          <w:tcPr>
            <w:tcW w:w="1240" w:type="dxa"/>
            <w:vMerge w:val="continue"/>
            <w:vAlign w:val="bottom"/>
          </w:tcPr>
          <w:p>
            <w:pPr>
              <w:spacing w:after="0"/>
              <w:rPr>
                <w:color w:val="auto"/>
                <w:sz w:val="10"/>
                <w:szCs w:val="10"/>
              </w:rPr>
            </w:pPr>
          </w:p>
        </w:tc>
        <w:tc>
          <w:tcPr>
            <w:tcW w:w="86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value</w:t>
            </w:r>
          </w:p>
        </w:tc>
        <w:tc>
          <w:tcPr>
            <w:tcW w:w="1280" w:type="dxa"/>
            <w:vMerge w:val="continue"/>
            <w:vAlign w:val="bottom"/>
          </w:tcPr>
          <w:p>
            <w:pPr>
              <w:spacing w:after="0"/>
              <w:rPr>
                <w:color w:val="auto"/>
                <w:sz w:val="10"/>
                <w:szCs w:val="10"/>
              </w:rPr>
            </w:pPr>
          </w:p>
        </w:tc>
        <w:tc>
          <w:tcPr>
            <w:tcW w:w="860" w:type="dxa"/>
            <w:vMerge w:val="restart"/>
            <w:vAlign w:val="bottom"/>
          </w:tcPr>
          <w:p>
            <w:pPr>
              <w:spacing w:after="0"/>
              <w:jc w:val="center"/>
              <w:rPr>
                <w:color w:val="auto"/>
                <w:sz w:val="20"/>
                <w:szCs w:val="20"/>
              </w:rPr>
            </w:pPr>
            <w:r>
              <w:rPr>
                <w:rFonts w:ascii="Arial" w:hAnsi="Arial" w:eastAsia="Arial" w:cs="Arial"/>
                <w:b/>
                <w:bCs/>
                <w:color w:val="auto"/>
                <w:w w:val="97"/>
                <w:sz w:val="20"/>
                <w:szCs w:val="20"/>
              </w:rPr>
              <w:t>value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5" w:hRule="atLeast"/>
        </w:trPr>
        <w:tc>
          <w:tcPr>
            <w:tcW w:w="2800" w:type="dxa"/>
            <w:vAlign w:val="bottom"/>
          </w:tcPr>
          <w:p>
            <w:pPr>
              <w:spacing w:after="0"/>
              <w:rPr>
                <w:color w:val="auto"/>
                <w:sz w:val="10"/>
                <w:szCs w:val="10"/>
              </w:rPr>
            </w:pPr>
          </w:p>
        </w:tc>
        <w:tc>
          <w:tcPr>
            <w:tcW w:w="1420" w:type="dxa"/>
            <w:vAlign w:val="bottom"/>
          </w:tcPr>
          <w:p>
            <w:pPr>
              <w:spacing w:after="0"/>
              <w:rPr>
                <w:color w:val="auto"/>
                <w:sz w:val="10"/>
                <w:szCs w:val="10"/>
              </w:rPr>
            </w:pPr>
          </w:p>
        </w:tc>
        <w:tc>
          <w:tcPr>
            <w:tcW w:w="980" w:type="dxa"/>
            <w:vAlign w:val="bottom"/>
          </w:tcPr>
          <w:p>
            <w:pPr>
              <w:spacing w:after="0"/>
              <w:rPr>
                <w:color w:val="auto"/>
                <w:sz w:val="10"/>
                <w:szCs w:val="10"/>
              </w:rPr>
            </w:pPr>
          </w:p>
        </w:tc>
        <w:tc>
          <w:tcPr>
            <w:tcW w:w="1240" w:type="dxa"/>
            <w:vAlign w:val="bottom"/>
          </w:tcPr>
          <w:p>
            <w:pPr>
              <w:spacing w:after="0"/>
              <w:rPr>
                <w:color w:val="auto"/>
                <w:sz w:val="10"/>
                <w:szCs w:val="10"/>
              </w:rPr>
            </w:pPr>
          </w:p>
        </w:tc>
        <w:tc>
          <w:tcPr>
            <w:tcW w:w="860" w:type="dxa"/>
            <w:vMerge w:val="continue"/>
            <w:vAlign w:val="bottom"/>
          </w:tcPr>
          <w:p>
            <w:pPr>
              <w:spacing w:after="0"/>
              <w:rPr>
                <w:color w:val="auto"/>
                <w:sz w:val="10"/>
                <w:szCs w:val="10"/>
              </w:rPr>
            </w:pPr>
          </w:p>
        </w:tc>
        <w:tc>
          <w:tcPr>
            <w:tcW w:w="1280" w:type="dxa"/>
            <w:vAlign w:val="bottom"/>
          </w:tcPr>
          <w:p>
            <w:pPr>
              <w:spacing w:after="0"/>
              <w:rPr>
                <w:color w:val="auto"/>
                <w:sz w:val="10"/>
                <w:szCs w:val="10"/>
              </w:rPr>
            </w:pPr>
          </w:p>
        </w:tc>
        <w:tc>
          <w:tcPr>
            <w:tcW w:w="860" w:type="dxa"/>
            <w:vMerge w:val="continue"/>
            <w:vAlign w:val="bottom"/>
          </w:tcPr>
          <w:p>
            <w:pPr>
              <w:spacing w:after="0"/>
              <w:rPr>
                <w:color w:val="auto"/>
                <w:sz w:val="10"/>
                <w:szCs w:val="10"/>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73"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Dietary vitamin D (IU)</w:t>
            </w:r>
          </w:p>
        </w:tc>
        <w:tc>
          <w:tcPr>
            <w:tcW w:w="1420" w:type="dxa"/>
            <w:vAlign w:val="bottom"/>
          </w:tcPr>
          <w:p>
            <w:pPr>
              <w:spacing w:after="0"/>
              <w:jc w:val="center"/>
              <w:rPr>
                <w:color w:val="auto"/>
                <w:sz w:val="20"/>
                <w:szCs w:val="20"/>
              </w:rPr>
            </w:pPr>
            <w:r>
              <w:rPr>
                <w:rFonts w:ascii="Arial" w:hAnsi="Arial" w:eastAsia="Arial" w:cs="Arial"/>
                <w:color w:val="auto"/>
                <w:w w:val="97"/>
                <w:sz w:val="20"/>
                <w:szCs w:val="20"/>
              </w:rPr>
              <w:t>0.02</w:t>
            </w:r>
          </w:p>
        </w:tc>
        <w:tc>
          <w:tcPr>
            <w:tcW w:w="980" w:type="dxa"/>
            <w:vAlign w:val="bottom"/>
          </w:tcPr>
          <w:p>
            <w:pPr>
              <w:spacing w:after="0"/>
              <w:jc w:val="center"/>
              <w:rPr>
                <w:color w:val="auto"/>
                <w:sz w:val="20"/>
                <w:szCs w:val="20"/>
              </w:rPr>
            </w:pPr>
            <w:r>
              <w:rPr>
                <w:rFonts w:ascii="Arial" w:hAnsi="Arial" w:eastAsia="Arial" w:cs="Arial"/>
                <w:color w:val="auto"/>
                <w:w w:val="99"/>
                <w:sz w:val="20"/>
                <w:szCs w:val="20"/>
              </w:rPr>
              <w:t>0.006</w:t>
            </w:r>
          </w:p>
        </w:tc>
        <w:tc>
          <w:tcPr>
            <w:tcW w:w="1240" w:type="dxa"/>
            <w:vAlign w:val="bottom"/>
          </w:tcPr>
          <w:p>
            <w:pPr>
              <w:spacing w:after="0"/>
              <w:jc w:val="center"/>
              <w:rPr>
                <w:color w:val="auto"/>
                <w:sz w:val="20"/>
                <w:szCs w:val="20"/>
              </w:rPr>
            </w:pPr>
            <w:r>
              <w:rPr>
                <w:rFonts w:ascii="Arial" w:hAnsi="Arial" w:eastAsia="Arial" w:cs="Arial"/>
                <w:color w:val="auto"/>
                <w:w w:val="99"/>
                <w:sz w:val="20"/>
                <w:szCs w:val="20"/>
              </w:rPr>
              <w:t>0.013</w:t>
            </w:r>
          </w:p>
        </w:tc>
        <w:tc>
          <w:tcPr>
            <w:tcW w:w="860" w:type="dxa"/>
            <w:vAlign w:val="bottom"/>
          </w:tcPr>
          <w:p>
            <w:pPr>
              <w:spacing w:after="0"/>
              <w:jc w:val="center"/>
              <w:rPr>
                <w:color w:val="auto"/>
                <w:sz w:val="20"/>
                <w:szCs w:val="20"/>
              </w:rPr>
            </w:pPr>
            <w:r>
              <w:rPr>
                <w:rFonts w:ascii="Arial" w:hAnsi="Arial" w:eastAsia="Arial" w:cs="Arial"/>
                <w:color w:val="auto"/>
                <w:w w:val="97"/>
                <w:sz w:val="20"/>
                <w:szCs w:val="20"/>
              </w:rPr>
              <w:t>0.19</w:t>
            </w:r>
          </w:p>
        </w:tc>
        <w:tc>
          <w:tcPr>
            <w:tcW w:w="1280" w:type="dxa"/>
            <w:vAlign w:val="bottom"/>
          </w:tcPr>
          <w:p>
            <w:pPr>
              <w:spacing w:after="0"/>
              <w:jc w:val="center"/>
              <w:rPr>
                <w:color w:val="auto"/>
                <w:sz w:val="20"/>
                <w:szCs w:val="20"/>
              </w:rPr>
            </w:pPr>
            <w:r>
              <w:rPr>
                <w:rFonts w:ascii="Arial" w:hAnsi="Arial" w:eastAsia="Arial" w:cs="Arial"/>
                <w:color w:val="auto"/>
                <w:w w:val="99"/>
                <w:sz w:val="20"/>
                <w:szCs w:val="20"/>
              </w:rPr>
              <w:t>0.017</w:t>
            </w:r>
          </w:p>
        </w:tc>
        <w:tc>
          <w:tcPr>
            <w:tcW w:w="860" w:type="dxa"/>
            <w:vAlign w:val="bottom"/>
          </w:tcPr>
          <w:p>
            <w:pPr>
              <w:spacing w:after="0"/>
              <w:jc w:val="center"/>
              <w:rPr>
                <w:color w:val="auto"/>
                <w:sz w:val="20"/>
                <w:szCs w:val="20"/>
              </w:rPr>
            </w:pPr>
            <w:r>
              <w:rPr>
                <w:rFonts w:ascii="Arial" w:hAnsi="Arial" w:eastAsia="Arial" w:cs="Arial"/>
                <w:color w:val="auto"/>
                <w:w w:val="97"/>
                <w:sz w:val="20"/>
                <w:szCs w:val="20"/>
              </w:rPr>
              <w:t>0.03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76"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BMI (kg/m</w:t>
            </w:r>
            <w:r>
              <w:rPr>
                <w:rFonts w:ascii="Arial" w:hAnsi="Arial" w:eastAsia="Arial" w:cs="Arial"/>
                <w:b/>
                <w:bCs/>
                <w:color w:val="auto"/>
                <w:sz w:val="25"/>
                <w:szCs w:val="25"/>
                <w:vertAlign w:val="superscript"/>
              </w:rPr>
              <w:t>2</w:t>
            </w:r>
            <w:r>
              <w:rPr>
                <w:rFonts w:ascii="Arial" w:hAnsi="Arial" w:eastAsia="Arial" w:cs="Arial"/>
                <w:b/>
                <w:bCs/>
                <w:color w:val="auto"/>
                <w:sz w:val="20"/>
                <w:szCs w:val="20"/>
              </w:rPr>
              <w:t>)</w:t>
            </w:r>
          </w:p>
        </w:tc>
        <w:tc>
          <w:tcPr>
            <w:tcW w:w="1420" w:type="dxa"/>
            <w:vMerge w:val="restart"/>
            <w:vAlign w:val="bottom"/>
          </w:tcPr>
          <w:p>
            <w:pPr>
              <w:spacing w:after="0"/>
              <w:jc w:val="center"/>
              <w:rPr>
                <w:color w:val="auto"/>
                <w:sz w:val="20"/>
                <w:szCs w:val="20"/>
              </w:rPr>
            </w:pPr>
            <w:r>
              <w:rPr>
                <w:rFonts w:ascii="Arial" w:hAnsi="Arial" w:eastAsia="Arial" w:cs="Arial"/>
                <w:color w:val="auto"/>
                <w:sz w:val="20"/>
                <w:szCs w:val="20"/>
              </w:rPr>
              <w:t>-1.03</w:t>
            </w:r>
          </w:p>
        </w:tc>
        <w:tc>
          <w:tcPr>
            <w:tcW w:w="980" w:type="dxa"/>
            <w:vMerge w:val="restart"/>
            <w:vAlign w:val="bottom"/>
          </w:tcPr>
          <w:p>
            <w:pPr>
              <w:spacing w:after="0"/>
              <w:jc w:val="center"/>
              <w:rPr>
                <w:color w:val="auto"/>
                <w:sz w:val="20"/>
                <w:szCs w:val="20"/>
              </w:rPr>
            </w:pPr>
            <w:r>
              <w:rPr>
                <w:rFonts w:ascii="Arial" w:hAnsi="Arial" w:eastAsia="Arial" w:cs="Arial"/>
                <w:color w:val="auto"/>
                <w:w w:val="97"/>
                <w:sz w:val="20"/>
                <w:szCs w:val="20"/>
              </w:rPr>
              <w:t>0.17</w:t>
            </w:r>
          </w:p>
        </w:tc>
        <w:tc>
          <w:tcPr>
            <w:tcW w:w="1240" w:type="dxa"/>
            <w:vMerge w:val="restart"/>
            <w:vAlign w:val="bottom"/>
          </w:tcPr>
          <w:p>
            <w:pPr>
              <w:spacing w:after="0"/>
              <w:jc w:val="center"/>
              <w:rPr>
                <w:color w:val="auto"/>
                <w:sz w:val="20"/>
                <w:szCs w:val="20"/>
              </w:rPr>
            </w:pPr>
            <w:r>
              <w:rPr>
                <w:rFonts w:ascii="Arial" w:hAnsi="Arial" w:eastAsia="Arial" w:cs="Arial"/>
                <w:color w:val="auto"/>
                <w:w w:val="96"/>
                <w:sz w:val="20"/>
                <w:szCs w:val="20"/>
              </w:rPr>
              <w:t>-1.23</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0.09</w:t>
            </w:r>
          </w:p>
        </w:tc>
        <w:tc>
          <w:tcPr>
            <w:tcW w:w="1280" w:type="dxa"/>
            <w:vMerge w:val="restart"/>
            <w:vAlign w:val="bottom"/>
          </w:tcPr>
          <w:p>
            <w:pPr>
              <w:spacing w:after="0"/>
              <w:jc w:val="center"/>
              <w:rPr>
                <w:color w:val="auto"/>
                <w:sz w:val="20"/>
                <w:szCs w:val="20"/>
              </w:rPr>
            </w:pPr>
            <w:r>
              <w:rPr>
                <w:rFonts w:ascii="Arial" w:hAnsi="Arial" w:eastAsia="Arial" w:cs="Arial"/>
                <w:color w:val="auto"/>
                <w:sz w:val="20"/>
                <w:szCs w:val="20"/>
              </w:rPr>
              <w:t>-1.27</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0.07</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10" w:hRule="atLeast"/>
        </w:trPr>
        <w:tc>
          <w:tcPr>
            <w:tcW w:w="2800" w:type="dxa"/>
            <w:vAlign w:val="bottom"/>
          </w:tcPr>
          <w:p>
            <w:pPr>
              <w:spacing w:after="0"/>
              <w:rPr>
                <w:color w:val="auto"/>
                <w:sz w:val="9"/>
                <w:szCs w:val="9"/>
              </w:rPr>
            </w:pPr>
          </w:p>
        </w:tc>
        <w:tc>
          <w:tcPr>
            <w:tcW w:w="1420" w:type="dxa"/>
            <w:vMerge w:val="continue"/>
            <w:vAlign w:val="bottom"/>
          </w:tcPr>
          <w:p>
            <w:pPr>
              <w:spacing w:after="0"/>
              <w:rPr>
                <w:color w:val="auto"/>
                <w:sz w:val="9"/>
                <w:szCs w:val="9"/>
              </w:rPr>
            </w:pPr>
          </w:p>
        </w:tc>
        <w:tc>
          <w:tcPr>
            <w:tcW w:w="980" w:type="dxa"/>
            <w:vMerge w:val="continue"/>
            <w:vAlign w:val="bottom"/>
          </w:tcPr>
          <w:p>
            <w:pPr>
              <w:spacing w:after="0"/>
              <w:rPr>
                <w:color w:val="auto"/>
                <w:sz w:val="9"/>
                <w:szCs w:val="9"/>
              </w:rPr>
            </w:pPr>
          </w:p>
        </w:tc>
        <w:tc>
          <w:tcPr>
            <w:tcW w:w="1240" w:type="dxa"/>
            <w:vMerge w:val="continue"/>
            <w:vAlign w:val="bottom"/>
          </w:tcPr>
          <w:p>
            <w:pPr>
              <w:spacing w:after="0"/>
              <w:rPr>
                <w:color w:val="auto"/>
                <w:sz w:val="9"/>
                <w:szCs w:val="9"/>
              </w:rPr>
            </w:pPr>
          </w:p>
        </w:tc>
        <w:tc>
          <w:tcPr>
            <w:tcW w:w="860" w:type="dxa"/>
            <w:vMerge w:val="continue"/>
            <w:vAlign w:val="bottom"/>
          </w:tcPr>
          <w:p>
            <w:pPr>
              <w:spacing w:after="0"/>
              <w:rPr>
                <w:color w:val="auto"/>
                <w:sz w:val="9"/>
                <w:szCs w:val="9"/>
              </w:rPr>
            </w:pPr>
          </w:p>
        </w:tc>
        <w:tc>
          <w:tcPr>
            <w:tcW w:w="1280" w:type="dxa"/>
            <w:vMerge w:val="continue"/>
            <w:vAlign w:val="bottom"/>
          </w:tcPr>
          <w:p>
            <w:pPr>
              <w:spacing w:after="0"/>
              <w:rPr>
                <w:color w:val="auto"/>
                <w:sz w:val="9"/>
                <w:szCs w:val="9"/>
              </w:rPr>
            </w:pPr>
          </w:p>
        </w:tc>
        <w:tc>
          <w:tcPr>
            <w:tcW w:w="860" w:type="dxa"/>
            <w:vMerge w:val="continue"/>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3"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Sunscreen use</w:t>
            </w:r>
          </w:p>
        </w:tc>
        <w:tc>
          <w:tcPr>
            <w:tcW w:w="1420" w:type="dxa"/>
            <w:vMerge w:val="restart"/>
            <w:vAlign w:val="bottom"/>
          </w:tcPr>
          <w:p>
            <w:pPr>
              <w:spacing w:after="0"/>
              <w:jc w:val="center"/>
              <w:rPr>
                <w:color w:val="auto"/>
                <w:sz w:val="20"/>
                <w:szCs w:val="20"/>
              </w:rPr>
            </w:pPr>
            <w:r>
              <w:rPr>
                <w:rFonts w:ascii="Arial" w:hAnsi="Arial" w:eastAsia="Arial" w:cs="Arial"/>
                <w:color w:val="auto"/>
                <w:sz w:val="20"/>
                <w:szCs w:val="20"/>
              </w:rPr>
              <w:t>-7.21</w:t>
            </w:r>
          </w:p>
        </w:tc>
        <w:tc>
          <w:tcPr>
            <w:tcW w:w="980" w:type="dxa"/>
            <w:vMerge w:val="restart"/>
            <w:vAlign w:val="bottom"/>
          </w:tcPr>
          <w:p>
            <w:pPr>
              <w:spacing w:after="0"/>
              <w:jc w:val="center"/>
              <w:rPr>
                <w:color w:val="auto"/>
                <w:sz w:val="20"/>
                <w:szCs w:val="20"/>
              </w:rPr>
            </w:pPr>
            <w:r>
              <w:rPr>
                <w:rFonts w:ascii="Arial" w:hAnsi="Arial" w:eastAsia="Arial" w:cs="Arial"/>
                <w:color w:val="auto"/>
                <w:w w:val="97"/>
                <w:sz w:val="20"/>
                <w:szCs w:val="20"/>
              </w:rPr>
              <w:t>0.13</w:t>
            </w:r>
          </w:p>
        </w:tc>
        <w:tc>
          <w:tcPr>
            <w:tcW w:w="1240" w:type="dxa"/>
            <w:vMerge w:val="restart"/>
            <w:vAlign w:val="bottom"/>
          </w:tcPr>
          <w:p>
            <w:pPr>
              <w:spacing w:after="0"/>
              <w:jc w:val="center"/>
              <w:rPr>
                <w:color w:val="auto"/>
                <w:sz w:val="20"/>
                <w:szCs w:val="20"/>
              </w:rPr>
            </w:pPr>
            <w:r>
              <w:rPr>
                <w:rFonts w:ascii="Arial" w:hAnsi="Arial" w:eastAsia="Arial" w:cs="Arial"/>
                <w:color w:val="auto"/>
                <w:w w:val="96"/>
                <w:sz w:val="20"/>
                <w:szCs w:val="20"/>
              </w:rPr>
              <w:t>-9.26</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0.04</w:t>
            </w:r>
          </w:p>
        </w:tc>
        <w:tc>
          <w:tcPr>
            <w:tcW w:w="1280" w:type="dxa"/>
            <w:vMerge w:val="restart"/>
            <w:vAlign w:val="bottom"/>
          </w:tcPr>
          <w:p>
            <w:pPr>
              <w:spacing w:after="0"/>
              <w:jc w:val="center"/>
              <w:rPr>
                <w:color w:val="auto"/>
                <w:sz w:val="20"/>
                <w:szCs w:val="20"/>
              </w:rPr>
            </w:pPr>
            <w:r>
              <w:rPr>
                <w:rFonts w:ascii="Arial" w:hAnsi="Arial" w:eastAsia="Arial" w:cs="Arial"/>
                <w:color w:val="auto"/>
                <w:sz w:val="20"/>
                <w:szCs w:val="20"/>
              </w:rPr>
              <w:t>-9.31</w:t>
            </w:r>
          </w:p>
        </w:tc>
        <w:tc>
          <w:tcPr>
            <w:tcW w:w="860" w:type="dxa"/>
            <w:vMerge w:val="restart"/>
            <w:vAlign w:val="bottom"/>
          </w:tcPr>
          <w:p>
            <w:pPr>
              <w:spacing w:after="0"/>
              <w:jc w:val="center"/>
              <w:rPr>
                <w:color w:val="auto"/>
                <w:sz w:val="20"/>
                <w:szCs w:val="20"/>
              </w:rPr>
            </w:pPr>
            <w:r>
              <w:rPr>
                <w:rFonts w:ascii="Arial" w:hAnsi="Arial" w:eastAsia="Arial" w:cs="Arial"/>
                <w:color w:val="auto"/>
                <w:sz w:val="20"/>
                <w:szCs w:val="20"/>
              </w:rPr>
              <w:t>0.04</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72" w:hRule="atLeast"/>
        </w:trPr>
        <w:tc>
          <w:tcPr>
            <w:tcW w:w="2800" w:type="dxa"/>
            <w:vAlign w:val="bottom"/>
          </w:tcPr>
          <w:p>
            <w:pPr>
              <w:spacing w:after="0"/>
              <w:rPr>
                <w:color w:val="auto"/>
                <w:sz w:val="6"/>
                <w:szCs w:val="6"/>
              </w:rPr>
            </w:pPr>
          </w:p>
        </w:tc>
        <w:tc>
          <w:tcPr>
            <w:tcW w:w="1420" w:type="dxa"/>
            <w:vMerge w:val="continue"/>
            <w:vAlign w:val="bottom"/>
          </w:tcPr>
          <w:p>
            <w:pPr>
              <w:spacing w:after="0"/>
              <w:rPr>
                <w:color w:val="auto"/>
                <w:sz w:val="6"/>
                <w:szCs w:val="6"/>
              </w:rPr>
            </w:pPr>
          </w:p>
        </w:tc>
        <w:tc>
          <w:tcPr>
            <w:tcW w:w="980" w:type="dxa"/>
            <w:vMerge w:val="continue"/>
            <w:vAlign w:val="bottom"/>
          </w:tcPr>
          <w:p>
            <w:pPr>
              <w:spacing w:after="0"/>
              <w:rPr>
                <w:color w:val="auto"/>
                <w:sz w:val="6"/>
                <w:szCs w:val="6"/>
              </w:rPr>
            </w:pPr>
          </w:p>
        </w:tc>
        <w:tc>
          <w:tcPr>
            <w:tcW w:w="1240" w:type="dxa"/>
            <w:vMerge w:val="continue"/>
            <w:vAlign w:val="bottom"/>
          </w:tcPr>
          <w:p>
            <w:pPr>
              <w:spacing w:after="0"/>
              <w:rPr>
                <w:color w:val="auto"/>
                <w:sz w:val="6"/>
                <w:szCs w:val="6"/>
              </w:rPr>
            </w:pPr>
          </w:p>
        </w:tc>
        <w:tc>
          <w:tcPr>
            <w:tcW w:w="860" w:type="dxa"/>
            <w:vMerge w:val="continue"/>
            <w:vAlign w:val="bottom"/>
          </w:tcPr>
          <w:p>
            <w:pPr>
              <w:spacing w:after="0"/>
              <w:rPr>
                <w:color w:val="auto"/>
                <w:sz w:val="6"/>
                <w:szCs w:val="6"/>
              </w:rPr>
            </w:pPr>
          </w:p>
        </w:tc>
        <w:tc>
          <w:tcPr>
            <w:tcW w:w="1280" w:type="dxa"/>
            <w:vMerge w:val="continue"/>
            <w:vAlign w:val="bottom"/>
          </w:tcPr>
          <w:p>
            <w:pPr>
              <w:spacing w:after="0"/>
              <w:rPr>
                <w:color w:val="auto"/>
                <w:sz w:val="6"/>
                <w:szCs w:val="6"/>
              </w:rPr>
            </w:pPr>
          </w:p>
        </w:tc>
        <w:tc>
          <w:tcPr>
            <w:tcW w:w="860" w:type="dxa"/>
            <w:vMerge w:val="continue"/>
            <w:vAlign w:val="bottom"/>
          </w:tcPr>
          <w:p>
            <w:pPr>
              <w:spacing w:after="0"/>
              <w:rPr>
                <w:color w:val="auto"/>
                <w:sz w:val="6"/>
                <w:szCs w:val="6"/>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63"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Oral contraceptive use</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23.69</w:t>
            </w:r>
          </w:p>
        </w:tc>
        <w:tc>
          <w:tcPr>
            <w:tcW w:w="980" w:type="dxa"/>
            <w:vAlign w:val="bottom"/>
          </w:tcPr>
          <w:p>
            <w:pPr>
              <w:spacing w:after="0"/>
              <w:jc w:val="center"/>
              <w:rPr>
                <w:color w:val="auto"/>
                <w:sz w:val="20"/>
                <w:szCs w:val="20"/>
              </w:rPr>
            </w:pPr>
            <w:r>
              <w:rPr>
                <w:rFonts w:ascii="Arial" w:hAnsi="Arial" w:eastAsia="Arial" w:cs="Arial"/>
                <w:color w:val="auto"/>
                <w:sz w:val="20"/>
                <w:szCs w:val="20"/>
              </w:rPr>
              <w:t>&lt;.0001</w:t>
            </w:r>
          </w:p>
        </w:tc>
        <w:tc>
          <w:tcPr>
            <w:tcW w:w="1240" w:type="dxa"/>
            <w:vAlign w:val="bottom"/>
          </w:tcPr>
          <w:p>
            <w:pPr>
              <w:spacing w:after="0"/>
              <w:jc w:val="center"/>
              <w:rPr>
                <w:color w:val="auto"/>
                <w:sz w:val="20"/>
                <w:szCs w:val="20"/>
              </w:rPr>
            </w:pPr>
            <w:r>
              <w:rPr>
                <w:rFonts w:ascii="Arial" w:hAnsi="Arial" w:eastAsia="Arial" w:cs="Arial"/>
                <w:color w:val="auto"/>
                <w:w w:val="98"/>
                <w:sz w:val="20"/>
                <w:szCs w:val="20"/>
              </w:rPr>
              <w:t>-18.96</w:t>
            </w:r>
          </w:p>
        </w:tc>
        <w:tc>
          <w:tcPr>
            <w:tcW w:w="860" w:type="dxa"/>
            <w:vAlign w:val="bottom"/>
          </w:tcPr>
          <w:p>
            <w:pPr>
              <w:spacing w:after="0"/>
              <w:jc w:val="center"/>
              <w:rPr>
                <w:color w:val="auto"/>
                <w:sz w:val="20"/>
                <w:szCs w:val="20"/>
              </w:rPr>
            </w:pPr>
            <w:r>
              <w:rPr>
                <w:rFonts w:ascii="Arial" w:hAnsi="Arial" w:eastAsia="Arial" w:cs="Arial"/>
                <w:color w:val="auto"/>
                <w:sz w:val="20"/>
                <w:szCs w:val="20"/>
              </w:rPr>
              <w:t>&lt;.0001</w:t>
            </w:r>
          </w:p>
        </w:tc>
        <w:tc>
          <w:tcPr>
            <w:tcW w:w="1280" w:type="dxa"/>
            <w:vAlign w:val="bottom"/>
          </w:tcPr>
          <w:p>
            <w:pPr>
              <w:spacing w:after="0"/>
              <w:jc w:val="center"/>
              <w:rPr>
                <w:color w:val="auto"/>
                <w:sz w:val="20"/>
                <w:szCs w:val="20"/>
              </w:rPr>
            </w:pPr>
            <w:r>
              <w:rPr>
                <w:rFonts w:ascii="Arial" w:hAnsi="Arial" w:eastAsia="Arial" w:cs="Arial"/>
                <w:color w:val="auto"/>
                <w:w w:val="99"/>
                <w:sz w:val="20"/>
                <w:szCs w:val="20"/>
              </w:rPr>
              <w:t>19.34</w:t>
            </w:r>
          </w:p>
        </w:tc>
        <w:tc>
          <w:tcPr>
            <w:tcW w:w="860" w:type="dxa"/>
            <w:vAlign w:val="bottom"/>
          </w:tcPr>
          <w:p>
            <w:pPr>
              <w:spacing w:after="0"/>
              <w:jc w:val="center"/>
              <w:rPr>
                <w:color w:val="auto"/>
                <w:sz w:val="20"/>
                <w:szCs w:val="20"/>
              </w:rPr>
            </w:pPr>
            <w:r>
              <w:rPr>
                <w:rFonts w:ascii="Arial" w:hAnsi="Arial" w:eastAsia="Arial" w:cs="Arial"/>
                <w:color w:val="auto"/>
                <w:sz w:val="20"/>
                <w:szCs w:val="20"/>
              </w:rPr>
              <w:t>&lt;.0001</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30"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Milk</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11.48</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0.06</w:t>
            </w:r>
          </w:p>
        </w:tc>
        <w:tc>
          <w:tcPr>
            <w:tcW w:w="1240" w:type="dxa"/>
            <w:vAlign w:val="bottom"/>
          </w:tcPr>
          <w:p>
            <w:pPr>
              <w:spacing w:after="0"/>
              <w:jc w:val="center"/>
              <w:rPr>
                <w:color w:val="auto"/>
                <w:sz w:val="20"/>
                <w:szCs w:val="20"/>
              </w:rPr>
            </w:pPr>
            <w:r>
              <w:rPr>
                <w:rFonts w:ascii="Arial" w:hAnsi="Arial" w:eastAsia="Arial" w:cs="Arial"/>
                <w:color w:val="auto"/>
                <w:sz w:val="20"/>
                <w:szCs w:val="20"/>
              </w:rPr>
              <w:t>9.43</w:t>
            </w:r>
          </w:p>
        </w:tc>
        <w:tc>
          <w:tcPr>
            <w:tcW w:w="860" w:type="dxa"/>
            <w:vAlign w:val="bottom"/>
          </w:tcPr>
          <w:p>
            <w:pPr>
              <w:spacing w:after="0"/>
              <w:jc w:val="center"/>
              <w:rPr>
                <w:color w:val="auto"/>
                <w:sz w:val="20"/>
                <w:szCs w:val="20"/>
              </w:rPr>
            </w:pPr>
            <w:r>
              <w:rPr>
                <w:rFonts w:ascii="Arial" w:hAnsi="Arial" w:eastAsia="Arial" w:cs="Arial"/>
                <w:color w:val="auto"/>
                <w:sz w:val="20"/>
                <w:szCs w:val="20"/>
              </w:rPr>
              <w:t>0.1</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8.69</w:t>
            </w:r>
          </w:p>
        </w:tc>
        <w:tc>
          <w:tcPr>
            <w:tcW w:w="860" w:type="dxa"/>
            <w:vAlign w:val="bottom"/>
          </w:tcPr>
          <w:p>
            <w:pPr>
              <w:spacing w:after="0"/>
              <w:jc w:val="center"/>
              <w:rPr>
                <w:color w:val="auto"/>
                <w:sz w:val="20"/>
                <w:szCs w:val="20"/>
              </w:rPr>
            </w:pPr>
            <w:r>
              <w:rPr>
                <w:rFonts w:ascii="Arial" w:hAnsi="Arial" w:eastAsia="Arial" w:cs="Arial"/>
                <w:color w:val="auto"/>
                <w:w w:val="97"/>
                <w:sz w:val="20"/>
                <w:szCs w:val="20"/>
              </w:rPr>
              <w:t>0.13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30"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Cold cereal</w:t>
            </w:r>
          </w:p>
        </w:tc>
        <w:tc>
          <w:tcPr>
            <w:tcW w:w="1420" w:type="dxa"/>
            <w:vMerge w:val="restart"/>
            <w:vAlign w:val="bottom"/>
          </w:tcPr>
          <w:p>
            <w:pPr>
              <w:spacing w:after="0"/>
              <w:jc w:val="center"/>
              <w:rPr>
                <w:color w:val="auto"/>
                <w:sz w:val="20"/>
                <w:szCs w:val="20"/>
              </w:rPr>
            </w:pPr>
            <w:r>
              <w:rPr>
                <w:rFonts w:ascii="Arial" w:hAnsi="Arial" w:eastAsia="Arial" w:cs="Arial"/>
                <w:color w:val="auto"/>
                <w:w w:val="99"/>
                <w:sz w:val="20"/>
                <w:szCs w:val="20"/>
              </w:rPr>
              <w:t>16.37</w:t>
            </w:r>
          </w:p>
        </w:tc>
        <w:tc>
          <w:tcPr>
            <w:tcW w:w="980" w:type="dxa"/>
            <w:vMerge w:val="restart"/>
            <w:vAlign w:val="bottom"/>
          </w:tcPr>
          <w:p>
            <w:pPr>
              <w:spacing w:after="0"/>
              <w:jc w:val="center"/>
              <w:rPr>
                <w:color w:val="auto"/>
                <w:sz w:val="20"/>
                <w:szCs w:val="20"/>
              </w:rPr>
            </w:pPr>
            <w:r>
              <w:rPr>
                <w:rFonts w:ascii="Arial" w:hAnsi="Arial" w:eastAsia="Arial" w:cs="Arial"/>
                <w:color w:val="auto"/>
                <w:w w:val="99"/>
                <w:sz w:val="20"/>
                <w:szCs w:val="20"/>
              </w:rPr>
              <w:t>0.00005</w:t>
            </w:r>
          </w:p>
        </w:tc>
        <w:tc>
          <w:tcPr>
            <w:tcW w:w="1240" w:type="dxa"/>
            <w:vMerge w:val="restart"/>
            <w:vAlign w:val="bottom"/>
          </w:tcPr>
          <w:p>
            <w:pPr>
              <w:spacing w:after="0"/>
              <w:jc w:val="center"/>
              <w:rPr>
                <w:color w:val="auto"/>
                <w:sz w:val="20"/>
                <w:szCs w:val="20"/>
              </w:rPr>
            </w:pPr>
            <w:r>
              <w:rPr>
                <w:rFonts w:ascii="Arial" w:hAnsi="Arial" w:eastAsia="Arial" w:cs="Arial"/>
                <w:color w:val="auto"/>
                <w:w w:val="99"/>
                <w:sz w:val="20"/>
                <w:szCs w:val="20"/>
              </w:rPr>
              <w:t>11.51</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0.02</w:t>
            </w:r>
          </w:p>
        </w:tc>
        <w:tc>
          <w:tcPr>
            <w:tcW w:w="1280" w:type="dxa"/>
            <w:vMerge w:val="restart"/>
            <w:vAlign w:val="bottom"/>
          </w:tcPr>
          <w:p>
            <w:pPr>
              <w:spacing w:after="0"/>
              <w:jc w:val="center"/>
              <w:rPr>
                <w:color w:val="auto"/>
                <w:sz w:val="20"/>
                <w:szCs w:val="20"/>
              </w:rPr>
            </w:pPr>
            <w:r>
              <w:rPr>
                <w:rFonts w:ascii="Arial" w:hAnsi="Arial" w:eastAsia="Arial" w:cs="Arial"/>
                <w:color w:val="auto"/>
                <w:w w:val="99"/>
                <w:sz w:val="20"/>
                <w:szCs w:val="20"/>
              </w:rPr>
              <w:t>11.26</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0.02</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 w:hRule="atLeast"/>
        </w:trPr>
        <w:tc>
          <w:tcPr>
            <w:tcW w:w="2800" w:type="dxa"/>
            <w:vAlign w:val="bottom"/>
          </w:tcPr>
          <w:p>
            <w:pPr>
              <w:spacing w:after="0"/>
              <w:rPr>
                <w:color w:val="auto"/>
                <w:sz w:val="5"/>
                <w:szCs w:val="5"/>
              </w:rPr>
            </w:pPr>
          </w:p>
        </w:tc>
        <w:tc>
          <w:tcPr>
            <w:tcW w:w="1420" w:type="dxa"/>
            <w:vMerge w:val="continue"/>
            <w:vAlign w:val="bottom"/>
          </w:tcPr>
          <w:p>
            <w:pPr>
              <w:spacing w:after="0"/>
              <w:rPr>
                <w:color w:val="auto"/>
                <w:sz w:val="5"/>
                <w:szCs w:val="5"/>
              </w:rPr>
            </w:pPr>
          </w:p>
        </w:tc>
        <w:tc>
          <w:tcPr>
            <w:tcW w:w="980" w:type="dxa"/>
            <w:vMerge w:val="continue"/>
            <w:vAlign w:val="bottom"/>
          </w:tcPr>
          <w:p>
            <w:pPr>
              <w:spacing w:after="0"/>
              <w:rPr>
                <w:color w:val="auto"/>
                <w:sz w:val="5"/>
                <w:szCs w:val="5"/>
              </w:rPr>
            </w:pPr>
          </w:p>
        </w:tc>
        <w:tc>
          <w:tcPr>
            <w:tcW w:w="124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128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3"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Blood draw in high sun</w:t>
            </w:r>
          </w:p>
        </w:tc>
        <w:tc>
          <w:tcPr>
            <w:tcW w:w="1420" w:type="dxa"/>
            <w:vAlign w:val="bottom"/>
          </w:tcPr>
          <w:p>
            <w:pPr>
              <w:spacing w:after="0"/>
              <w:rPr>
                <w:color w:val="auto"/>
                <w:sz w:val="23"/>
                <w:szCs w:val="23"/>
              </w:rPr>
            </w:pPr>
          </w:p>
        </w:tc>
        <w:tc>
          <w:tcPr>
            <w:tcW w:w="980" w:type="dxa"/>
            <w:vAlign w:val="bottom"/>
          </w:tcPr>
          <w:p>
            <w:pPr>
              <w:spacing w:after="0"/>
              <w:rPr>
                <w:color w:val="auto"/>
                <w:sz w:val="23"/>
                <w:szCs w:val="23"/>
              </w:rPr>
            </w:pPr>
          </w:p>
        </w:tc>
        <w:tc>
          <w:tcPr>
            <w:tcW w:w="1240" w:type="dxa"/>
            <w:vAlign w:val="bottom"/>
          </w:tcPr>
          <w:p>
            <w:pPr>
              <w:spacing w:after="0"/>
              <w:rPr>
                <w:color w:val="auto"/>
                <w:sz w:val="23"/>
                <w:szCs w:val="23"/>
              </w:rPr>
            </w:pPr>
          </w:p>
        </w:tc>
        <w:tc>
          <w:tcPr>
            <w:tcW w:w="860" w:type="dxa"/>
            <w:vAlign w:val="bottom"/>
          </w:tcPr>
          <w:p>
            <w:pPr>
              <w:spacing w:after="0"/>
              <w:rPr>
                <w:color w:val="auto"/>
                <w:sz w:val="23"/>
                <w:szCs w:val="23"/>
              </w:rPr>
            </w:pPr>
          </w:p>
        </w:tc>
        <w:tc>
          <w:tcPr>
            <w:tcW w:w="1280" w:type="dxa"/>
            <w:vAlign w:val="bottom"/>
          </w:tcPr>
          <w:p>
            <w:pPr>
              <w:spacing w:after="0"/>
              <w:rPr>
                <w:color w:val="auto"/>
                <w:sz w:val="23"/>
                <w:szCs w:val="23"/>
              </w:rPr>
            </w:pPr>
          </w:p>
        </w:tc>
        <w:tc>
          <w:tcPr>
            <w:tcW w:w="860" w:type="dxa"/>
            <w:vAlign w:val="bottom"/>
          </w:tcPr>
          <w:p>
            <w:pPr>
              <w:spacing w:after="0"/>
              <w:rPr>
                <w:color w:val="auto"/>
                <w:sz w:val="23"/>
                <w:szCs w:val="2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3"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exposure month</w:t>
            </w:r>
            <w:r>
              <w:rPr>
                <w:rFonts w:ascii="Arial" w:hAnsi="Arial" w:eastAsia="Arial" w:cs="Arial"/>
                <w:b/>
                <w:bCs/>
                <w:color w:val="auto"/>
                <w:sz w:val="25"/>
                <w:szCs w:val="25"/>
                <w:vertAlign w:val="superscript"/>
              </w:rPr>
              <w:t>3</w:t>
            </w:r>
          </w:p>
        </w:tc>
        <w:tc>
          <w:tcPr>
            <w:tcW w:w="1420" w:type="dxa"/>
            <w:vAlign w:val="bottom"/>
          </w:tcPr>
          <w:p>
            <w:pPr>
              <w:spacing w:after="0"/>
              <w:jc w:val="center"/>
              <w:rPr>
                <w:color w:val="auto"/>
                <w:sz w:val="20"/>
                <w:szCs w:val="20"/>
              </w:rPr>
            </w:pPr>
            <w:r>
              <w:rPr>
                <w:rFonts w:ascii="Arial" w:hAnsi="Arial" w:eastAsia="Arial" w:cs="Arial"/>
                <w:color w:val="auto"/>
                <w:w w:val="99"/>
                <w:sz w:val="20"/>
                <w:szCs w:val="20"/>
              </w:rPr>
              <w:t>10.67</w:t>
            </w:r>
          </w:p>
        </w:tc>
        <w:tc>
          <w:tcPr>
            <w:tcW w:w="980" w:type="dxa"/>
            <w:vAlign w:val="bottom"/>
          </w:tcPr>
          <w:p>
            <w:pPr>
              <w:spacing w:after="0"/>
              <w:jc w:val="center"/>
              <w:rPr>
                <w:color w:val="auto"/>
                <w:sz w:val="20"/>
                <w:szCs w:val="20"/>
              </w:rPr>
            </w:pPr>
            <w:r>
              <w:rPr>
                <w:rFonts w:ascii="Arial" w:hAnsi="Arial" w:eastAsia="Arial" w:cs="Arial"/>
                <w:color w:val="auto"/>
                <w:w w:val="97"/>
                <w:sz w:val="20"/>
                <w:szCs w:val="20"/>
              </w:rPr>
              <w:t>0.03</w:t>
            </w:r>
          </w:p>
        </w:tc>
        <w:tc>
          <w:tcPr>
            <w:tcW w:w="1240" w:type="dxa"/>
            <w:vAlign w:val="bottom"/>
          </w:tcPr>
          <w:p>
            <w:pPr>
              <w:spacing w:after="0"/>
              <w:jc w:val="center"/>
              <w:rPr>
                <w:color w:val="auto"/>
                <w:sz w:val="20"/>
                <w:szCs w:val="20"/>
              </w:rPr>
            </w:pPr>
            <w:r>
              <w:rPr>
                <w:rFonts w:ascii="Arial" w:hAnsi="Arial" w:eastAsia="Arial" w:cs="Arial"/>
                <w:color w:val="auto"/>
                <w:sz w:val="20"/>
                <w:szCs w:val="20"/>
              </w:rPr>
              <w:t>-7.8</w:t>
            </w:r>
          </w:p>
        </w:tc>
        <w:tc>
          <w:tcPr>
            <w:tcW w:w="860" w:type="dxa"/>
            <w:vAlign w:val="bottom"/>
          </w:tcPr>
          <w:p>
            <w:pPr>
              <w:spacing w:after="0"/>
              <w:jc w:val="center"/>
              <w:rPr>
                <w:color w:val="auto"/>
                <w:sz w:val="20"/>
                <w:szCs w:val="20"/>
              </w:rPr>
            </w:pPr>
            <w:r>
              <w:rPr>
                <w:rFonts w:ascii="Arial" w:hAnsi="Arial" w:eastAsia="Arial" w:cs="Arial"/>
                <w:color w:val="auto"/>
                <w:sz w:val="20"/>
                <w:szCs w:val="20"/>
              </w:rPr>
              <w:t>0.1</w:t>
            </w:r>
          </w:p>
        </w:tc>
        <w:tc>
          <w:tcPr>
            <w:tcW w:w="1280" w:type="dxa"/>
            <w:vAlign w:val="bottom"/>
          </w:tcPr>
          <w:p>
            <w:pPr>
              <w:spacing w:after="0"/>
              <w:jc w:val="center"/>
              <w:rPr>
                <w:color w:val="auto"/>
                <w:sz w:val="20"/>
                <w:szCs w:val="20"/>
              </w:rPr>
            </w:pPr>
            <w:r>
              <w:rPr>
                <w:rFonts w:ascii="Arial" w:hAnsi="Arial" w:eastAsia="Arial" w:cs="Arial"/>
                <w:color w:val="auto"/>
                <w:w w:val="97"/>
                <w:sz w:val="20"/>
                <w:szCs w:val="20"/>
              </w:rPr>
              <w:t>8.86</w:t>
            </w:r>
          </w:p>
        </w:tc>
        <w:tc>
          <w:tcPr>
            <w:tcW w:w="860" w:type="dxa"/>
            <w:vAlign w:val="bottom"/>
          </w:tcPr>
          <w:p>
            <w:pPr>
              <w:spacing w:after="0"/>
              <w:jc w:val="center"/>
              <w:rPr>
                <w:color w:val="auto"/>
                <w:sz w:val="20"/>
                <w:szCs w:val="20"/>
              </w:rPr>
            </w:pPr>
            <w:r>
              <w:rPr>
                <w:rFonts w:ascii="Arial" w:hAnsi="Arial" w:eastAsia="Arial" w:cs="Arial"/>
                <w:color w:val="auto"/>
                <w:w w:val="97"/>
                <w:sz w:val="20"/>
                <w:szCs w:val="20"/>
              </w:rPr>
              <w:t>0.05</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58"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Time outside &lt;=2hours</w:t>
            </w:r>
          </w:p>
        </w:tc>
        <w:tc>
          <w:tcPr>
            <w:tcW w:w="1420" w:type="dxa"/>
            <w:vMerge w:val="restart"/>
            <w:vAlign w:val="bottom"/>
          </w:tcPr>
          <w:p>
            <w:pPr>
              <w:spacing w:after="0"/>
              <w:jc w:val="center"/>
              <w:rPr>
                <w:color w:val="auto"/>
                <w:sz w:val="20"/>
                <w:szCs w:val="20"/>
              </w:rPr>
            </w:pPr>
            <w:r>
              <w:rPr>
                <w:rFonts w:ascii="Arial" w:hAnsi="Arial" w:eastAsia="Arial" w:cs="Arial"/>
                <w:color w:val="auto"/>
                <w:sz w:val="20"/>
                <w:szCs w:val="20"/>
              </w:rPr>
              <w:t>-9.08</w:t>
            </w:r>
          </w:p>
        </w:tc>
        <w:tc>
          <w:tcPr>
            <w:tcW w:w="980" w:type="dxa"/>
            <w:vMerge w:val="restart"/>
            <w:vAlign w:val="bottom"/>
          </w:tcPr>
          <w:p>
            <w:pPr>
              <w:spacing w:after="0"/>
              <w:jc w:val="center"/>
              <w:rPr>
                <w:color w:val="auto"/>
                <w:sz w:val="20"/>
                <w:szCs w:val="20"/>
              </w:rPr>
            </w:pPr>
            <w:r>
              <w:rPr>
                <w:rFonts w:ascii="Arial" w:hAnsi="Arial" w:eastAsia="Arial" w:cs="Arial"/>
                <w:color w:val="auto"/>
                <w:w w:val="97"/>
                <w:sz w:val="20"/>
                <w:szCs w:val="20"/>
              </w:rPr>
              <w:t>0.15</w:t>
            </w:r>
          </w:p>
        </w:tc>
        <w:tc>
          <w:tcPr>
            <w:tcW w:w="1240" w:type="dxa"/>
            <w:vMerge w:val="restart"/>
            <w:vAlign w:val="bottom"/>
          </w:tcPr>
          <w:p>
            <w:pPr>
              <w:spacing w:after="0"/>
              <w:jc w:val="center"/>
              <w:rPr>
                <w:color w:val="auto"/>
                <w:sz w:val="20"/>
                <w:szCs w:val="20"/>
              </w:rPr>
            </w:pPr>
            <w:r>
              <w:rPr>
                <w:rFonts w:ascii="Arial" w:hAnsi="Arial" w:eastAsia="Arial" w:cs="Arial"/>
                <w:color w:val="auto"/>
                <w:w w:val="96"/>
                <w:sz w:val="20"/>
                <w:szCs w:val="20"/>
              </w:rPr>
              <w:t>-4.82</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0.43</w:t>
            </w:r>
          </w:p>
        </w:tc>
        <w:tc>
          <w:tcPr>
            <w:tcW w:w="1280" w:type="dxa"/>
            <w:vAlign w:val="bottom"/>
          </w:tcPr>
          <w:p>
            <w:pPr>
              <w:spacing w:after="0"/>
              <w:rPr>
                <w:color w:val="auto"/>
                <w:sz w:val="24"/>
                <w:szCs w:val="24"/>
              </w:rPr>
            </w:pPr>
          </w:p>
        </w:tc>
        <w:tc>
          <w:tcPr>
            <w:tcW w:w="86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 w:hRule="atLeast"/>
        </w:trPr>
        <w:tc>
          <w:tcPr>
            <w:tcW w:w="2800" w:type="dxa"/>
            <w:vAlign w:val="bottom"/>
          </w:tcPr>
          <w:p>
            <w:pPr>
              <w:spacing w:after="0"/>
              <w:rPr>
                <w:color w:val="auto"/>
                <w:sz w:val="5"/>
                <w:szCs w:val="5"/>
              </w:rPr>
            </w:pPr>
          </w:p>
        </w:tc>
        <w:tc>
          <w:tcPr>
            <w:tcW w:w="1420" w:type="dxa"/>
            <w:vMerge w:val="continue"/>
            <w:vAlign w:val="bottom"/>
          </w:tcPr>
          <w:p>
            <w:pPr>
              <w:spacing w:after="0"/>
              <w:rPr>
                <w:color w:val="auto"/>
                <w:sz w:val="5"/>
                <w:szCs w:val="5"/>
              </w:rPr>
            </w:pPr>
          </w:p>
        </w:tc>
        <w:tc>
          <w:tcPr>
            <w:tcW w:w="980" w:type="dxa"/>
            <w:vMerge w:val="continue"/>
            <w:vAlign w:val="bottom"/>
          </w:tcPr>
          <w:p>
            <w:pPr>
              <w:spacing w:after="0"/>
              <w:rPr>
                <w:color w:val="auto"/>
                <w:sz w:val="5"/>
                <w:szCs w:val="5"/>
              </w:rPr>
            </w:pPr>
          </w:p>
        </w:tc>
        <w:tc>
          <w:tcPr>
            <w:tcW w:w="124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1280" w:type="dxa"/>
            <w:vAlign w:val="bottom"/>
          </w:tcPr>
          <w:p>
            <w:pPr>
              <w:spacing w:after="0"/>
              <w:rPr>
                <w:color w:val="auto"/>
                <w:sz w:val="5"/>
                <w:szCs w:val="5"/>
              </w:rPr>
            </w:pPr>
          </w:p>
        </w:tc>
        <w:tc>
          <w:tcPr>
            <w:tcW w:w="860" w:type="dxa"/>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86"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Multivitamin use</w:t>
            </w:r>
          </w:p>
        </w:tc>
        <w:tc>
          <w:tcPr>
            <w:tcW w:w="1420" w:type="dxa"/>
            <w:vMerge w:val="restart"/>
            <w:vAlign w:val="bottom"/>
          </w:tcPr>
          <w:p>
            <w:pPr>
              <w:spacing w:after="0"/>
              <w:jc w:val="center"/>
              <w:rPr>
                <w:color w:val="auto"/>
                <w:sz w:val="20"/>
                <w:szCs w:val="20"/>
              </w:rPr>
            </w:pPr>
            <w:r>
              <w:rPr>
                <w:rFonts w:ascii="Arial" w:hAnsi="Arial" w:eastAsia="Arial" w:cs="Arial"/>
                <w:color w:val="auto"/>
                <w:sz w:val="20"/>
                <w:szCs w:val="20"/>
              </w:rPr>
              <w:t>-7.70</w:t>
            </w:r>
          </w:p>
        </w:tc>
        <w:tc>
          <w:tcPr>
            <w:tcW w:w="980" w:type="dxa"/>
            <w:vMerge w:val="restart"/>
            <w:vAlign w:val="bottom"/>
          </w:tcPr>
          <w:p>
            <w:pPr>
              <w:spacing w:after="0"/>
              <w:jc w:val="center"/>
              <w:rPr>
                <w:color w:val="auto"/>
                <w:sz w:val="20"/>
                <w:szCs w:val="20"/>
              </w:rPr>
            </w:pPr>
            <w:r>
              <w:rPr>
                <w:rFonts w:ascii="Arial" w:hAnsi="Arial" w:eastAsia="Arial" w:cs="Arial"/>
                <w:color w:val="auto"/>
                <w:sz w:val="20"/>
                <w:szCs w:val="20"/>
              </w:rPr>
              <w:t>0.1</w:t>
            </w:r>
          </w:p>
        </w:tc>
        <w:tc>
          <w:tcPr>
            <w:tcW w:w="1240" w:type="dxa"/>
            <w:vMerge w:val="restart"/>
            <w:vAlign w:val="bottom"/>
          </w:tcPr>
          <w:p>
            <w:pPr>
              <w:spacing w:after="0"/>
              <w:jc w:val="center"/>
              <w:rPr>
                <w:color w:val="auto"/>
                <w:sz w:val="20"/>
                <w:szCs w:val="20"/>
              </w:rPr>
            </w:pPr>
            <w:r>
              <w:rPr>
                <w:rFonts w:ascii="Arial" w:hAnsi="Arial" w:eastAsia="Arial" w:cs="Arial"/>
                <w:color w:val="auto"/>
                <w:w w:val="96"/>
                <w:sz w:val="20"/>
                <w:szCs w:val="20"/>
              </w:rPr>
              <w:t>-3.77</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0.49</w:t>
            </w:r>
          </w:p>
        </w:tc>
        <w:tc>
          <w:tcPr>
            <w:tcW w:w="1280" w:type="dxa"/>
            <w:vAlign w:val="bottom"/>
          </w:tcPr>
          <w:p>
            <w:pPr>
              <w:spacing w:after="0"/>
              <w:rPr>
                <w:color w:val="auto"/>
                <w:sz w:val="24"/>
                <w:szCs w:val="24"/>
              </w:rPr>
            </w:pPr>
          </w:p>
        </w:tc>
        <w:tc>
          <w:tcPr>
            <w:tcW w:w="860" w:type="dxa"/>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 w:hRule="atLeast"/>
        </w:trPr>
        <w:tc>
          <w:tcPr>
            <w:tcW w:w="2800" w:type="dxa"/>
            <w:vAlign w:val="bottom"/>
          </w:tcPr>
          <w:p>
            <w:pPr>
              <w:spacing w:after="0"/>
              <w:rPr>
                <w:color w:val="auto"/>
                <w:sz w:val="5"/>
                <w:szCs w:val="5"/>
              </w:rPr>
            </w:pPr>
          </w:p>
        </w:tc>
        <w:tc>
          <w:tcPr>
            <w:tcW w:w="1420" w:type="dxa"/>
            <w:vMerge w:val="continue"/>
            <w:vAlign w:val="bottom"/>
          </w:tcPr>
          <w:p>
            <w:pPr>
              <w:spacing w:after="0"/>
              <w:rPr>
                <w:color w:val="auto"/>
                <w:sz w:val="5"/>
                <w:szCs w:val="5"/>
              </w:rPr>
            </w:pPr>
          </w:p>
        </w:tc>
        <w:tc>
          <w:tcPr>
            <w:tcW w:w="980" w:type="dxa"/>
            <w:vMerge w:val="continue"/>
            <w:vAlign w:val="bottom"/>
          </w:tcPr>
          <w:p>
            <w:pPr>
              <w:spacing w:after="0"/>
              <w:rPr>
                <w:color w:val="auto"/>
                <w:sz w:val="5"/>
                <w:szCs w:val="5"/>
              </w:rPr>
            </w:pPr>
          </w:p>
        </w:tc>
        <w:tc>
          <w:tcPr>
            <w:tcW w:w="124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1280" w:type="dxa"/>
            <w:vAlign w:val="bottom"/>
          </w:tcPr>
          <w:p>
            <w:pPr>
              <w:spacing w:after="0"/>
              <w:rPr>
                <w:color w:val="auto"/>
                <w:sz w:val="5"/>
                <w:szCs w:val="5"/>
              </w:rPr>
            </w:pPr>
          </w:p>
        </w:tc>
        <w:tc>
          <w:tcPr>
            <w:tcW w:w="860" w:type="dxa"/>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86" w:hRule="atLeast"/>
        </w:trPr>
        <w:tc>
          <w:tcPr>
            <w:tcW w:w="2800" w:type="dxa"/>
            <w:vAlign w:val="bottom"/>
          </w:tcPr>
          <w:p>
            <w:pPr>
              <w:spacing w:after="0"/>
              <w:ind w:left="120"/>
              <w:rPr>
                <w:color w:val="auto"/>
                <w:sz w:val="20"/>
                <w:szCs w:val="20"/>
              </w:rPr>
            </w:pPr>
            <w:r>
              <w:rPr>
                <w:rFonts w:ascii="Arial" w:hAnsi="Arial" w:eastAsia="Arial" w:cs="Arial"/>
                <w:b/>
                <w:bCs/>
                <w:color w:val="auto"/>
                <w:sz w:val="20"/>
                <w:szCs w:val="20"/>
              </w:rPr>
              <w:t>Energy</w:t>
            </w:r>
          </w:p>
        </w:tc>
        <w:tc>
          <w:tcPr>
            <w:tcW w:w="1420" w:type="dxa"/>
            <w:vAlign w:val="bottom"/>
          </w:tcPr>
          <w:p>
            <w:pPr>
              <w:spacing w:after="0"/>
              <w:rPr>
                <w:color w:val="auto"/>
                <w:sz w:val="24"/>
                <w:szCs w:val="24"/>
              </w:rPr>
            </w:pPr>
          </w:p>
        </w:tc>
        <w:tc>
          <w:tcPr>
            <w:tcW w:w="980" w:type="dxa"/>
            <w:vMerge w:val="restart"/>
            <w:vAlign w:val="bottom"/>
          </w:tcPr>
          <w:p>
            <w:pPr>
              <w:spacing w:after="0"/>
              <w:jc w:val="center"/>
              <w:rPr>
                <w:color w:val="auto"/>
                <w:sz w:val="20"/>
                <w:szCs w:val="20"/>
              </w:rPr>
            </w:pPr>
            <w:r>
              <w:rPr>
                <w:rFonts w:ascii="Arial" w:hAnsi="Arial" w:eastAsia="Arial" w:cs="Arial"/>
                <w:color w:val="auto"/>
                <w:w w:val="97"/>
                <w:sz w:val="20"/>
                <w:szCs w:val="20"/>
              </w:rPr>
              <w:t>0.88</w:t>
            </w:r>
          </w:p>
        </w:tc>
        <w:tc>
          <w:tcPr>
            <w:tcW w:w="1240" w:type="dxa"/>
            <w:vMerge w:val="restart"/>
            <w:vAlign w:val="bottom"/>
          </w:tcPr>
          <w:p>
            <w:pPr>
              <w:spacing w:after="0"/>
              <w:jc w:val="center"/>
              <w:rPr>
                <w:color w:val="auto"/>
                <w:sz w:val="20"/>
                <w:szCs w:val="20"/>
              </w:rPr>
            </w:pPr>
            <w:r>
              <w:rPr>
                <w:rFonts w:ascii="Arial" w:hAnsi="Arial" w:eastAsia="Arial" w:cs="Arial"/>
                <w:color w:val="auto"/>
                <w:w w:val="98"/>
                <w:sz w:val="20"/>
                <w:szCs w:val="20"/>
              </w:rPr>
              <w:t>0.0002</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0.95</w:t>
            </w:r>
          </w:p>
        </w:tc>
        <w:tc>
          <w:tcPr>
            <w:tcW w:w="1280" w:type="dxa"/>
            <w:vMerge w:val="restart"/>
            <w:vAlign w:val="bottom"/>
          </w:tcPr>
          <w:p>
            <w:pPr>
              <w:spacing w:after="0"/>
              <w:jc w:val="center"/>
              <w:rPr>
                <w:color w:val="auto"/>
                <w:sz w:val="20"/>
                <w:szCs w:val="20"/>
              </w:rPr>
            </w:pPr>
            <w:r>
              <w:rPr>
                <w:rFonts w:ascii="Arial" w:hAnsi="Arial" w:eastAsia="Arial" w:cs="Arial"/>
                <w:color w:val="auto"/>
                <w:sz w:val="20"/>
                <w:szCs w:val="20"/>
              </w:rPr>
              <w:t>-0.0003</w:t>
            </w:r>
          </w:p>
        </w:tc>
        <w:tc>
          <w:tcPr>
            <w:tcW w:w="860" w:type="dxa"/>
            <w:vMerge w:val="restart"/>
            <w:vAlign w:val="bottom"/>
          </w:tcPr>
          <w:p>
            <w:pPr>
              <w:spacing w:after="0"/>
              <w:jc w:val="center"/>
              <w:rPr>
                <w:color w:val="auto"/>
                <w:sz w:val="20"/>
                <w:szCs w:val="20"/>
              </w:rPr>
            </w:pPr>
            <w:r>
              <w:rPr>
                <w:rFonts w:ascii="Arial" w:hAnsi="Arial" w:eastAsia="Arial" w:cs="Arial"/>
                <w:color w:val="auto"/>
                <w:w w:val="97"/>
                <w:sz w:val="20"/>
                <w:szCs w:val="20"/>
              </w:rPr>
              <w:t>0.93</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0" w:hRule="atLeast"/>
        </w:trPr>
        <w:tc>
          <w:tcPr>
            <w:tcW w:w="2800" w:type="dxa"/>
            <w:vAlign w:val="bottom"/>
          </w:tcPr>
          <w:p>
            <w:pPr>
              <w:spacing w:after="0"/>
              <w:rPr>
                <w:color w:val="auto"/>
                <w:sz w:val="5"/>
                <w:szCs w:val="5"/>
              </w:rPr>
            </w:pPr>
          </w:p>
        </w:tc>
        <w:tc>
          <w:tcPr>
            <w:tcW w:w="1420" w:type="dxa"/>
            <w:vAlign w:val="bottom"/>
          </w:tcPr>
          <w:p>
            <w:pPr>
              <w:spacing w:after="0"/>
              <w:rPr>
                <w:color w:val="auto"/>
                <w:sz w:val="5"/>
                <w:szCs w:val="5"/>
              </w:rPr>
            </w:pPr>
          </w:p>
        </w:tc>
        <w:tc>
          <w:tcPr>
            <w:tcW w:w="980" w:type="dxa"/>
            <w:vMerge w:val="continue"/>
            <w:vAlign w:val="bottom"/>
          </w:tcPr>
          <w:p>
            <w:pPr>
              <w:spacing w:after="0"/>
              <w:rPr>
                <w:color w:val="auto"/>
                <w:sz w:val="5"/>
                <w:szCs w:val="5"/>
              </w:rPr>
            </w:pPr>
          </w:p>
        </w:tc>
        <w:tc>
          <w:tcPr>
            <w:tcW w:w="124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1280" w:type="dxa"/>
            <w:vMerge w:val="continue"/>
            <w:vAlign w:val="bottom"/>
          </w:tcPr>
          <w:p>
            <w:pPr>
              <w:spacing w:after="0"/>
              <w:rPr>
                <w:color w:val="auto"/>
                <w:sz w:val="5"/>
                <w:szCs w:val="5"/>
              </w:rPr>
            </w:pPr>
          </w:p>
        </w:tc>
        <w:tc>
          <w:tcPr>
            <w:tcW w:w="860" w:type="dxa"/>
            <w:vMerge w:val="continue"/>
            <w:vAlign w:val="bottom"/>
          </w:tcPr>
          <w:p>
            <w:pPr>
              <w:spacing w:after="0"/>
              <w:rPr>
                <w:color w:val="auto"/>
                <w:sz w:val="5"/>
                <w:szCs w:val="5"/>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63" w:hRule="atLeast"/>
        </w:trPr>
        <w:tc>
          <w:tcPr>
            <w:tcW w:w="2800" w:type="dxa"/>
            <w:tcBorders>
              <w:bottom w:val="single" w:color="auto" w:sz="8" w:space="0"/>
            </w:tcBorders>
            <w:vAlign w:val="bottom"/>
          </w:tcPr>
          <w:p>
            <w:pPr>
              <w:spacing w:after="0"/>
              <w:rPr>
                <w:color w:val="auto"/>
                <w:sz w:val="5"/>
                <w:szCs w:val="5"/>
              </w:rPr>
            </w:pPr>
          </w:p>
        </w:tc>
        <w:tc>
          <w:tcPr>
            <w:tcW w:w="1420" w:type="dxa"/>
            <w:tcBorders>
              <w:bottom w:val="single" w:color="auto" w:sz="8" w:space="0"/>
            </w:tcBorders>
            <w:vAlign w:val="bottom"/>
          </w:tcPr>
          <w:p>
            <w:pPr>
              <w:spacing w:after="0"/>
              <w:rPr>
                <w:color w:val="auto"/>
                <w:sz w:val="5"/>
                <w:szCs w:val="5"/>
              </w:rPr>
            </w:pPr>
          </w:p>
        </w:tc>
        <w:tc>
          <w:tcPr>
            <w:tcW w:w="980" w:type="dxa"/>
            <w:tcBorders>
              <w:bottom w:val="single" w:color="auto" w:sz="8" w:space="0"/>
            </w:tcBorders>
            <w:vAlign w:val="bottom"/>
          </w:tcPr>
          <w:p>
            <w:pPr>
              <w:spacing w:after="0"/>
              <w:rPr>
                <w:color w:val="auto"/>
                <w:sz w:val="5"/>
                <w:szCs w:val="5"/>
              </w:rPr>
            </w:pPr>
          </w:p>
        </w:tc>
        <w:tc>
          <w:tcPr>
            <w:tcW w:w="1240" w:type="dxa"/>
            <w:tcBorders>
              <w:bottom w:val="single" w:color="auto" w:sz="8" w:space="0"/>
            </w:tcBorders>
            <w:vAlign w:val="bottom"/>
          </w:tcPr>
          <w:p>
            <w:pPr>
              <w:spacing w:after="0"/>
              <w:rPr>
                <w:color w:val="auto"/>
                <w:sz w:val="5"/>
                <w:szCs w:val="5"/>
              </w:rPr>
            </w:pPr>
          </w:p>
        </w:tc>
        <w:tc>
          <w:tcPr>
            <w:tcW w:w="860" w:type="dxa"/>
            <w:tcBorders>
              <w:bottom w:val="single" w:color="auto" w:sz="8" w:space="0"/>
            </w:tcBorders>
            <w:vAlign w:val="bottom"/>
          </w:tcPr>
          <w:p>
            <w:pPr>
              <w:spacing w:after="0"/>
              <w:rPr>
                <w:color w:val="auto"/>
                <w:sz w:val="5"/>
                <w:szCs w:val="5"/>
              </w:rPr>
            </w:pPr>
          </w:p>
        </w:tc>
        <w:tc>
          <w:tcPr>
            <w:tcW w:w="1280" w:type="dxa"/>
            <w:tcBorders>
              <w:bottom w:val="single" w:color="auto" w:sz="8" w:space="0"/>
            </w:tcBorders>
            <w:vAlign w:val="bottom"/>
          </w:tcPr>
          <w:p>
            <w:pPr>
              <w:spacing w:after="0"/>
              <w:rPr>
                <w:color w:val="auto"/>
                <w:sz w:val="5"/>
                <w:szCs w:val="5"/>
              </w:rPr>
            </w:pPr>
          </w:p>
        </w:tc>
        <w:tc>
          <w:tcPr>
            <w:tcW w:w="860" w:type="dxa"/>
            <w:tcBorders>
              <w:bottom w:val="single" w:color="auto" w:sz="8" w:space="0"/>
            </w:tcBorders>
            <w:vAlign w:val="bottom"/>
          </w:tcPr>
          <w:p>
            <w:pPr>
              <w:spacing w:after="0"/>
              <w:rPr>
                <w:color w:val="auto"/>
                <w:sz w:val="5"/>
                <w:szCs w:val="5"/>
              </w:rPr>
            </w:pPr>
          </w:p>
        </w:tc>
        <w:tc>
          <w:tcPr>
            <w:tcW w:w="0" w:type="dxa"/>
            <w:vAlign w:val="bottom"/>
          </w:tcPr>
          <w:p>
            <w:pPr>
              <w:spacing w:after="0"/>
              <w:rPr>
                <w:color w:val="auto"/>
                <w:sz w:val="1"/>
                <w:szCs w:val="1"/>
              </w:rPr>
            </w:pPr>
          </w:p>
        </w:tc>
      </w:tr>
    </w:tbl>
    <w:p>
      <w:pPr>
        <w:spacing w:after="0" w:line="88" w:lineRule="exact"/>
        <w:rPr>
          <w:color w:val="auto"/>
          <w:sz w:val="20"/>
          <w:szCs w:val="20"/>
        </w:rPr>
      </w:pPr>
    </w:p>
    <w:p>
      <w:pPr>
        <w:numPr>
          <w:ilvl w:val="0"/>
          <w:numId w:val="9"/>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1 multivariable linear regression model with variable p&lt;0.25 and energy.</w:t>
      </w:r>
    </w:p>
    <w:p>
      <w:pPr>
        <w:numPr>
          <w:ilvl w:val="0"/>
          <w:numId w:val="9"/>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Model 2 multivariable linear regression model with variable p&lt;0.1 in model 1 and energy.</w:t>
      </w:r>
    </w:p>
    <w:p>
      <w:pPr>
        <w:spacing w:after="0" w:line="1" w:lineRule="exact"/>
        <w:rPr>
          <w:rFonts w:ascii="Arial" w:hAnsi="Arial" w:eastAsia="Arial" w:cs="Arial"/>
          <w:color w:val="auto"/>
          <w:sz w:val="18"/>
          <w:szCs w:val="18"/>
        </w:rPr>
      </w:pPr>
    </w:p>
    <w:p>
      <w:pPr>
        <w:numPr>
          <w:ilvl w:val="0"/>
          <w:numId w:val="9"/>
        </w:numPr>
        <w:tabs>
          <w:tab w:val="left" w:pos="1440"/>
        </w:tabs>
        <w:spacing w:after="0"/>
        <w:ind w:left="1440" w:hanging="360"/>
        <w:rPr>
          <w:rFonts w:ascii="Arial" w:hAnsi="Arial" w:eastAsia="Arial" w:cs="Arial"/>
          <w:color w:val="auto"/>
          <w:sz w:val="18"/>
          <w:szCs w:val="18"/>
        </w:rPr>
      </w:pPr>
      <w:r>
        <w:rPr>
          <w:rFonts w:ascii="Arial" w:hAnsi="Arial" w:eastAsia="Arial" w:cs="Arial"/>
          <w:color w:val="auto"/>
          <w:sz w:val="18"/>
          <w:szCs w:val="18"/>
        </w:rPr>
        <w:t>High sun exposure month include Apr, May, Sep, Oct . No blood was drawn in June, July or August.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5" w:lineRule="exact"/>
        <w:rPr>
          <w:color w:val="auto"/>
          <w:sz w:val="20"/>
          <w:szCs w:val="20"/>
        </w:rPr>
      </w:pPr>
    </w:p>
    <w:p>
      <w:pPr>
        <w:spacing w:after="0"/>
        <w:ind w:right="40"/>
        <w:jc w:val="center"/>
        <w:rPr>
          <w:color w:val="auto"/>
          <w:sz w:val="20"/>
          <w:szCs w:val="20"/>
        </w:rPr>
      </w:pPr>
      <w:r>
        <w:rPr>
          <w:rFonts w:ascii="Calibri" w:hAnsi="Calibri" w:eastAsia="Calibri" w:cs="Calibri"/>
          <w:color w:val="auto"/>
          <w:sz w:val="24"/>
          <w:szCs w:val="24"/>
        </w:rPr>
        <w:t>47</w:t>
      </w:r>
    </w:p>
    <w:p>
      <w:pPr>
        <w:sectPr>
          <w:pgSz w:w="12240" w:h="15842"/>
          <w:pgMar w:top="1440" w:right="682" w:bottom="119" w:left="1440" w:header="0" w:footer="0" w:gutter="0"/>
          <w:cols w:equalWidth="0" w:num="1">
            <w:col w:w="10120"/>
          </w:cols>
        </w:sectPr>
      </w:pPr>
    </w:p>
    <w:p>
      <w:pPr>
        <w:spacing w:after="0" w:line="200" w:lineRule="exact"/>
        <w:rPr>
          <w:color w:val="auto"/>
          <w:sz w:val="20"/>
          <w:szCs w:val="20"/>
        </w:rPr>
      </w:pPr>
      <w:bookmarkStart w:id="52" w:name="page58"/>
      <w:bookmarkEnd w:id="52"/>
    </w:p>
    <w:p>
      <w:pPr>
        <w:spacing w:after="0" w:line="200" w:lineRule="exact"/>
        <w:rPr>
          <w:color w:val="auto"/>
          <w:sz w:val="20"/>
          <w:szCs w:val="20"/>
        </w:rPr>
      </w:pPr>
    </w:p>
    <w:p>
      <w:pPr>
        <w:spacing w:after="0" w:line="239" w:lineRule="exact"/>
        <w:rPr>
          <w:color w:val="auto"/>
          <w:sz w:val="20"/>
          <w:szCs w:val="20"/>
        </w:rPr>
      </w:pPr>
    </w:p>
    <w:p>
      <w:pPr>
        <w:spacing w:after="0"/>
        <w:ind w:left="4240"/>
        <w:rPr>
          <w:color w:val="auto"/>
          <w:sz w:val="20"/>
          <w:szCs w:val="20"/>
        </w:rPr>
      </w:pPr>
      <w:r>
        <w:rPr>
          <w:rFonts w:ascii="Arial" w:hAnsi="Arial" w:eastAsia="Arial" w:cs="Arial"/>
          <w:b/>
          <w:bCs/>
          <w:color w:val="auto"/>
          <w:sz w:val="28"/>
          <w:szCs w:val="28"/>
        </w:rPr>
        <w:t>CHAPTER 8</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ind w:left="4280"/>
        <w:rPr>
          <w:color w:val="auto"/>
          <w:sz w:val="20"/>
          <w:szCs w:val="20"/>
        </w:rPr>
      </w:pPr>
      <w:r>
        <w:rPr>
          <w:rFonts w:ascii="Arial" w:hAnsi="Arial" w:eastAsia="Arial" w:cs="Arial"/>
          <w:b/>
          <w:bCs/>
          <w:color w:val="auto"/>
          <w:sz w:val="28"/>
          <w:szCs w:val="28"/>
        </w:rPr>
        <w:t>DISSUSION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8" w:lineRule="exact"/>
        <w:rPr>
          <w:color w:val="auto"/>
          <w:sz w:val="20"/>
          <w:szCs w:val="20"/>
        </w:rPr>
      </w:pPr>
    </w:p>
    <w:p>
      <w:pPr>
        <w:spacing w:after="0" w:line="479" w:lineRule="auto"/>
        <w:ind w:left="720" w:right="62" w:firstLine="660"/>
        <w:rPr>
          <w:color w:val="auto"/>
          <w:sz w:val="20"/>
          <w:szCs w:val="20"/>
        </w:rPr>
      </w:pPr>
      <w:r>
        <w:rPr>
          <w:rFonts w:ascii="Arial" w:hAnsi="Arial" w:eastAsia="Arial" w:cs="Arial"/>
          <w:color w:val="auto"/>
          <w:sz w:val="22"/>
          <w:szCs w:val="22"/>
        </w:rPr>
        <w:t>The prevalence of asthma/wheeze (30.8%) observed in this cross-sectional study is substantially higher than that reported for U.S. white non-Hispanic females (10.6%) or all females (9.6%) in the same age range (NHIS data, 2007). The high prevalence we observed may be due to misclassification of the outcome since wheeze/asthma status was self-reported and was not confirmed by examination of medical records. The relatively high number of wheeze/asthma ―cases‖ in the current study could influence estimates of the association between exposure variables and asthma. Such misclassification, however, would tend to bias our results toward the null.</w:t>
      </w:r>
    </w:p>
    <w:p>
      <w:pPr>
        <w:spacing w:after="0" w:line="200" w:lineRule="exact"/>
        <w:rPr>
          <w:color w:val="auto"/>
          <w:sz w:val="20"/>
          <w:szCs w:val="20"/>
        </w:rPr>
      </w:pPr>
    </w:p>
    <w:p>
      <w:pPr>
        <w:spacing w:after="0" w:line="315" w:lineRule="exact"/>
        <w:rPr>
          <w:color w:val="auto"/>
          <w:sz w:val="20"/>
          <w:szCs w:val="20"/>
        </w:rPr>
      </w:pPr>
    </w:p>
    <w:p>
      <w:pPr>
        <w:spacing w:after="0" w:line="504" w:lineRule="auto"/>
        <w:ind w:left="720" w:right="162" w:firstLine="660"/>
        <w:rPr>
          <w:color w:val="auto"/>
          <w:sz w:val="20"/>
          <w:szCs w:val="20"/>
        </w:rPr>
      </w:pPr>
      <w:r>
        <w:rPr>
          <w:rFonts w:ascii="Arial" w:hAnsi="Arial" w:eastAsia="Arial" w:cs="Arial"/>
          <w:color w:val="auto"/>
          <w:sz w:val="21"/>
          <w:szCs w:val="21"/>
        </w:rPr>
        <w:t>We found that the risk of wheeze/asthma symptoms was three-times higher among women with low dietary vitamin D intake (&lt;200 IU/day) than in those with higher dietary vitamin D. This observation is consistent with the findings of a birth cohort study in which low maternal vitamin D intake was associated with increased risk of recurrent wheezing in children. (Litonjua, 2007, Camargo, 2007; Devereux, 2007; Erkkola ,2009).</w:t>
      </w:r>
    </w:p>
    <w:p>
      <w:pPr>
        <w:spacing w:after="0" w:line="200" w:lineRule="exact"/>
        <w:rPr>
          <w:color w:val="auto"/>
          <w:sz w:val="20"/>
          <w:szCs w:val="20"/>
        </w:rPr>
      </w:pPr>
    </w:p>
    <w:p>
      <w:pPr>
        <w:spacing w:after="0" w:line="301" w:lineRule="exact"/>
        <w:rPr>
          <w:color w:val="auto"/>
          <w:sz w:val="20"/>
          <w:szCs w:val="20"/>
        </w:rPr>
      </w:pPr>
    </w:p>
    <w:p>
      <w:pPr>
        <w:spacing w:after="0" w:line="478" w:lineRule="auto"/>
        <w:ind w:left="720" w:right="62" w:firstLine="718"/>
        <w:rPr>
          <w:color w:val="auto"/>
          <w:sz w:val="20"/>
          <w:szCs w:val="20"/>
        </w:rPr>
      </w:pPr>
      <w:r>
        <w:rPr>
          <w:rFonts w:ascii="Arial" w:hAnsi="Arial" w:eastAsia="Arial" w:cs="Arial"/>
          <w:color w:val="auto"/>
          <w:sz w:val="22"/>
          <w:szCs w:val="22"/>
        </w:rPr>
        <w:t xml:space="preserve">We hypothesized that high serum 25(OH) D would similarly be associated with reduced risk of asthma/wheeze, but we found the opposite effect: after controlling for vitamin D intake and other covariates, the risk of asthma/wheeze was 48% </w:t>
      </w:r>
      <w:r>
        <w:rPr>
          <w:rFonts w:ascii="Arial" w:hAnsi="Arial" w:eastAsia="Arial" w:cs="Arial"/>
          <w:i/>
          <w:iCs/>
          <w:color w:val="auto"/>
          <w:sz w:val="22"/>
          <w:szCs w:val="22"/>
        </w:rPr>
        <w:t>lower</w:t>
      </w:r>
      <w:r>
        <w:rPr>
          <w:rFonts w:ascii="Arial" w:hAnsi="Arial" w:eastAsia="Arial" w:cs="Arial"/>
          <w:color w:val="auto"/>
          <w:sz w:val="22"/>
          <w:szCs w:val="22"/>
        </w:rPr>
        <w:t xml:space="preserve"> among women with ―suboptimal‖ serum levels of 25(OH)D compared to women with optimal vitamin D status. Although our findings were unexpected, they lend some support to</w:t>
      </w:r>
    </w:p>
    <w:p>
      <w:pPr>
        <w:spacing w:after="0" w:line="22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48</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53" w:name="page59"/>
      <w:bookmarkEnd w:id="53"/>
    </w:p>
    <w:p>
      <w:pPr>
        <w:spacing w:after="0" w:line="478" w:lineRule="auto"/>
        <w:ind w:left="720" w:right="102"/>
        <w:rPr>
          <w:color w:val="auto"/>
          <w:sz w:val="20"/>
          <w:szCs w:val="20"/>
        </w:rPr>
      </w:pPr>
      <w:r>
        <w:rPr>
          <w:rFonts w:ascii="Arial" w:hAnsi="Arial" w:eastAsia="Arial" w:cs="Arial"/>
          <w:color w:val="auto"/>
          <w:sz w:val="22"/>
          <w:szCs w:val="22"/>
        </w:rPr>
        <w:t>previous observations by Gale et al.(2007), which found that high 25(OH) D concentration in the peripheral circulation during late pregnancy was associated with increased risk of eczema at 9 months and asthma at age 9 years. It is unclear whether higher serum levels of 25(OH) are actually detrimental. We speculate that women in our study who had higher serum levels of vitamin D likely spent more time outdoors, which could have exposed them to more outdoor asthma/wheeze triggers.</w:t>
      </w:r>
    </w:p>
    <w:p>
      <w:pPr>
        <w:spacing w:after="0" w:line="200" w:lineRule="exact"/>
        <w:rPr>
          <w:color w:val="auto"/>
          <w:sz w:val="20"/>
          <w:szCs w:val="20"/>
        </w:rPr>
      </w:pPr>
    </w:p>
    <w:p>
      <w:pPr>
        <w:spacing w:after="0" w:line="320" w:lineRule="exact"/>
        <w:rPr>
          <w:color w:val="auto"/>
          <w:sz w:val="20"/>
          <w:szCs w:val="20"/>
        </w:rPr>
      </w:pPr>
    </w:p>
    <w:p>
      <w:pPr>
        <w:spacing w:after="0" w:line="479" w:lineRule="auto"/>
        <w:ind w:left="720" w:right="2" w:firstLine="660"/>
        <w:rPr>
          <w:color w:val="auto"/>
          <w:sz w:val="20"/>
          <w:szCs w:val="20"/>
        </w:rPr>
      </w:pPr>
      <w:r>
        <w:rPr>
          <w:rFonts w:ascii="Arial" w:hAnsi="Arial" w:eastAsia="Arial" w:cs="Arial"/>
          <w:color w:val="auto"/>
          <w:sz w:val="22"/>
          <w:szCs w:val="22"/>
        </w:rPr>
        <w:t>The contradictory effects observed for dietary vitamin D and serum 25(OH)D are not completely surprising since dietary vitamin D intake tends to be poorly correlated with serum vitamin levels. For instance, although we found that dietary vitamin D was a significant predictor of serum 25(OH) D (p=0.03), it only accounted for 4% of the variability in serum 25(OH)D levels, suggesting that non-dietary factors also influenced serum vitamin levels. In addition, it is possible that other dietary factors associated with vitamin D-rich foods were responsible for the observed effect. However, we examined possible food components, such as omega-3 fatty acids and calcium, and did not observe an association between dietary intakes and wheeze/asthma symptoms for these nutrients, although it remains possible that other, unevaluated food components play a role.</w:t>
      </w:r>
    </w:p>
    <w:p>
      <w:pPr>
        <w:spacing w:after="0" w:line="200" w:lineRule="exact"/>
        <w:rPr>
          <w:color w:val="auto"/>
          <w:sz w:val="20"/>
          <w:szCs w:val="20"/>
        </w:rPr>
      </w:pPr>
    </w:p>
    <w:p>
      <w:pPr>
        <w:spacing w:after="0" w:line="317" w:lineRule="exact"/>
        <w:rPr>
          <w:color w:val="auto"/>
          <w:sz w:val="20"/>
          <w:szCs w:val="20"/>
        </w:rPr>
      </w:pPr>
    </w:p>
    <w:p>
      <w:pPr>
        <w:spacing w:after="0" w:line="478" w:lineRule="auto"/>
        <w:ind w:left="720" w:right="42" w:firstLine="722"/>
        <w:rPr>
          <w:color w:val="auto"/>
          <w:sz w:val="20"/>
          <w:szCs w:val="20"/>
        </w:rPr>
      </w:pPr>
      <w:r>
        <w:rPr>
          <w:rFonts w:ascii="Arial" w:hAnsi="Arial" w:eastAsia="Arial" w:cs="Arial"/>
          <w:color w:val="auto"/>
          <w:sz w:val="22"/>
          <w:szCs w:val="22"/>
        </w:rPr>
        <w:t>Another possible explanation of the discrepancy is the low DRI for dietary vitamin D (200 IU), which we used as our cut-off value for dietary adequacy. This level of intake is insufficient to raise serum concentrations to the level considered ―optimal‖ by most vitamin D experts. Had we raised the dietary cut-off to 600 IUs—the new RDA level recently suggested by the Food and Nutrition Board – many more women would have had ―suboptimal‖ intake, and the apparent risk associated with low intake may have been attenuated.</w:t>
      </w:r>
    </w:p>
    <w:p>
      <w:pPr>
        <w:spacing w:after="0" w:line="279"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49</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54" w:name="page60"/>
      <w:bookmarkEnd w:id="54"/>
    </w:p>
    <w:p>
      <w:pPr>
        <w:spacing w:after="0" w:line="479" w:lineRule="auto"/>
        <w:ind w:left="720" w:right="2" w:firstLine="660"/>
        <w:rPr>
          <w:color w:val="auto"/>
          <w:sz w:val="20"/>
          <w:szCs w:val="20"/>
        </w:rPr>
      </w:pPr>
      <w:r>
        <w:rPr>
          <w:rFonts w:ascii="Arial" w:hAnsi="Arial" w:eastAsia="Arial" w:cs="Arial"/>
          <w:color w:val="auto"/>
          <w:sz w:val="22"/>
          <w:szCs w:val="22"/>
        </w:rPr>
        <w:t>In addition to assessing the association between vitamin D status and wheeze/asthma, our study also identified the predictors of serum 25 (OH) D in this sample. In addition to total dietary vitamin D (p=0.03), intake of cold cereal (p=0.02) was also predictive of serum 25(OH)D levels. Among non-dietary factors, month of blood draw (p=0.05) and oral contraceptive use (p&lt;0.0001) were positive predictors of serum 25(OH) D, and sunscreen use (p=0.04) was a negative predictor. Compared to other vitamin D-rich foods, such as tuna or milk, cold cereal was the strongest dietary predictor of serum vitamin D in our study, suggesting that vitamin D fortification is an important contributor to dietary intake. The associations between serum vitamin D and month of blood draw and sunscreen use are not surprising given the well-known major contribution of cutaneous synthesis to vitamin D status. In addition, we found that, after adjustment for covariates, oral contraceptive use was associated with 25(OH)D levels that were on average 24 nmol/L greater than those observed in women who did not use oral contraceptives. The positive association between oral contraceptive use and 25(OH)D levels has been described by others (Sowers et al., 1986; Harris and Dawson-Hughes, 1998); in fact, Harris and Dawson-Hughes (1998) reported the exact same increment in 25(OH)D levels—24 nmol/L—that we observed in our study. Whether oral contraceptive use actually improves vitamin D status is not known; however, other researchers have speculated that the association it may be due to an estrogen-triggered change in the relative proportions of free and protein-bound vitamin D (Harris and Dawson-Hughes, 1998).</w:t>
      </w:r>
    </w:p>
    <w:p>
      <w:pPr>
        <w:spacing w:after="0" w:line="200" w:lineRule="exact"/>
        <w:rPr>
          <w:color w:val="auto"/>
          <w:sz w:val="20"/>
          <w:szCs w:val="20"/>
        </w:rPr>
      </w:pPr>
    </w:p>
    <w:p>
      <w:pPr>
        <w:spacing w:after="0" w:line="320" w:lineRule="exact"/>
        <w:rPr>
          <w:color w:val="auto"/>
          <w:sz w:val="20"/>
          <w:szCs w:val="20"/>
        </w:rPr>
      </w:pPr>
    </w:p>
    <w:p>
      <w:pPr>
        <w:spacing w:after="0"/>
        <w:ind w:left="720"/>
        <w:rPr>
          <w:color w:val="auto"/>
          <w:sz w:val="20"/>
          <w:szCs w:val="20"/>
        </w:rPr>
      </w:pPr>
      <w:r>
        <w:rPr>
          <w:rFonts w:ascii="Arial" w:hAnsi="Arial" w:eastAsia="Arial" w:cs="Arial"/>
          <w:b/>
          <w:bCs/>
          <w:color w:val="auto"/>
          <w:sz w:val="24"/>
          <w:szCs w:val="24"/>
          <w:u w:val="single" w:color="auto"/>
        </w:rPr>
        <w:t>Strengths and Limitations</w:t>
      </w:r>
    </w:p>
    <w:p>
      <w:pPr>
        <w:spacing w:after="0" w:line="287" w:lineRule="exact"/>
        <w:rPr>
          <w:color w:val="auto"/>
          <w:sz w:val="20"/>
          <w:szCs w:val="20"/>
        </w:rPr>
      </w:pPr>
    </w:p>
    <w:p>
      <w:pPr>
        <w:spacing w:after="0" w:line="505" w:lineRule="auto"/>
        <w:ind w:left="720" w:right="342" w:firstLine="660"/>
        <w:jc w:val="both"/>
        <w:rPr>
          <w:color w:val="auto"/>
          <w:sz w:val="20"/>
          <w:szCs w:val="20"/>
        </w:rPr>
      </w:pPr>
      <w:r>
        <w:rPr>
          <w:rFonts w:ascii="Arial" w:hAnsi="Arial" w:eastAsia="Arial" w:cs="Arial"/>
          <w:color w:val="auto"/>
          <w:sz w:val="21"/>
          <w:szCs w:val="21"/>
        </w:rPr>
        <w:t>Our study has several important strengths. In addition to information on dietary vitamin D intake and supplement use, we also had a biomarker measure of vitamin D status. Most previous studies of asthma and vitamin D have only collected dietary</w:t>
      </w:r>
    </w:p>
    <w:p>
      <w:pPr>
        <w:spacing w:after="0" w:line="210"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50</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55" w:name="page61"/>
      <w:bookmarkEnd w:id="55"/>
    </w:p>
    <w:p>
      <w:pPr>
        <w:spacing w:after="0" w:line="479" w:lineRule="auto"/>
        <w:ind w:left="720" w:right="82"/>
        <w:rPr>
          <w:color w:val="auto"/>
          <w:sz w:val="20"/>
          <w:szCs w:val="20"/>
        </w:rPr>
      </w:pPr>
      <w:r>
        <w:rPr>
          <w:rFonts w:ascii="Arial" w:hAnsi="Arial" w:eastAsia="Arial" w:cs="Arial"/>
          <w:color w:val="auto"/>
          <w:sz w:val="22"/>
          <w:szCs w:val="22"/>
        </w:rPr>
        <w:t>vitamin D data. Given the generally poor correlation between dietary vitamin D intake and serum levels, measuring serum concentration of 25(OH)D provides a more reliable method for determining vitamin D status since it reflects circulating levels, which include vitamin D derived both from diet and from cutaneous synthesis. In addition, our collection of questionnaire data concerning lifestyle factors, such as time spent outdoors and sunscreen use, helps to strengthen our analysis of predictors of 25(OH)D concentration. And finally, our cohort was quite homogenous, consisting only of young, healthy women with at least some college education. This homogeneity helps to reduce confounding; however, it limits the generalizability of our findings.</w:t>
      </w:r>
    </w:p>
    <w:p>
      <w:pPr>
        <w:spacing w:after="0" w:line="200" w:lineRule="exact"/>
        <w:rPr>
          <w:color w:val="auto"/>
          <w:sz w:val="20"/>
          <w:szCs w:val="20"/>
        </w:rPr>
      </w:pPr>
    </w:p>
    <w:p>
      <w:pPr>
        <w:spacing w:after="0" w:line="316" w:lineRule="exact"/>
        <w:rPr>
          <w:color w:val="auto"/>
          <w:sz w:val="20"/>
          <w:szCs w:val="20"/>
        </w:rPr>
      </w:pPr>
    </w:p>
    <w:p>
      <w:pPr>
        <w:spacing w:after="0" w:line="479" w:lineRule="auto"/>
        <w:ind w:left="720" w:right="2" w:firstLine="660"/>
        <w:rPr>
          <w:color w:val="auto"/>
          <w:sz w:val="20"/>
          <w:szCs w:val="20"/>
        </w:rPr>
      </w:pPr>
      <w:r>
        <w:rPr>
          <w:rFonts w:ascii="Arial" w:hAnsi="Arial" w:eastAsia="Arial" w:cs="Arial"/>
          <w:color w:val="auto"/>
          <w:sz w:val="22"/>
          <w:szCs w:val="22"/>
        </w:rPr>
        <w:t>Our study also had some limitations. First, the sample size was relatively small (n=186). A larger sample size would have increased the statistical power to detect associations. Secondly, because the study was originally intended to assess the relationship between vitamin D status and premenstrual syndrome, women who routinely use corticosteroids were ineligible. Because steroid use is common among persons with more severe asthma, it is possible that we inadvertently excluded women with more pronounced symptoms. Exclusion of these women would tend to bias our results toward the null. Third, since nearly all participants were students on the UMass Amherst campus, study activities were suspended during the summer months when most students leave campus. It is possible that data collected during these high sun-exposure months, when serum 25(OH)D levels are likely to be substantially higher, may have altered our findings.</w:t>
      </w:r>
    </w:p>
    <w:p>
      <w:pPr>
        <w:spacing w:after="0" w:line="200" w:lineRule="exact"/>
        <w:rPr>
          <w:color w:val="auto"/>
          <w:sz w:val="20"/>
          <w:szCs w:val="20"/>
        </w:rPr>
      </w:pPr>
    </w:p>
    <w:p>
      <w:pPr>
        <w:spacing w:after="0" w:line="321" w:lineRule="exact"/>
        <w:rPr>
          <w:color w:val="auto"/>
          <w:sz w:val="20"/>
          <w:szCs w:val="20"/>
        </w:rPr>
      </w:pPr>
    </w:p>
    <w:p>
      <w:pPr>
        <w:spacing w:after="0" w:line="475" w:lineRule="auto"/>
        <w:ind w:left="720" w:right="82" w:firstLine="660"/>
        <w:jc w:val="both"/>
        <w:rPr>
          <w:color w:val="auto"/>
          <w:sz w:val="20"/>
          <w:szCs w:val="20"/>
        </w:rPr>
      </w:pPr>
      <w:r>
        <w:rPr>
          <w:rFonts w:ascii="Arial" w:hAnsi="Arial" w:eastAsia="Arial" w:cs="Arial"/>
          <w:color w:val="auto"/>
          <w:sz w:val="22"/>
          <w:szCs w:val="22"/>
        </w:rPr>
        <w:t>We found that dietary vitamin D intake less than 200 IU daily was associated with an increased risk of asthma/wheeze symptoms. Other dietary components in vitamin D-rich foods did not appear to influence asthma risk. In contrast, we found that the risk of</w:t>
      </w:r>
    </w:p>
    <w:p>
      <w:pPr>
        <w:spacing w:after="0" w:line="27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51</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56" w:name="page62"/>
      <w:bookmarkEnd w:id="56"/>
    </w:p>
    <w:p>
      <w:pPr>
        <w:spacing w:after="0" w:line="479" w:lineRule="auto"/>
        <w:ind w:left="720" w:right="42"/>
        <w:rPr>
          <w:color w:val="auto"/>
          <w:sz w:val="20"/>
          <w:szCs w:val="20"/>
        </w:rPr>
      </w:pPr>
      <w:r>
        <w:rPr>
          <w:rFonts w:ascii="Arial" w:hAnsi="Arial" w:eastAsia="Arial" w:cs="Arial"/>
          <w:color w:val="auto"/>
          <w:sz w:val="22"/>
          <w:szCs w:val="22"/>
        </w:rPr>
        <w:t>wheeze/asthma symptoms was actually lower among women with ―suboptimal‖ serum concentrations of 25(OH)D compared to women with apparently ―optimal‖ vitamin D status. We doubt that higher serum levels of 25(OIH)D are an actual risk factor for asthma. Rather, we speculate that women with higher serum vitamin D likely spent more time outdoors during months that support cutaneous vitamin D synthesis and thereby may have been exposed to allergens and other compounds that could trigger asthma/wheeze symptoms. Because of the small sample size of the current study and our inconsistent results, further studies using larger cohorts with more rigorous assessment of asthma symptoms are needed to confirm our observations.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52</w:t>
      </w:r>
    </w:p>
    <w:p>
      <w:pPr>
        <w:sectPr>
          <w:pgSz w:w="12240" w:h="15842"/>
          <w:pgMar w:top="1440" w:right="1440" w:bottom="119" w:left="1440" w:header="0" w:footer="0" w:gutter="0"/>
          <w:cols w:equalWidth="0" w:num="1">
            <w:col w:w="9362"/>
          </w:cols>
        </w:sectPr>
      </w:pPr>
    </w:p>
    <w:p>
      <w:pPr>
        <w:spacing w:after="0"/>
        <w:ind w:left="4000"/>
        <w:rPr>
          <w:color w:val="auto"/>
          <w:sz w:val="20"/>
          <w:szCs w:val="20"/>
        </w:rPr>
      </w:pPr>
      <w:bookmarkStart w:id="57" w:name="page63"/>
      <w:bookmarkEnd w:id="57"/>
      <w:r>
        <w:rPr>
          <w:rFonts w:ascii="Arial" w:hAnsi="Arial" w:eastAsia="Arial" w:cs="Arial"/>
          <w:b/>
          <w:bCs/>
          <w:color w:val="auto"/>
          <w:sz w:val="28"/>
          <w:szCs w:val="28"/>
        </w:rPr>
        <w:t>BIBLIOGRAPHY</w:t>
      </w:r>
    </w:p>
    <w:p>
      <w:pPr>
        <w:spacing w:after="0" w:line="331" w:lineRule="exact"/>
        <w:rPr>
          <w:color w:val="auto"/>
          <w:sz w:val="20"/>
          <w:szCs w:val="20"/>
        </w:rPr>
      </w:pPr>
    </w:p>
    <w:p>
      <w:pPr>
        <w:spacing w:after="0" w:line="237" w:lineRule="auto"/>
        <w:ind w:left="720" w:right="82"/>
        <w:rPr>
          <w:color w:val="auto"/>
          <w:sz w:val="20"/>
          <w:szCs w:val="20"/>
        </w:rPr>
      </w:pPr>
      <w:r>
        <w:rPr>
          <w:rFonts w:ascii="Arial" w:hAnsi="Arial" w:eastAsia="Arial" w:cs="Arial"/>
          <w:color w:val="auto"/>
          <w:sz w:val="22"/>
          <w:szCs w:val="22"/>
        </w:rPr>
        <w:t xml:space="preserve">Adams JS, Hewison M. Unexpected actions of vitamin D: new perspectives on the regulation of innate and adaptive immunity. </w:t>
      </w:r>
      <w:r>
        <w:rPr>
          <w:rFonts w:ascii="Arial" w:hAnsi="Arial" w:eastAsia="Arial" w:cs="Arial"/>
          <w:i/>
          <w:iCs/>
          <w:color w:val="auto"/>
          <w:sz w:val="22"/>
          <w:szCs w:val="22"/>
        </w:rPr>
        <w:t>Nat Clin Pract Endocrinol Metab</w:t>
      </w:r>
      <w:r>
        <w:rPr>
          <w:rFonts w:ascii="Arial" w:hAnsi="Arial" w:eastAsia="Arial" w:cs="Arial"/>
          <w:color w:val="auto"/>
          <w:sz w:val="22"/>
          <w:szCs w:val="22"/>
        </w:rPr>
        <w:t xml:space="preserve"> 2002;4:80– 90</w:t>
      </w:r>
    </w:p>
    <w:p>
      <w:pPr>
        <w:spacing w:after="0" w:line="292" w:lineRule="exact"/>
        <w:rPr>
          <w:color w:val="auto"/>
          <w:sz w:val="20"/>
          <w:szCs w:val="20"/>
        </w:rPr>
      </w:pPr>
    </w:p>
    <w:p>
      <w:pPr>
        <w:spacing w:after="0" w:line="235" w:lineRule="auto"/>
        <w:ind w:left="720" w:right="302"/>
        <w:rPr>
          <w:color w:val="auto"/>
          <w:sz w:val="20"/>
          <w:szCs w:val="20"/>
        </w:rPr>
      </w:pPr>
      <w:r>
        <w:rPr>
          <w:rFonts w:ascii="Arial" w:hAnsi="Arial" w:eastAsia="Arial" w:cs="Arial"/>
          <w:color w:val="auto"/>
          <w:sz w:val="22"/>
          <w:szCs w:val="22"/>
        </w:rPr>
        <w:t xml:space="preserve">Abu-Harb M, Bell F, Finn A, et al. IL-8 and neutrophil elastase levels in the respiratory tract of infants with RSV bronchiolitis. </w:t>
      </w:r>
      <w:r>
        <w:rPr>
          <w:rFonts w:ascii="Arial" w:hAnsi="Arial" w:eastAsia="Arial" w:cs="Arial"/>
          <w:i/>
          <w:iCs/>
          <w:color w:val="auto"/>
          <w:sz w:val="22"/>
          <w:szCs w:val="22"/>
        </w:rPr>
        <w:t>Eur Respir J</w:t>
      </w:r>
      <w:r>
        <w:rPr>
          <w:rFonts w:ascii="Arial" w:hAnsi="Arial" w:eastAsia="Arial" w:cs="Arial"/>
          <w:color w:val="auto"/>
          <w:sz w:val="22"/>
          <w:szCs w:val="22"/>
        </w:rPr>
        <w:t xml:space="preserve"> 1999; 14:139-43.</w:t>
      </w:r>
    </w:p>
    <w:p>
      <w:pPr>
        <w:spacing w:after="0" w:line="289" w:lineRule="exact"/>
        <w:rPr>
          <w:color w:val="auto"/>
          <w:sz w:val="20"/>
          <w:szCs w:val="20"/>
        </w:rPr>
      </w:pPr>
    </w:p>
    <w:p>
      <w:pPr>
        <w:spacing w:after="0" w:line="238" w:lineRule="auto"/>
        <w:ind w:left="720" w:right="242"/>
        <w:rPr>
          <w:color w:val="auto"/>
          <w:sz w:val="20"/>
          <w:szCs w:val="20"/>
        </w:rPr>
      </w:pPr>
      <w:r>
        <w:rPr>
          <w:rFonts w:ascii="Arial" w:hAnsi="Arial" w:eastAsia="Arial" w:cs="Arial"/>
          <w:color w:val="auto"/>
          <w:sz w:val="22"/>
          <w:szCs w:val="22"/>
        </w:rPr>
        <w:t xml:space="preserve">Agerberth, B., J. Grunewald, E. Castanos-Velez, B. Olsson, H. Jörnvall, H. Wigzell, A. Eklund, and G. H. Gudmundsson. 1999. Antibacterial components in bronchoalveolar lavage fluid from healthy individuals and sarcoidosis patients. </w:t>
      </w:r>
      <w:r>
        <w:rPr>
          <w:rFonts w:ascii="Arial" w:hAnsi="Arial" w:eastAsia="Arial" w:cs="Arial"/>
          <w:i/>
          <w:iCs/>
          <w:color w:val="auto"/>
          <w:sz w:val="22"/>
          <w:szCs w:val="22"/>
        </w:rPr>
        <w:t>Am. J. Respir. Crit. Care Med</w:t>
      </w:r>
      <w:r>
        <w:rPr>
          <w:rFonts w:ascii="Arial" w:hAnsi="Arial" w:eastAsia="Arial" w:cs="Arial"/>
          <w:color w:val="auto"/>
          <w:sz w:val="22"/>
          <w:szCs w:val="22"/>
        </w:rPr>
        <w:t>. 160:283-290</w:t>
      </w:r>
    </w:p>
    <w:p>
      <w:pPr>
        <w:spacing w:after="0" w:line="288" w:lineRule="exact"/>
        <w:rPr>
          <w:color w:val="auto"/>
          <w:sz w:val="20"/>
          <w:szCs w:val="20"/>
        </w:rPr>
      </w:pPr>
    </w:p>
    <w:p>
      <w:pPr>
        <w:spacing w:after="0" w:line="253" w:lineRule="auto"/>
        <w:ind w:left="720" w:right="822"/>
        <w:rPr>
          <w:color w:val="auto"/>
          <w:sz w:val="20"/>
          <w:szCs w:val="20"/>
        </w:rPr>
      </w:pPr>
      <w:r>
        <w:rPr>
          <w:rFonts w:ascii="Arial" w:hAnsi="Arial" w:eastAsia="Arial" w:cs="Arial"/>
          <w:color w:val="auto"/>
          <w:sz w:val="21"/>
          <w:szCs w:val="21"/>
        </w:rPr>
        <w:t xml:space="preserve">Ayesha, I., Bala, T.S., Reddy, C.V., Raghuramulu, N. 2001. Vitamin D deficiency reduces insulin secretion and turnover in rats. </w:t>
      </w:r>
      <w:r>
        <w:rPr>
          <w:rFonts w:ascii="Arial" w:hAnsi="Arial" w:eastAsia="Arial" w:cs="Arial"/>
          <w:i/>
          <w:iCs/>
          <w:color w:val="auto"/>
          <w:sz w:val="21"/>
          <w:szCs w:val="21"/>
        </w:rPr>
        <w:t>Diabetes Nutr. Metab</w:t>
      </w:r>
      <w:r>
        <w:rPr>
          <w:rFonts w:ascii="Arial" w:hAnsi="Arial" w:eastAsia="Arial" w:cs="Arial"/>
          <w:color w:val="auto"/>
          <w:sz w:val="21"/>
          <w:szCs w:val="21"/>
        </w:rPr>
        <w:t>. 14:78-84.</w:t>
      </w:r>
    </w:p>
    <w:p>
      <w:pPr>
        <w:spacing w:after="0" w:line="249" w:lineRule="exact"/>
        <w:rPr>
          <w:color w:val="auto"/>
          <w:sz w:val="20"/>
          <w:szCs w:val="20"/>
        </w:rPr>
      </w:pPr>
    </w:p>
    <w:p>
      <w:pPr>
        <w:spacing w:after="0" w:line="237" w:lineRule="auto"/>
        <w:ind w:left="720" w:right="42"/>
        <w:rPr>
          <w:color w:val="auto"/>
          <w:sz w:val="20"/>
          <w:szCs w:val="20"/>
        </w:rPr>
      </w:pPr>
      <w:r>
        <w:rPr>
          <w:rFonts w:ascii="Arial" w:hAnsi="Arial" w:eastAsia="Arial" w:cs="Arial"/>
          <w:color w:val="auto"/>
          <w:sz w:val="22"/>
          <w:szCs w:val="22"/>
        </w:rPr>
        <w:t xml:space="preserve">Bals, R., X. Wang, M. Zasloff, and J. M. Wilson. 1998. The peptide antibiotic LL-37/hCAP-18 is expressed in epithelia of the human lung where it has broad antimicrobial activity at the airway surface. </w:t>
      </w:r>
      <w:r>
        <w:rPr>
          <w:rFonts w:ascii="Arial" w:hAnsi="Arial" w:eastAsia="Arial" w:cs="Arial"/>
          <w:i/>
          <w:iCs/>
          <w:color w:val="auto"/>
          <w:sz w:val="22"/>
          <w:szCs w:val="22"/>
        </w:rPr>
        <w:t>Proc. Natl. Acad. Sci. USA</w:t>
      </w:r>
      <w:r>
        <w:rPr>
          <w:rFonts w:ascii="Arial" w:hAnsi="Arial" w:eastAsia="Arial" w:cs="Arial"/>
          <w:color w:val="auto"/>
          <w:sz w:val="22"/>
          <w:szCs w:val="22"/>
        </w:rPr>
        <w:t xml:space="preserve"> 95:9541-9546</w:t>
      </w:r>
    </w:p>
    <w:p>
      <w:pPr>
        <w:spacing w:after="0" w:line="263" w:lineRule="exact"/>
        <w:rPr>
          <w:color w:val="auto"/>
          <w:sz w:val="20"/>
          <w:szCs w:val="20"/>
        </w:rPr>
      </w:pPr>
    </w:p>
    <w:p>
      <w:pPr>
        <w:spacing w:after="0" w:line="237" w:lineRule="auto"/>
        <w:ind w:left="720" w:right="242"/>
        <w:rPr>
          <w:color w:val="auto"/>
          <w:sz w:val="20"/>
          <w:szCs w:val="20"/>
        </w:rPr>
      </w:pPr>
      <w:r>
        <w:rPr>
          <w:rFonts w:ascii="Arial" w:hAnsi="Arial" w:eastAsia="Arial" w:cs="Arial"/>
          <w:color w:val="auto"/>
          <w:sz w:val="22"/>
          <w:szCs w:val="22"/>
        </w:rPr>
        <w:t xml:space="preserve">Bhalla AK, et al. Specific high-affinity receptors for 1,25-dihydroxyvitamin D3 in human peripheral blood mononuclear cells: presence in monocytes and induction in T lymphocytes following activation. </w:t>
      </w:r>
      <w:r>
        <w:rPr>
          <w:rFonts w:ascii="Arial" w:hAnsi="Arial" w:eastAsia="Arial" w:cs="Arial"/>
          <w:i/>
          <w:iCs/>
          <w:color w:val="auto"/>
          <w:sz w:val="22"/>
          <w:szCs w:val="22"/>
        </w:rPr>
        <w:t>J Clin Endocrinol Metab.</w:t>
      </w:r>
      <w:r>
        <w:rPr>
          <w:rFonts w:ascii="Arial" w:hAnsi="Arial" w:eastAsia="Arial" w:cs="Arial"/>
          <w:color w:val="auto"/>
          <w:sz w:val="22"/>
          <w:szCs w:val="22"/>
        </w:rPr>
        <w:t xml:space="preserve"> 1983;57:1308–1310.</w:t>
      </w:r>
    </w:p>
    <w:p>
      <w:pPr>
        <w:spacing w:after="0" w:line="290" w:lineRule="exact"/>
        <w:rPr>
          <w:color w:val="auto"/>
          <w:sz w:val="20"/>
          <w:szCs w:val="20"/>
        </w:rPr>
      </w:pPr>
    </w:p>
    <w:p>
      <w:pPr>
        <w:spacing w:after="0" w:line="237" w:lineRule="auto"/>
        <w:ind w:left="720" w:right="222"/>
        <w:rPr>
          <w:color w:val="auto"/>
          <w:sz w:val="20"/>
          <w:szCs w:val="20"/>
        </w:rPr>
      </w:pPr>
      <w:r>
        <w:rPr>
          <w:rFonts w:ascii="Arial" w:hAnsi="Arial" w:eastAsia="Arial" w:cs="Arial"/>
          <w:color w:val="auto"/>
          <w:sz w:val="22"/>
          <w:szCs w:val="22"/>
        </w:rPr>
        <w:t xml:space="preserve">Black PN, Scragg R. Relationship between serum 25-hydroxyvitamin D and pulmonary function in the Third National Health and Nutrition Examination Survey. </w:t>
      </w:r>
      <w:r>
        <w:rPr>
          <w:rFonts w:ascii="Arial" w:hAnsi="Arial" w:eastAsia="Arial" w:cs="Arial"/>
          <w:i/>
          <w:iCs/>
          <w:color w:val="auto"/>
          <w:sz w:val="22"/>
          <w:szCs w:val="22"/>
        </w:rPr>
        <w:t>Chest</w:t>
      </w:r>
      <w:r>
        <w:rPr>
          <w:rFonts w:ascii="Arial" w:hAnsi="Arial" w:eastAsia="Arial" w:cs="Arial"/>
          <w:color w:val="auto"/>
          <w:sz w:val="22"/>
          <w:szCs w:val="22"/>
        </w:rPr>
        <w:t xml:space="preserve"> 2005;128:3792-8.</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Brehm JM, Celedon JC, Soto-Quiros ME, Avila L, Hunninghake GM, Forno E,</w:t>
      </w:r>
    </w:p>
    <w:p>
      <w:pPr>
        <w:spacing w:after="0" w:line="7" w:lineRule="exact"/>
        <w:rPr>
          <w:color w:val="auto"/>
          <w:sz w:val="20"/>
          <w:szCs w:val="20"/>
        </w:rPr>
      </w:pPr>
    </w:p>
    <w:p>
      <w:pPr>
        <w:spacing w:after="0" w:line="235" w:lineRule="auto"/>
        <w:ind w:left="720" w:right="42"/>
        <w:rPr>
          <w:color w:val="auto"/>
          <w:sz w:val="20"/>
          <w:szCs w:val="20"/>
        </w:rPr>
      </w:pPr>
      <w:r>
        <w:rPr>
          <w:rFonts w:ascii="Arial" w:hAnsi="Arial" w:eastAsia="Arial" w:cs="Arial"/>
          <w:color w:val="auto"/>
          <w:sz w:val="22"/>
          <w:szCs w:val="22"/>
        </w:rPr>
        <w:t xml:space="preserve">et al. Serum vitamin D levels and markers of severity of childhood asthma in Costa Rica. </w:t>
      </w:r>
      <w:r>
        <w:rPr>
          <w:rFonts w:ascii="Arial" w:hAnsi="Arial" w:eastAsia="Arial" w:cs="Arial"/>
          <w:i/>
          <w:iCs/>
          <w:color w:val="auto"/>
          <w:sz w:val="22"/>
          <w:szCs w:val="22"/>
        </w:rPr>
        <w:t>Am J Respir Crit Care Med</w:t>
      </w:r>
      <w:r>
        <w:rPr>
          <w:rFonts w:ascii="Arial" w:hAnsi="Arial" w:eastAsia="Arial" w:cs="Arial"/>
          <w:color w:val="auto"/>
          <w:sz w:val="22"/>
          <w:szCs w:val="22"/>
        </w:rPr>
        <w:t xml:space="preserve"> 2009;179:765-71</w:t>
      </w:r>
    </w:p>
    <w:p>
      <w:pPr>
        <w:spacing w:after="0" w:line="292" w:lineRule="exact"/>
        <w:rPr>
          <w:color w:val="auto"/>
          <w:sz w:val="20"/>
          <w:szCs w:val="20"/>
        </w:rPr>
      </w:pPr>
    </w:p>
    <w:p>
      <w:pPr>
        <w:spacing w:after="0" w:line="236" w:lineRule="auto"/>
        <w:ind w:left="720" w:right="82"/>
        <w:rPr>
          <w:color w:val="auto"/>
          <w:sz w:val="20"/>
          <w:szCs w:val="20"/>
        </w:rPr>
      </w:pPr>
      <w:r>
        <w:rPr>
          <w:rFonts w:ascii="Arial" w:hAnsi="Arial" w:eastAsia="Arial" w:cs="Arial"/>
          <w:color w:val="auto"/>
          <w:sz w:val="22"/>
          <w:szCs w:val="22"/>
        </w:rPr>
        <w:t xml:space="preserve">Brehm JM, Schuemann B, Fuhlbrigge AL, Hollis BW, Strunk RC, Zeiger RS, et al.Serum vitamin D levels and severe asthma exacerbations in the Childhood Asthma Management Program study.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2010;126:52-8</w:t>
      </w:r>
    </w:p>
    <w:p>
      <w:pPr>
        <w:spacing w:after="0" w:line="291" w:lineRule="exact"/>
        <w:rPr>
          <w:color w:val="auto"/>
          <w:sz w:val="20"/>
          <w:szCs w:val="20"/>
        </w:rPr>
      </w:pPr>
    </w:p>
    <w:p>
      <w:pPr>
        <w:spacing w:after="0" w:line="236" w:lineRule="auto"/>
        <w:ind w:left="720" w:right="82"/>
        <w:rPr>
          <w:color w:val="auto"/>
          <w:sz w:val="20"/>
          <w:szCs w:val="20"/>
        </w:rPr>
      </w:pPr>
      <w:r>
        <w:rPr>
          <w:rFonts w:ascii="Arial" w:hAnsi="Arial" w:eastAsia="Arial" w:cs="Arial"/>
          <w:color w:val="auto"/>
          <w:sz w:val="22"/>
          <w:szCs w:val="22"/>
        </w:rPr>
        <w:t>Boonstra A, et al. 1α,25-Dihydroxyvitamin D3 has a direct effect on naive CD4(+) T cells to enhance the development of Th2 cells</w:t>
      </w:r>
      <w:r>
        <w:rPr>
          <w:rFonts w:ascii="Arial" w:hAnsi="Arial" w:eastAsia="Arial" w:cs="Arial"/>
          <w:i/>
          <w:iCs/>
          <w:color w:val="auto"/>
          <w:sz w:val="22"/>
          <w:szCs w:val="22"/>
        </w:rPr>
        <w:t>. J Immunol</w:t>
      </w:r>
      <w:r>
        <w:rPr>
          <w:rFonts w:ascii="Arial" w:hAnsi="Arial" w:eastAsia="Arial" w:cs="Arial"/>
          <w:color w:val="auto"/>
          <w:sz w:val="22"/>
          <w:szCs w:val="22"/>
        </w:rPr>
        <w:t>. 2001;167:4974–4980</w:t>
      </w:r>
    </w:p>
    <w:p>
      <w:pPr>
        <w:spacing w:after="0" w:line="290" w:lineRule="exact"/>
        <w:rPr>
          <w:color w:val="auto"/>
          <w:sz w:val="20"/>
          <w:szCs w:val="20"/>
        </w:rPr>
      </w:pPr>
    </w:p>
    <w:p>
      <w:pPr>
        <w:spacing w:after="0" w:line="235" w:lineRule="auto"/>
        <w:ind w:left="720" w:right="1002"/>
        <w:rPr>
          <w:color w:val="auto"/>
          <w:sz w:val="20"/>
          <w:szCs w:val="20"/>
        </w:rPr>
      </w:pPr>
      <w:r>
        <w:rPr>
          <w:rFonts w:ascii="Arial" w:hAnsi="Arial" w:eastAsia="Arial" w:cs="Arial"/>
          <w:color w:val="auto"/>
          <w:sz w:val="22"/>
          <w:szCs w:val="22"/>
        </w:rPr>
        <w:t xml:space="preserve">Burns JS, Dockery DW, Speizer FE. Low levels of dietary vitamin D intake and pulmonary function in adolescents. </w:t>
      </w:r>
      <w:r>
        <w:rPr>
          <w:rFonts w:ascii="Arial" w:hAnsi="Arial" w:eastAsia="Arial" w:cs="Arial"/>
          <w:i/>
          <w:iCs/>
          <w:color w:val="auto"/>
          <w:sz w:val="22"/>
          <w:szCs w:val="22"/>
        </w:rPr>
        <w:t>Proc Am Thoracic Soc</w:t>
      </w:r>
      <w:r>
        <w:rPr>
          <w:rFonts w:ascii="Arial" w:hAnsi="Arial" w:eastAsia="Arial" w:cs="Arial"/>
          <w:color w:val="auto"/>
          <w:sz w:val="22"/>
          <w:szCs w:val="22"/>
        </w:rPr>
        <w:t xml:space="preserve"> 2006;3:A526.</w:t>
      </w:r>
    </w:p>
    <w:p>
      <w:pPr>
        <w:spacing w:after="0" w:line="292" w:lineRule="exact"/>
        <w:rPr>
          <w:color w:val="auto"/>
          <w:sz w:val="20"/>
          <w:szCs w:val="20"/>
        </w:rPr>
      </w:pPr>
    </w:p>
    <w:p>
      <w:pPr>
        <w:spacing w:after="0" w:line="235" w:lineRule="auto"/>
        <w:ind w:left="720" w:right="562"/>
        <w:rPr>
          <w:color w:val="auto"/>
          <w:sz w:val="20"/>
          <w:szCs w:val="20"/>
        </w:rPr>
      </w:pPr>
      <w:r>
        <w:rPr>
          <w:rFonts w:ascii="Arial" w:hAnsi="Arial" w:eastAsia="Arial" w:cs="Arial"/>
          <w:color w:val="auto"/>
          <w:sz w:val="22"/>
          <w:szCs w:val="22"/>
        </w:rPr>
        <w:t xml:space="preserve">Busse WW. The role of leukotrienes in asthma and allergic rhinitis. </w:t>
      </w:r>
      <w:r>
        <w:rPr>
          <w:rFonts w:ascii="Arial" w:hAnsi="Arial" w:eastAsia="Arial" w:cs="Arial"/>
          <w:i/>
          <w:iCs/>
          <w:color w:val="auto"/>
          <w:sz w:val="22"/>
          <w:szCs w:val="22"/>
        </w:rPr>
        <w:t>Clin Exp Allergy</w:t>
      </w:r>
      <w:r>
        <w:rPr>
          <w:rFonts w:ascii="Arial" w:hAnsi="Arial" w:eastAsia="Arial" w:cs="Arial"/>
          <w:color w:val="auto"/>
          <w:sz w:val="22"/>
          <w:szCs w:val="22"/>
        </w:rPr>
        <w:t xml:space="preserve"> 1996;26:868-79.</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Busse WW, Lemanske RF,Jr. Asthma. </w:t>
      </w:r>
      <w:r>
        <w:rPr>
          <w:rFonts w:ascii="Arial" w:hAnsi="Arial" w:eastAsia="Arial" w:cs="Arial"/>
          <w:i/>
          <w:iCs/>
          <w:color w:val="auto"/>
          <w:sz w:val="22"/>
          <w:szCs w:val="22"/>
        </w:rPr>
        <w:t>N Engl J Med</w:t>
      </w:r>
      <w:r>
        <w:rPr>
          <w:rFonts w:ascii="Arial" w:hAnsi="Arial" w:eastAsia="Arial" w:cs="Arial"/>
          <w:color w:val="auto"/>
          <w:sz w:val="22"/>
          <w:szCs w:val="22"/>
        </w:rPr>
        <w:t xml:space="preserve"> 2001;344:350-62.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8"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53</w:t>
      </w:r>
    </w:p>
    <w:p>
      <w:pPr>
        <w:sectPr>
          <w:pgSz w:w="12240" w:h="15842"/>
          <w:pgMar w:top="1435" w:right="1440" w:bottom="119" w:left="1440" w:header="0" w:footer="0" w:gutter="0"/>
          <w:cols w:equalWidth="0" w:num="1">
            <w:col w:w="9362"/>
          </w:cols>
        </w:sectPr>
      </w:pPr>
    </w:p>
    <w:p>
      <w:pPr>
        <w:spacing w:after="0" w:line="6" w:lineRule="exact"/>
        <w:rPr>
          <w:color w:val="auto"/>
          <w:sz w:val="20"/>
          <w:szCs w:val="20"/>
        </w:rPr>
      </w:pPr>
      <w:bookmarkStart w:id="58" w:name="page64"/>
      <w:bookmarkEnd w:id="58"/>
    </w:p>
    <w:p>
      <w:pPr>
        <w:spacing w:after="0" w:line="237" w:lineRule="auto"/>
        <w:ind w:left="720" w:right="162"/>
        <w:jc w:val="both"/>
        <w:rPr>
          <w:color w:val="auto"/>
          <w:sz w:val="20"/>
          <w:szCs w:val="20"/>
        </w:rPr>
      </w:pPr>
      <w:r>
        <w:rPr>
          <w:rFonts w:ascii="Arial" w:hAnsi="Arial" w:eastAsia="Arial" w:cs="Arial"/>
          <w:color w:val="auto"/>
          <w:sz w:val="22"/>
          <w:szCs w:val="22"/>
        </w:rPr>
        <w:t xml:space="preserve">Camargo CA, Rifas-Shiman SL, Litonjua AA et al. Prospective study of maternal intake of vitamin D during pregnancy and risk of wheezing illnesses in children at age 2 years.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2006</w:t>
      </w:r>
    </w:p>
    <w:p>
      <w:pPr>
        <w:spacing w:after="0" w:line="263" w:lineRule="exact"/>
        <w:rPr>
          <w:color w:val="auto"/>
          <w:sz w:val="20"/>
          <w:szCs w:val="20"/>
        </w:rPr>
      </w:pPr>
    </w:p>
    <w:p>
      <w:pPr>
        <w:spacing w:after="0" w:line="236" w:lineRule="auto"/>
        <w:ind w:left="720" w:right="142"/>
        <w:rPr>
          <w:color w:val="auto"/>
          <w:sz w:val="20"/>
          <w:szCs w:val="20"/>
        </w:rPr>
      </w:pPr>
      <w:r>
        <w:rPr>
          <w:rFonts w:ascii="Arial" w:hAnsi="Arial" w:eastAsia="Arial" w:cs="Arial"/>
          <w:color w:val="auto"/>
          <w:sz w:val="22"/>
          <w:szCs w:val="22"/>
        </w:rPr>
        <w:t xml:space="preserve">Camargo CA Jr, Rifas-Shiman SL, Litonjua AA, Rich-Edwards JW, Weiss ST, Gold DR, et al. Maternal intake of vitamin D during pregnancy and risk of recurrent wheeze in children at age 3 years. </w:t>
      </w:r>
      <w:r>
        <w:rPr>
          <w:rFonts w:ascii="Arial" w:hAnsi="Arial" w:eastAsia="Arial" w:cs="Arial"/>
          <w:i/>
          <w:iCs/>
          <w:color w:val="auto"/>
          <w:sz w:val="22"/>
          <w:szCs w:val="22"/>
        </w:rPr>
        <w:t>Am JClin Nutr</w:t>
      </w:r>
      <w:r>
        <w:rPr>
          <w:rFonts w:ascii="Arial" w:hAnsi="Arial" w:eastAsia="Arial" w:cs="Arial"/>
          <w:color w:val="auto"/>
          <w:sz w:val="22"/>
          <w:szCs w:val="22"/>
        </w:rPr>
        <w:t xml:space="preserve"> 2007;85:788-95.</w:t>
      </w:r>
    </w:p>
    <w:p>
      <w:pPr>
        <w:spacing w:after="0" w:line="264" w:lineRule="exact"/>
        <w:rPr>
          <w:color w:val="auto"/>
          <w:sz w:val="20"/>
          <w:szCs w:val="20"/>
        </w:rPr>
      </w:pPr>
    </w:p>
    <w:p>
      <w:pPr>
        <w:spacing w:after="0" w:line="237" w:lineRule="auto"/>
        <w:ind w:left="720" w:right="122"/>
        <w:rPr>
          <w:color w:val="auto"/>
          <w:sz w:val="20"/>
          <w:szCs w:val="20"/>
        </w:rPr>
      </w:pPr>
      <w:r>
        <w:rPr>
          <w:rFonts w:ascii="Arial" w:hAnsi="Arial" w:eastAsia="Arial" w:cs="Arial"/>
          <w:color w:val="auto"/>
          <w:sz w:val="22"/>
          <w:szCs w:val="22"/>
        </w:rPr>
        <w:t xml:space="preserve">Camargo CA Jr, Ingham T, Wickens K, et al.: Cord blood 5-hydroxyvitamin D levels and risk of childhood wheeze in New Zealand [abstract]. </w:t>
      </w:r>
      <w:r>
        <w:rPr>
          <w:rFonts w:ascii="Arial" w:hAnsi="Arial" w:eastAsia="Arial" w:cs="Arial"/>
          <w:i/>
          <w:iCs/>
          <w:color w:val="auto"/>
          <w:sz w:val="22"/>
          <w:szCs w:val="22"/>
        </w:rPr>
        <w:t>Am J Respir Crit Care Med</w:t>
      </w:r>
      <w:r>
        <w:rPr>
          <w:rFonts w:ascii="Arial" w:hAnsi="Arial" w:eastAsia="Arial" w:cs="Arial"/>
          <w:color w:val="auto"/>
          <w:sz w:val="22"/>
          <w:szCs w:val="22"/>
        </w:rPr>
        <w:t xml:space="preserve"> 2008, 177(Suppl):A993</w:t>
      </w:r>
    </w:p>
    <w:p>
      <w:pPr>
        <w:spacing w:after="0" w:line="290" w:lineRule="exact"/>
        <w:rPr>
          <w:color w:val="auto"/>
          <w:sz w:val="20"/>
          <w:szCs w:val="20"/>
        </w:rPr>
      </w:pPr>
    </w:p>
    <w:p>
      <w:pPr>
        <w:spacing w:after="0" w:line="236" w:lineRule="auto"/>
        <w:ind w:left="720" w:right="422"/>
        <w:rPr>
          <w:color w:val="auto"/>
          <w:sz w:val="20"/>
          <w:szCs w:val="20"/>
        </w:rPr>
      </w:pPr>
      <w:r>
        <w:rPr>
          <w:rFonts w:ascii="Arial" w:hAnsi="Arial" w:eastAsia="Arial" w:cs="Arial"/>
          <w:color w:val="auto"/>
          <w:sz w:val="22"/>
          <w:szCs w:val="22"/>
        </w:rPr>
        <w:t xml:space="preserve">Chapuy MC, Preziosi P, Maamer M, et al. Prevalence of vitamin D insufficiency in an adult normal population. </w:t>
      </w:r>
      <w:r>
        <w:rPr>
          <w:rFonts w:ascii="Arial" w:hAnsi="Arial" w:eastAsia="Arial" w:cs="Arial"/>
          <w:i/>
          <w:iCs/>
          <w:color w:val="auto"/>
          <w:sz w:val="22"/>
          <w:szCs w:val="22"/>
        </w:rPr>
        <w:t>Osteoporos Int</w:t>
      </w:r>
      <w:r>
        <w:rPr>
          <w:rFonts w:ascii="Arial" w:hAnsi="Arial" w:eastAsia="Arial" w:cs="Arial"/>
          <w:color w:val="auto"/>
          <w:sz w:val="22"/>
          <w:szCs w:val="22"/>
        </w:rPr>
        <w:t xml:space="preserve"> 1997;7:439-43.</w:t>
      </w:r>
    </w:p>
    <w:p>
      <w:pPr>
        <w:spacing w:after="0" w:line="290" w:lineRule="exact"/>
        <w:rPr>
          <w:color w:val="auto"/>
          <w:sz w:val="20"/>
          <w:szCs w:val="20"/>
        </w:rPr>
      </w:pPr>
    </w:p>
    <w:p>
      <w:pPr>
        <w:spacing w:after="0" w:line="235" w:lineRule="auto"/>
        <w:ind w:left="720" w:right="262"/>
        <w:rPr>
          <w:color w:val="auto"/>
          <w:sz w:val="20"/>
          <w:szCs w:val="20"/>
        </w:rPr>
      </w:pPr>
      <w:r>
        <w:rPr>
          <w:rFonts w:ascii="Arial" w:hAnsi="Arial" w:eastAsia="Arial" w:cs="Arial"/>
          <w:color w:val="auto"/>
          <w:sz w:val="22"/>
          <w:szCs w:val="22"/>
        </w:rPr>
        <w:t xml:space="preserve">Chen TC, Holick MF. Vitamin D and prostate cancer prevention and treatment. </w:t>
      </w:r>
      <w:r>
        <w:rPr>
          <w:rFonts w:ascii="Arial" w:hAnsi="Arial" w:eastAsia="Arial" w:cs="Arial"/>
          <w:i/>
          <w:iCs/>
          <w:color w:val="auto"/>
          <w:sz w:val="22"/>
          <w:szCs w:val="22"/>
        </w:rPr>
        <w:t>Trends Endocrinol Metab</w:t>
      </w:r>
      <w:r>
        <w:rPr>
          <w:rFonts w:ascii="Arial" w:hAnsi="Arial" w:eastAsia="Arial" w:cs="Arial"/>
          <w:color w:val="auto"/>
          <w:sz w:val="22"/>
          <w:szCs w:val="22"/>
        </w:rPr>
        <w:t xml:space="preserve"> 2003;14:423-30.</w:t>
      </w:r>
    </w:p>
    <w:p>
      <w:pPr>
        <w:spacing w:after="0" w:line="289" w:lineRule="exact"/>
        <w:rPr>
          <w:color w:val="auto"/>
          <w:sz w:val="20"/>
          <w:szCs w:val="20"/>
        </w:rPr>
      </w:pPr>
    </w:p>
    <w:p>
      <w:pPr>
        <w:spacing w:after="0" w:line="236" w:lineRule="auto"/>
        <w:ind w:left="720" w:right="1302"/>
        <w:rPr>
          <w:rFonts w:ascii="Arial" w:hAnsi="Arial" w:eastAsia="Arial" w:cs="Arial"/>
          <w:color w:val="auto"/>
          <w:sz w:val="22"/>
          <w:szCs w:val="22"/>
        </w:rPr>
      </w:pPr>
      <w:r>
        <w:fldChar w:fldCharType="begin"/>
      </w:r>
      <w:r>
        <w:instrText xml:space="preserve"> HYPERLINK "http://www.ncbi.nlm.nih.gov/pubmed?term=%22Ciaccio%20CE%22%5BAuthor%5D" \h </w:instrText>
      </w:r>
      <w:r>
        <w:fldChar w:fldCharType="separate"/>
      </w:r>
      <w:r>
        <w:rPr>
          <w:rFonts w:ascii="Arial" w:hAnsi="Arial" w:eastAsia="Arial" w:cs="Arial"/>
          <w:color w:val="auto"/>
          <w:sz w:val="22"/>
          <w:szCs w:val="22"/>
        </w:rPr>
        <w:t xml:space="preserve">Ciaccio CE, </w:t>
      </w:r>
      <w:r>
        <w:rPr>
          <w:rFonts w:ascii="Arial" w:hAnsi="Arial" w:eastAsia="Arial" w:cs="Arial"/>
          <w:color w:val="auto"/>
          <w:sz w:val="22"/>
          <w:szCs w:val="22"/>
        </w:rPr>
        <w:fldChar w:fldCharType="end"/>
      </w:r>
      <w:r>
        <w:fldChar w:fldCharType="begin"/>
      </w:r>
      <w:r>
        <w:instrText xml:space="preserve"> HYPERLINK "http://www.ncbi.nlm.nih.gov/pubmed?term=%22Portnoy%20JM%22%5BAuthor%5D" \h </w:instrText>
      </w:r>
      <w:r>
        <w:fldChar w:fldCharType="separate"/>
      </w:r>
      <w:r>
        <w:rPr>
          <w:rFonts w:ascii="Arial" w:hAnsi="Arial" w:eastAsia="Arial" w:cs="Arial"/>
          <w:color w:val="auto"/>
          <w:sz w:val="22"/>
          <w:szCs w:val="22"/>
        </w:rPr>
        <w:t xml:space="preserve">Portnoy JM </w:t>
      </w:r>
      <w:r>
        <w:rPr>
          <w:rFonts w:ascii="Arial" w:hAnsi="Arial" w:eastAsia="Arial" w:cs="Arial"/>
          <w:color w:val="auto"/>
          <w:sz w:val="22"/>
          <w:szCs w:val="22"/>
        </w:rPr>
        <w:fldChar w:fldCharType="end"/>
      </w:r>
      <w:r>
        <w:fldChar w:fldCharType="begin"/>
      </w:r>
      <w:r>
        <w:instrText xml:space="preserve"> HYPERLINK "http://www.ncbi.nlm.nih.gov/pubmed/20725812" \h </w:instrText>
      </w:r>
      <w:r>
        <w:fldChar w:fldCharType="separate"/>
      </w:r>
      <w:r>
        <w:rPr>
          <w:rFonts w:ascii="Arial" w:hAnsi="Arial" w:eastAsia="Arial" w:cs="Arial"/>
          <w:color w:val="auto"/>
          <w:sz w:val="22"/>
          <w:szCs w:val="22"/>
        </w:rPr>
        <w:t>Vitamin D Insufficiency and Risk of Severe Asthma</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"http://www.ncbi.nlm.nih.gov/pubmed/20725812" \h </w:instrText>
      </w:r>
      <w:r>
        <w:fldChar w:fldCharType="separate"/>
      </w:r>
      <w:r>
        <w:rPr>
          <w:rFonts w:ascii="Arial" w:hAnsi="Arial" w:eastAsia="Arial" w:cs="Arial"/>
          <w:color w:val="auto"/>
          <w:sz w:val="22"/>
          <w:szCs w:val="22"/>
        </w:rPr>
        <w:t>Exacerbations.</w:t>
      </w:r>
      <w:r>
        <w:rPr>
          <w:rFonts w:ascii="Arial" w:hAnsi="Arial" w:eastAsia="Arial" w:cs="Arial"/>
          <w:color w:val="auto"/>
          <w:sz w:val="22"/>
          <w:szCs w:val="22"/>
        </w:rPr>
        <w:fldChar w:fldCharType="end"/>
      </w:r>
      <w:r>
        <w:fldChar w:fldCharType="begin"/>
      </w:r>
      <w:r>
        <w:instrText xml:space="preserve"> HYPERLINK "javascript:AL_get(this,%20'jour',%20'Curr%20Allergy%20Asthma%20Rep.');" \h </w:instrText>
      </w:r>
      <w:r>
        <w:fldChar w:fldCharType="separate"/>
      </w:r>
      <w:r>
        <w:rPr>
          <w:rFonts w:ascii="Arial" w:hAnsi="Arial" w:eastAsia="Arial" w:cs="Arial"/>
          <w:i/>
          <w:iCs/>
          <w:color w:val="auto"/>
          <w:sz w:val="22"/>
          <w:szCs w:val="22"/>
        </w:rPr>
        <w:t>Curr Allergy Asthma Re</w:t>
      </w:r>
      <w:r>
        <w:rPr>
          <w:rFonts w:ascii="Arial" w:hAnsi="Arial" w:eastAsia="Arial" w:cs="Arial"/>
          <w:color w:val="auto"/>
          <w:sz w:val="22"/>
          <w:szCs w:val="22"/>
        </w:rPr>
        <w:t xml:space="preserve">p. </w:t>
      </w:r>
      <w:r>
        <w:rPr>
          <w:rFonts w:ascii="Arial" w:hAnsi="Arial" w:eastAsia="Arial" w:cs="Arial"/>
          <w:color w:val="auto"/>
          <w:sz w:val="22"/>
          <w:szCs w:val="22"/>
        </w:rPr>
        <w:fldChar w:fldCharType="end"/>
      </w:r>
      <w:r>
        <w:rPr>
          <w:rFonts w:ascii="Arial" w:hAnsi="Arial" w:eastAsia="Arial" w:cs="Arial"/>
          <w:color w:val="auto"/>
          <w:sz w:val="22"/>
          <w:szCs w:val="22"/>
        </w:rPr>
        <w:t>2010 Aug 20</w:t>
      </w:r>
    </w:p>
    <w:p>
      <w:pPr>
        <w:spacing w:after="0" w:line="290" w:lineRule="exact"/>
        <w:rPr>
          <w:rFonts w:ascii="Arial" w:hAnsi="Arial" w:eastAsia="Arial" w:cs="Arial"/>
          <w:color w:val="auto"/>
          <w:sz w:val="22"/>
          <w:szCs w:val="22"/>
        </w:rPr>
      </w:pPr>
    </w:p>
    <w:p>
      <w:pPr>
        <w:spacing w:after="0" w:line="235" w:lineRule="auto"/>
        <w:ind w:left="720" w:right="982"/>
        <w:rPr>
          <w:color w:val="auto"/>
          <w:sz w:val="20"/>
          <w:szCs w:val="20"/>
        </w:rPr>
      </w:pPr>
      <w:r>
        <w:rPr>
          <w:rFonts w:ascii="Arial" w:hAnsi="Arial" w:eastAsia="Arial" w:cs="Arial"/>
          <w:color w:val="auto"/>
          <w:sz w:val="22"/>
          <w:szCs w:val="22"/>
        </w:rPr>
        <w:t xml:space="preserve">Cohn L, Elias JA, Chupp GL. Asthma: mechanisms of disease persistence and progression. </w:t>
      </w:r>
      <w:r>
        <w:rPr>
          <w:rFonts w:ascii="Arial" w:hAnsi="Arial" w:eastAsia="Arial" w:cs="Arial"/>
          <w:i/>
          <w:iCs/>
          <w:color w:val="auto"/>
          <w:sz w:val="22"/>
          <w:szCs w:val="22"/>
        </w:rPr>
        <w:t>Annu Rev Immunol</w:t>
      </w:r>
      <w:r>
        <w:rPr>
          <w:rFonts w:ascii="Arial" w:hAnsi="Arial" w:eastAsia="Arial" w:cs="Arial"/>
          <w:color w:val="auto"/>
          <w:sz w:val="22"/>
          <w:szCs w:val="22"/>
        </w:rPr>
        <w:t xml:space="preserve"> 2004;22:789-815.</w:t>
      </w:r>
    </w:p>
    <w:p>
      <w:pPr>
        <w:spacing w:after="0" w:line="289" w:lineRule="exact"/>
        <w:rPr>
          <w:rFonts w:ascii="Arial" w:hAnsi="Arial" w:eastAsia="Arial" w:cs="Arial"/>
          <w:color w:val="auto"/>
          <w:sz w:val="22"/>
          <w:szCs w:val="22"/>
        </w:rPr>
      </w:pPr>
    </w:p>
    <w:p>
      <w:pPr>
        <w:spacing w:after="0" w:line="237" w:lineRule="auto"/>
        <w:ind w:left="720" w:right="182"/>
        <w:rPr>
          <w:color w:val="auto"/>
          <w:sz w:val="20"/>
          <w:szCs w:val="20"/>
        </w:rPr>
      </w:pPr>
      <w:r>
        <w:rPr>
          <w:rFonts w:ascii="Arial" w:hAnsi="Arial" w:eastAsia="Arial" w:cs="Arial"/>
          <w:color w:val="auto"/>
          <w:sz w:val="22"/>
          <w:szCs w:val="22"/>
        </w:rPr>
        <w:t>CDC. Asthma prevalence, health care use, and mortality, 2002. Hyattsville, MD: US Department of Health and Human Services, CDC, National Center for Health Statistics; 2004.</w:t>
      </w:r>
    </w:p>
    <w:p>
      <w:pPr>
        <w:spacing w:after="0" w:line="290" w:lineRule="exact"/>
        <w:rPr>
          <w:rFonts w:ascii="Arial" w:hAnsi="Arial" w:eastAsia="Arial" w:cs="Arial"/>
          <w:color w:val="auto"/>
          <w:sz w:val="22"/>
          <w:szCs w:val="22"/>
        </w:rPr>
      </w:pPr>
    </w:p>
    <w:p>
      <w:pPr>
        <w:spacing w:after="0" w:line="235" w:lineRule="auto"/>
        <w:ind w:left="720" w:right="322"/>
        <w:rPr>
          <w:color w:val="auto"/>
          <w:sz w:val="20"/>
          <w:szCs w:val="20"/>
        </w:rPr>
      </w:pPr>
      <w:r>
        <w:rPr>
          <w:rFonts w:ascii="Arial" w:hAnsi="Arial" w:eastAsia="Arial" w:cs="Arial"/>
          <w:color w:val="auto"/>
          <w:sz w:val="22"/>
          <w:szCs w:val="22"/>
        </w:rPr>
        <w:t xml:space="preserve">Dawson-Hughes B, Heaney RP, Holick MF, Lips P, Meunier PJ, Vieth R. Estimates of optimal vitamin D status. </w:t>
      </w:r>
      <w:r>
        <w:rPr>
          <w:rFonts w:ascii="Arial" w:hAnsi="Arial" w:eastAsia="Arial" w:cs="Arial"/>
          <w:i/>
          <w:iCs/>
          <w:color w:val="auto"/>
          <w:sz w:val="22"/>
          <w:szCs w:val="22"/>
        </w:rPr>
        <w:t>Osteoporos Int</w:t>
      </w:r>
      <w:r>
        <w:rPr>
          <w:rFonts w:ascii="Arial" w:hAnsi="Arial" w:eastAsia="Arial" w:cs="Arial"/>
          <w:color w:val="auto"/>
          <w:sz w:val="22"/>
          <w:szCs w:val="22"/>
        </w:rPr>
        <w:t xml:space="preserve"> 2005;16:713-6.</w:t>
      </w:r>
    </w:p>
    <w:p>
      <w:pPr>
        <w:spacing w:after="0" w:line="289" w:lineRule="exact"/>
        <w:rPr>
          <w:rFonts w:ascii="Arial" w:hAnsi="Arial" w:eastAsia="Arial" w:cs="Arial"/>
          <w:color w:val="auto"/>
          <w:sz w:val="22"/>
          <w:szCs w:val="22"/>
        </w:rPr>
      </w:pPr>
    </w:p>
    <w:p>
      <w:pPr>
        <w:spacing w:after="0" w:line="237" w:lineRule="auto"/>
        <w:ind w:left="720" w:right="342"/>
        <w:jc w:val="both"/>
        <w:rPr>
          <w:color w:val="auto"/>
          <w:sz w:val="20"/>
          <w:szCs w:val="20"/>
        </w:rPr>
      </w:pPr>
      <w:r>
        <w:rPr>
          <w:rFonts w:ascii="Arial" w:hAnsi="Arial" w:eastAsia="Arial" w:cs="Arial"/>
          <w:color w:val="auto"/>
          <w:sz w:val="22"/>
          <w:szCs w:val="22"/>
        </w:rPr>
        <w:t xml:space="preserve">Devereux G, Litonjua AA, Turner SW, Craig LCA, McNeill G, Martindale S, Helms PJ, Seaton A, Weiss ST. Maternal vitamin D intake during pregnancy and early childhood wheeze. </w:t>
      </w:r>
      <w:r>
        <w:rPr>
          <w:rFonts w:ascii="Arial" w:hAnsi="Arial" w:eastAsia="Arial" w:cs="Arial"/>
          <w:i/>
          <w:iCs/>
          <w:color w:val="auto"/>
          <w:sz w:val="22"/>
          <w:szCs w:val="22"/>
        </w:rPr>
        <w:t>Am J Clin Nutr</w:t>
      </w:r>
      <w:r>
        <w:rPr>
          <w:rFonts w:ascii="Arial" w:hAnsi="Arial" w:eastAsia="Arial" w:cs="Arial"/>
          <w:color w:val="auto"/>
          <w:sz w:val="22"/>
          <w:szCs w:val="22"/>
        </w:rPr>
        <w:t xml:space="preserve"> 2007;85:853–859.</w:t>
      </w:r>
    </w:p>
    <w:p>
      <w:pPr>
        <w:spacing w:after="0" w:line="255"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color w:val="auto"/>
          <w:sz w:val="22"/>
          <w:szCs w:val="22"/>
        </w:rPr>
        <w:t>Dietary Reference Intakes for Calcium and Vitamin D (2010). National Academy Press:</w:t>
      </w:r>
    </w:p>
    <w:p>
      <w:pPr>
        <w:spacing w:after="0"/>
        <w:ind w:left="720"/>
        <w:rPr>
          <w:color w:val="auto"/>
          <w:sz w:val="20"/>
          <w:szCs w:val="20"/>
        </w:rPr>
      </w:pPr>
      <w:r>
        <w:rPr>
          <w:rFonts w:ascii="Arial" w:hAnsi="Arial" w:eastAsia="Arial" w:cs="Arial"/>
          <w:color w:val="auto"/>
          <w:sz w:val="22"/>
          <w:szCs w:val="22"/>
        </w:rPr>
        <w:t>Washington, DC</w:t>
      </w:r>
    </w:p>
    <w:p>
      <w:pPr>
        <w:spacing w:after="0" w:line="290" w:lineRule="exact"/>
        <w:rPr>
          <w:rFonts w:ascii="Arial" w:hAnsi="Arial" w:eastAsia="Arial" w:cs="Arial"/>
          <w:color w:val="auto"/>
          <w:sz w:val="22"/>
          <w:szCs w:val="22"/>
        </w:rPr>
      </w:pPr>
    </w:p>
    <w:p>
      <w:pPr>
        <w:spacing w:after="0" w:line="235" w:lineRule="auto"/>
        <w:ind w:left="720" w:right="1442"/>
        <w:rPr>
          <w:rFonts w:ascii="Arial" w:hAnsi="Arial" w:eastAsia="Arial" w:cs="Arial"/>
          <w:color w:val="auto"/>
          <w:sz w:val="22"/>
          <w:szCs w:val="22"/>
        </w:rPr>
      </w:pPr>
      <w:r>
        <w:rPr>
          <w:rFonts w:ascii="Arial" w:hAnsi="Arial" w:eastAsia="Arial" w:cs="Arial"/>
          <w:color w:val="auto"/>
          <w:sz w:val="22"/>
          <w:szCs w:val="22"/>
        </w:rPr>
        <w:t xml:space="preserve">Expert Panel Report 3 Nation Heart Lung and Blood Institution. </w:t>
      </w:r>
      <w:r>
        <w:fldChar w:fldCharType="begin"/>
      </w:r>
      <w:r>
        <w:instrText xml:space="preserve"> HYPERLINK "http://www.nhlbi.nih.gov/health/dci/Diseases/Asthma/Asthma_WhatIs.html" \h </w:instrText>
      </w:r>
      <w:r>
        <w:fldChar w:fldCharType="separate"/>
      </w:r>
      <w:r>
        <w:rPr>
          <w:rFonts w:ascii="Arial" w:hAnsi="Arial" w:eastAsia="Arial" w:cs="Arial"/>
          <w:color w:val="auto"/>
          <w:sz w:val="22"/>
          <w:szCs w:val="22"/>
        </w:rPr>
        <w:t>http://www.nhlbi.nih.gov/health/dci/Diseases/Asthma/Asthma_WhatIs.html</w:t>
      </w:r>
      <w:r>
        <w:rPr>
          <w:rFonts w:ascii="Arial" w:hAnsi="Arial" w:eastAsia="Arial" w:cs="Arial"/>
          <w:color w:val="auto"/>
          <w:sz w:val="22"/>
          <w:szCs w:val="22"/>
        </w:rPr>
        <w:fldChar w:fldCharType="end"/>
      </w:r>
    </w:p>
    <w:p>
      <w:pPr>
        <w:spacing w:after="0" w:line="289" w:lineRule="exact"/>
        <w:rPr>
          <w:rFonts w:ascii="Arial" w:hAnsi="Arial" w:eastAsia="Arial" w:cs="Arial"/>
          <w:color w:val="auto"/>
          <w:sz w:val="22"/>
          <w:szCs w:val="22"/>
        </w:rPr>
      </w:pPr>
    </w:p>
    <w:p>
      <w:pPr>
        <w:spacing w:after="0" w:line="237" w:lineRule="auto"/>
        <w:ind w:left="720" w:right="122"/>
        <w:rPr>
          <w:rFonts w:ascii="Arial" w:hAnsi="Arial" w:eastAsia="Arial" w:cs="Arial"/>
          <w:color w:val="auto"/>
          <w:sz w:val="22"/>
          <w:szCs w:val="22"/>
        </w:rPr>
      </w:pPr>
      <w:r>
        <w:rPr>
          <w:rFonts w:ascii="Arial" w:hAnsi="Arial" w:eastAsia="Arial" w:cs="Arial"/>
          <w:color w:val="auto"/>
          <w:sz w:val="22"/>
          <w:szCs w:val="22"/>
        </w:rPr>
        <w:t xml:space="preserve">Erkkola M, Kaila M, Nwaru BI, Kronberg-Kippilä C, Ahonen S, Nevalainen J, Veijola R, Pekkanen J, Ilonen J, Simell O, Knip M, Virtanen SM </w:t>
      </w:r>
      <w:r>
        <w:fldChar w:fldCharType="begin"/>
      </w:r>
      <w:r>
        <w:instrText xml:space="preserve"> HYPERLINK "http://www.ncbi.nlm.nih.gov/pubmed/19522996" \h </w:instrText>
      </w:r>
      <w:r>
        <w:fldChar w:fldCharType="separate"/>
      </w:r>
      <w:r>
        <w:rPr>
          <w:rFonts w:ascii="Arial" w:hAnsi="Arial" w:eastAsia="Arial" w:cs="Arial"/>
          <w:color w:val="auto"/>
          <w:sz w:val="22"/>
          <w:szCs w:val="22"/>
        </w:rPr>
        <w:t>Maternal vitamin D intake during</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"http://www.ncbi.nlm.nih.gov/pubmed/19522996" \h </w:instrText>
      </w:r>
      <w:r>
        <w:fldChar w:fldCharType="separate"/>
      </w:r>
      <w:r>
        <w:rPr>
          <w:rFonts w:ascii="Arial" w:hAnsi="Arial" w:eastAsia="Arial" w:cs="Arial"/>
          <w:color w:val="auto"/>
          <w:sz w:val="22"/>
          <w:szCs w:val="22"/>
        </w:rPr>
        <w:t>pregnancy is inversely associated with asthma and allergic rhinitis in 5-year-old children</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rPr>
          <w:rFonts w:ascii="Arial" w:hAnsi="Arial" w:eastAsia="Arial" w:cs="Arial"/>
          <w:i/>
          <w:iCs/>
          <w:color w:val="auto"/>
          <w:sz w:val="22"/>
          <w:szCs w:val="22"/>
        </w:rPr>
        <w:t>Clin Exp Allergy</w:t>
      </w:r>
      <w:r>
        <w:rPr>
          <w:rFonts w:ascii="Arial" w:hAnsi="Arial" w:eastAsia="Arial" w:cs="Arial"/>
          <w:color w:val="auto"/>
          <w:sz w:val="22"/>
          <w:szCs w:val="22"/>
        </w:rPr>
        <w:t>. 2009 Jun;39(6):875-82</w:t>
      </w:r>
    </w:p>
    <w:p>
      <w:pPr>
        <w:spacing w:after="0" w:line="292" w:lineRule="exact"/>
        <w:rPr>
          <w:color w:val="auto"/>
          <w:sz w:val="20"/>
          <w:szCs w:val="20"/>
        </w:rPr>
      </w:pPr>
    </w:p>
    <w:p>
      <w:pPr>
        <w:spacing w:after="0" w:line="237" w:lineRule="auto"/>
        <w:ind w:left="720" w:right="62"/>
        <w:jc w:val="both"/>
        <w:rPr>
          <w:rFonts w:ascii="Arial" w:hAnsi="Arial" w:eastAsia="Arial" w:cs="Arial"/>
          <w:color w:val="auto"/>
          <w:sz w:val="22"/>
          <w:szCs w:val="22"/>
        </w:rPr>
      </w:pPr>
      <w:r>
        <w:fldChar w:fldCharType="begin"/>
      </w:r>
      <w:r>
        <w:instrText xml:space="preserve"> HYPERLINK "http://www.ncbi.nlm.nih.gov.silk.library.umass.edu:2048/pubmed?term=%22Fagan%20JK%22%5BAuthor%5D" \h </w:instrText>
      </w:r>
      <w:r>
        <w:fldChar w:fldCharType="separate"/>
      </w:r>
      <w:r>
        <w:rPr>
          <w:rFonts w:ascii="Arial" w:hAnsi="Arial" w:eastAsia="Arial" w:cs="Arial"/>
          <w:color w:val="auto"/>
          <w:sz w:val="22"/>
          <w:szCs w:val="22"/>
        </w:rPr>
        <w:t xml:space="preserve">Fagan JK, </w:t>
      </w:r>
      <w:r>
        <w:rPr>
          <w:rFonts w:ascii="Arial" w:hAnsi="Arial" w:eastAsia="Arial" w:cs="Arial"/>
          <w:color w:val="auto"/>
          <w:sz w:val="22"/>
          <w:szCs w:val="22"/>
        </w:rPr>
        <w:fldChar w:fldCharType="end"/>
      </w:r>
      <w:r>
        <w:fldChar w:fldCharType="begin"/>
      </w:r>
      <w:r>
        <w:instrText xml:space="preserve"> HYPERLINK "http://www.ncbi.nlm.nih.gov.silk.library.umass.edu:2048/pubmed?term=%22Scheff%20PA%22%5BAuthor%5D" \h </w:instrText>
      </w:r>
      <w:r>
        <w:fldChar w:fldCharType="separate"/>
      </w:r>
      <w:r>
        <w:rPr>
          <w:rFonts w:ascii="Arial" w:hAnsi="Arial" w:eastAsia="Arial" w:cs="Arial"/>
          <w:color w:val="auto"/>
          <w:sz w:val="22"/>
          <w:szCs w:val="22"/>
        </w:rPr>
        <w:t xml:space="preserve">Scheff PA, </w:t>
      </w:r>
      <w:r>
        <w:rPr>
          <w:rFonts w:ascii="Arial" w:hAnsi="Arial" w:eastAsia="Arial" w:cs="Arial"/>
          <w:color w:val="auto"/>
          <w:sz w:val="22"/>
          <w:szCs w:val="22"/>
        </w:rPr>
        <w:fldChar w:fldCharType="end"/>
      </w:r>
      <w:r>
        <w:fldChar w:fldCharType="begin"/>
      </w:r>
      <w:r>
        <w:instrText xml:space="preserve"> HYPERLINK "http://www.ncbi.nlm.nih.gov.silk.library.umass.edu:2048/pubmed?term=%22Hryhorczuk%20D%22%5BAuthor%5D" \h </w:instrText>
      </w:r>
      <w:r>
        <w:fldChar w:fldCharType="separate"/>
      </w:r>
      <w:r>
        <w:rPr>
          <w:rFonts w:ascii="Arial" w:hAnsi="Arial" w:eastAsia="Arial" w:cs="Arial"/>
          <w:color w:val="auto"/>
          <w:sz w:val="22"/>
          <w:szCs w:val="22"/>
        </w:rPr>
        <w:t xml:space="preserve">Hryhorczuk D, </w:t>
      </w:r>
      <w:r>
        <w:rPr>
          <w:rFonts w:ascii="Arial" w:hAnsi="Arial" w:eastAsia="Arial" w:cs="Arial"/>
          <w:color w:val="auto"/>
          <w:sz w:val="22"/>
          <w:szCs w:val="22"/>
        </w:rPr>
        <w:fldChar w:fldCharType="end"/>
      </w:r>
      <w:r>
        <w:fldChar w:fldCharType="begin"/>
      </w:r>
      <w:r>
        <w:instrText xml:space="preserve"> HYPERLINK "http://www.ncbi.nlm.nih.gov.silk.library.umass.edu:2048/pubmed?term=%22Ramakrishnan%20V%22%5BAuthor%5D" \h </w:instrText>
      </w:r>
      <w:r>
        <w:fldChar w:fldCharType="separate"/>
      </w:r>
      <w:r>
        <w:rPr>
          <w:rFonts w:ascii="Arial" w:hAnsi="Arial" w:eastAsia="Arial" w:cs="Arial"/>
          <w:color w:val="auto"/>
          <w:sz w:val="22"/>
          <w:szCs w:val="22"/>
        </w:rPr>
        <w:t xml:space="preserve">Ramakrishnan V, </w:t>
      </w:r>
      <w:r>
        <w:rPr>
          <w:rFonts w:ascii="Arial" w:hAnsi="Arial" w:eastAsia="Arial" w:cs="Arial"/>
          <w:color w:val="auto"/>
          <w:sz w:val="22"/>
          <w:szCs w:val="22"/>
        </w:rPr>
        <w:fldChar w:fldCharType="end"/>
      </w:r>
      <w:r>
        <w:fldChar w:fldCharType="begin"/>
      </w:r>
      <w:r>
        <w:instrText xml:space="preserve"> HYPERLINK "http://www.ncbi.nlm.nih.gov.silk.library.umass.edu:2048/pubmed?term=%22Ross%20M%22%5BAuthor%5D" \h </w:instrText>
      </w:r>
      <w:r>
        <w:fldChar w:fldCharType="separate"/>
      </w:r>
      <w:r>
        <w:rPr>
          <w:rFonts w:ascii="Arial" w:hAnsi="Arial" w:eastAsia="Arial" w:cs="Arial"/>
          <w:color w:val="auto"/>
          <w:sz w:val="22"/>
          <w:szCs w:val="22"/>
        </w:rPr>
        <w:t xml:space="preserve">Ross M, </w:t>
      </w:r>
      <w:r>
        <w:rPr>
          <w:rFonts w:ascii="Arial" w:hAnsi="Arial" w:eastAsia="Arial" w:cs="Arial"/>
          <w:color w:val="auto"/>
          <w:sz w:val="22"/>
          <w:szCs w:val="22"/>
        </w:rPr>
        <w:fldChar w:fldCharType="end"/>
      </w:r>
      <w:r>
        <w:fldChar w:fldCharType="begin"/>
      </w:r>
      <w:r>
        <w:instrText xml:space="preserve"> HYPERLINK "http://www.ncbi.nlm.nih.gov.silk.library.umass.edu:2048/pubmed?term=%22Persky%20V%22%5BAuthor%5D" \h </w:instrText>
      </w:r>
      <w:r>
        <w:fldChar w:fldCharType="separate"/>
      </w:r>
      <w:r>
        <w:rPr>
          <w:rFonts w:ascii="Arial" w:hAnsi="Arial" w:eastAsia="Arial" w:cs="Arial"/>
          <w:color w:val="auto"/>
          <w:sz w:val="22"/>
          <w:szCs w:val="22"/>
        </w:rPr>
        <w:t xml:space="preserve">Persky V. </w:t>
      </w:r>
      <w:r>
        <w:rPr>
          <w:rFonts w:ascii="Arial" w:hAnsi="Arial" w:eastAsia="Arial" w:cs="Arial"/>
          <w:color w:val="auto"/>
          <w:sz w:val="22"/>
          <w:szCs w:val="22"/>
        </w:rPr>
        <w:fldChar w:fldCharType="end"/>
      </w:r>
      <w:r>
        <w:rPr>
          <w:rFonts w:ascii="Arial" w:hAnsi="Arial" w:eastAsia="Arial" w:cs="Arial"/>
          <w:color w:val="auto"/>
          <w:sz w:val="22"/>
          <w:szCs w:val="22"/>
        </w:rPr>
        <w:t xml:space="preserve">Prevalence of asthma and other allergic diseases in an adolescent population: association with gender and race . </w:t>
      </w:r>
      <w:r>
        <w:fldChar w:fldCharType="begin"/>
      </w:r>
      <w:r>
        <w:instrText xml:space="preserve"> HYPERLINK "javascript:AL_get(this,%20'jour',%20'Ann%20Allergy%20Asthma%20Immunol.');" \h </w:instrText>
      </w:r>
      <w:r>
        <w:fldChar w:fldCharType="separate"/>
      </w:r>
      <w:r>
        <w:rPr>
          <w:rFonts w:ascii="Arial" w:hAnsi="Arial" w:eastAsia="Arial" w:cs="Arial"/>
          <w:i/>
          <w:iCs/>
          <w:color w:val="auto"/>
          <w:sz w:val="22"/>
          <w:szCs w:val="22"/>
        </w:rPr>
        <w:t>Ann Allergy Asthma Immunol.</w:t>
      </w:r>
      <w:r>
        <w:rPr>
          <w:rFonts w:ascii="Arial" w:hAnsi="Arial" w:eastAsia="Arial" w:cs="Arial"/>
          <w:color w:val="auto"/>
          <w:sz w:val="22"/>
          <w:szCs w:val="22"/>
        </w:rPr>
        <w:t xml:space="preserve"> </w:t>
      </w:r>
      <w:r>
        <w:rPr>
          <w:rFonts w:ascii="Arial" w:hAnsi="Arial" w:eastAsia="Arial" w:cs="Arial"/>
          <w:color w:val="auto"/>
          <w:sz w:val="22"/>
          <w:szCs w:val="22"/>
        </w:rPr>
        <w:fldChar w:fldCharType="end"/>
      </w:r>
      <w:r>
        <w:rPr>
          <w:rFonts w:ascii="Arial" w:hAnsi="Arial" w:eastAsia="Arial" w:cs="Arial"/>
          <w:color w:val="auto"/>
          <w:sz w:val="22"/>
          <w:szCs w:val="22"/>
        </w:rPr>
        <w:t>2001 Feb;86(2):177-84.</w:t>
      </w: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362" w:lineRule="exact"/>
        <w:rPr>
          <w:rFonts w:ascii="Arial" w:hAnsi="Arial" w:eastAsia="Arial" w:cs="Arial"/>
          <w:color w:val="auto"/>
          <w:sz w:val="22"/>
          <w:szCs w:val="22"/>
        </w:rPr>
      </w:pPr>
    </w:p>
    <w:p>
      <w:pPr>
        <w:spacing w:after="0"/>
        <w:ind w:left="4920"/>
        <w:rPr>
          <w:color w:val="auto"/>
          <w:sz w:val="20"/>
          <w:szCs w:val="20"/>
        </w:rPr>
      </w:pPr>
      <w:r>
        <w:rPr>
          <w:rFonts w:ascii="Calibri" w:hAnsi="Calibri" w:eastAsia="Calibri" w:cs="Calibri"/>
          <w:color w:val="auto"/>
          <w:sz w:val="24"/>
          <w:szCs w:val="24"/>
        </w:rPr>
        <w:t>54</w:t>
      </w:r>
    </w:p>
    <w:p>
      <w:pPr>
        <w:sectPr>
          <w:pgSz w:w="12240" w:h="15842"/>
          <w:pgMar w:top="1440" w:right="1440" w:bottom="119" w:left="1440" w:header="0" w:footer="0" w:gutter="0"/>
          <w:cols w:equalWidth="0" w:num="1">
            <w:col w:w="9362"/>
          </w:cols>
        </w:sectPr>
      </w:pPr>
    </w:p>
    <w:p>
      <w:pPr>
        <w:spacing w:after="0" w:line="6" w:lineRule="exact"/>
        <w:rPr>
          <w:color w:val="auto"/>
          <w:sz w:val="20"/>
          <w:szCs w:val="20"/>
        </w:rPr>
      </w:pPr>
      <w:bookmarkStart w:id="59" w:name="page65"/>
      <w:bookmarkEnd w:id="59"/>
    </w:p>
    <w:p>
      <w:pPr>
        <w:spacing w:after="0" w:line="235" w:lineRule="auto"/>
        <w:ind w:left="720" w:right="722"/>
        <w:rPr>
          <w:color w:val="auto"/>
          <w:sz w:val="20"/>
          <w:szCs w:val="20"/>
        </w:rPr>
      </w:pPr>
      <w:r>
        <w:rPr>
          <w:rFonts w:ascii="Arial" w:hAnsi="Arial" w:eastAsia="Arial" w:cs="Arial"/>
          <w:color w:val="auto"/>
          <w:sz w:val="22"/>
          <w:szCs w:val="22"/>
        </w:rPr>
        <w:t xml:space="preserve">Finucane KE, Greville HW, Brown PJ. Irreversible airflow obstruction. Evolution in asthma. </w:t>
      </w:r>
      <w:r>
        <w:rPr>
          <w:rFonts w:ascii="Arial" w:hAnsi="Arial" w:eastAsia="Arial" w:cs="Arial"/>
          <w:i/>
          <w:iCs/>
          <w:color w:val="auto"/>
          <w:sz w:val="22"/>
          <w:szCs w:val="22"/>
        </w:rPr>
        <w:t>Med J Aust</w:t>
      </w:r>
      <w:r>
        <w:rPr>
          <w:rFonts w:ascii="Arial" w:hAnsi="Arial" w:eastAsia="Arial" w:cs="Arial"/>
          <w:color w:val="auto"/>
          <w:sz w:val="22"/>
          <w:szCs w:val="22"/>
        </w:rPr>
        <w:t xml:space="preserve"> 1985;142:602-4.</w:t>
      </w:r>
    </w:p>
    <w:p>
      <w:pPr>
        <w:spacing w:after="0" w:line="289" w:lineRule="exact"/>
        <w:rPr>
          <w:color w:val="auto"/>
          <w:sz w:val="20"/>
          <w:szCs w:val="20"/>
        </w:rPr>
      </w:pPr>
    </w:p>
    <w:p>
      <w:pPr>
        <w:spacing w:after="0" w:line="255" w:lineRule="auto"/>
        <w:ind w:left="720" w:right="82"/>
        <w:rPr>
          <w:color w:val="auto"/>
          <w:sz w:val="20"/>
          <w:szCs w:val="20"/>
        </w:rPr>
      </w:pPr>
      <w:r>
        <w:rPr>
          <w:rFonts w:ascii="Arial" w:hAnsi="Arial" w:eastAsia="Arial" w:cs="Arial"/>
          <w:color w:val="auto"/>
          <w:sz w:val="21"/>
          <w:szCs w:val="21"/>
        </w:rPr>
        <w:t xml:space="preserve">Fleer A, Krediet TG. Innate immunity: toll-like receptors and some more. A brief history, basic organization and relevance for the human newborn. </w:t>
      </w:r>
      <w:r>
        <w:rPr>
          <w:rFonts w:ascii="Arial" w:hAnsi="Arial" w:eastAsia="Arial" w:cs="Arial"/>
          <w:i/>
          <w:iCs/>
          <w:color w:val="auto"/>
          <w:sz w:val="21"/>
          <w:szCs w:val="21"/>
        </w:rPr>
        <w:t>Neonatology</w:t>
      </w:r>
      <w:r>
        <w:rPr>
          <w:rFonts w:ascii="Arial" w:hAnsi="Arial" w:eastAsia="Arial" w:cs="Arial"/>
          <w:color w:val="auto"/>
          <w:sz w:val="21"/>
          <w:szCs w:val="21"/>
        </w:rPr>
        <w:t xml:space="preserve"> 2007;92:145-57.</w:t>
      </w:r>
    </w:p>
    <w:p>
      <w:pPr>
        <w:spacing w:after="0" w:line="274" w:lineRule="exact"/>
        <w:rPr>
          <w:color w:val="auto"/>
          <w:sz w:val="20"/>
          <w:szCs w:val="20"/>
        </w:rPr>
      </w:pPr>
    </w:p>
    <w:p>
      <w:pPr>
        <w:spacing w:after="0" w:line="235" w:lineRule="auto"/>
        <w:ind w:left="720" w:right="462"/>
        <w:rPr>
          <w:color w:val="auto"/>
          <w:sz w:val="20"/>
          <w:szCs w:val="20"/>
        </w:rPr>
      </w:pPr>
      <w:r>
        <w:rPr>
          <w:rFonts w:ascii="Arial" w:hAnsi="Arial" w:eastAsia="Arial" w:cs="Arial"/>
          <w:color w:val="auto"/>
          <w:sz w:val="22"/>
          <w:szCs w:val="22"/>
        </w:rPr>
        <w:t>Food and Nutrition Board, Institute of Medicine. Dietary reference intakes for vitamin D .Washington (DC): National Academy Press; 1997.</w:t>
      </w:r>
    </w:p>
    <w:p>
      <w:pPr>
        <w:spacing w:after="0" w:line="263" w:lineRule="exact"/>
        <w:rPr>
          <w:color w:val="auto"/>
          <w:sz w:val="20"/>
          <w:szCs w:val="20"/>
        </w:rPr>
      </w:pPr>
    </w:p>
    <w:p>
      <w:pPr>
        <w:spacing w:after="0" w:line="236" w:lineRule="auto"/>
        <w:ind w:left="720" w:right="1442"/>
        <w:rPr>
          <w:color w:val="auto"/>
          <w:sz w:val="20"/>
          <w:szCs w:val="20"/>
        </w:rPr>
      </w:pPr>
      <w:r>
        <w:rPr>
          <w:rFonts w:ascii="Arial" w:hAnsi="Arial" w:eastAsia="Arial" w:cs="Arial"/>
          <w:color w:val="auto"/>
          <w:sz w:val="22"/>
          <w:szCs w:val="22"/>
        </w:rPr>
        <w:t xml:space="preserve">Ford ES. The epidemiology of obesity and asthma.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2005;115:897,909; quiz 910.</w:t>
      </w:r>
    </w:p>
    <w:p>
      <w:pPr>
        <w:spacing w:after="0" w:line="261" w:lineRule="exact"/>
        <w:rPr>
          <w:color w:val="auto"/>
          <w:sz w:val="20"/>
          <w:szCs w:val="20"/>
        </w:rPr>
      </w:pPr>
    </w:p>
    <w:p>
      <w:pPr>
        <w:spacing w:after="0" w:line="236" w:lineRule="auto"/>
        <w:ind w:left="720" w:right="62"/>
        <w:rPr>
          <w:rFonts w:ascii="Arial" w:hAnsi="Arial" w:eastAsia="Arial" w:cs="Arial"/>
          <w:color w:val="auto"/>
          <w:sz w:val="22"/>
          <w:szCs w:val="22"/>
        </w:rPr>
      </w:pPr>
      <w:r>
        <w:rPr>
          <w:rFonts w:ascii="Arial" w:hAnsi="Arial" w:eastAsia="Arial" w:cs="Arial"/>
          <w:color w:val="auto"/>
          <w:sz w:val="22"/>
          <w:szCs w:val="22"/>
        </w:rPr>
        <w:t xml:space="preserve">Ginde AA, Mansbach JM, Camargo CA Jr. </w:t>
      </w:r>
      <w:r>
        <w:fldChar w:fldCharType="begin"/>
      </w:r>
      <w:r>
        <w:instrText xml:space="preserve"> HYPERLINK "http://www.ncbi.nlm.nih.gov.silk.library.umass.edu:2048/pubmed/19063829" \h </w:instrText>
      </w:r>
      <w:r>
        <w:fldChar w:fldCharType="separate"/>
      </w:r>
      <w:r>
        <w:rPr>
          <w:rFonts w:ascii="Arial" w:hAnsi="Arial" w:eastAsia="Arial" w:cs="Arial"/>
          <w:color w:val="auto"/>
          <w:sz w:val="22"/>
          <w:szCs w:val="22"/>
        </w:rPr>
        <w:t>Vitamin D, respiratory infections, and asthma</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rPr>
          <w:rFonts w:ascii="Arial" w:hAnsi="Arial" w:eastAsia="Arial" w:cs="Arial"/>
          <w:i/>
          <w:iCs/>
          <w:color w:val="auto"/>
          <w:sz w:val="22"/>
          <w:szCs w:val="22"/>
        </w:rPr>
        <w:t>Curr Allergy Asthma Rep</w:t>
      </w:r>
      <w:r>
        <w:rPr>
          <w:rFonts w:ascii="Arial" w:hAnsi="Arial" w:eastAsia="Arial" w:cs="Arial"/>
          <w:color w:val="auto"/>
          <w:sz w:val="22"/>
          <w:szCs w:val="22"/>
        </w:rPr>
        <w:t>. 2009 Jan;9(1):81-7.</w:t>
      </w:r>
    </w:p>
    <w:p>
      <w:pPr>
        <w:spacing w:after="0" w:line="264" w:lineRule="exact"/>
        <w:rPr>
          <w:color w:val="auto"/>
          <w:sz w:val="20"/>
          <w:szCs w:val="20"/>
        </w:rPr>
      </w:pPr>
    </w:p>
    <w:p>
      <w:pPr>
        <w:spacing w:after="0" w:line="236" w:lineRule="auto"/>
        <w:ind w:left="720" w:right="1182"/>
        <w:jc w:val="both"/>
        <w:rPr>
          <w:color w:val="auto"/>
          <w:sz w:val="20"/>
          <w:szCs w:val="20"/>
        </w:rPr>
      </w:pPr>
      <w:r>
        <w:rPr>
          <w:rFonts w:ascii="Arial" w:hAnsi="Arial" w:eastAsia="Arial" w:cs="Arial"/>
          <w:color w:val="auto"/>
          <w:sz w:val="22"/>
          <w:szCs w:val="22"/>
        </w:rPr>
        <w:t xml:space="preserve">Gale C, Robinson S, Harvey N, Javaid M, Jiang B, Martyn C, et al. Maternal vitamin D status during pregnancy and child outcomes. </w:t>
      </w:r>
      <w:r>
        <w:rPr>
          <w:rFonts w:ascii="Arial" w:hAnsi="Arial" w:eastAsia="Arial" w:cs="Arial"/>
          <w:i/>
          <w:iCs/>
          <w:color w:val="auto"/>
          <w:sz w:val="22"/>
          <w:szCs w:val="22"/>
        </w:rPr>
        <w:t>Eur J Clin Nutr</w:t>
      </w:r>
      <w:r>
        <w:rPr>
          <w:rFonts w:ascii="Arial" w:hAnsi="Arial" w:eastAsia="Arial" w:cs="Arial"/>
          <w:color w:val="auto"/>
          <w:sz w:val="22"/>
          <w:szCs w:val="22"/>
        </w:rPr>
        <w:t xml:space="preserve"> 2007; Feb 21</w:t>
      </w:r>
    </w:p>
    <w:p>
      <w:pPr>
        <w:spacing w:after="0" w:line="293" w:lineRule="exact"/>
        <w:rPr>
          <w:color w:val="auto"/>
          <w:sz w:val="20"/>
          <w:szCs w:val="20"/>
        </w:rPr>
      </w:pPr>
    </w:p>
    <w:p>
      <w:pPr>
        <w:spacing w:after="0" w:line="235" w:lineRule="auto"/>
        <w:ind w:left="720" w:right="662"/>
        <w:rPr>
          <w:color w:val="auto"/>
          <w:sz w:val="20"/>
          <w:szCs w:val="20"/>
        </w:rPr>
      </w:pPr>
      <w:r>
        <w:rPr>
          <w:rFonts w:ascii="Arial" w:hAnsi="Arial" w:eastAsia="Arial" w:cs="Arial"/>
          <w:color w:val="auto"/>
          <w:sz w:val="22"/>
          <w:szCs w:val="22"/>
        </w:rPr>
        <w:t xml:space="preserve">Gern JE. Rhinovirus respiratory infections and asthma. </w:t>
      </w:r>
      <w:r>
        <w:rPr>
          <w:rFonts w:ascii="Arial" w:hAnsi="Arial" w:eastAsia="Arial" w:cs="Arial"/>
          <w:i/>
          <w:iCs/>
          <w:color w:val="auto"/>
          <w:sz w:val="22"/>
          <w:szCs w:val="22"/>
        </w:rPr>
        <w:t>Am J Med</w:t>
      </w:r>
      <w:r>
        <w:rPr>
          <w:rFonts w:ascii="Arial" w:hAnsi="Arial" w:eastAsia="Arial" w:cs="Arial"/>
          <w:color w:val="auto"/>
          <w:sz w:val="22"/>
          <w:szCs w:val="22"/>
        </w:rPr>
        <w:t xml:space="preserve"> 2002;112 Suppl 6A:19S-27S.</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Gern JE, Busse WW. Relationship of viral infections to wheezing illnesses and asthma.</w:t>
      </w:r>
    </w:p>
    <w:p>
      <w:pPr>
        <w:spacing w:after="0"/>
        <w:ind w:left="720"/>
        <w:rPr>
          <w:color w:val="auto"/>
          <w:sz w:val="20"/>
          <w:szCs w:val="20"/>
        </w:rPr>
      </w:pPr>
      <w:r>
        <w:rPr>
          <w:rFonts w:ascii="Arial" w:hAnsi="Arial" w:eastAsia="Arial" w:cs="Arial"/>
          <w:i/>
          <w:iCs/>
          <w:color w:val="auto"/>
          <w:sz w:val="22"/>
          <w:szCs w:val="22"/>
        </w:rPr>
        <w:t>Nat Rev Immunol</w:t>
      </w:r>
      <w:r>
        <w:rPr>
          <w:rFonts w:ascii="Arial" w:hAnsi="Arial" w:eastAsia="Arial" w:cs="Arial"/>
          <w:color w:val="auto"/>
          <w:sz w:val="22"/>
          <w:szCs w:val="22"/>
        </w:rPr>
        <w:t xml:space="preserve"> 2002;2:132-8.</w:t>
      </w:r>
    </w:p>
    <w:p>
      <w:pPr>
        <w:spacing w:after="0" w:line="288" w:lineRule="exact"/>
        <w:rPr>
          <w:color w:val="auto"/>
          <w:sz w:val="20"/>
          <w:szCs w:val="20"/>
        </w:rPr>
      </w:pPr>
    </w:p>
    <w:p>
      <w:pPr>
        <w:spacing w:after="0" w:line="236" w:lineRule="auto"/>
        <w:ind w:left="720" w:right="342"/>
        <w:rPr>
          <w:color w:val="auto"/>
          <w:sz w:val="20"/>
          <w:szCs w:val="20"/>
        </w:rPr>
      </w:pPr>
      <w:r>
        <w:rPr>
          <w:rFonts w:ascii="Arial" w:hAnsi="Arial" w:eastAsia="Arial" w:cs="Arial"/>
          <w:color w:val="auto"/>
          <w:sz w:val="22"/>
          <w:szCs w:val="22"/>
        </w:rPr>
        <w:t xml:space="preserve">Ginde AA, Liu MC, Camargo CA Jr. Demographic differences and trends of vitamin D insufficiency in the US population, 1988-2004. </w:t>
      </w:r>
      <w:r>
        <w:rPr>
          <w:rFonts w:ascii="Arial" w:hAnsi="Arial" w:eastAsia="Arial" w:cs="Arial"/>
          <w:i/>
          <w:iCs/>
          <w:color w:val="auto"/>
          <w:sz w:val="22"/>
          <w:szCs w:val="22"/>
        </w:rPr>
        <w:t>Arch Intern Med</w:t>
      </w:r>
      <w:r>
        <w:rPr>
          <w:rFonts w:ascii="Arial" w:hAnsi="Arial" w:eastAsia="Arial" w:cs="Arial"/>
          <w:color w:val="auto"/>
          <w:sz w:val="22"/>
          <w:szCs w:val="22"/>
        </w:rPr>
        <w:t xml:space="preserve"> 2009;169:626-32</w:t>
      </w:r>
    </w:p>
    <w:p>
      <w:pPr>
        <w:spacing w:after="0" w:line="290" w:lineRule="exact"/>
        <w:rPr>
          <w:color w:val="auto"/>
          <w:sz w:val="20"/>
          <w:szCs w:val="20"/>
        </w:rPr>
      </w:pPr>
    </w:p>
    <w:p>
      <w:pPr>
        <w:spacing w:after="0" w:line="235" w:lineRule="auto"/>
        <w:ind w:left="720" w:right="602"/>
        <w:rPr>
          <w:color w:val="auto"/>
          <w:sz w:val="20"/>
          <w:szCs w:val="20"/>
        </w:rPr>
      </w:pPr>
      <w:r>
        <w:rPr>
          <w:rFonts w:ascii="Arial" w:hAnsi="Arial" w:eastAsia="Arial" w:cs="Arial"/>
          <w:color w:val="auto"/>
          <w:sz w:val="22"/>
          <w:szCs w:val="22"/>
        </w:rPr>
        <w:t xml:space="preserve">Gombart AF. The vitamin D-antimicrobial peptide pathway and its role in protection against infection. </w:t>
      </w:r>
      <w:r>
        <w:rPr>
          <w:rFonts w:ascii="Arial" w:hAnsi="Arial" w:eastAsia="Arial" w:cs="Arial"/>
          <w:i/>
          <w:iCs/>
          <w:color w:val="auto"/>
          <w:sz w:val="22"/>
          <w:szCs w:val="22"/>
        </w:rPr>
        <w:t>Future Microbiol</w:t>
      </w:r>
      <w:r>
        <w:rPr>
          <w:rFonts w:ascii="Arial" w:hAnsi="Arial" w:eastAsia="Arial" w:cs="Arial"/>
          <w:color w:val="auto"/>
          <w:sz w:val="22"/>
          <w:szCs w:val="22"/>
        </w:rPr>
        <w:t xml:space="preserve"> 2009;4:1151-65.</w:t>
      </w:r>
    </w:p>
    <w:p>
      <w:pPr>
        <w:spacing w:after="0" w:line="289" w:lineRule="exact"/>
        <w:rPr>
          <w:color w:val="auto"/>
          <w:sz w:val="20"/>
          <w:szCs w:val="20"/>
        </w:rPr>
      </w:pPr>
    </w:p>
    <w:p>
      <w:pPr>
        <w:spacing w:after="0" w:line="237" w:lineRule="auto"/>
        <w:ind w:left="720" w:right="202"/>
        <w:rPr>
          <w:color w:val="auto"/>
          <w:sz w:val="20"/>
          <w:szCs w:val="20"/>
        </w:rPr>
      </w:pPr>
      <w:r>
        <w:rPr>
          <w:rFonts w:ascii="Arial" w:hAnsi="Arial" w:eastAsia="Arial" w:cs="Arial"/>
          <w:color w:val="auto"/>
          <w:sz w:val="22"/>
          <w:szCs w:val="22"/>
        </w:rPr>
        <w:t xml:space="preserve">Gombart AF, Borregaard N, Koeffler HP. Human cathelicidin antimicrobial peptide (CAMP) gene is a direct target of the vitamin D receptor and is strongly up-regulated in myeloid cells by 1,25-dihydroxyvitamin D3. </w:t>
      </w:r>
      <w:r>
        <w:rPr>
          <w:rFonts w:ascii="Arial" w:hAnsi="Arial" w:eastAsia="Arial" w:cs="Arial"/>
          <w:i/>
          <w:iCs/>
          <w:color w:val="auto"/>
          <w:sz w:val="22"/>
          <w:szCs w:val="22"/>
        </w:rPr>
        <w:t>FASEB J</w:t>
      </w:r>
      <w:r>
        <w:rPr>
          <w:rFonts w:ascii="Arial" w:hAnsi="Arial" w:eastAsia="Arial" w:cs="Arial"/>
          <w:color w:val="auto"/>
          <w:sz w:val="22"/>
          <w:szCs w:val="22"/>
        </w:rPr>
        <w:t xml:space="preserve"> 2005;19:1067-77.</w:t>
      </w:r>
    </w:p>
    <w:p>
      <w:pPr>
        <w:spacing w:after="0" w:line="290" w:lineRule="exact"/>
        <w:rPr>
          <w:color w:val="auto"/>
          <w:sz w:val="20"/>
          <w:szCs w:val="20"/>
        </w:rPr>
      </w:pPr>
    </w:p>
    <w:p>
      <w:pPr>
        <w:spacing w:after="0" w:line="236" w:lineRule="auto"/>
        <w:ind w:left="720" w:right="362"/>
        <w:rPr>
          <w:color w:val="auto"/>
          <w:sz w:val="20"/>
          <w:szCs w:val="20"/>
        </w:rPr>
      </w:pPr>
      <w:r>
        <w:rPr>
          <w:rFonts w:ascii="Arial" w:hAnsi="Arial" w:eastAsia="Arial" w:cs="Arial"/>
          <w:color w:val="auto"/>
          <w:sz w:val="22"/>
          <w:szCs w:val="22"/>
        </w:rPr>
        <w:t xml:space="preserve">Gordon CM, DePeter KC, Feldman HA, Grace E, Emans SJ. Prevalence of vitamin D deficiency among healthy adolescents. </w:t>
      </w:r>
      <w:r>
        <w:rPr>
          <w:rFonts w:ascii="Arial" w:hAnsi="Arial" w:eastAsia="Arial" w:cs="Arial"/>
          <w:i/>
          <w:iCs/>
          <w:color w:val="auto"/>
          <w:sz w:val="22"/>
          <w:szCs w:val="22"/>
        </w:rPr>
        <w:t>Arch Pediatr Adolesc Med</w:t>
      </w:r>
      <w:r>
        <w:rPr>
          <w:rFonts w:ascii="Arial" w:hAnsi="Arial" w:eastAsia="Arial" w:cs="Arial"/>
          <w:color w:val="auto"/>
          <w:sz w:val="22"/>
          <w:szCs w:val="22"/>
        </w:rPr>
        <w:t xml:space="preserve"> 2004;158:531-7.</w:t>
      </w:r>
    </w:p>
    <w:p>
      <w:pPr>
        <w:spacing w:after="0" w:line="290" w:lineRule="exact"/>
        <w:rPr>
          <w:color w:val="auto"/>
          <w:sz w:val="20"/>
          <w:szCs w:val="20"/>
        </w:rPr>
      </w:pPr>
    </w:p>
    <w:p>
      <w:pPr>
        <w:spacing w:after="0" w:line="237" w:lineRule="auto"/>
        <w:ind w:left="720" w:right="182"/>
        <w:rPr>
          <w:color w:val="auto"/>
          <w:sz w:val="20"/>
          <w:szCs w:val="20"/>
        </w:rPr>
      </w:pPr>
      <w:r>
        <w:rPr>
          <w:rFonts w:ascii="Arial" w:hAnsi="Arial" w:eastAsia="Arial" w:cs="Arial"/>
          <w:color w:val="auto"/>
          <w:sz w:val="22"/>
          <w:szCs w:val="22"/>
        </w:rPr>
        <w:t xml:space="preserve">Hargreave FE, Ryan G, Thomson NC, et al. Bronchial responsiveness to histamine or methacholine in asthma: measurement and clinical significance.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1981;68:347-55.</w:t>
      </w:r>
    </w:p>
    <w:p>
      <w:pPr>
        <w:spacing w:after="0" w:line="290" w:lineRule="exact"/>
        <w:rPr>
          <w:color w:val="auto"/>
          <w:sz w:val="20"/>
          <w:szCs w:val="20"/>
        </w:rPr>
      </w:pPr>
    </w:p>
    <w:p>
      <w:pPr>
        <w:spacing w:after="0" w:line="235" w:lineRule="auto"/>
        <w:ind w:left="720" w:right="282"/>
        <w:rPr>
          <w:color w:val="auto"/>
          <w:sz w:val="20"/>
          <w:szCs w:val="20"/>
        </w:rPr>
      </w:pPr>
      <w:r>
        <w:rPr>
          <w:rFonts w:ascii="Arial" w:hAnsi="Arial" w:eastAsia="Arial" w:cs="Arial"/>
          <w:color w:val="auto"/>
          <w:sz w:val="22"/>
          <w:szCs w:val="22"/>
        </w:rPr>
        <w:t>Harris SS, Dawson-Hughes B The Association of Oral Contraceptive Use with Plasma 25-hydroxyvitamin D Levels J Am CollNutr. 1998 Jun;17(3):282-4.</w:t>
      </w:r>
    </w:p>
    <w:p>
      <w:pPr>
        <w:spacing w:after="0" w:line="292" w:lineRule="exact"/>
        <w:rPr>
          <w:color w:val="auto"/>
          <w:sz w:val="20"/>
          <w:szCs w:val="20"/>
        </w:rPr>
      </w:pPr>
    </w:p>
    <w:p>
      <w:pPr>
        <w:spacing w:after="0" w:line="235" w:lineRule="auto"/>
        <w:ind w:left="720" w:right="62"/>
        <w:rPr>
          <w:color w:val="auto"/>
          <w:sz w:val="20"/>
          <w:szCs w:val="20"/>
        </w:rPr>
      </w:pPr>
      <w:r>
        <w:rPr>
          <w:rFonts w:ascii="Arial" w:hAnsi="Arial" w:eastAsia="Arial" w:cs="Arial"/>
          <w:color w:val="auto"/>
          <w:sz w:val="22"/>
          <w:szCs w:val="22"/>
        </w:rPr>
        <w:t>Heaney RP. Long-latency deficiency disease: insights from calcium and vitamin D. Am J Clin Nutr 2003;78:912-9.</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Hewison M. Vitamin D and innate immunity. </w:t>
      </w:r>
      <w:r>
        <w:rPr>
          <w:rFonts w:ascii="Arial" w:hAnsi="Arial" w:eastAsia="Arial" w:cs="Arial"/>
          <w:i/>
          <w:iCs/>
          <w:color w:val="auto"/>
          <w:sz w:val="22"/>
          <w:szCs w:val="22"/>
        </w:rPr>
        <w:t>Curr Opin Investig Drugs</w:t>
      </w:r>
      <w:r>
        <w:rPr>
          <w:rFonts w:ascii="Arial" w:hAnsi="Arial" w:eastAsia="Arial" w:cs="Arial"/>
          <w:color w:val="auto"/>
          <w:sz w:val="22"/>
          <w:szCs w:val="22"/>
        </w:rPr>
        <w:t xml:space="preserve"> 2008;9:485-90.</w:t>
      </w:r>
    </w:p>
    <w:p>
      <w:pPr>
        <w:spacing w:after="0" w:line="200" w:lineRule="exact"/>
        <w:rPr>
          <w:color w:val="auto"/>
          <w:sz w:val="20"/>
          <w:szCs w:val="20"/>
        </w:rPr>
      </w:pPr>
    </w:p>
    <w:p>
      <w:pPr>
        <w:spacing w:after="0" w:line="200" w:lineRule="exact"/>
        <w:rPr>
          <w:color w:val="auto"/>
          <w:sz w:val="20"/>
          <w:szCs w:val="20"/>
        </w:rPr>
      </w:pPr>
    </w:p>
    <w:p>
      <w:pPr>
        <w:spacing w:after="0" w:line="306"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55</w:t>
      </w:r>
    </w:p>
    <w:p>
      <w:pPr>
        <w:sectPr>
          <w:pgSz w:w="12240" w:h="15842"/>
          <w:pgMar w:top="1440" w:right="1440" w:bottom="119" w:left="1440" w:header="0" w:footer="0" w:gutter="0"/>
          <w:cols w:equalWidth="0" w:num="1">
            <w:col w:w="9362"/>
          </w:cols>
        </w:sectPr>
      </w:pPr>
    </w:p>
    <w:p>
      <w:pPr>
        <w:spacing w:after="0"/>
        <w:ind w:left="720"/>
        <w:rPr>
          <w:color w:val="auto"/>
          <w:sz w:val="20"/>
          <w:szCs w:val="20"/>
        </w:rPr>
      </w:pPr>
      <w:bookmarkStart w:id="60" w:name="page66"/>
      <w:bookmarkEnd w:id="60"/>
      <w:r>
        <w:rPr>
          <w:rFonts w:ascii="Arial" w:hAnsi="Arial" w:eastAsia="Arial" w:cs="Arial"/>
          <w:color w:val="auto"/>
          <w:sz w:val="22"/>
          <w:szCs w:val="22"/>
        </w:rPr>
        <w:t>Holgate ST. Inflammatory and structural changes in the airways of patients with asthma.</w:t>
      </w:r>
    </w:p>
    <w:p>
      <w:pPr>
        <w:spacing w:after="0"/>
        <w:ind w:left="720"/>
        <w:rPr>
          <w:color w:val="auto"/>
          <w:sz w:val="20"/>
          <w:szCs w:val="20"/>
        </w:rPr>
      </w:pPr>
      <w:r>
        <w:rPr>
          <w:rFonts w:ascii="Arial" w:hAnsi="Arial" w:eastAsia="Arial" w:cs="Arial"/>
          <w:i/>
          <w:iCs/>
          <w:color w:val="auto"/>
          <w:sz w:val="22"/>
          <w:szCs w:val="22"/>
        </w:rPr>
        <w:t>Respir Med</w:t>
      </w:r>
      <w:r>
        <w:rPr>
          <w:rFonts w:ascii="Arial" w:hAnsi="Arial" w:eastAsia="Arial" w:cs="Arial"/>
          <w:color w:val="auto"/>
          <w:sz w:val="22"/>
          <w:szCs w:val="22"/>
        </w:rPr>
        <w:t xml:space="preserve"> 2000;94 Suppl D:S3-6.</w:t>
      </w:r>
    </w:p>
    <w:p>
      <w:pPr>
        <w:spacing w:after="0" w:line="287" w:lineRule="exact"/>
        <w:rPr>
          <w:color w:val="auto"/>
          <w:sz w:val="20"/>
          <w:szCs w:val="20"/>
        </w:rPr>
      </w:pPr>
    </w:p>
    <w:p>
      <w:pPr>
        <w:spacing w:after="0" w:line="236" w:lineRule="auto"/>
        <w:ind w:left="720" w:right="142"/>
        <w:rPr>
          <w:color w:val="auto"/>
          <w:sz w:val="20"/>
          <w:szCs w:val="20"/>
        </w:rPr>
      </w:pPr>
      <w:r>
        <w:rPr>
          <w:rFonts w:ascii="Arial" w:hAnsi="Arial" w:eastAsia="Arial" w:cs="Arial"/>
          <w:color w:val="auto"/>
          <w:sz w:val="22"/>
          <w:szCs w:val="22"/>
        </w:rPr>
        <w:t xml:space="preserve">Holgate ST. Genetic and environmental interaction in allergy and asthma.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1999a;104:1139-46.</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Holgate ST. The epidemic of allergy and asthma. </w:t>
      </w:r>
      <w:r>
        <w:rPr>
          <w:rFonts w:ascii="Arial" w:hAnsi="Arial" w:eastAsia="Arial" w:cs="Arial"/>
          <w:i/>
          <w:iCs/>
          <w:color w:val="auto"/>
          <w:sz w:val="22"/>
          <w:szCs w:val="22"/>
        </w:rPr>
        <w:t>Nature</w:t>
      </w:r>
      <w:r>
        <w:rPr>
          <w:rFonts w:ascii="Arial" w:hAnsi="Arial" w:eastAsia="Arial" w:cs="Arial"/>
          <w:color w:val="auto"/>
          <w:sz w:val="22"/>
          <w:szCs w:val="22"/>
        </w:rPr>
        <w:t xml:space="preserve"> 1999b;402:B2-4.</w:t>
      </w:r>
    </w:p>
    <w:p>
      <w:pPr>
        <w:spacing w:after="0" w:line="280" w:lineRule="exact"/>
        <w:rPr>
          <w:color w:val="auto"/>
          <w:sz w:val="20"/>
          <w:szCs w:val="20"/>
        </w:rPr>
      </w:pPr>
    </w:p>
    <w:p>
      <w:pPr>
        <w:spacing w:after="0"/>
        <w:ind w:left="720"/>
        <w:rPr>
          <w:color w:val="auto"/>
          <w:sz w:val="20"/>
          <w:szCs w:val="20"/>
        </w:rPr>
      </w:pPr>
      <w:r>
        <w:rPr>
          <w:rFonts w:ascii="Arial" w:hAnsi="Arial" w:eastAsia="Arial" w:cs="Arial"/>
          <w:color w:val="auto"/>
          <w:sz w:val="22"/>
          <w:szCs w:val="22"/>
        </w:rPr>
        <w:t>Holick MF. The vitamin D deficiency pandemic and consequences for nonskeletal health:</w:t>
      </w:r>
    </w:p>
    <w:p>
      <w:pPr>
        <w:spacing w:after="0"/>
        <w:ind w:left="720"/>
        <w:rPr>
          <w:color w:val="auto"/>
          <w:sz w:val="20"/>
          <w:szCs w:val="20"/>
        </w:rPr>
      </w:pPr>
      <w:r>
        <w:rPr>
          <w:rFonts w:ascii="Arial" w:hAnsi="Arial" w:eastAsia="Arial" w:cs="Arial"/>
          <w:color w:val="auto"/>
          <w:sz w:val="22"/>
          <w:szCs w:val="22"/>
        </w:rPr>
        <w:t xml:space="preserve">mechanisms of action. </w:t>
      </w:r>
      <w:r>
        <w:rPr>
          <w:rFonts w:ascii="Arial" w:hAnsi="Arial" w:eastAsia="Arial" w:cs="Arial"/>
          <w:i/>
          <w:iCs/>
          <w:color w:val="auto"/>
          <w:sz w:val="22"/>
          <w:szCs w:val="22"/>
        </w:rPr>
        <w:t>Mol Aspects Med</w:t>
      </w:r>
      <w:r>
        <w:rPr>
          <w:rFonts w:ascii="Arial" w:hAnsi="Arial" w:eastAsia="Arial" w:cs="Arial"/>
          <w:color w:val="auto"/>
          <w:sz w:val="22"/>
          <w:szCs w:val="22"/>
        </w:rPr>
        <w:t xml:space="preserve"> 2008a;29:361-8.</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Holick MF. Diabetes and the vitamin D connection. </w:t>
      </w:r>
      <w:r>
        <w:rPr>
          <w:rFonts w:ascii="Arial" w:hAnsi="Arial" w:eastAsia="Arial" w:cs="Arial"/>
          <w:i/>
          <w:iCs/>
          <w:color w:val="auto"/>
          <w:sz w:val="22"/>
          <w:szCs w:val="22"/>
        </w:rPr>
        <w:t>Curr Diab Rep</w:t>
      </w:r>
      <w:r>
        <w:rPr>
          <w:rFonts w:ascii="Arial" w:hAnsi="Arial" w:eastAsia="Arial" w:cs="Arial"/>
          <w:color w:val="auto"/>
          <w:sz w:val="22"/>
          <w:szCs w:val="22"/>
        </w:rPr>
        <w:t xml:space="preserve"> 2008b ;8:393-8.</w:t>
      </w:r>
    </w:p>
    <w:p>
      <w:pPr>
        <w:spacing w:after="0" w:line="289" w:lineRule="exact"/>
        <w:rPr>
          <w:color w:val="auto"/>
          <w:sz w:val="20"/>
          <w:szCs w:val="20"/>
        </w:rPr>
      </w:pPr>
    </w:p>
    <w:p>
      <w:pPr>
        <w:spacing w:after="0" w:line="235" w:lineRule="auto"/>
        <w:ind w:left="720" w:right="482"/>
        <w:rPr>
          <w:color w:val="auto"/>
          <w:sz w:val="20"/>
          <w:szCs w:val="20"/>
        </w:rPr>
      </w:pPr>
      <w:r>
        <w:rPr>
          <w:rFonts w:ascii="Arial" w:hAnsi="Arial" w:eastAsia="Arial" w:cs="Arial"/>
          <w:color w:val="auto"/>
          <w:sz w:val="22"/>
          <w:szCs w:val="22"/>
        </w:rPr>
        <w:t xml:space="preserve">Holick MF. Vitamin D and sunlight: strategies for cancer prevention and other health benefits. </w:t>
      </w:r>
      <w:r>
        <w:rPr>
          <w:rFonts w:ascii="Arial" w:hAnsi="Arial" w:eastAsia="Arial" w:cs="Arial"/>
          <w:i/>
          <w:iCs/>
          <w:color w:val="auto"/>
          <w:sz w:val="22"/>
          <w:szCs w:val="22"/>
        </w:rPr>
        <w:t>Clin J Am Soc Nephrol</w:t>
      </w:r>
      <w:r>
        <w:rPr>
          <w:rFonts w:ascii="Arial" w:hAnsi="Arial" w:eastAsia="Arial" w:cs="Arial"/>
          <w:color w:val="auto"/>
          <w:sz w:val="22"/>
          <w:szCs w:val="22"/>
        </w:rPr>
        <w:t xml:space="preserve"> 2008c;3:1548-54.</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Holick MF. Vitamin D deficiency. </w:t>
      </w:r>
      <w:r>
        <w:rPr>
          <w:rFonts w:ascii="Arial" w:hAnsi="Arial" w:eastAsia="Arial" w:cs="Arial"/>
          <w:i/>
          <w:iCs/>
          <w:color w:val="auto"/>
          <w:sz w:val="22"/>
          <w:szCs w:val="22"/>
        </w:rPr>
        <w:t>N Engl J Med</w:t>
      </w:r>
      <w:r>
        <w:rPr>
          <w:rFonts w:ascii="Arial" w:hAnsi="Arial" w:eastAsia="Arial" w:cs="Arial"/>
          <w:color w:val="auto"/>
          <w:sz w:val="22"/>
          <w:szCs w:val="22"/>
        </w:rPr>
        <w:t xml:space="preserve"> 2007;357:266-81.</w:t>
      </w:r>
    </w:p>
    <w:p>
      <w:pPr>
        <w:spacing w:after="0" w:line="288" w:lineRule="exact"/>
        <w:rPr>
          <w:color w:val="auto"/>
          <w:sz w:val="20"/>
          <w:szCs w:val="20"/>
        </w:rPr>
      </w:pPr>
    </w:p>
    <w:p>
      <w:pPr>
        <w:spacing w:after="0" w:line="236" w:lineRule="auto"/>
        <w:ind w:left="720" w:right="82"/>
        <w:rPr>
          <w:color w:val="auto"/>
          <w:sz w:val="20"/>
          <w:szCs w:val="20"/>
        </w:rPr>
      </w:pPr>
      <w:r>
        <w:rPr>
          <w:rFonts w:ascii="Arial" w:hAnsi="Arial" w:eastAsia="Arial" w:cs="Arial"/>
          <w:color w:val="auto"/>
          <w:sz w:val="22"/>
          <w:szCs w:val="22"/>
        </w:rPr>
        <w:t xml:space="preserve">Holick MF. Vitamin D: its role in cancer prevention and treatment. </w:t>
      </w:r>
      <w:r>
        <w:rPr>
          <w:rFonts w:ascii="Arial" w:hAnsi="Arial" w:eastAsia="Arial" w:cs="Arial"/>
          <w:i/>
          <w:iCs/>
          <w:color w:val="auto"/>
          <w:sz w:val="22"/>
          <w:szCs w:val="22"/>
        </w:rPr>
        <w:t>Prog Biophys Mol Biol</w:t>
      </w:r>
      <w:r>
        <w:rPr>
          <w:rFonts w:ascii="Arial" w:hAnsi="Arial" w:eastAsia="Arial" w:cs="Arial"/>
          <w:color w:val="auto"/>
          <w:sz w:val="22"/>
          <w:szCs w:val="22"/>
        </w:rPr>
        <w:t xml:space="preserve"> 2006;92:49-59.</w:t>
      </w:r>
    </w:p>
    <w:p>
      <w:pPr>
        <w:spacing w:after="0" w:line="290" w:lineRule="exact"/>
        <w:rPr>
          <w:color w:val="auto"/>
          <w:sz w:val="20"/>
          <w:szCs w:val="20"/>
        </w:rPr>
      </w:pPr>
    </w:p>
    <w:p>
      <w:pPr>
        <w:spacing w:after="0" w:line="235" w:lineRule="auto"/>
        <w:ind w:left="720" w:right="1682"/>
        <w:rPr>
          <w:color w:val="auto"/>
          <w:sz w:val="20"/>
          <w:szCs w:val="20"/>
        </w:rPr>
      </w:pPr>
      <w:r>
        <w:rPr>
          <w:rFonts w:ascii="Arial" w:hAnsi="Arial" w:eastAsia="Arial" w:cs="Arial"/>
          <w:color w:val="auto"/>
          <w:sz w:val="22"/>
          <w:szCs w:val="22"/>
        </w:rPr>
        <w:t xml:space="preserve">Holick MF. The vitamin D epidemic and its health consequences. </w:t>
      </w:r>
      <w:r>
        <w:rPr>
          <w:rFonts w:ascii="Arial" w:hAnsi="Arial" w:eastAsia="Arial" w:cs="Arial"/>
          <w:i/>
          <w:iCs/>
          <w:color w:val="auto"/>
          <w:sz w:val="22"/>
          <w:szCs w:val="22"/>
        </w:rPr>
        <w:t>J Nutr</w:t>
      </w:r>
      <w:r>
        <w:rPr>
          <w:rFonts w:ascii="Arial" w:hAnsi="Arial" w:eastAsia="Arial" w:cs="Arial"/>
          <w:color w:val="auto"/>
          <w:sz w:val="22"/>
          <w:szCs w:val="22"/>
        </w:rPr>
        <w:t xml:space="preserve"> 2005;135:2739S-48S.</w:t>
      </w:r>
    </w:p>
    <w:p>
      <w:pPr>
        <w:spacing w:after="0" w:line="290" w:lineRule="exact"/>
        <w:rPr>
          <w:color w:val="auto"/>
          <w:sz w:val="20"/>
          <w:szCs w:val="20"/>
        </w:rPr>
      </w:pPr>
    </w:p>
    <w:p>
      <w:pPr>
        <w:spacing w:after="0" w:line="237" w:lineRule="auto"/>
        <w:ind w:left="720" w:right="242"/>
        <w:rPr>
          <w:color w:val="auto"/>
          <w:sz w:val="20"/>
          <w:szCs w:val="20"/>
        </w:rPr>
      </w:pPr>
      <w:r>
        <w:rPr>
          <w:rFonts w:ascii="Arial" w:hAnsi="Arial" w:eastAsia="Arial" w:cs="Arial"/>
          <w:color w:val="auto"/>
          <w:sz w:val="22"/>
          <w:szCs w:val="22"/>
        </w:rPr>
        <w:t xml:space="preserve">Holick MF. Sunlight and vitamin D for bone health and prevention of autoimmune disease, cancers, and cardiovascular disease. </w:t>
      </w:r>
      <w:r>
        <w:rPr>
          <w:rFonts w:ascii="Arial" w:hAnsi="Arial" w:eastAsia="Arial" w:cs="Arial"/>
          <w:i/>
          <w:iCs/>
          <w:color w:val="auto"/>
          <w:sz w:val="22"/>
          <w:szCs w:val="22"/>
        </w:rPr>
        <w:t>Am J Clin Nutr</w:t>
      </w:r>
      <w:r>
        <w:rPr>
          <w:rFonts w:ascii="Arial" w:hAnsi="Arial" w:eastAsia="Arial" w:cs="Arial"/>
          <w:color w:val="auto"/>
          <w:sz w:val="22"/>
          <w:szCs w:val="22"/>
        </w:rPr>
        <w:t xml:space="preserve"> 2004a;80(suppl):1678S-1688S.</w:t>
      </w:r>
    </w:p>
    <w:p>
      <w:pPr>
        <w:spacing w:after="0" w:line="263" w:lineRule="exact"/>
        <w:rPr>
          <w:color w:val="auto"/>
          <w:sz w:val="20"/>
          <w:szCs w:val="20"/>
        </w:rPr>
      </w:pPr>
    </w:p>
    <w:p>
      <w:pPr>
        <w:spacing w:after="0" w:line="235" w:lineRule="auto"/>
        <w:ind w:left="720" w:right="942"/>
        <w:rPr>
          <w:color w:val="auto"/>
          <w:sz w:val="20"/>
          <w:szCs w:val="20"/>
        </w:rPr>
      </w:pPr>
      <w:r>
        <w:rPr>
          <w:rFonts w:ascii="Arial" w:hAnsi="Arial" w:eastAsia="Arial" w:cs="Arial"/>
          <w:color w:val="auto"/>
          <w:sz w:val="22"/>
          <w:szCs w:val="22"/>
        </w:rPr>
        <w:t xml:space="preserve">Holick MF. Vitamin D: importance in the prevention of cancers, type 1 diabetes, heart disease, and osteoporosis. </w:t>
      </w:r>
      <w:r>
        <w:rPr>
          <w:rFonts w:ascii="Arial" w:hAnsi="Arial" w:eastAsia="Arial" w:cs="Arial"/>
          <w:i/>
          <w:iCs/>
          <w:color w:val="auto"/>
          <w:sz w:val="22"/>
          <w:szCs w:val="22"/>
        </w:rPr>
        <w:t>Am J Clin Nutr</w:t>
      </w:r>
      <w:r>
        <w:rPr>
          <w:rFonts w:ascii="Arial" w:hAnsi="Arial" w:eastAsia="Arial" w:cs="Arial"/>
          <w:color w:val="auto"/>
          <w:sz w:val="22"/>
          <w:szCs w:val="22"/>
        </w:rPr>
        <w:t xml:space="preserve"> 2004b;79:362-371.</w:t>
      </w:r>
    </w:p>
    <w:p>
      <w:pPr>
        <w:spacing w:after="0" w:line="200" w:lineRule="exact"/>
        <w:rPr>
          <w:color w:val="auto"/>
          <w:sz w:val="20"/>
          <w:szCs w:val="20"/>
        </w:rPr>
      </w:pPr>
    </w:p>
    <w:p>
      <w:pPr>
        <w:spacing w:after="0" w:line="344" w:lineRule="exact"/>
        <w:rPr>
          <w:color w:val="auto"/>
          <w:sz w:val="20"/>
          <w:szCs w:val="20"/>
        </w:rPr>
      </w:pPr>
    </w:p>
    <w:p>
      <w:pPr>
        <w:spacing w:after="0" w:line="236" w:lineRule="auto"/>
        <w:ind w:left="720" w:right="702"/>
        <w:rPr>
          <w:color w:val="auto"/>
          <w:sz w:val="20"/>
          <w:szCs w:val="20"/>
        </w:rPr>
      </w:pPr>
      <w:r>
        <w:rPr>
          <w:rFonts w:ascii="Arial" w:hAnsi="Arial" w:eastAsia="Arial" w:cs="Arial"/>
          <w:color w:val="auto"/>
          <w:sz w:val="22"/>
          <w:szCs w:val="22"/>
        </w:rPr>
        <w:t xml:space="preserve">Hypponen E, Sovio U, Wjst M, et al. Infant vitamin D supplementation and allergic conditions in adulthood: northern Finland birth cohort 1966. </w:t>
      </w:r>
      <w:r>
        <w:rPr>
          <w:rFonts w:ascii="Arial" w:hAnsi="Arial" w:eastAsia="Arial" w:cs="Arial"/>
          <w:i/>
          <w:iCs/>
          <w:color w:val="auto"/>
          <w:sz w:val="22"/>
          <w:szCs w:val="22"/>
        </w:rPr>
        <w:t>Ann N Y Acad Sc</w:t>
      </w:r>
      <w:r>
        <w:rPr>
          <w:rFonts w:ascii="Arial" w:hAnsi="Arial" w:eastAsia="Arial" w:cs="Arial"/>
          <w:color w:val="auto"/>
          <w:sz w:val="22"/>
          <w:szCs w:val="22"/>
        </w:rPr>
        <w:t>i 2004;1037:84-95.</w:t>
      </w:r>
    </w:p>
    <w:p>
      <w:pPr>
        <w:spacing w:after="0" w:line="293" w:lineRule="exact"/>
        <w:rPr>
          <w:color w:val="auto"/>
          <w:sz w:val="20"/>
          <w:szCs w:val="20"/>
        </w:rPr>
      </w:pPr>
    </w:p>
    <w:p>
      <w:pPr>
        <w:spacing w:after="0" w:line="238" w:lineRule="auto"/>
        <w:ind w:left="720" w:right="2"/>
        <w:rPr>
          <w:color w:val="auto"/>
          <w:sz w:val="20"/>
          <w:szCs w:val="20"/>
        </w:rPr>
      </w:pPr>
      <w:r>
        <w:rPr>
          <w:rFonts w:ascii="Arial" w:hAnsi="Arial" w:eastAsia="Arial" w:cs="Arial"/>
          <w:color w:val="auto"/>
          <w:sz w:val="22"/>
          <w:szCs w:val="22"/>
        </w:rPr>
        <w:t>Kinyamu HK, Gallagher JC, Knezetic JA, DeLuca HF, Prahl JM, Lanspa SJ. Effect of vitamin D receptor genotypes on calcium absorption, duodenal vitamin D receptor concentration, and serum 1,25 dihydroxyvitamin D levels in normal women. Calcif Tissue Int 1997;60:491-5.</w:t>
      </w:r>
    </w:p>
    <w:p>
      <w:pPr>
        <w:spacing w:after="0" w:line="288" w:lineRule="exact"/>
        <w:rPr>
          <w:color w:val="auto"/>
          <w:sz w:val="20"/>
          <w:szCs w:val="20"/>
        </w:rPr>
      </w:pPr>
    </w:p>
    <w:p>
      <w:pPr>
        <w:spacing w:after="0" w:line="237" w:lineRule="auto"/>
        <w:ind w:left="720" w:right="342"/>
        <w:rPr>
          <w:color w:val="auto"/>
          <w:sz w:val="20"/>
          <w:szCs w:val="20"/>
        </w:rPr>
      </w:pPr>
      <w:r>
        <w:rPr>
          <w:rFonts w:ascii="Arial" w:hAnsi="Arial" w:eastAsia="Arial" w:cs="Arial"/>
          <w:color w:val="auto"/>
          <w:sz w:val="22"/>
          <w:szCs w:val="22"/>
        </w:rPr>
        <w:t xml:space="preserve">Carbone L.D., Rosenberg E.W., Tolley E.A., Holick M.F.,Hughes M.F., Watsk M.A, Barrow K.D., Chen T.C., Wilkin N.K., Bhattacharya S.K., Dowdy J.C.,. Sayre R.M and Weber K.T., 25-Hydroxyvitamin D, cholesterol, and ultraviolet irradiation, </w:t>
      </w:r>
      <w:r>
        <w:rPr>
          <w:rFonts w:ascii="Arial" w:hAnsi="Arial" w:eastAsia="Arial" w:cs="Arial"/>
          <w:i/>
          <w:iCs/>
          <w:color w:val="auto"/>
          <w:sz w:val="22"/>
          <w:szCs w:val="22"/>
        </w:rPr>
        <w:t>Metab. Clin. Exp.</w:t>
      </w:r>
      <w:r>
        <w:rPr>
          <w:rFonts w:ascii="Arial" w:hAnsi="Arial" w:eastAsia="Arial" w:cs="Arial"/>
          <w:color w:val="auto"/>
          <w:sz w:val="22"/>
          <w:szCs w:val="22"/>
        </w:rPr>
        <w:t xml:space="preserve"> 57 (2008), pp. 741–748</w:t>
      </w:r>
    </w:p>
    <w:p>
      <w:pPr>
        <w:spacing w:after="0" w:line="292" w:lineRule="exact"/>
        <w:rPr>
          <w:color w:val="auto"/>
          <w:sz w:val="20"/>
          <w:szCs w:val="20"/>
        </w:rPr>
      </w:pPr>
    </w:p>
    <w:p>
      <w:pPr>
        <w:spacing w:after="0" w:line="236" w:lineRule="auto"/>
        <w:ind w:left="720" w:right="582"/>
        <w:rPr>
          <w:color w:val="auto"/>
          <w:sz w:val="20"/>
          <w:szCs w:val="20"/>
        </w:rPr>
      </w:pPr>
      <w:r>
        <w:rPr>
          <w:rFonts w:ascii="Arial" w:hAnsi="Arial" w:eastAsia="Arial" w:cs="Arial"/>
          <w:color w:val="auto"/>
          <w:sz w:val="22"/>
          <w:szCs w:val="22"/>
        </w:rPr>
        <w:t xml:space="preserve">Larche M, Robinson DS, Kay AB. The role of T lymphocytes in the pathogenesis of asthma.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2003;111:450,63; quiz 464.</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2" w:lineRule="exact"/>
        <w:rPr>
          <w:color w:val="auto"/>
          <w:sz w:val="20"/>
          <w:szCs w:val="20"/>
        </w:rPr>
      </w:pPr>
    </w:p>
    <w:p>
      <w:pPr>
        <w:spacing w:after="0"/>
        <w:ind w:left="4920"/>
        <w:rPr>
          <w:color w:val="auto"/>
          <w:sz w:val="20"/>
          <w:szCs w:val="20"/>
        </w:rPr>
      </w:pPr>
      <w:r>
        <w:rPr>
          <w:rFonts w:ascii="Calibri" w:hAnsi="Calibri" w:eastAsia="Calibri" w:cs="Calibri"/>
          <w:color w:val="auto"/>
          <w:sz w:val="24"/>
          <w:szCs w:val="24"/>
        </w:rPr>
        <w:t>56</w:t>
      </w:r>
    </w:p>
    <w:p>
      <w:pPr>
        <w:sectPr>
          <w:pgSz w:w="12240" w:h="15842"/>
          <w:pgMar w:top="1437" w:right="1440" w:bottom="119" w:left="1440" w:header="0" w:footer="0" w:gutter="0"/>
          <w:cols w:equalWidth="0" w:num="1">
            <w:col w:w="9362"/>
          </w:cols>
        </w:sectPr>
      </w:pPr>
    </w:p>
    <w:p>
      <w:pPr>
        <w:spacing w:after="0" w:line="6" w:lineRule="exact"/>
        <w:rPr>
          <w:color w:val="auto"/>
          <w:sz w:val="20"/>
          <w:szCs w:val="20"/>
        </w:rPr>
      </w:pPr>
      <w:bookmarkStart w:id="61" w:name="page67"/>
      <w:bookmarkEnd w:id="61"/>
    </w:p>
    <w:p>
      <w:pPr>
        <w:spacing w:after="0" w:line="235" w:lineRule="auto"/>
        <w:ind w:left="720" w:right="1060"/>
        <w:rPr>
          <w:color w:val="auto"/>
          <w:sz w:val="20"/>
          <w:szCs w:val="20"/>
        </w:rPr>
      </w:pPr>
      <w:r>
        <w:rPr>
          <w:rFonts w:ascii="Arial" w:hAnsi="Arial" w:eastAsia="Arial" w:cs="Arial"/>
          <w:color w:val="auto"/>
          <w:sz w:val="22"/>
          <w:szCs w:val="22"/>
        </w:rPr>
        <w:t xml:space="preserve">Lemire JM, et al. 1,25-Dihydroxyvitamin D3 suppresses human T helper/inducer lymphocyte activity </w:t>
      </w:r>
      <w:r>
        <w:rPr>
          <w:rFonts w:ascii="Arial" w:hAnsi="Arial" w:eastAsia="Arial" w:cs="Arial"/>
          <w:i/>
          <w:iCs/>
          <w:color w:val="auto"/>
          <w:sz w:val="22"/>
          <w:szCs w:val="22"/>
        </w:rPr>
        <w:t>in vitro</w:t>
      </w:r>
      <w:r>
        <w:rPr>
          <w:rFonts w:ascii="Arial" w:hAnsi="Arial" w:eastAsia="Arial" w:cs="Arial"/>
          <w:color w:val="auto"/>
          <w:sz w:val="22"/>
          <w:szCs w:val="22"/>
        </w:rPr>
        <w:t xml:space="preserve">. </w:t>
      </w:r>
      <w:r>
        <w:rPr>
          <w:rFonts w:ascii="Arial" w:hAnsi="Arial" w:eastAsia="Arial" w:cs="Arial"/>
          <w:i/>
          <w:iCs/>
          <w:color w:val="auto"/>
          <w:sz w:val="22"/>
          <w:szCs w:val="22"/>
        </w:rPr>
        <w:t>J Immunol. 1</w:t>
      </w:r>
      <w:r>
        <w:rPr>
          <w:rFonts w:ascii="Arial" w:hAnsi="Arial" w:eastAsia="Arial" w:cs="Arial"/>
          <w:color w:val="auto"/>
          <w:sz w:val="22"/>
          <w:szCs w:val="22"/>
        </w:rPr>
        <w:t>985;134:3032–3035</w:t>
      </w:r>
    </w:p>
    <w:p>
      <w:pPr>
        <w:spacing w:after="0" w:line="289" w:lineRule="exact"/>
        <w:rPr>
          <w:color w:val="auto"/>
          <w:sz w:val="20"/>
          <w:szCs w:val="20"/>
        </w:rPr>
      </w:pPr>
    </w:p>
    <w:p>
      <w:pPr>
        <w:spacing w:after="0" w:line="236" w:lineRule="auto"/>
        <w:ind w:left="720" w:right="420"/>
        <w:rPr>
          <w:color w:val="auto"/>
          <w:sz w:val="20"/>
          <w:szCs w:val="20"/>
        </w:rPr>
      </w:pPr>
      <w:r>
        <w:rPr>
          <w:rFonts w:ascii="Arial" w:hAnsi="Arial" w:eastAsia="Arial" w:cs="Arial"/>
          <w:color w:val="auto"/>
          <w:sz w:val="22"/>
          <w:szCs w:val="22"/>
        </w:rPr>
        <w:t xml:space="preserve">Lemire JM, et al. Immunosuppressive actions of 1,25-dihydroxyvitamin D3: preferential inhibition of Th1 functions. </w:t>
      </w:r>
      <w:r>
        <w:rPr>
          <w:rFonts w:ascii="Arial" w:hAnsi="Arial" w:eastAsia="Arial" w:cs="Arial"/>
          <w:i/>
          <w:iCs/>
          <w:color w:val="auto"/>
          <w:sz w:val="22"/>
          <w:szCs w:val="22"/>
        </w:rPr>
        <w:t>J Nutr.</w:t>
      </w:r>
      <w:r>
        <w:rPr>
          <w:rFonts w:ascii="Arial" w:hAnsi="Arial" w:eastAsia="Arial" w:cs="Arial"/>
          <w:color w:val="auto"/>
          <w:sz w:val="22"/>
          <w:szCs w:val="22"/>
        </w:rPr>
        <w:t xml:space="preserve"> 1995;125:1704S–1708S</w:t>
      </w:r>
    </w:p>
    <w:p>
      <w:pPr>
        <w:spacing w:after="0" w:line="290" w:lineRule="exact"/>
        <w:rPr>
          <w:color w:val="auto"/>
          <w:sz w:val="20"/>
          <w:szCs w:val="20"/>
        </w:rPr>
      </w:pPr>
    </w:p>
    <w:p>
      <w:pPr>
        <w:spacing w:after="0" w:line="235" w:lineRule="auto"/>
        <w:ind w:left="720" w:right="240"/>
        <w:rPr>
          <w:color w:val="auto"/>
          <w:sz w:val="20"/>
          <w:szCs w:val="20"/>
        </w:rPr>
      </w:pPr>
      <w:r>
        <w:rPr>
          <w:rFonts w:ascii="Arial" w:hAnsi="Arial" w:eastAsia="Arial" w:cs="Arial"/>
          <w:color w:val="auto"/>
          <w:sz w:val="22"/>
          <w:szCs w:val="22"/>
        </w:rPr>
        <w:t>Li, Y.C., Kong, J., Wei, M., Chen, Z.F., Liu, S.Q., and Cao, L.P. 2002. 1,25-Dihydroxyvitamin D(3) is a negative endocrine regulator of the renin-angiotensin system.</w:t>
      </w:r>
    </w:p>
    <w:p>
      <w:pPr>
        <w:spacing w:after="0" w:line="3" w:lineRule="exact"/>
        <w:rPr>
          <w:color w:val="auto"/>
          <w:sz w:val="20"/>
          <w:szCs w:val="20"/>
        </w:rPr>
      </w:pPr>
    </w:p>
    <w:p>
      <w:pPr>
        <w:numPr>
          <w:ilvl w:val="0"/>
          <w:numId w:val="10"/>
        </w:numPr>
        <w:tabs>
          <w:tab w:val="left" w:pos="900"/>
        </w:tabs>
        <w:spacing w:after="0"/>
        <w:ind w:left="900" w:hanging="180"/>
        <w:rPr>
          <w:rFonts w:ascii="Arial" w:hAnsi="Arial" w:eastAsia="Arial" w:cs="Arial"/>
          <w:i/>
          <w:iCs/>
          <w:color w:val="auto"/>
          <w:sz w:val="22"/>
          <w:szCs w:val="22"/>
        </w:rPr>
      </w:pPr>
      <w:r>
        <w:rPr>
          <w:rFonts w:ascii="Arial" w:hAnsi="Arial" w:eastAsia="Arial" w:cs="Arial"/>
          <w:i/>
          <w:iCs/>
          <w:color w:val="auto"/>
          <w:sz w:val="22"/>
          <w:szCs w:val="22"/>
        </w:rPr>
        <w:t>Clin Invest</w:t>
      </w:r>
      <w:r>
        <w:rPr>
          <w:rFonts w:ascii="Arial" w:hAnsi="Arial" w:eastAsia="Arial" w:cs="Arial"/>
          <w:color w:val="auto"/>
          <w:sz w:val="22"/>
          <w:szCs w:val="22"/>
        </w:rPr>
        <w:t xml:space="preserve"> 110:229-238.</w:t>
      </w:r>
    </w:p>
    <w:p>
      <w:pPr>
        <w:spacing w:after="0" w:line="280"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Lips, P. (2006). Vitamin D physiology. </w:t>
      </w:r>
      <w:r>
        <w:rPr>
          <w:rFonts w:ascii="Arial" w:hAnsi="Arial" w:eastAsia="Arial" w:cs="Arial"/>
          <w:i/>
          <w:iCs/>
          <w:color w:val="auto"/>
          <w:sz w:val="22"/>
          <w:szCs w:val="22"/>
        </w:rPr>
        <w:t>Pr Bio and Molr Bio</w:t>
      </w:r>
      <w:r>
        <w:rPr>
          <w:rFonts w:ascii="Arial" w:hAnsi="Arial" w:eastAsia="Arial" w:cs="Arial"/>
          <w:color w:val="auto"/>
          <w:sz w:val="22"/>
          <w:szCs w:val="22"/>
        </w:rPr>
        <w:t>,92.4-8</w:t>
      </w:r>
    </w:p>
    <w:p>
      <w:pPr>
        <w:spacing w:after="0" w:line="289" w:lineRule="exact"/>
        <w:rPr>
          <w:color w:val="auto"/>
          <w:sz w:val="20"/>
          <w:szCs w:val="20"/>
        </w:rPr>
      </w:pPr>
    </w:p>
    <w:p>
      <w:pPr>
        <w:spacing w:after="0" w:line="235" w:lineRule="auto"/>
        <w:ind w:left="720" w:right="720"/>
        <w:rPr>
          <w:color w:val="auto"/>
          <w:sz w:val="20"/>
          <w:szCs w:val="20"/>
        </w:rPr>
      </w:pPr>
      <w:r>
        <w:rPr>
          <w:rFonts w:ascii="Arial" w:hAnsi="Arial" w:eastAsia="Arial" w:cs="Arial"/>
          <w:color w:val="auto"/>
          <w:sz w:val="22"/>
          <w:szCs w:val="22"/>
        </w:rPr>
        <w:t xml:space="preserve">Litonjua AA, Weiss ST. Is vitamin D deficiency to blame for the asthma epidemic? </w:t>
      </w:r>
      <w:r>
        <w:rPr>
          <w:rFonts w:ascii="Arial" w:hAnsi="Arial" w:eastAsia="Arial" w:cs="Arial"/>
          <w:i/>
          <w:iCs/>
          <w:color w:val="auto"/>
          <w:sz w:val="22"/>
          <w:szCs w:val="22"/>
        </w:rPr>
        <w:t>J Allergy Clin Immunol</w:t>
      </w:r>
      <w:r>
        <w:rPr>
          <w:rFonts w:ascii="Arial" w:hAnsi="Arial" w:eastAsia="Arial" w:cs="Arial"/>
          <w:color w:val="auto"/>
          <w:sz w:val="22"/>
          <w:szCs w:val="22"/>
        </w:rPr>
        <w:t xml:space="preserve"> 2007;120:1031-5.</w:t>
      </w:r>
    </w:p>
    <w:p>
      <w:pPr>
        <w:spacing w:after="0" w:line="289" w:lineRule="exact"/>
        <w:rPr>
          <w:color w:val="auto"/>
          <w:sz w:val="20"/>
          <w:szCs w:val="20"/>
        </w:rPr>
      </w:pPr>
    </w:p>
    <w:p>
      <w:pPr>
        <w:spacing w:after="0" w:line="238" w:lineRule="auto"/>
        <w:ind w:left="720" w:right="300"/>
        <w:rPr>
          <w:color w:val="auto"/>
          <w:sz w:val="20"/>
          <w:szCs w:val="20"/>
        </w:rPr>
      </w:pPr>
      <w:r>
        <w:rPr>
          <w:rFonts w:ascii="Arial" w:hAnsi="Arial" w:eastAsia="Arial" w:cs="Arial"/>
          <w:color w:val="auto"/>
          <w:sz w:val="22"/>
          <w:szCs w:val="22"/>
        </w:rPr>
        <w:t xml:space="preserve">Liu PT, Stenger S, Li H, Wenzel L, Tan BH, Krutzik SR, Ochoa MT, Schauber J, Wu K, Meinken C, Kamen DL, Wagner M, Bals R, Steinmeyer A, Zügel U, Gallo RL, Eisenberg D, Hewison M, Hollis BW, Adams JS, Bloom BR, Modlin R (March 2006). "Toll-like receptor triggering of a vitamin D-mediated human antimicrobial response". </w:t>
      </w:r>
      <w:r>
        <w:rPr>
          <w:rFonts w:ascii="Arial" w:hAnsi="Arial" w:eastAsia="Arial" w:cs="Arial"/>
          <w:i/>
          <w:iCs/>
          <w:color w:val="auto"/>
          <w:sz w:val="22"/>
          <w:szCs w:val="22"/>
        </w:rPr>
        <w:t>Science (journal)</w:t>
      </w:r>
      <w:r>
        <w:rPr>
          <w:rFonts w:ascii="Arial" w:hAnsi="Arial" w:eastAsia="Arial" w:cs="Arial"/>
          <w:color w:val="auto"/>
          <w:sz w:val="22"/>
          <w:szCs w:val="22"/>
        </w:rPr>
        <w:t xml:space="preserve"> 311 (5768): 1770–3.</w:t>
      </w:r>
    </w:p>
    <w:p>
      <w:pPr>
        <w:spacing w:after="0" w:line="291" w:lineRule="exact"/>
        <w:rPr>
          <w:color w:val="auto"/>
          <w:sz w:val="20"/>
          <w:szCs w:val="20"/>
        </w:rPr>
      </w:pPr>
    </w:p>
    <w:p>
      <w:pPr>
        <w:spacing w:after="0" w:line="237" w:lineRule="auto"/>
        <w:ind w:left="720" w:right="320"/>
        <w:rPr>
          <w:rFonts w:ascii="Arial" w:hAnsi="Arial" w:eastAsia="Arial" w:cs="Arial"/>
          <w:color w:val="auto"/>
          <w:sz w:val="22"/>
          <w:szCs w:val="22"/>
        </w:rPr>
      </w:pPr>
      <w:r>
        <w:rPr>
          <w:rFonts w:ascii="Arial" w:hAnsi="Arial" w:eastAsia="Arial" w:cs="Arial"/>
          <w:color w:val="auto"/>
          <w:sz w:val="22"/>
          <w:szCs w:val="22"/>
        </w:rPr>
        <w:t xml:space="preserve">Looker AC, Dawson-Hughes B, Calvo MS, Gunter EW, Sahyoun NR </w:t>
      </w:r>
      <w:r>
        <w:fldChar w:fldCharType="begin"/>
      </w:r>
      <w:r>
        <w:instrText xml:space="preserve"> HYPERLINK "http://www.ncbi.nlm.nih.gov/pubmed/11996918" \h </w:instrText>
      </w:r>
      <w:r>
        <w:fldChar w:fldCharType="separate"/>
      </w:r>
      <w:r>
        <w:rPr>
          <w:rFonts w:ascii="Arial" w:hAnsi="Arial" w:eastAsia="Arial" w:cs="Arial"/>
          <w:color w:val="auto"/>
          <w:sz w:val="22"/>
          <w:szCs w:val="22"/>
        </w:rPr>
        <w:t>Serum 25-</w:t>
      </w:r>
      <w:r>
        <w:rPr>
          <w:rFonts w:ascii="Arial" w:hAnsi="Arial" w:eastAsia="Arial" w:cs="Arial"/>
          <w:color w:val="auto"/>
          <w:sz w:val="22"/>
          <w:szCs w:val="22"/>
        </w:rPr>
        <w:fldChar w:fldCharType="end"/>
      </w:r>
      <w:r>
        <w:fldChar w:fldCharType="begin"/>
      </w:r>
      <w:r>
        <w:instrText xml:space="preserve"> HYPERLINK "http://www.ncbi.nlm.nih.gov/pubmed/11996918" \h </w:instrText>
      </w:r>
      <w:r>
        <w:fldChar w:fldCharType="separate"/>
      </w:r>
      <w:r>
        <w:rPr>
          <w:rFonts w:ascii="Arial" w:hAnsi="Arial" w:eastAsia="Arial" w:cs="Arial"/>
          <w:color w:val="auto"/>
          <w:sz w:val="22"/>
          <w:szCs w:val="22"/>
        </w:rPr>
        <w:t>hydroxyvitamin D status of adolescents and adults in two seasonal subpopulations from</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"http://www.ncbi.nlm.nih.gov/pubmed/11996918" \h </w:instrText>
      </w:r>
      <w:r>
        <w:fldChar w:fldCharType="separate"/>
      </w:r>
      <w:r>
        <w:rPr>
          <w:rFonts w:ascii="Arial" w:hAnsi="Arial" w:eastAsia="Arial" w:cs="Arial"/>
          <w:color w:val="auto"/>
          <w:sz w:val="22"/>
          <w:szCs w:val="22"/>
        </w:rPr>
        <w:t xml:space="preserve">NHANES III </w:t>
      </w:r>
      <w:r>
        <w:rPr>
          <w:rFonts w:ascii="Arial" w:hAnsi="Arial" w:eastAsia="Arial" w:cs="Arial"/>
          <w:color w:val="auto"/>
          <w:sz w:val="22"/>
          <w:szCs w:val="22"/>
        </w:rPr>
        <w:fldChar w:fldCharType="end"/>
      </w:r>
      <w:r>
        <w:rPr>
          <w:rFonts w:ascii="Arial" w:hAnsi="Arial" w:eastAsia="Arial" w:cs="Arial"/>
          <w:i/>
          <w:iCs/>
          <w:color w:val="auto"/>
          <w:sz w:val="22"/>
          <w:szCs w:val="22"/>
        </w:rPr>
        <w:t>Bone</w:t>
      </w:r>
      <w:r>
        <w:rPr>
          <w:rFonts w:ascii="Arial" w:hAnsi="Arial" w:eastAsia="Arial" w:cs="Arial"/>
          <w:color w:val="auto"/>
          <w:sz w:val="22"/>
          <w:szCs w:val="22"/>
        </w:rPr>
        <w:t>. 2002 May;30(5):771-7</w:t>
      </w:r>
    </w:p>
    <w:p>
      <w:pPr>
        <w:spacing w:after="0" w:line="290" w:lineRule="exact"/>
        <w:rPr>
          <w:rFonts w:ascii="Arial" w:hAnsi="Arial" w:eastAsia="Arial" w:cs="Arial"/>
          <w:color w:val="auto"/>
          <w:sz w:val="22"/>
          <w:szCs w:val="22"/>
        </w:rPr>
      </w:pPr>
    </w:p>
    <w:p>
      <w:pPr>
        <w:spacing w:after="0" w:line="235" w:lineRule="auto"/>
        <w:ind w:left="720" w:right="1280"/>
        <w:rPr>
          <w:color w:val="auto"/>
          <w:sz w:val="20"/>
          <w:szCs w:val="20"/>
        </w:rPr>
      </w:pPr>
      <w:r>
        <w:rPr>
          <w:rFonts w:ascii="Arial" w:hAnsi="Arial" w:eastAsia="Arial" w:cs="Arial"/>
          <w:color w:val="auto"/>
          <w:sz w:val="22"/>
          <w:szCs w:val="22"/>
        </w:rPr>
        <w:t xml:space="preserve">Martini LA, Wood RJ. Vitamin D status and the metabolic syndrome. </w:t>
      </w:r>
      <w:r>
        <w:rPr>
          <w:rFonts w:ascii="Arial" w:hAnsi="Arial" w:eastAsia="Arial" w:cs="Arial"/>
          <w:i/>
          <w:iCs/>
          <w:color w:val="auto"/>
          <w:sz w:val="22"/>
          <w:szCs w:val="22"/>
        </w:rPr>
        <w:t>Nutr Rev</w:t>
      </w:r>
      <w:r>
        <w:rPr>
          <w:rFonts w:ascii="Arial" w:hAnsi="Arial" w:eastAsia="Arial" w:cs="Arial"/>
          <w:color w:val="auto"/>
          <w:sz w:val="22"/>
          <w:szCs w:val="22"/>
        </w:rPr>
        <w:t xml:space="preserve"> 2006;64:479-86</w:t>
      </w:r>
    </w:p>
    <w:p>
      <w:pPr>
        <w:spacing w:after="0" w:line="289" w:lineRule="exact"/>
        <w:rPr>
          <w:rFonts w:ascii="Arial" w:hAnsi="Arial" w:eastAsia="Arial" w:cs="Arial"/>
          <w:color w:val="auto"/>
          <w:sz w:val="22"/>
          <w:szCs w:val="22"/>
        </w:rPr>
      </w:pPr>
    </w:p>
    <w:p>
      <w:pPr>
        <w:spacing w:after="0" w:line="237" w:lineRule="auto"/>
        <w:ind w:left="720" w:right="420"/>
        <w:rPr>
          <w:color w:val="auto"/>
          <w:sz w:val="20"/>
          <w:szCs w:val="20"/>
        </w:rPr>
      </w:pPr>
      <w:r>
        <w:rPr>
          <w:rFonts w:ascii="Arial" w:hAnsi="Arial" w:eastAsia="Arial" w:cs="Arial"/>
          <w:color w:val="auto"/>
          <w:sz w:val="22"/>
          <w:szCs w:val="22"/>
        </w:rPr>
        <w:t>Matsioka LY, Ide L, Wortsman J, Maclaughlin JA and Holick MF Sunscreens Suppress Cutaneous Vitamin D3 Synthesis J Clin Endo &amp; Meta Vol. 64, No. 6 1165-1168 doi:10.1210/jcem-64-6-1165</w:t>
      </w:r>
    </w:p>
    <w:p>
      <w:pPr>
        <w:spacing w:after="0" w:line="290" w:lineRule="exact"/>
        <w:rPr>
          <w:rFonts w:ascii="Arial" w:hAnsi="Arial" w:eastAsia="Arial" w:cs="Arial"/>
          <w:color w:val="auto"/>
          <w:sz w:val="22"/>
          <w:szCs w:val="22"/>
        </w:rPr>
      </w:pPr>
    </w:p>
    <w:p>
      <w:pPr>
        <w:spacing w:after="0" w:line="237" w:lineRule="auto"/>
        <w:ind w:left="720" w:right="580"/>
        <w:rPr>
          <w:color w:val="auto"/>
          <w:sz w:val="20"/>
          <w:szCs w:val="20"/>
        </w:rPr>
      </w:pPr>
      <w:r>
        <w:rPr>
          <w:rFonts w:ascii="Arial" w:hAnsi="Arial" w:eastAsia="Arial" w:cs="Arial"/>
          <w:color w:val="auto"/>
          <w:sz w:val="22"/>
          <w:szCs w:val="22"/>
        </w:rPr>
        <w:t xml:space="preserve">McConnell,R. Berhane,K.Gilliland,F. Islam,T. Gauderman,W.J.; London,S.J.; Avol,E.; Rappaport,E.B.; Margolis,H.G.; Peters,J.M. Indoor risk factors for asthma in a prospective study of adolescents </w:t>
      </w:r>
      <w:r>
        <w:rPr>
          <w:rFonts w:ascii="Arial" w:hAnsi="Arial" w:eastAsia="Arial" w:cs="Arial"/>
          <w:i/>
          <w:iCs/>
          <w:color w:val="auto"/>
          <w:sz w:val="22"/>
          <w:szCs w:val="22"/>
        </w:rPr>
        <w:t>Epi</w:t>
      </w:r>
      <w:r>
        <w:rPr>
          <w:rFonts w:ascii="Arial" w:hAnsi="Arial" w:eastAsia="Arial" w:cs="Arial"/>
          <w:color w:val="auto"/>
          <w:sz w:val="22"/>
          <w:szCs w:val="22"/>
        </w:rPr>
        <w:t>, 2002, 13, 3, 288-295,</w:t>
      </w:r>
    </w:p>
    <w:p>
      <w:pPr>
        <w:spacing w:after="0" w:line="290" w:lineRule="exact"/>
        <w:rPr>
          <w:rFonts w:ascii="Arial" w:hAnsi="Arial" w:eastAsia="Arial" w:cs="Arial"/>
          <w:color w:val="auto"/>
          <w:sz w:val="22"/>
          <w:szCs w:val="22"/>
        </w:rPr>
      </w:pPr>
    </w:p>
    <w:p>
      <w:pPr>
        <w:spacing w:after="0" w:line="237" w:lineRule="auto"/>
        <w:ind w:left="720" w:right="420"/>
        <w:rPr>
          <w:color w:val="auto"/>
          <w:sz w:val="20"/>
          <w:szCs w:val="20"/>
        </w:rPr>
      </w:pPr>
      <w:r>
        <w:rPr>
          <w:rFonts w:ascii="Arial" w:hAnsi="Arial" w:eastAsia="Arial" w:cs="Arial"/>
          <w:color w:val="auto"/>
          <w:sz w:val="22"/>
          <w:szCs w:val="22"/>
        </w:rPr>
        <w:t xml:space="preserve">Mohr SB, Garland CF, Gorham ED, Garland FC. The association between ultraviolet B irradiance, vitamin D status and incidence rates of type 1 diabetes in 51 regions worldwide. </w:t>
      </w:r>
      <w:r>
        <w:rPr>
          <w:rFonts w:ascii="Arial" w:hAnsi="Arial" w:eastAsia="Arial" w:cs="Arial"/>
          <w:i/>
          <w:iCs/>
          <w:color w:val="auto"/>
          <w:sz w:val="22"/>
          <w:szCs w:val="22"/>
        </w:rPr>
        <w:t>Diabetologia</w:t>
      </w:r>
      <w:r>
        <w:rPr>
          <w:rFonts w:ascii="Arial" w:hAnsi="Arial" w:eastAsia="Arial" w:cs="Arial"/>
          <w:color w:val="auto"/>
          <w:sz w:val="22"/>
          <w:szCs w:val="22"/>
        </w:rPr>
        <w:t xml:space="preserve"> 2008;51:1391-8.</w:t>
      </w:r>
    </w:p>
    <w:p>
      <w:pPr>
        <w:spacing w:after="0" w:line="290" w:lineRule="exact"/>
        <w:rPr>
          <w:rFonts w:ascii="Arial" w:hAnsi="Arial" w:eastAsia="Arial" w:cs="Arial"/>
          <w:color w:val="auto"/>
          <w:sz w:val="22"/>
          <w:szCs w:val="22"/>
        </w:rPr>
      </w:pPr>
    </w:p>
    <w:p>
      <w:pPr>
        <w:spacing w:after="0" w:line="236" w:lineRule="auto"/>
        <w:ind w:left="720"/>
        <w:rPr>
          <w:color w:val="auto"/>
          <w:sz w:val="20"/>
          <w:szCs w:val="20"/>
        </w:rPr>
      </w:pPr>
      <w:r>
        <w:rPr>
          <w:rFonts w:ascii="Arial" w:hAnsi="Arial" w:eastAsia="Arial" w:cs="Arial"/>
          <w:color w:val="auto"/>
          <w:sz w:val="22"/>
          <w:szCs w:val="22"/>
        </w:rPr>
        <w:t xml:space="preserve">Moorman J E, Rudd RS et. al National Surveillance for Asthma---Untied States, 1980-2004 </w:t>
      </w:r>
      <w:r>
        <w:rPr>
          <w:rFonts w:ascii="Arial" w:hAnsi="Arial" w:eastAsia="Arial" w:cs="Arial"/>
          <w:i/>
          <w:iCs/>
          <w:color w:val="auto"/>
          <w:sz w:val="22"/>
          <w:szCs w:val="22"/>
        </w:rPr>
        <w:t>MMWR Surveill Summ</w:t>
      </w:r>
      <w:r>
        <w:rPr>
          <w:rFonts w:ascii="Arial" w:hAnsi="Arial" w:eastAsia="Arial" w:cs="Arial"/>
          <w:color w:val="auto"/>
          <w:sz w:val="22"/>
          <w:szCs w:val="22"/>
        </w:rPr>
        <w:t xml:space="preserve"> 2007</w:t>
      </w:r>
    </w:p>
    <w:p>
      <w:pPr>
        <w:spacing w:after="0" w:line="261" w:lineRule="exact"/>
        <w:rPr>
          <w:rFonts w:ascii="Arial" w:hAnsi="Arial" w:eastAsia="Arial" w:cs="Arial"/>
          <w:color w:val="auto"/>
          <w:sz w:val="22"/>
          <w:szCs w:val="22"/>
        </w:rPr>
      </w:pPr>
    </w:p>
    <w:p>
      <w:pPr>
        <w:spacing w:after="0" w:line="236" w:lineRule="auto"/>
        <w:ind w:left="720" w:right="440"/>
        <w:rPr>
          <w:color w:val="auto"/>
          <w:sz w:val="20"/>
          <w:szCs w:val="20"/>
        </w:rPr>
      </w:pPr>
      <w:r>
        <w:rPr>
          <w:rFonts w:ascii="Arial" w:hAnsi="Arial" w:eastAsia="Arial" w:cs="Arial"/>
          <w:color w:val="auto"/>
          <w:sz w:val="22"/>
          <w:szCs w:val="22"/>
        </w:rPr>
        <w:t>National Health Interview Survey,Current Asthma Prevalence Percents by Age, United States, 2007</w:t>
      </w:r>
    </w:p>
    <w:p>
      <w:pPr>
        <w:spacing w:after="0" w:line="263" w:lineRule="exact"/>
        <w:rPr>
          <w:rFonts w:ascii="Arial" w:hAnsi="Arial" w:eastAsia="Arial" w:cs="Arial"/>
          <w:color w:val="auto"/>
          <w:sz w:val="22"/>
          <w:szCs w:val="22"/>
        </w:rPr>
      </w:pPr>
    </w:p>
    <w:p>
      <w:pPr>
        <w:spacing w:after="0" w:line="253" w:lineRule="auto"/>
        <w:ind w:left="720" w:right="1520"/>
        <w:rPr>
          <w:color w:val="auto"/>
          <w:sz w:val="20"/>
          <w:szCs w:val="20"/>
        </w:rPr>
      </w:pPr>
      <w:r>
        <w:rPr>
          <w:rFonts w:ascii="Arial" w:hAnsi="Arial" w:eastAsia="Arial" w:cs="Arial"/>
          <w:color w:val="auto"/>
          <w:sz w:val="21"/>
          <w:szCs w:val="21"/>
        </w:rPr>
        <w:t>Norman, A. W. (2001). Vitamin D. In B. A. Bowman, &amp; R. M. Russell (Eds.), Present knowledge in nutrition (8th ed., pp. 146). Washington, DC: ILSI.</w:t>
      </w: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374" w:lineRule="exact"/>
        <w:rPr>
          <w:rFonts w:ascii="Arial" w:hAnsi="Arial" w:eastAsia="Arial" w:cs="Arial"/>
          <w:color w:val="auto"/>
          <w:sz w:val="22"/>
          <w:szCs w:val="22"/>
        </w:rPr>
      </w:pPr>
    </w:p>
    <w:p>
      <w:pPr>
        <w:spacing w:after="0"/>
        <w:ind w:left="4920"/>
        <w:rPr>
          <w:color w:val="auto"/>
          <w:sz w:val="20"/>
          <w:szCs w:val="20"/>
        </w:rPr>
      </w:pPr>
      <w:r>
        <w:rPr>
          <w:rFonts w:ascii="Calibri" w:hAnsi="Calibri" w:eastAsia="Calibri" w:cs="Calibri"/>
          <w:color w:val="auto"/>
          <w:sz w:val="24"/>
          <w:szCs w:val="24"/>
        </w:rPr>
        <w:t>57</w:t>
      </w:r>
    </w:p>
    <w:p>
      <w:pPr>
        <w:sectPr>
          <w:pgSz w:w="12240" w:h="15842"/>
          <w:pgMar w:top="1440" w:right="1242" w:bottom="119" w:left="1440" w:header="0" w:footer="0" w:gutter="0"/>
          <w:cols w:equalWidth="0" w:num="1">
            <w:col w:w="9560"/>
          </w:cols>
        </w:sectPr>
      </w:pPr>
    </w:p>
    <w:p>
      <w:pPr>
        <w:spacing w:after="0" w:line="6" w:lineRule="exact"/>
        <w:rPr>
          <w:color w:val="auto"/>
          <w:sz w:val="20"/>
          <w:szCs w:val="20"/>
        </w:rPr>
      </w:pPr>
      <w:bookmarkStart w:id="62" w:name="page68"/>
      <w:bookmarkEnd w:id="62"/>
    </w:p>
    <w:p>
      <w:pPr>
        <w:spacing w:after="0" w:line="235" w:lineRule="auto"/>
        <w:ind w:left="720" w:right="60"/>
        <w:rPr>
          <w:rFonts w:ascii="Arial" w:hAnsi="Arial" w:eastAsia="Arial" w:cs="Arial"/>
          <w:i/>
          <w:iCs/>
          <w:color w:val="auto"/>
          <w:sz w:val="22"/>
          <w:szCs w:val="22"/>
        </w:rPr>
      </w:pPr>
      <w:r>
        <w:fldChar w:fldCharType="begin"/>
      </w:r>
      <w:r>
        <w:instrText xml:space="preserve"> HYPERLINK "http://www.ncbi.nlm.nih.gov.silk.library.umass.edu:2048/pubmed?term=%22Peden%20DB%22%5BAuthor%5D" \h </w:instrText>
      </w:r>
      <w:r>
        <w:fldChar w:fldCharType="separate"/>
      </w:r>
      <w:r>
        <w:rPr>
          <w:rFonts w:ascii="Arial" w:hAnsi="Arial" w:eastAsia="Arial" w:cs="Arial"/>
          <w:color w:val="auto"/>
          <w:sz w:val="22"/>
          <w:szCs w:val="22"/>
        </w:rPr>
        <w:t xml:space="preserve">Peden </w:t>
      </w:r>
      <w:r>
        <w:rPr>
          <w:rFonts w:ascii="Arial" w:hAnsi="Arial" w:eastAsia="Arial" w:cs="Arial"/>
          <w:color w:val="auto"/>
          <w:sz w:val="22"/>
          <w:szCs w:val="22"/>
        </w:rPr>
        <w:fldChar w:fldCharType="end"/>
      </w:r>
      <w:r>
        <w:rPr>
          <w:rFonts w:ascii="Arial" w:hAnsi="Arial" w:eastAsia="Arial" w:cs="Arial"/>
          <w:color w:val="auto"/>
          <w:sz w:val="22"/>
          <w:szCs w:val="22"/>
        </w:rPr>
        <w:t xml:space="preserve">DB.Air pollution in asthma: effect of pollutants on airway inflammation </w:t>
      </w:r>
      <w:r>
        <w:fldChar w:fldCharType="begin"/>
      </w:r>
      <w:r>
        <w:instrText xml:space="preserve"> HYPERLINK "javascript:AL_get(this,%20'jour',%20'Ann%20Allergy%20Asthma%20Immunol.');" \h </w:instrText>
      </w:r>
      <w:r>
        <w:fldChar w:fldCharType="separate"/>
      </w:r>
      <w:r>
        <w:rPr>
          <w:rFonts w:ascii="Arial" w:hAnsi="Arial" w:eastAsia="Arial" w:cs="Arial"/>
          <w:i/>
          <w:iCs/>
          <w:color w:val="auto"/>
          <w:sz w:val="22"/>
          <w:szCs w:val="22"/>
        </w:rPr>
        <w:t>Ann Allergy</w:t>
      </w:r>
      <w:r>
        <w:rPr>
          <w:rFonts w:ascii="Arial" w:hAnsi="Arial" w:eastAsia="Arial" w:cs="Arial"/>
          <w:i/>
          <w:iCs/>
          <w:color w:val="auto"/>
          <w:sz w:val="22"/>
          <w:szCs w:val="22"/>
        </w:rPr>
        <w:fldChar w:fldCharType="end"/>
      </w:r>
      <w:r>
        <w:rPr>
          <w:rFonts w:ascii="Arial" w:hAnsi="Arial" w:eastAsia="Arial" w:cs="Arial"/>
          <w:i/>
          <w:iCs/>
          <w:color w:val="auto"/>
          <w:sz w:val="22"/>
          <w:szCs w:val="22"/>
        </w:rPr>
        <w:t xml:space="preserve"> </w:t>
      </w:r>
      <w:r>
        <w:fldChar w:fldCharType="begin"/>
      </w:r>
      <w:r>
        <w:instrText xml:space="preserve"> HYPERLINK "javascript:AL_get(this,%20'jour',%20'Ann%20Allergy%20Asthma%20Immunol.');" \h </w:instrText>
      </w:r>
      <w:r>
        <w:fldChar w:fldCharType="separate"/>
      </w:r>
      <w:r>
        <w:rPr>
          <w:rFonts w:ascii="Arial" w:hAnsi="Arial" w:eastAsia="Arial" w:cs="Arial"/>
          <w:i/>
          <w:iCs/>
          <w:color w:val="auto"/>
          <w:sz w:val="22"/>
          <w:szCs w:val="22"/>
        </w:rPr>
        <w:t>Asthma Immunol</w:t>
      </w:r>
      <w:r>
        <w:rPr>
          <w:rFonts w:ascii="Arial" w:hAnsi="Arial" w:eastAsia="Arial" w:cs="Arial"/>
          <w:color w:val="auto"/>
          <w:sz w:val="22"/>
          <w:szCs w:val="22"/>
        </w:rPr>
        <w:t xml:space="preserve">. </w:t>
      </w:r>
      <w:r>
        <w:rPr>
          <w:rFonts w:ascii="Arial" w:hAnsi="Arial" w:eastAsia="Arial" w:cs="Arial"/>
          <w:color w:val="auto"/>
          <w:sz w:val="22"/>
          <w:szCs w:val="22"/>
        </w:rPr>
        <w:fldChar w:fldCharType="end"/>
      </w:r>
      <w:r>
        <w:rPr>
          <w:rFonts w:ascii="Arial" w:hAnsi="Arial" w:eastAsia="Arial" w:cs="Arial"/>
          <w:i/>
          <w:iCs/>
          <w:color w:val="auto"/>
          <w:sz w:val="22"/>
          <w:szCs w:val="22"/>
        </w:rPr>
        <w:t>2001</w:t>
      </w:r>
      <w:r>
        <w:rPr>
          <w:rFonts w:ascii="Arial" w:hAnsi="Arial" w:eastAsia="Arial" w:cs="Arial"/>
          <w:color w:val="auto"/>
          <w:sz w:val="22"/>
          <w:szCs w:val="22"/>
        </w:rPr>
        <w:t xml:space="preserve"> Dec;87(6 Suppl 3):12-7</w:t>
      </w:r>
    </w:p>
    <w:p>
      <w:pPr>
        <w:spacing w:after="0" w:line="292" w:lineRule="exact"/>
        <w:rPr>
          <w:rFonts w:ascii="Arial" w:hAnsi="Arial" w:eastAsia="Arial" w:cs="Arial"/>
          <w:color w:val="auto"/>
          <w:sz w:val="22"/>
          <w:szCs w:val="22"/>
        </w:rPr>
      </w:pPr>
    </w:p>
    <w:p>
      <w:pPr>
        <w:spacing w:after="0" w:line="235" w:lineRule="auto"/>
        <w:ind w:left="720" w:right="160"/>
        <w:rPr>
          <w:rFonts w:ascii="Arial" w:hAnsi="Arial" w:eastAsia="Arial" w:cs="Arial"/>
          <w:color w:val="auto"/>
          <w:sz w:val="22"/>
          <w:szCs w:val="22"/>
        </w:rPr>
      </w:pPr>
      <w:r>
        <w:rPr>
          <w:rFonts w:ascii="Arial" w:hAnsi="Arial" w:eastAsia="Arial" w:cs="Arial"/>
          <w:color w:val="auto"/>
          <w:sz w:val="22"/>
          <w:szCs w:val="22"/>
        </w:rPr>
        <w:t xml:space="preserve">Pelaia G, Vatrella A, Gallelli L, Renda T, Cazzola M, Maselli R, Marsico SA. </w:t>
      </w:r>
      <w:r>
        <w:fldChar w:fldCharType="begin"/>
      </w:r>
      <w:r>
        <w:instrText xml:space="preserve"> HYPERLINK "http://www.ncbi.nlm.nih.gov.silk.library.umass.edu:2048/pubmed/16289785" \h </w:instrText>
      </w:r>
      <w:r>
        <w:fldChar w:fldCharType="separate"/>
      </w:r>
      <w:r>
        <w:rPr>
          <w:rFonts w:ascii="Arial" w:hAnsi="Arial" w:eastAsia="Arial" w:cs="Arial"/>
          <w:color w:val="auto"/>
          <w:sz w:val="22"/>
          <w:szCs w:val="22"/>
        </w:rPr>
        <w:t>Respiratory</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"http://www.ncbi.nlm.nih.gov.silk.library.umass.edu:2048/pubmed/16289785" \h </w:instrText>
      </w:r>
      <w:r>
        <w:fldChar w:fldCharType="separate"/>
      </w:r>
      <w:r>
        <w:rPr>
          <w:rFonts w:ascii="Arial" w:hAnsi="Arial" w:eastAsia="Arial" w:cs="Arial"/>
          <w:color w:val="auto"/>
          <w:sz w:val="22"/>
          <w:szCs w:val="22"/>
        </w:rPr>
        <w:t xml:space="preserve">infections and asthma </w:t>
      </w:r>
      <w:r>
        <w:rPr>
          <w:rFonts w:ascii="Arial" w:hAnsi="Arial" w:eastAsia="Arial" w:cs="Arial"/>
          <w:color w:val="auto"/>
          <w:sz w:val="22"/>
          <w:szCs w:val="22"/>
        </w:rPr>
        <w:fldChar w:fldCharType="end"/>
      </w:r>
      <w:r>
        <w:rPr>
          <w:rFonts w:ascii="Arial" w:hAnsi="Arial" w:eastAsia="Arial" w:cs="Arial"/>
          <w:i/>
          <w:iCs/>
          <w:color w:val="auto"/>
          <w:sz w:val="22"/>
          <w:szCs w:val="22"/>
        </w:rPr>
        <w:t>Respir Med</w:t>
      </w:r>
      <w:r>
        <w:rPr>
          <w:rFonts w:ascii="Arial" w:hAnsi="Arial" w:eastAsia="Arial" w:cs="Arial"/>
          <w:color w:val="auto"/>
          <w:sz w:val="22"/>
          <w:szCs w:val="22"/>
        </w:rPr>
        <w:t>. 2006 May;100(5):775-84. Epub 2005 Nov 9</w:t>
      </w:r>
    </w:p>
    <w:p>
      <w:pPr>
        <w:spacing w:after="0" w:line="289" w:lineRule="exact"/>
        <w:rPr>
          <w:color w:val="auto"/>
          <w:sz w:val="20"/>
          <w:szCs w:val="20"/>
        </w:rPr>
      </w:pPr>
    </w:p>
    <w:p>
      <w:pPr>
        <w:spacing w:after="0" w:line="237" w:lineRule="auto"/>
        <w:ind w:left="720" w:right="160"/>
        <w:rPr>
          <w:color w:val="auto"/>
          <w:sz w:val="20"/>
          <w:szCs w:val="20"/>
        </w:rPr>
      </w:pPr>
      <w:r>
        <w:rPr>
          <w:rFonts w:ascii="Arial" w:hAnsi="Arial" w:eastAsia="Arial" w:cs="Arial"/>
          <w:color w:val="auto"/>
          <w:sz w:val="22"/>
          <w:szCs w:val="22"/>
        </w:rPr>
        <w:t xml:space="preserve">Pizzichini MM, Pizzichini E, Efthimiadis A, et al. Asthma and natural colds. Inflammatory indices in induced sputum: a feasibility study. </w:t>
      </w:r>
      <w:r>
        <w:rPr>
          <w:rFonts w:ascii="Arial" w:hAnsi="Arial" w:eastAsia="Arial" w:cs="Arial"/>
          <w:i/>
          <w:iCs/>
          <w:color w:val="auto"/>
          <w:sz w:val="22"/>
          <w:szCs w:val="22"/>
        </w:rPr>
        <w:t>Am J Respir Crit Care Med</w:t>
      </w:r>
      <w:r>
        <w:rPr>
          <w:rFonts w:ascii="Arial" w:hAnsi="Arial" w:eastAsia="Arial" w:cs="Arial"/>
          <w:color w:val="auto"/>
          <w:sz w:val="22"/>
          <w:szCs w:val="22"/>
        </w:rPr>
        <w:t xml:space="preserve"> 1998;158:1178-84.</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Platts-Mills TA, Woodfolk JA, Sporik RB. Con: the increase in asthma cannot be</w:t>
      </w:r>
    </w:p>
    <w:p>
      <w:pPr>
        <w:spacing w:after="0"/>
        <w:ind w:left="720"/>
        <w:rPr>
          <w:color w:val="auto"/>
          <w:sz w:val="20"/>
          <w:szCs w:val="20"/>
        </w:rPr>
      </w:pPr>
      <w:r>
        <w:rPr>
          <w:rFonts w:ascii="Arial" w:hAnsi="Arial" w:eastAsia="Arial" w:cs="Arial"/>
          <w:color w:val="auto"/>
          <w:sz w:val="22"/>
          <w:szCs w:val="22"/>
        </w:rPr>
        <w:t xml:space="preserve">ascribed to cleanliness. </w:t>
      </w:r>
      <w:r>
        <w:rPr>
          <w:rFonts w:ascii="Arial" w:hAnsi="Arial" w:eastAsia="Arial" w:cs="Arial"/>
          <w:i/>
          <w:iCs/>
          <w:color w:val="auto"/>
          <w:sz w:val="22"/>
          <w:szCs w:val="22"/>
        </w:rPr>
        <w:t>Am J Respir Crit Care Med</w:t>
      </w:r>
      <w:r>
        <w:rPr>
          <w:rFonts w:ascii="Arial" w:hAnsi="Arial" w:eastAsia="Arial" w:cs="Arial"/>
          <w:color w:val="auto"/>
          <w:sz w:val="22"/>
          <w:szCs w:val="22"/>
        </w:rPr>
        <w:t xml:space="preserve"> 2001;164:1107,8; discussion 1108-9.</w:t>
      </w:r>
    </w:p>
    <w:p>
      <w:pPr>
        <w:spacing w:after="0" w:line="279"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Raviv S, Smith LJ. Diet and asthma. </w:t>
      </w:r>
      <w:r>
        <w:rPr>
          <w:rFonts w:ascii="Arial" w:hAnsi="Arial" w:eastAsia="Arial" w:cs="Arial"/>
          <w:i/>
          <w:iCs/>
          <w:color w:val="auto"/>
          <w:sz w:val="22"/>
          <w:szCs w:val="22"/>
        </w:rPr>
        <w:t>Curr Opin Pulm Med</w:t>
      </w:r>
      <w:r>
        <w:rPr>
          <w:rFonts w:ascii="Arial" w:hAnsi="Arial" w:eastAsia="Arial" w:cs="Arial"/>
          <w:color w:val="auto"/>
          <w:sz w:val="22"/>
          <w:szCs w:val="22"/>
        </w:rPr>
        <w:t xml:space="preserve"> 2010;16:71-6.</w:t>
      </w:r>
    </w:p>
    <w:p>
      <w:pPr>
        <w:spacing w:after="0" w:line="288" w:lineRule="exact"/>
        <w:rPr>
          <w:color w:val="auto"/>
          <w:sz w:val="20"/>
          <w:szCs w:val="20"/>
        </w:rPr>
      </w:pPr>
    </w:p>
    <w:p>
      <w:pPr>
        <w:spacing w:after="0" w:line="237" w:lineRule="auto"/>
        <w:ind w:left="720"/>
        <w:rPr>
          <w:color w:val="auto"/>
          <w:sz w:val="20"/>
          <w:szCs w:val="20"/>
        </w:rPr>
      </w:pPr>
      <w:r>
        <w:rPr>
          <w:rFonts w:ascii="Arial" w:hAnsi="Arial" w:eastAsia="Arial" w:cs="Arial"/>
          <w:color w:val="auto"/>
          <w:sz w:val="22"/>
          <w:szCs w:val="22"/>
        </w:rPr>
        <w:t xml:space="preserve">Roberto J. Barrios, Farrah Kheradmand, La Keisha Batts, David B. Corry (2006) Asthma: Pathology and Pathophysiology. </w:t>
      </w:r>
      <w:r>
        <w:rPr>
          <w:rFonts w:ascii="Arial" w:hAnsi="Arial" w:eastAsia="Arial" w:cs="Arial"/>
          <w:i/>
          <w:iCs/>
          <w:color w:val="auto"/>
          <w:sz w:val="22"/>
          <w:szCs w:val="22"/>
        </w:rPr>
        <w:t>Arcs Path &amp; Lab Med</w:t>
      </w:r>
      <w:r>
        <w:rPr>
          <w:rFonts w:ascii="Arial" w:hAnsi="Arial" w:eastAsia="Arial" w:cs="Arial"/>
          <w:color w:val="auto"/>
          <w:sz w:val="22"/>
          <w:szCs w:val="22"/>
        </w:rPr>
        <w:t>: April 2006, Vol. 130, No. 4, pp. 447-451.</w:t>
      </w:r>
    </w:p>
    <w:p>
      <w:pPr>
        <w:spacing w:after="0" w:line="263" w:lineRule="exact"/>
        <w:rPr>
          <w:color w:val="auto"/>
          <w:sz w:val="20"/>
          <w:szCs w:val="20"/>
        </w:rPr>
      </w:pPr>
    </w:p>
    <w:p>
      <w:pPr>
        <w:spacing w:after="0" w:line="237" w:lineRule="auto"/>
        <w:ind w:left="720" w:right="200"/>
        <w:rPr>
          <w:rFonts w:ascii="Arial" w:hAnsi="Arial" w:eastAsia="Arial" w:cs="Arial"/>
          <w:color w:val="auto"/>
          <w:sz w:val="22"/>
          <w:szCs w:val="22"/>
        </w:rPr>
      </w:pPr>
      <w:r>
        <w:rPr>
          <w:rFonts w:ascii="Arial" w:hAnsi="Arial" w:eastAsia="Arial" w:cs="Arial"/>
          <w:color w:val="auto"/>
          <w:sz w:val="22"/>
          <w:szCs w:val="22"/>
        </w:rPr>
        <w:t xml:space="preserve">Reisman J, Schachter HM, Dales RE, Tran K, Kourad K, Barnes D, Sampson M, Morrison A, Gaboury I, Blackman J </w:t>
      </w:r>
      <w:r>
        <w:fldChar w:fldCharType="begin"/>
      </w:r>
      <w:r>
        <w:instrText xml:space="preserve"> HYPERLINK "http://www.ncbi.nlm.nih.gov/pubmed/16854238" \h </w:instrText>
      </w:r>
      <w:r>
        <w:fldChar w:fldCharType="separate"/>
      </w:r>
      <w:r>
        <w:rPr>
          <w:rFonts w:ascii="Arial" w:hAnsi="Arial" w:eastAsia="Arial" w:cs="Arial"/>
          <w:color w:val="auto"/>
          <w:sz w:val="22"/>
          <w:szCs w:val="22"/>
        </w:rPr>
        <w:t>Treating asthma with omega-3 fatty acids: where is</w:t>
      </w:r>
      <w:r>
        <w:rPr>
          <w:rFonts w:ascii="Arial" w:hAnsi="Arial" w:eastAsia="Arial" w:cs="Arial"/>
          <w:color w:val="auto"/>
          <w:sz w:val="22"/>
          <w:szCs w:val="22"/>
        </w:rPr>
        <w:fldChar w:fldCharType="end"/>
      </w:r>
      <w:r>
        <w:rPr>
          <w:rFonts w:ascii="Arial" w:hAnsi="Arial" w:eastAsia="Arial" w:cs="Arial"/>
          <w:color w:val="auto"/>
          <w:sz w:val="22"/>
          <w:szCs w:val="22"/>
        </w:rPr>
        <w:t xml:space="preserve"> </w:t>
      </w:r>
      <w:r>
        <w:fldChar w:fldCharType="begin"/>
      </w:r>
      <w:r>
        <w:instrText xml:space="preserve"> HYPERLINK "http://www.ncbi.nlm.nih.gov/pubmed/16854238" \h </w:instrText>
      </w:r>
      <w:r>
        <w:fldChar w:fldCharType="separate"/>
      </w:r>
      <w:r>
        <w:rPr>
          <w:rFonts w:ascii="Arial" w:hAnsi="Arial" w:eastAsia="Arial" w:cs="Arial"/>
          <w:color w:val="auto"/>
          <w:sz w:val="22"/>
          <w:szCs w:val="22"/>
        </w:rPr>
        <w:t xml:space="preserve">the evidence? A systematic review. </w:t>
      </w:r>
      <w:r>
        <w:rPr>
          <w:rFonts w:ascii="Arial" w:hAnsi="Arial" w:eastAsia="Arial" w:cs="Arial"/>
          <w:color w:val="auto"/>
          <w:sz w:val="22"/>
          <w:szCs w:val="22"/>
        </w:rPr>
        <w:fldChar w:fldCharType="end"/>
      </w:r>
      <w:r>
        <w:rPr>
          <w:rFonts w:ascii="Arial" w:hAnsi="Arial" w:eastAsia="Arial" w:cs="Arial"/>
          <w:i/>
          <w:iCs/>
          <w:color w:val="auto"/>
          <w:sz w:val="22"/>
          <w:szCs w:val="22"/>
        </w:rPr>
        <w:t>BMC Complement Altern Med</w:t>
      </w:r>
      <w:r>
        <w:rPr>
          <w:rFonts w:ascii="Arial" w:hAnsi="Arial" w:eastAsia="Arial" w:cs="Arial"/>
          <w:color w:val="auto"/>
          <w:sz w:val="22"/>
          <w:szCs w:val="22"/>
        </w:rPr>
        <w:t>. 2006 Jul 19;6:26.</w:t>
      </w:r>
    </w:p>
    <w:p>
      <w:pPr>
        <w:spacing w:after="0" w:line="290" w:lineRule="exact"/>
        <w:rPr>
          <w:color w:val="auto"/>
          <w:sz w:val="20"/>
          <w:szCs w:val="20"/>
        </w:rPr>
      </w:pPr>
    </w:p>
    <w:p>
      <w:pPr>
        <w:spacing w:after="0" w:line="235" w:lineRule="auto"/>
        <w:ind w:left="720" w:right="140"/>
        <w:rPr>
          <w:rFonts w:ascii="Arial" w:hAnsi="Arial" w:eastAsia="Arial" w:cs="Arial"/>
          <w:color w:val="auto"/>
          <w:sz w:val="22"/>
          <w:szCs w:val="22"/>
        </w:rPr>
      </w:pPr>
      <w:r>
        <w:fldChar w:fldCharType="begin"/>
      </w:r>
      <w:r>
        <w:instrText xml:space="preserve"> HYPERLINK "http://www.ncbi.nlm.nih.gov.silk.library.umass.edu:2048/pubmed?term=%22Romieu%20I%22%5BAuthor%5D" \h </w:instrText>
      </w:r>
      <w:r>
        <w:fldChar w:fldCharType="separate"/>
      </w:r>
      <w:r>
        <w:rPr>
          <w:rFonts w:ascii="Arial" w:hAnsi="Arial" w:eastAsia="Arial" w:cs="Arial"/>
          <w:color w:val="auto"/>
          <w:sz w:val="22"/>
          <w:szCs w:val="22"/>
        </w:rPr>
        <w:t xml:space="preserve">Romieu I, </w:t>
      </w:r>
      <w:r>
        <w:rPr>
          <w:rFonts w:ascii="Arial" w:hAnsi="Arial" w:eastAsia="Arial" w:cs="Arial"/>
          <w:color w:val="auto"/>
          <w:sz w:val="22"/>
          <w:szCs w:val="22"/>
        </w:rPr>
        <w:fldChar w:fldCharType="end"/>
      </w:r>
      <w:r>
        <w:fldChar w:fldCharType="begin"/>
      </w:r>
      <w:r>
        <w:instrText xml:space="preserve"> HYPERLINK "http://www.ncbi.nlm.nih.gov.silk.library.umass.edu:2048/pubmed?term=%22Trenga%20C%22%5BAuthor%5D" \h </w:instrText>
      </w:r>
      <w:r>
        <w:fldChar w:fldCharType="separate"/>
      </w:r>
      <w:r>
        <w:rPr>
          <w:rFonts w:ascii="Arial" w:hAnsi="Arial" w:eastAsia="Arial" w:cs="Arial"/>
          <w:color w:val="auto"/>
          <w:sz w:val="22"/>
          <w:szCs w:val="22"/>
        </w:rPr>
        <w:t xml:space="preserve">Trenga C </w:t>
      </w:r>
      <w:r>
        <w:rPr>
          <w:rFonts w:ascii="Arial" w:hAnsi="Arial" w:eastAsia="Arial" w:cs="Arial"/>
          <w:color w:val="auto"/>
          <w:sz w:val="22"/>
          <w:szCs w:val="22"/>
        </w:rPr>
        <w:fldChar w:fldCharType="end"/>
      </w:r>
      <w:r>
        <w:rPr>
          <w:rFonts w:ascii="Arial" w:hAnsi="Arial" w:eastAsia="Arial" w:cs="Arial"/>
          <w:color w:val="auto"/>
          <w:sz w:val="22"/>
          <w:szCs w:val="22"/>
        </w:rPr>
        <w:t xml:space="preserve">Diet and obstructive lung diseases </w:t>
      </w:r>
      <w:r>
        <w:fldChar w:fldCharType="begin"/>
      </w:r>
      <w:r>
        <w:instrText xml:space="preserve"> HYPERLINK "javascript:AL_get(this,%20'jour',%20'Epidemiol%20Rev.');" \h </w:instrText>
      </w:r>
      <w:r>
        <w:fldChar w:fldCharType="separate"/>
      </w:r>
      <w:r>
        <w:rPr>
          <w:rFonts w:ascii="Arial" w:hAnsi="Arial" w:eastAsia="Arial" w:cs="Arial"/>
          <w:i/>
          <w:iCs/>
          <w:color w:val="auto"/>
          <w:sz w:val="22"/>
          <w:szCs w:val="22"/>
        </w:rPr>
        <w:t>Epidemiol Rev.</w:t>
      </w:r>
      <w:r>
        <w:rPr>
          <w:rFonts w:ascii="Arial" w:hAnsi="Arial" w:eastAsia="Arial" w:cs="Arial"/>
          <w:color w:val="auto"/>
          <w:sz w:val="22"/>
          <w:szCs w:val="22"/>
        </w:rPr>
        <w:t xml:space="preserve"> </w:t>
      </w:r>
      <w:r>
        <w:rPr>
          <w:rFonts w:ascii="Arial" w:hAnsi="Arial" w:eastAsia="Arial" w:cs="Arial"/>
          <w:color w:val="auto"/>
          <w:sz w:val="22"/>
          <w:szCs w:val="22"/>
        </w:rPr>
        <w:fldChar w:fldCharType="end"/>
      </w:r>
      <w:r>
        <w:rPr>
          <w:rFonts w:ascii="Arial" w:hAnsi="Arial" w:eastAsia="Arial" w:cs="Arial"/>
          <w:color w:val="auto"/>
          <w:sz w:val="22"/>
          <w:szCs w:val="22"/>
        </w:rPr>
        <w:t>2001;23(2):268-87.</w:t>
      </w:r>
    </w:p>
    <w:p>
      <w:pPr>
        <w:spacing w:after="0" w:line="290" w:lineRule="exact"/>
        <w:rPr>
          <w:rFonts w:ascii="Arial" w:hAnsi="Arial" w:eastAsia="Arial" w:cs="Arial"/>
          <w:color w:val="auto"/>
          <w:sz w:val="22"/>
          <w:szCs w:val="22"/>
        </w:rPr>
      </w:pPr>
    </w:p>
    <w:p>
      <w:pPr>
        <w:spacing w:after="0" w:line="236" w:lineRule="auto"/>
        <w:ind w:left="720" w:right="700"/>
        <w:rPr>
          <w:color w:val="auto"/>
          <w:sz w:val="20"/>
          <w:szCs w:val="20"/>
        </w:rPr>
      </w:pPr>
      <w:r>
        <w:rPr>
          <w:rFonts w:ascii="Arial" w:hAnsi="Arial" w:eastAsia="Arial" w:cs="Arial"/>
          <w:color w:val="auto"/>
          <w:sz w:val="22"/>
          <w:szCs w:val="22"/>
        </w:rPr>
        <w:t xml:space="preserve">Rostand, S.G. 1997. Ultraviolet light may contribute to geographic and racial blood pressure differences. </w:t>
      </w:r>
      <w:r>
        <w:rPr>
          <w:rFonts w:ascii="Arial" w:hAnsi="Arial" w:eastAsia="Arial" w:cs="Arial"/>
          <w:i/>
          <w:iCs/>
          <w:color w:val="auto"/>
          <w:sz w:val="22"/>
          <w:szCs w:val="22"/>
        </w:rPr>
        <w:t>Hypertension</w:t>
      </w:r>
      <w:r>
        <w:rPr>
          <w:rFonts w:ascii="Arial" w:hAnsi="Arial" w:eastAsia="Arial" w:cs="Arial"/>
          <w:color w:val="auto"/>
          <w:sz w:val="22"/>
          <w:szCs w:val="22"/>
        </w:rPr>
        <w:t xml:space="preserve"> 30:150-156.</w:t>
      </w:r>
    </w:p>
    <w:p>
      <w:pPr>
        <w:spacing w:after="0" w:line="281"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color w:val="auto"/>
          <w:sz w:val="22"/>
          <w:szCs w:val="22"/>
        </w:rPr>
        <w:t>Sentongo TA. Semaeo EJ, Stettler NS, et al. Vitamin D status in children,</w:t>
      </w:r>
    </w:p>
    <w:p>
      <w:pPr>
        <w:spacing w:after="0"/>
        <w:ind w:left="720"/>
        <w:rPr>
          <w:color w:val="auto"/>
          <w:sz w:val="20"/>
          <w:szCs w:val="20"/>
        </w:rPr>
      </w:pPr>
      <w:r>
        <w:rPr>
          <w:rFonts w:ascii="Arial" w:hAnsi="Arial" w:eastAsia="Arial" w:cs="Arial"/>
          <w:color w:val="auto"/>
          <w:sz w:val="22"/>
          <w:szCs w:val="22"/>
        </w:rPr>
        <w:t xml:space="preserve">adolescents, and young adults with Crohn disease. </w:t>
      </w:r>
      <w:r>
        <w:rPr>
          <w:rFonts w:ascii="Arial" w:hAnsi="Arial" w:eastAsia="Arial" w:cs="Arial"/>
          <w:i/>
          <w:iCs/>
          <w:color w:val="auto"/>
          <w:sz w:val="22"/>
          <w:szCs w:val="22"/>
        </w:rPr>
        <w:t>Am J Clin Nutr</w:t>
      </w:r>
      <w:r>
        <w:rPr>
          <w:rFonts w:ascii="Arial" w:hAnsi="Arial" w:eastAsia="Arial" w:cs="Arial"/>
          <w:color w:val="auto"/>
          <w:sz w:val="22"/>
          <w:szCs w:val="22"/>
        </w:rPr>
        <w:t xml:space="preserve"> 2002;76:1077-1081.</w:t>
      </w:r>
    </w:p>
    <w:p>
      <w:pPr>
        <w:spacing w:after="0" w:line="290" w:lineRule="exact"/>
        <w:rPr>
          <w:rFonts w:ascii="Arial" w:hAnsi="Arial" w:eastAsia="Arial" w:cs="Arial"/>
          <w:color w:val="auto"/>
          <w:sz w:val="22"/>
          <w:szCs w:val="22"/>
        </w:rPr>
      </w:pPr>
    </w:p>
    <w:p>
      <w:pPr>
        <w:spacing w:after="0" w:line="235" w:lineRule="auto"/>
        <w:ind w:left="720" w:right="1140"/>
        <w:rPr>
          <w:color w:val="auto"/>
          <w:sz w:val="20"/>
          <w:szCs w:val="20"/>
        </w:rPr>
      </w:pPr>
      <w:r>
        <w:rPr>
          <w:rFonts w:ascii="Arial" w:hAnsi="Arial" w:eastAsia="Arial" w:cs="Arial"/>
          <w:color w:val="auto"/>
          <w:sz w:val="22"/>
          <w:szCs w:val="22"/>
        </w:rPr>
        <w:t xml:space="preserve">Shore SA. Obesity and asthma: possible mechanisms. </w:t>
      </w:r>
      <w:r>
        <w:rPr>
          <w:rFonts w:ascii="Arial" w:hAnsi="Arial" w:eastAsia="Arial" w:cs="Arial"/>
          <w:i/>
          <w:iCs/>
          <w:color w:val="auto"/>
          <w:sz w:val="22"/>
          <w:szCs w:val="22"/>
        </w:rPr>
        <w:t>J Allergy Clin Immuno</w:t>
      </w:r>
      <w:r>
        <w:rPr>
          <w:rFonts w:ascii="Arial" w:hAnsi="Arial" w:eastAsia="Arial" w:cs="Arial"/>
          <w:color w:val="auto"/>
          <w:sz w:val="22"/>
          <w:szCs w:val="22"/>
        </w:rPr>
        <w:t>l 2008;121:1087,93; quiz 1094-5.</w:t>
      </w:r>
    </w:p>
    <w:p>
      <w:pPr>
        <w:spacing w:after="0" w:line="289" w:lineRule="exact"/>
        <w:rPr>
          <w:rFonts w:ascii="Arial" w:hAnsi="Arial" w:eastAsia="Arial" w:cs="Arial"/>
          <w:color w:val="auto"/>
          <w:sz w:val="22"/>
          <w:szCs w:val="22"/>
        </w:rPr>
      </w:pPr>
    </w:p>
    <w:p>
      <w:pPr>
        <w:spacing w:after="0" w:line="237" w:lineRule="auto"/>
        <w:ind w:left="720" w:right="2260"/>
        <w:rPr>
          <w:color w:val="auto"/>
          <w:sz w:val="20"/>
          <w:szCs w:val="20"/>
        </w:rPr>
      </w:pPr>
      <w:r>
        <w:rPr>
          <w:rFonts w:ascii="Arial" w:hAnsi="Arial" w:eastAsia="Arial" w:cs="Arial"/>
          <w:color w:val="auto"/>
          <w:sz w:val="22"/>
          <w:szCs w:val="22"/>
        </w:rPr>
        <w:t>Sowers M, Wallace RB, Hollis BW, Lemke JH: Parameters related to 25-OH-D levels in a population-based study of women. Am J Clin Nutr 43:621–628, 1986.</w:t>
      </w:r>
    </w:p>
    <w:p>
      <w:pPr>
        <w:spacing w:after="0" w:line="10" w:lineRule="exact"/>
        <w:rPr>
          <w:rFonts w:ascii="Arial" w:hAnsi="Arial" w:eastAsia="Arial" w:cs="Arial"/>
          <w:color w:val="auto"/>
          <w:sz w:val="22"/>
          <w:szCs w:val="22"/>
        </w:rPr>
      </w:pPr>
    </w:p>
    <w:p>
      <w:pPr>
        <w:spacing w:after="0" w:line="253" w:lineRule="auto"/>
        <w:ind w:left="720" w:right="140"/>
        <w:rPr>
          <w:color w:val="auto"/>
          <w:sz w:val="20"/>
          <w:szCs w:val="20"/>
        </w:rPr>
      </w:pPr>
      <w:r>
        <w:rPr>
          <w:rFonts w:ascii="Arial" w:hAnsi="Arial" w:eastAsia="Arial" w:cs="Arial"/>
          <w:color w:val="auto"/>
          <w:sz w:val="21"/>
          <w:szCs w:val="21"/>
        </w:rPr>
        <w:t xml:space="preserve">Stachan DP, Butland BK , et al Incidence and prognosis of asthma and wheezing illness from early childhood to age 33 in a national British cohort. </w:t>
      </w:r>
      <w:r>
        <w:rPr>
          <w:rFonts w:ascii="Arial" w:hAnsi="Arial" w:eastAsia="Arial" w:cs="Arial"/>
          <w:i/>
          <w:iCs/>
          <w:color w:val="auto"/>
          <w:sz w:val="21"/>
          <w:szCs w:val="21"/>
        </w:rPr>
        <w:t>BMJ</w:t>
      </w:r>
      <w:r>
        <w:rPr>
          <w:rFonts w:ascii="Arial" w:hAnsi="Arial" w:eastAsia="Arial" w:cs="Arial"/>
          <w:color w:val="auto"/>
          <w:sz w:val="21"/>
          <w:szCs w:val="21"/>
        </w:rPr>
        <w:t xml:space="preserve"> 1996: 312: 1195-1191</w:t>
      </w:r>
    </w:p>
    <w:p>
      <w:pPr>
        <w:spacing w:after="0" w:line="278" w:lineRule="exact"/>
        <w:rPr>
          <w:rFonts w:ascii="Arial" w:hAnsi="Arial" w:eastAsia="Arial" w:cs="Arial"/>
          <w:color w:val="auto"/>
          <w:sz w:val="22"/>
          <w:szCs w:val="22"/>
        </w:rPr>
      </w:pPr>
    </w:p>
    <w:p>
      <w:pPr>
        <w:spacing w:after="0" w:line="235" w:lineRule="auto"/>
        <w:ind w:left="720" w:right="280"/>
        <w:rPr>
          <w:color w:val="auto"/>
          <w:sz w:val="20"/>
          <w:szCs w:val="20"/>
        </w:rPr>
      </w:pPr>
      <w:r>
        <w:rPr>
          <w:rFonts w:ascii="Arial" w:hAnsi="Arial" w:eastAsia="Arial" w:cs="Arial"/>
          <w:color w:val="auto"/>
          <w:sz w:val="22"/>
          <w:szCs w:val="22"/>
        </w:rPr>
        <w:t xml:space="preserve">Stead WW, Senner JW, Reddick WT, Lofgren JP. Racial differences in susceptibility to infection by Mycobacterium tuberculosis. </w:t>
      </w:r>
      <w:r>
        <w:rPr>
          <w:rFonts w:ascii="Arial" w:hAnsi="Arial" w:eastAsia="Arial" w:cs="Arial"/>
          <w:i/>
          <w:iCs/>
          <w:color w:val="auto"/>
          <w:sz w:val="22"/>
          <w:szCs w:val="22"/>
        </w:rPr>
        <w:t>N Engl J Med</w:t>
      </w:r>
      <w:r>
        <w:rPr>
          <w:rFonts w:ascii="Arial" w:hAnsi="Arial" w:eastAsia="Arial" w:cs="Arial"/>
          <w:color w:val="auto"/>
          <w:sz w:val="22"/>
          <w:szCs w:val="22"/>
        </w:rPr>
        <w:t xml:space="preserve"> 1990;322:422-7.</w:t>
      </w:r>
    </w:p>
    <w:p>
      <w:pPr>
        <w:spacing w:after="0" w:line="289" w:lineRule="exact"/>
        <w:rPr>
          <w:rFonts w:ascii="Arial" w:hAnsi="Arial" w:eastAsia="Arial" w:cs="Arial"/>
          <w:color w:val="auto"/>
          <w:sz w:val="22"/>
          <w:szCs w:val="22"/>
        </w:rPr>
      </w:pPr>
    </w:p>
    <w:p>
      <w:pPr>
        <w:spacing w:after="0" w:line="237" w:lineRule="auto"/>
        <w:ind w:left="720" w:right="220"/>
        <w:rPr>
          <w:color w:val="auto"/>
          <w:sz w:val="20"/>
          <w:szCs w:val="20"/>
        </w:rPr>
      </w:pPr>
      <w:r>
        <w:rPr>
          <w:rFonts w:ascii="Arial" w:hAnsi="Arial" w:eastAsia="Arial" w:cs="Arial"/>
          <w:color w:val="auto"/>
          <w:sz w:val="22"/>
          <w:szCs w:val="22"/>
        </w:rPr>
        <w:t xml:space="preserve">Sundeep S. Salvi, K. Suresh B, and Stephen TH Is Asthma Really Due to a Polarized T Cell Response Toward a Helper T Cell Type 2 Phenotype? </w:t>
      </w:r>
      <w:r>
        <w:rPr>
          <w:rFonts w:ascii="Arial" w:hAnsi="Arial" w:eastAsia="Arial" w:cs="Arial"/>
          <w:i/>
          <w:iCs/>
          <w:color w:val="auto"/>
          <w:sz w:val="22"/>
          <w:szCs w:val="22"/>
        </w:rPr>
        <w:t>Am. J. Respir. Crit. Care Med</w:t>
      </w:r>
      <w:r>
        <w:rPr>
          <w:rFonts w:ascii="Arial" w:hAnsi="Arial" w:eastAsia="Arial" w:cs="Arial"/>
          <w:color w:val="auto"/>
          <w:sz w:val="22"/>
          <w:szCs w:val="22"/>
        </w:rPr>
        <w:t>. 2001; 164: 1343-1346</w:t>
      </w: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13" w:lineRule="exact"/>
        <w:rPr>
          <w:rFonts w:ascii="Arial" w:hAnsi="Arial" w:eastAsia="Arial" w:cs="Arial"/>
          <w:color w:val="auto"/>
          <w:sz w:val="22"/>
          <w:szCs w:val="22"/>
        </w:rPr>
      </w:pPr>
    </w:p>
    <w:p>
      <w:pPr>
        <w:spacing w:after="0"/>
        <w:ind w:left="4920"/>
        <w:rPr>
          <w:color w:val="auto"/>
          <w:sz w:val="20"/>
          <w:szCs w:val="20"/>
        </w:rPr>
      </w:pPr>
      <w:r>
        <w:rPr>
          <w:rFonts w:ascii="Calibri" w:hAnsi="Calibri" w:eastAsia="Calibri" w:cs="Calibri"/>
          <w:color w:val="auto"/>
          <w:sz w:val="24"/>
          <w:szCs w:val="24"/>
        </w:rPr>
        <w:t>58</w:t>
      </w:r>
    </w:p>
    <w:p>
      <w:pPr>
        <w:sectPr>
          <w:pgSz w:w="12240" w:h="15842"/>
          <w:pgMar w:top="1440" w:right="1382" w:bottom="119" w:left="1440" w:header="0" w:footer="0" w:gutter="0"/>
          <w:cols w:equalWidth="0" w:num="1">
            <w:col w:w="9420"/>
          </w:cols>
        </w:sectPr>
      </w:pPr>
    </w:p>
    <w:p>
      <w:pPr>
        <w:spacing w:after="0" w:line="6" w:lineRule="exact"/>
        <w:rPr>
          <w:color w:val="auto"/>
          <w:sz w:val="20"/>
          <w:szCs w:val="20"/>
        </w:rPr>
      </w:pPr>
      <w:bookmarkStart w:id="63" w:name="page69"/>
      <w:bookmarkEnd w:id="63"/>
    </w:p>
    <w:p>
      <w:pPr>
        <w:spacing w:after="0" w:line="237" w:lineRule="auto"/>
        <w:ind w:left="720" w:right="240"/>
        <w:jc w:val="both"/>
        <w:rPr>
          <w:color w:val="auto"/>
          <w:sz w:val="20"/>
          <w:szCs w:val="20"/>
        </w:rPr>
      </w:pPr>
      <w:r>
        <w:rPr>
          <w:rFonts w:ascii="Arial" w:hAnsi="Arial" w:eastAsia="Arial" w:cs="Arial"/>
          <w:color w:val="auto"/>
          <w:sz w:val="22"/>
          <w:szCs w:val="22"/>
        </w:rPr>
        <w:t xml:space="preserve">Tanaka H, Abe E, Miyaura C, Kuribayashi T, Konno K, Nishii T and Suda T 1 alpha,25-Dihydroxycholecalciferol and a human myeloid leukaemia cell line (HL-60) </w:t>
      </w:r>
      <w:r>
        <w:rPr>
          <w:rFonts w:ascii="Arial" w:hAnsi="Arial" w:eastAsia="Arial" w:cs="Arial"/>
          <w:i/>
          <w:iCs/>
          <w:color w:val="auto"/>
          <w:sz w:val="22"/>
          <w:szCs w:val="22"/>
        </w:rPr>
        <w:t>Biochem. J.</w:t>
      </w:r>
      <w:r>
        <w:rPr>
          <w:rFonts w:ascii="Arial" w:hAnsi="Arial" w:eastAsia="Arial" w:cs="Arial"/>
          <w:color w:val="auto"/>
          <w:sz w:val="22"/>
          <w:szCs w:val="22"/>
        </w:rPr>
        <w:t xml:space="preserve"> (1982) 204 (713–719</w:t>
      </w:r>
    </w:p>
    <w:p>
      <w:pPr>
        <w:spacing w:after="0" w:line="290" w:lineRule="exact"/>
        <w:rPr>
          <w:color w:val="auto"/>
          <w:sz w:val="20"/>
          <w:szCs w:val="20"/>
        </w:rPr>
      </w:pPr>
    </w:p>
    <w:p>
      <w:pPr>
        <w:spacing w:after="0" w:line="237" w:lineRule="auto"/>
        <w:ind w:left="720" w:right="140"/>
        <w:rPr>
          <w:color w:val="auto"/>
          <w:sz w:val="20"/>
          <w:szCs w:val="20"/>
        </w:rPr>
      </w:pPr>
      <w:r>
        <w:rPr>
          <w:rFonts w:ascii="Arial" w:hAnsi="Arial" w:eastAsia="Arial" w:cs="Arial"/>
          <w:color w:val="auto"/>
          <w:sz w:val="22"/>
          <w:szCs w:val="22"/>
        </w:rPr>
        <w:t xml:space="preserve">Tangpricha V, Koutkia P, Rieke SM, Chen TC, Perez AA, Holick MF. Fortification of orange juice with vitamin D: a novel approach for enhancing vitamin D nutritional health. </w:t>
      </w:r>
      <w:r>
        <w:rPr>
          <w:rFonts w:ascii="Arial" w:hAnsi="Arial" w:eastAsia="Arial" w:cs="Arial"/>
          <w:i/>
          <w:iCs/>
          <w:color w:val="auto"/>
          <w:sz w:val="22"/>
          <w:szCs w:val="22"/>
        </w:rPr>
        <w:t>Am J Clin Nutr</w:t>
      </w:r>
      <w:r>
        <w:rPr>
          <w:rFonts w:ascii="Arial" w:hAnsi="Arial" w:eastAsia="Arial" w:cs="Arial"/>
          <w:color w:val="auto"/>
          <w:sz w:val="22"/>
          <w:szCs w:val="22"/>
        </w:rPr>
        <w:t xml:space="preserve"> 2003;77:1478-83.</w:t>
      </w:r>
    </w:p>
    <w:p>
      <w:pPr>
        <w:spacing w:after="0" w:line="290" w:lineRule="exact"/>
        <w:rPr>
          <w:color w:val="auto"/>
          <w:sz w:val="20"/>
          <w:szCs w:val="20"/>
        </w:rPr>
      </w:pPr>
    </w:p>
    <w:p>
      <w:pPr>
        <w:spacing w:after="0" w:line="235" w:lineRule="auto"/>
        <w:ind w:left="720" w:right="920"/>
        <w:rPr>
          <w:color w:val="auto"/>
          <w:sz w:val="20"/>
          <w:szCs w:val="20"/>
        </w:rPr>
      </w:pPr>
      <w:r>
        <w:rPr>
          <w:rFonts w:ascii="Arial" w:hAnsi="Arial" w:eastAsia="Arial" w:cs="Arial"/>
          <w:color w:val="auto"/>
          <w:sz w:val="22"/>
          <w:szCs w:val="22"/>
        </w:rPr>
        <w:t xml:space="preserve">Tavera-Mendoza LE, White JH. Cell defenses and the sunshine vitamin. </w:t>
      </w:r>
      <w:r>
        <w:rPr>
          <w:rFonts w:ascii="Arial" w:hAnsi="Arial" w:eastAsia="Arial" w:cs="Arial"/>
          <w:i/>
          <w:iCs/>
          <w:color w:val="auto"/>
          <w:sz w:val="22"/>
          <w:szCs w:val="22"/>
        </w:rPr>
        <w:t>Sci Am</w:t>
      </w:r>
      <w:r>
        <w:rPr>
          <w:rFonts w:ascii="Arial" w:hAnsi="Arial" w:eastAsia="Arial" w:cs="Arial"/>
          <w:color w:val="auto"/>
          <w:sz w:val="22"/>
          <w:szCs w:val="22"/>
        </w:rPr>
        <w:t xml:space="preserve"> 2007;297:62,5, 68-70, 72</w:t>
      </w:r>
    </w:p>
    <w:p>
      <w:pPr>
        <w:spacing w:after="0" w:line="281" w:lineRule="exact"/>
        <w:rPr>
          <w:color w:val="auto"/>
          <w:sz w:val="20"/>
          <w:szCs w:val="20"/>
        </w:rPr>
      </w:pPr>
    </w:p>
    <w:p>
      <w:pPr>
        <w:spacing w:after="0"/>
        <w:ind w:left="720"/>
        <w:rPr>
          <w:color w:val="auto"/>
          <w:sz w:val="20"/>
          <w:szCs w:val="20"/>
        </w:rPr>
      </w:pPr>
      <w:r>
        <w:rPr>
          <w:rFonts w:ascii="Arial" w:hAnsi="Arial" w:eastAsia="Arial" w:cs="Arial"/>
          <w:color w:val="auto"/>
          <w:sz w:val="22"/>
          <w:szCs w:val="22"/>
        </w:rPr>
        <w:t>Thacher TD, Fischer PR, Strand MA, Pettifor JM. Nutritional rickets around the world:</w:t>
      </w:r>
    </w:p>
    <w:p>
      <w:pPr>
        <w:spacing w:after="0" w:line="2" w:lineRule="exact"/>
        <w:rPr>
          <w:color w:val="auto"/>
          <w:sz w:val="20"/>
          <w:szCs w:val="20"/>
        </w:rPr>
      </w:pPr>
    </w:p>
    <w:p>
      <w:pPr>
        <w:spacing w:after="0"/>
        <w:ind w:left="720"/>
        <w:rPr>
          <w:color w:val="auto"/>
          <w:sz w:val="20"/>
          <w:szCs w:val="20"/>
        </w:rPr>
      </w:pPr>
      <w:r>
        <w:rPr>
          <w:rFonts w:ascii="Arial" w:hAnsi="Arial" w:eastAsia="Arial" w:cs="Arial"/>
          <w:color w:val="auto"/>
          <w:sz w:val="22"/>
          <w:szCs w:val="22"/>
        </w:rPr>
        <w:t xml:space="preserve">causes and future directions. </w:t>
      </w:r>
      <w:r>
        <w:rPr>
          <w:rFonts w:ascii="Arial" w:hAnsi="Arial" w:eastAsia="Arial" w:cs="Arial"/>
          <w:i/>
          <w:iCs/>
          <w:color w:val="auto"/>
          <w:sz w:val="22"/>
          <w:szCs w:val="22"/>
        </w:rPr>
        <w:t>Ann Trop Paediatr</w:t>
      </w:r>
      <w:r>
        <w:rPr>
          <w:rFonts w:ascii="Arial" w:hAnsi="Arial" w:eastAsia="Arial" w:cs="Arial"/>
          <w:color w:val="auto"/>
          <w:sz w:val="22"/>
          <w:szCs w:val="22"/>
        </w:rPr>
        <w:t xml:space="preserve"> 2006;26:1-16.</w:t>
      </w:r>
    </w:p>
    <w:p>
      <w:pPr>
        <w:spacing w:after="0" w:line="288" w:lineRule="exact"/>
        <w:rPr>
          <w:color w:val="auto"/>
          <w:sz w:val="20"/>
          <w:szCs w:val="20"/>
        </w:rPr>
      </w:pPr>
    </w:p>
    <w:p>
      <w:pPr>
        <w:spacing w:after="0" w:line="237" w:lineRule="auto"/>
        <w:ind w:left="720" w:right="80"/>
        <w:rPr>
          <w:color w:val="auto"/>
          <w:sz w:val="20"/>
          <w:szCs w:val="20"/>
        </w:rPr>
      </w:pPr>
      <w:r>
        <w:rPr>
          <w:rFonts w:ascii="Arial" w:hAnsi="Arial" w:eastAsia="Arial" w:cs="Arial"/>
          <w:color w:val="auto"/>
          <w:sz w:val="22"/>
          <w:szCs w:val="22"/>
        </w:rPr>
        <w:t xml:space="preserve">Trump, D. L., Hershberger, P. A., Bernardi, R. J., Ahmed, S., Muindi, J., Fakih,M., et al. (2004). Anti-tumor activity of calcitriol: Pre-clinical and clinical studies. </w:t>
      </w:r>
      <w:r>
        <w:rPr>
          <w:rFonts w:ascii="Arial" w:hAnsi="Arial" w:eastAsia="Arial" w:cs="Arial"/>
          <w:i/>
          <w:iCs/>
          <w:color w:val="auto"/>
          <w:sz w:val="22"/>
          <w:szCs w:val="22"/>
        </w:rPr>
        <w:t>J Steroid Biochem Mol Biol</w:t>
      </w:r>
      <w:r>
        <w:rPr>
          <w:rFonts w:ascii="Arial" w:hAnsi="Arial" w:eastAsia="Arial" w:cs="Arial"/>
          <w:color w:val="auto"/>
          <w:sz w:val="22"/>
          <w:szCs w:val="22"/>
        </w:rPr>
        <w:t>, 89-90(1-5), 519-526.</w:t>
      </w:r>
    </w:p>
    <w:p>
      <w:pPr>
        <w:spacing w:after="0" w:line="290" w:lineRule="exact"/>
        <w:rPr>
          <w:color w:val="auto"/>
          <w:sz w:val="20"/>
          <w:szCs w:val="20"/>
        </w:rPr>
      </w:pPr>
    </w:p>
    <w:p>
      <w:pPr>
        <w:spacing w:after="0" w:line="235" w:lineRule="auto"/>
        <w:ind w:left="720" w:right="860"/>
        <w:rPr>
          <w:rFonts w:ascii="Arial" w:hAnsi="Arial" w:eastAsia="Arial" w:cs="Arial"/>
          <w:color w:val="auto"/>
          <w:sz w:val="22"/>
          <w:szCs w:val="22"/>
        </w:rPr>
      </w:pPr>
      <w:r>
        <w:fldChar w:fldCharType="begin"/>
      </w:r>
      <w:r>
        <w:instrText xml:space="preserve"> HYPERLINK "http://www.ncbi.nlm.nih.gov.silk.library.umass.edu:2048/pubmed?term=%22Ulrik%20CS%22%5BAuthor%5D" \h </w:instrText>
      </w:r>
      <w:r>
        <w:fldChar w:fldCharType="separate"/>
      </w:r>
      <w:r>
        <w:rPr>
          <w:rFonts w:ascii="Arial" w:hAnsi="Arial" w:eastAsia="Arial" w:cs="Arial"/>
          <w:color w:val="auto"/>
          <w:sz w:val="22"/>
          <w:szCs w:val="22"/>
        </w:rPr>
        <w:t xml:space="preserve">Ulrik CS, </w:t>
      </w:r>
      <w:r>
        <w:rPr>
          <w:rFonts w:ascii="Arial" w:hAnsi="Arial" w:eastAsia="Arial" w:cs="Arial"/>
          <w:color w:val="auto"/>
          <w:sz w:val="22"/>
          <w:szCs w:val="22"/>
        </w:rPr>
        <w:fldChar w:fldCharType="end"/>
      </w:r>
      <w:r>
        <w:fldChar w:fldCharType="begin"/>
      </w:r>
      <w:r>
        <w:instrText xml:space="preserve"> HYPERLINK "http://www.ncbi.nlm.nih.gov.silk.library.umass.edu:2048/pubmed?term=%22Lange%20P%22%5BAuthor%5D" \h </w:instrText>
      </w:r>
      <w:r>
        <w:fldChar w:fldCharType="separate"/>
      </w:r>
      <w:r>
        <w:rPr>
          <w:rFonts w:ascii="Arial" w:hAnsi="Arial" w:eastAsia="Arial" w:cs="Arial"/>
          <w:color w:val="auto"/>
          <w:sz w:val="22"/>
          <w:szCs w:val="22"/>
        </w:rPr>
        <w:t xml:space="preserve">Lange P. </w:t>
      </w:r>
      <w:r>
        <w:rPr>
          <w:rFonts w:ascii="Arial" w:hAnsi="Arial" w:eastAsia="Arial" w:cs="Arial"/>
          <w:color w:val="auto"/>
          <w:sz w:val="22"/>
          <w:szCs w:val="22"/>
        </w:rPr>
        <w:fldChar w:fldCharType="end"/>
      </w:r>
      <w:r>
        <w:rPr>
          <w:rFonts w:ascii="Arial" w:hAnsi="Arial" w:eastAsia="Arial" w:cs="Arial"/>
          <w:color w:val="auto"/>
          <w:sz w:val="22"/>
          <w:szCs w:val="22"/>
        </w:rPr>
        <w:t xml:space="preserve">Cigarette smoking and asthma </w:t>
      </w:r>
      <w:r>
        <w:fldChar w:fldCharType="begin"/>
      </w:r>
      <w:r>
        <w:instrText xml:space="preserve"> HYPERLINK "javascript:AL_get(this,%20'jour',%20'Monaldi%20Arch%20Chest%20Dis.');" \h </w:instrText>
      </w:r>
      <w:r>
        <w:fldChar w:fldCharType="separate"/>
      </w:r>
      <w:r>
        <w:rPr>
          <w:rFonts w:ascii="Arial" w:hAnsi="Arial" w:eastAsia="Arial" w:cs="Arial"/>
          <w:color w:val="auto"/>
          <w:sz w:val="22"/>
          <w:szCs w:val="22"/>
        </w:rPr>
        <w:t xml:space="preserve">Monaldi Arch </w:t>
      </w:r>
      <w:r>
        <w:rPr>
          <w:rFonts w:ascii="Arial" w:hAnsi="Arial" w:eastAsia="Arial" w:cs="Arial"/>
          <w:i/>
          <w:iCs/>
          <w:color w:val="auto"/>
          <w:sz w:val="22"/>
          <w:szCs w:val="22"/>
        </w:rPr>
        <w:t>Chest Dis</w:t>
      </w:r>
      <w:r>
        <w:rPr>
          <w:rFonts w:ascii="Arial" w:hAnsi="Arial" w:eastAsia="Arial" w:cs="Arial"/>
          <w:color w:val="auto"/>
          <w:sz w:val="22"/>
          <w:szCs w:val="22"/>
        </w:rPr>
        <w:t xml:space="preserve">. </w:t>
      </w:r>
      <w:r>
        <w:rPr>
          <w:rFonts w:ascii="Arial" w:hAnsi="Arial" w:eastAsia="Arial" w:cs="Arial"/>
          <w:color w:val="auto"/>
          <w:sz w:val="22"/>
          <w:szCs w:val="22"/>
        </w:rPr>
        <w:fldChar w:fldCharType="end"/>
      </w:r>
      <w:r>
        <w:rPr>
          <w:rFonts w:ascii="Arial" w:hAnsi="Arial" w:eastAsia="Arial" w:cs="Arial"/>
          <w:color w:val="auto"/>
          <w:sz w:val="22"/>
          <w:szCs w:val="22"/>
        </w:rPr>
        <w:t>2001 Aug;56(4):349-53.</w:t>
      </w:r>
    </w:p>
    <w:p>
      <w:pPr>
        <w:spacing w:after="0" w:line="281"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color w:val="auto"/>
          <w:sz w:val="22"/>
          <w:szCs w:val="22"/>
        </w:rPr>
        <w:t>Van Etten E, Mathieu C. Immunoregulation by 1,25-dihydroxyvitamin D3: basic concepts.</w:t>
      </w:r>
    </w:p>
    <w:p>
      <w:pPr>
        <w:spacing w:after="0" w:line="1"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i/>
          <w:iCs/>
          <w:color w:val="auto"/>
          <w:sz w:val="22"/>
          <w:szCs w:val="22"/>
        </w:rPr>
        <w:t>J Steroid Biochem Mol Biol</w:t>
      </w:r>
      <w:r>
        <w:rPr>
          <w:rFonts w:ascii="Arial" w:hAnsi="Arial" w:eastAsia="Arial" w:cs="Arial"/>
          <w:color w:val="auto"/>
          <w:sz w:val="22"/>
          <w:szCs w:val="22"/>
        </w:rPr>
        <w:t xml:space="preserve"> 2005;97:93-101.</w:t>
      </w:r>
    </w:p>
    <w:p>
      <w:pPr>
        <w:spacing w:after="0" w:line="288" w:lineRule="exact"/>
        <w:rPr>
          <w:rFonts w:ascii="Arial" w:hAnsi="Arial" w:eastAsia="Arial" w:cs="Arial"/>
          <w:color w:val="auto"/>
          <w:sz w:val="22"/>
          <w:szCs w:val="22"/>
        </w:rPr>
      </w:pPr>
    </w:p>
    <w:p>
      <w:pPr>
        <w:spacing w:after="0" w:line="235" w:lineRule="auto"/>
        <w:ind w:left="720" w:right="320"/>
        <w:rPr>
          <w:color w:val="auto"/>
          <w:sz w:val="20"/>
          <w:szCs w:val="20"/>
        </w:rPr>
      </w:pPr>
      <w:r>
        <w:rPr>
          <w:rFonts w:ascii="Arial" w:hAnsi="Arial" w:eastAsia="Arial" w:cs="Arial"/>
          <w:color w:val="auto"/>
          <w:sz w:val="22"/>
          <w:szCs w:val="22"/>
        </w:rPr>
        <w:t xml:space="preserve">Wang TJ, Pencina MJ, Booth SL, et al. Vitamin D deficiency and risk of cardiovascular disease. </w:t>
      </w:r>
      <w:r>
        <w:rPr>
          <w:rFonts w:ascii="Arial" w:hAnsi="Arial" w:eastAsia="Arial" w:cs="Arial"/>
          <w:i/>
          <w:iCs/>
          <w:color w:val="auto"/>
          <w:sz w:val="22"/>
          <w:szCs w:val="22"/>
        </w:rPr>
        <w:t>Circulation</w:t>
      </w:r>
      <w:r>
        <w:rPr>
          <w:rFonts w:ascii="Arial" w:hAnsi="Arial" w:eastAsia="Arial" w:cs="Arial"/>
          <w:color w:val="auto"/>
          <w:sz w:val="22"/>
          <w:szCs w:val="22"/>
        </w:rPr>
        <w:t xml:space="preserve"> 2008;117:503-11.</w:t>
      </w:r>
    </w:p>
    <w:p>
      <w:pPr>
        <w:spacing w:after="0" w:line="290" w:lineRule="exact"/>
        <w:rPr>
          <w:rFonts w:ascii="Arial" w:hAnsi="Arial" w:eastAsia="Arial" w:cs="Arial"/>
          <w:color w:val="auto"/>
          <w:sz w:val="22"/>
          <w:szCs w:val="22"/>
        </w:rPr>
      </w:pPr>
    </w:p>
    <w:p>
      <w:pPr>
        <w:spacing w:after="0" w:line="237" w:lineRule="auto"/>
        <w:ind w:left="720" w:right="400"/>
        <w:jc w:val="both"/>
        <w:rPr>
          <w:color w:val="auto"/>
          <w:sz w:val="20"/>
          <w:szCs w:val="20"/>
        </w:rPr>
      </w:pPr>
      <w:r>
        <w:rPr>
          <w:rFonts w:ascii="Arial" w:hAnsi="Arial" w:eastAsia="Arial" w:cs="Arial"/>
          <w:color w:val="auto"/>
          <w:sz w:val="22"/>
          <w:szCs w:val="22"/>
        </w:rPr>
        <w:t xml:space="preserve">Weber, G, Heilborn, JD, Chamorro Jimenez, CI, Hammarsjö, A, Törmä, H, Ståhle, M: Vitamin D induces the antimicrobial protein hCAP18 in human skin. </w:t>
      </w:r>
      <w:r>
        <w:rPr>
          <w:rFonts w:ascii="Arial" w:hAnsi="Arial" w:eastAsia="Arial" w:cs="Arial"/>
          <w:i/>
          <w:iCs/>
          <w:color w:val="auto"/>
          <w:sz w:val="22"/>
          <w:szCs w:val="22"/>
        </w:rPr>
        <w:t>J Invest Dermatol</w:t>
      </w:r>
      <w:r>
        <w:rPr>
          <w:rFonts w:ascii="Arial" w:hAnsi="Arial" w:eastAsia="Arial" w:cs="Arial"/>
          <w:color w:val="auto"/>
          <w:sz w:val="22"/>
          <w:szCs w:val="22"/>
        </w:rPr>
        <w:t xml:space="preserve"> 2005 124: 1080–1082,</w:t>
      </w:r>
    </w:p>
    <w:p>
      <w:pPr>
        <w:spacing w:after="0" w:line="281"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color w:val="auto"/>
          <w:sz w:val="22"/>
          <w:szCs w:val="22"/>
        </w:rPr>
        <w:t xml:space="preserve">Weiss ST. Diet as a risk factor for asthma. </w:t>
      </w:r>
      <w:r>
        <w:rPr>
          <w:rFonts w:ascii="Arial" w:hAnsi="Arial" w:eastAsia="Arial" w:cs="Arial"/>
          <w:i/>
          <w:iCs/>
          <w:color w:val="auto"/>
          <w:sz w:val="22"/>
          <w:szCs w:val="22"/>
        </w:rPr>
        <w:t>Ciba Found Symp</w:t>
      </w:r>
      <w:r>
        <w:rPr>
          <w:rFonts w:ascii="Arial" w:hAnsi="Arial" w:eastAsia="Arial" w:cs="Arial"/>
          <w:color w:val="auto"/>
          <w:sz w:val="22"/>
          <w:szCs w:val="22"/>
        </w:rPr>
        <w:t xml:space="preserve"> 1997;206:244,57:</w:t>
      </w:r>
    </w:p>
    <w:p>
      <w:pPr>
        <w:spacing w:after="0"/>
        <w:ind w:left="720"/>
        <w:rPr>
          <w:color w:val="auto"/>
          <w:sz w:val="20"/>
          <w:szCs w:val="20"/>
        </w:rPr>
      </w:pPr>
      <w:r>
        <w:rPr>
          <w:rFonts w:ascii="Arial" w:hAnsi="Arial" w:eastAsia="Arial" w:cs="Arial"/>
          <w:color w:val="auto"/>
          <w:sz w:val="22"/>
          <w:szCs w:val="22"/>
        </w:rPr>
        <w:t>discussion 253-7.</w:t>
      </w:r>
    </w:p>
    <w:p>
      <w:pPr>
        <w:spacing w:after="0" w:line="287" w:lineRule="exact"/>
        <w:rPr>
          <w:rFonts w:ascii="Arial" w:hAnsi="Arial" w:eastAsia="Arial" w:cs="Arial"/>
          <w:color w:val="auto"/>
          <w:sz w:val="22"/>
          <w:szCs w:val="22"/>
        </w:rPr>
      </w:pPr>
    </w:p>
    <w:p>
      <w:pPr>
        <w:spacing w:after="0" w:line="237" w:lineRule="auto"/>
        <w:ind w:left="720" w:right="100"/>
        <w:rPr>
          <w:color w:val="auto"/>
          <w:sz w:val="20"/>
          <w:szCs w:val="20"/>
        </w:rPr>
      </w:pPr>
      <w:r>
        <w:rPr>
          <w:rFonts w:ascii="Arial" w:hAnsi="Arial" w:eastAsia="Arial" w:cs="Arial"/>
          <w:color w:val="auto"/>
          <w:sz w:val="22"/>
          <w:szCs w:val="22"/>
        </w:rPr>
        <w:t xml:space="preserve">Willett, W.C., Sampson, L., Stampfter, M.J., Rosner, B., Bain, C., Witschi, J.,Hennekens, C.H., &amp; Speizer, F.E. (1985). Reproducibility and validity of a semiquantitative food frequency questionnaire. </w:t>
      </w:r>
      <w:r>
        <w:rPr>
          <w:rFonts w:ascii="Arial" w:hAnsi="Arial" w:eastAsia="Arial" w:cs="Arial"/>
          <w:i/>
          <w:iCs/>
          <w:color w:val="auto"/>
          <w:sz w:val="22"/>
          <w:szCs w:val="22"/>
        </w:rPr>
        <w:t>Am. J Epi</w:t>
      </w:r>
      <w:r>
        <w:rPr>
          <w:rFonts w:ascii="Arial" w:hAnsi="Arial" w:eastAsia="Arial" w:cs="Arial"/>
          <w:color w:val="auto"/>
          <w:sz w:val="22"/>
          <w:szCs w:val="22"/>
        </w:rPr>
        <w:t>, 122(1), 51-65</w:t>
      </w:r>
    </w:p>
    <w:p>
      <w:pPr>
        <w:spacing w:after="0" w:line="282" w:lineRule="exact"/>
        <w:rPr>
          <w:rFonts w:ascii="Arial" w:hAnsi="Arial" w:eastAsia="Arial" w:cs="Arial"/>
          <w:color w:val="auto"/>
          <w:sz w:val="22"/>
          <w:szCs w:val="22"/>
        </w:rPr>
      </w:pPr>
    </w:p>
    <w:p>
      <w:pPr>
        <w:spacing w:after="0"/>
        <w:ind w:left="720"/>
        <w:rPr>
          <w:color w:val="auto"/>
          <w:sz w:val="20"/>
          <w:szCs w:val="20"/>
        </w:rPr>
      </w:pPr>
      <w:r>
        <w:rPr>
          <w:rFonts w:ascii="Arial" w:hAnsi="Arial" w:eastAsia="Arial" w:cs="Arial"/>
          <w:color w:val="auto"/>
          <w:sz w:val="22"/>
          <w:szCs w:val="22"/>
        </w:rPr>
        <w:t xml:space="preserve">Wjst M. The vitamin D slant on allergy. </w:t>
      </w:r>
      <w:r>
        <w:rPr>
          <w:rFonts w:ascii="Arial" w:hAnsi="Arial" w:eastAsia="Arial" w:cs="Arial"/>
          <w:i/>
          <w:iCs/>
          <w:color w:val="auto"/>
          <w:sz w:val="22"/>
          <w:szCs w:val="22"/>
        </w:rPr>
        <w:t>Pediatr Allergy Immunol</w:t>
      </w:r>
      <w:r>
        <w:rPr>
          <w:rFonts w:ascii="Arial" w:hAnsi="Arial" w:eastAsia="Arial" w:cs="Arial"/>
          <w:color w:val="auto"/>
          <w:sz w:val="22"/>
          <w:szCs w:val="22"/>
        </w:rPr>
        <w:t xml:space="preserve"> 2006;17:477-83.</w:t>
      </w:r>
    </w:p>
    <w:p>
      <w:pPr>
        <w:spacing w:after="0" w:line="288" w:lineRule="exact"/>
        <w:rPr>
          <w:rFonts w:ascii="Arial" w:hAnsi="Arial" w:eastAsia="Arial" w:cs="Arial"/>
          <w:color w:val="auto"/>
          <w:sz w:val="22"/>
          <w:szCs w:val="22"/>
        </w:rPr>
      </w:pPr>
    </w:p>
    <w:p>
      <w:pPr>
        <w:spacing w:after="0" w:line="237" w:lineRule="auto"/>
        <w:ind w:left="720" w:right="120"/>
        <w:jc w:val="both"/>
        <w:rPr>
          <w:color w:val="auto"/>
          <w:sz w:val="20"/>
          <w:szCs w:val="20"/>
        </w:rPr>
      </w:pPr>
      <w:r>
        <w:rPr>
          <w:rFonts w:ascii="Arial" w:hAnsi="Arial" w:eastAsia="Arial" w:cs="Arial"/>
          <w:color w:val="auto"/>
          <w:sz w:val="22"/>
          <w:szCs w:val="22"/>
        </w:rPr>
        <w:t xml:space="preserve">Xystrakis E, Kusumakar S, Boswell S, Peek E, Urry Z, Richards DF, et al. Reversing the defective induction of IL-10-secreting regulatory T cells in glucocorticoidresistant asthma patients. </w:t>
      </w:r>
      <w:r>
        <w:rPr>
          <w:rFonts w:ascii="Arial" w:hAnsi="Arial" w:eastAsia="Arial" w:cs="Arial"/>
          <w:i/>
          <w:iCs/>
          <w:color w:val="auto"/>
          <w:sz w:val="22"/>
          <w:szCs w:val="22"/>
        </w:rPr>
        <w:t>J Clin Invest</w:t>
      </w:r>
      <w:r>
        <w:rPr>
          <w:rFonts w:ascii="Arial" w:hAnsi="Arial" w:eastAsia="Arial" w:cs="Arial"/>
          <w:color w:val="auto"/>
          <w:sz w:val="22"/>
          <w:szCs w:val="22"/>
        </w:rPr>
        <w:t xml:space="preserve"> 2006;116:146-55.</w:t>
      </w:r>
    </w:p>
    <w:p>
      <w:pPr>
        <w:spacing w:after="0" w:line="290" w:lineRule="exact"/>
        <w:rPr>
          <w:rFonts w:ascii="Arial" w:hAnsi="Arial" w:eastAsia="Arial" w:cs="Arial"/>
          <w:color w:val="auto"/>
          <w:sz w:val="22"/>
          <w:szCs w:val="22"/>
        </w:rPr>
      </w:pPr>
    </w:p>
    <w:p>
      <w:pPr>
        <w:spacing w:after="0" w:line="237" w:lineRule="auto"/>
        <w:ind w:left="720" w:right="440"/>
        <w:jc w:val="both"/>
        <w:rPr>
          <w:color w:val="auto"/>
          <w:sz w:val="20"/>
          <w:szCs w:val="20"/>
        </w:rPr>
      </w:pPr>
      <w:r>
        <w:rPr>
          <w:rFonts w:ascii="Arial" w:hAnsi="Arial" w:eastAsia="Arial" w:cs="Arial"/>
          <w:color w:val="auto"/>
          <w:sz w:val="22"/>
          <w:szCs w:val="22"/>
        </w:rPr>
        <w:t xml:space="preserve">Yim S, Dhawan P, Ragunath C, Christakos S, Diamond G. Induction of cathelicidin in normal and CF bronchial epithelial cells by 1,25-dihydroxyvitamin D(3). </w:t>
      </w:r>
      <w:r>
        <w:rPr>
          <w:rFonts w:ascii="Arial" w:hAnsi="Arial" w:eastAsia="Arial" w:cs="Arial"/>
          <w:i/>
          <w:iCs/>
          <w:color w:val="auto"/>
          <w:sz w:val="22"/>
          <w:szCs w:val="22"/>
        </w:rPr>
        <w:t>J Cyst Fibros</w:t>
      </w:r>
      <w:r>
        <w:rPr>
          <w:rFonts w:ascii="Arial" w:hAnsi="Arial" w:eastAsia="Arial" w:cs="Arial"/>
          <w:color w:val="auto"/>
          <w:sz w:val="22"/>
          <w:szCs w:val="22"/>
        </w:rPr>
        <w:t xml:space="preserve"> 2007;6:403-10.</w:t>
      </w: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200" w:lineRule="exact"/>
        <w:rPr>
          <w:rFonts w:ascii="Arial" w:hAnsi="Arial" w:eastAsia="Arial" w:cs="Arial"/>
          <w:color w:val="auto"/>
          <w:sz w:val="22"/>
          <w:szCs w:val="22"/>
        </w:rPr>
      </w:pPr>
    </w:p>
    <w:p>
      <w:pPr>
        <w:spacing w:after="0" w:line="387" w:lineRule="exact"/>
        <w:rPr>
          <w:rFonts w:ascii="Arial" w:hAnsi="Arial" w:eastAsia="Arial" w:cs="Arial"/>
          <w:color w:val="auto"/>
          <w:sz w:val="22"/>
          <w:szCs w:val="22"/>
        </w:rPr>
      </w:pPr>
    </w:p>
    <w:p>
      <w:pPr>
        <w:spacing w:after="0"/>
        <w:ind w:left="4920"/>
        <w:rPr>
          <w:color w:val="auto"/>
          <w:sz w:val="20"/>
          <w:szCs w:val="20"/>
        </w:rPr>
      </w:pPr>
      <w:r>
        <w:rPr>
          <w:rFonts w:ascii="Calibri" w:hAnsi="Calibri" w:eastAsia="Calibri" w:cs="Calibri"/>
          <w:color w:val="auto"/>
          <w:sz w:val="24"/>
          <w:szCs w:val="24"/>
        </w:rPr>
        <w:t>59</w:t>
      </w:r>
    </w:p>
    <w:sectPr>
      <w:pgSz w:w="12240" w:h="15842"/>
      <w:pgMar w:top="1440" w:right="1382" w:bottom="119" w:left="1440" w:header="0" w:footer="0" w:gutter="0"/>
      <w:cols w:equalWidth="0" w:num="1">
        <w:col w:w="942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A1"/>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MS PGothic">
    <w:panose1 w:val="020B0600070205080204"/>
    <w:charset w:val="80"/>
    <w:family w:val="swiss"/>
    <w:pitch w:val="default"/>
    <w:sig w:usb0="E00002FF" w:usb1="6AC7FDFB" w:usb2="08000012" w:usb3="00000000" w:csb0="4002009F" w:csb1="DFD70000"/>
  </w:font>
  <w:font w:name="Lucida Sans Unicode">
    <w:panose1 w:val="020B0602030504020204"/>
    <w:charset w:val="00"/>
    <w:family w:val="auto"/>
    <w:pitch w:val="default"/>
    <w:sig w:usb0="80001AFF" w:usb1="0000396B" w:usb2="00000000" w:usb3="00000000" w:csb0="200000BF" w:csb1="D7F70000"/>
  </w:font>
  <w:font w:name="MS Gothic">
    <w:panose1 w:val="020B0609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16231B"/>
    <w:multiLevelType w:val="singleLevel"/>
    <w:tmpl w:val="0216231B"/>
    <w:lvl w:ilvl="0" w:tentative="0">
      <w:start w:val="1"/>
      <w:numFmt w:val="decimal"/>
      <w:lvlText w:val="%1."/>
      <w:lvlJc w:val="left"/>
    </w:lvl>
  </w:abstractNum>
  <w:abstractNum w:abstractNumId="1">
    <w:nsid w:val="12200854"/>
    <w:multiLevelType w:val="singleLevel"/>
    <w:tmpl w:val="12200854"/>
    <w:lvl w:ilvl="0" w:tentative="0">
      <w:start w:val="1"/>
      <w:numFmt w:val="decimal"/>
      <w:lvlText w:val="%1."/>
      <w:lvlJc w:val="left"/>
    </w:lvl>
  </w:abstractNum>
  <w:abstractNum w:abstractNumId="2">
    <w:nsid w:val="1F16E9E8"/>
    <w:multiLevelType w:val="singleLevel"/>
    <w:tmpl w:val="1F16E9E8"/>
    <w:lvl w:ilvl="0" w:tentative="0">
      <w:start w:val="10"/>
      <w:numFmt w:val="upperLetter"/>
      <w:lvlText w:val="%1"/>
      <w:lvlJc w:val="left"/>
    </w:lvl>
  </w:abstractNum>
  <w:abstractNum w:abstractNumId="3">
    <w:nsid w:val="2EB141F2"/>
    <w:multiLevelType w:val="singleLevel"/>
    <w:tmpl w:val="2EB141F2"/>
    <w:lvl w:ilvl="0" w:tentative="0">
      <w:start w:val="1"/>
      <w:numFmt w:val="decimal"/>
      <w:lvlText w:val="%1."/>
      <w:lvlJc w:val="left"/>
    </w:lvl>
  </w:abstractNum>
  <w:abstractNum w:abstractNumId="4">
    <w:nsid w:val="41B71EFB"/>
    <w:multiLevelType w:val="singleLevel"/>
    <w:tmpl w:val="41B71EFB"/>
    <w:lvl w:ilvl="0" w:tentative="0">
      <w:start w:val="1"/>
      <w:numFmt w:val="decimal"/>
      <w:lvlText w:val="%1."/>
      <w:lvlJc w:val="left"/>
    </w:lvl>
  </w:abstractNum>
  <w:abstractNum w:abstractNumId="5">
    <w:nsid w:val="4DB127F8"/>
    <w:multiLevelType w:val="singleLevel"/>
    <w:tmpl w:val="4DB127F8"/>
    <w:lvl w:ilvl="0" w:tentative="0">
      <w:start w:val="1"/>
      <w:numFmt w:val="decimal"/>
      <w:lvlText w:val="%1."/>
      <w:lvlJc w:val="left"/>
    </w:lvl>
  </w:abstractNum>
  <w:abstractNum w:abstractNumId="6">
    <w:nsid w:val="515F007C"/>
    <w:multiLevelType w:val="singleLevel"/>
    <w:tmpl w:val="515F007C"/>
    <w:lvl w:ilvl="0" w:tentative="0">
      <w:start w:val="1"/>
      <w:numFmt w:val="decimal"/>
      <w:lvlText w:val="%1."/>
      <w:lvlJc w:val="left"/>
    </w:lvl>
  </w:abstractNum>
  <w:abstractNum w:abstractNumId="7">
    <w:nsid w:val="5BD062C2"/>
    <w:multiLevelType w:val="singleLevel"/>
    <w:tmpl w:val="5BD062C2"/>
    <w:lvl w:ilvl="0" w:tentative="0">
      <w:start w:val="2"/>
      <w:numFmt w:val="decimal"/>
      <w:lvlText w:val="%1."/>
      <w:lvlJc w:val="left"/>
    </w:lvl>
  </w:abstractNum>
  <w:abstractNum w:abstractNumId="8">
    <w:nsid w:val="7545E146"/>
    <w:multiLevelType w:val="singleLevel"/>
    <w:tmpl w:val="7545E146"/>
    <w:lvl w:ilvl="0" w:tentative="0">
      <w:start w:val="3"/>
      <w:numFmt w:val="decimal"/>
      <w:lvlText w:val="%1."/>
      <w:lvlJc w:val="left"/>
    </w:lvl>
  </w:abstractNum>
  <w:abstractNum w:abstractNumId="9">
    <w:nsid w:val="79E2A9E3"/>
    <w:multiLevelType w:val="singleLevel"/>
    <w:tmpl w:val="79E2A9E3"/>
    <w:lvl w:ilvl="0" w:tentative="0">
      <w:start w:val="1"/>
      <w:numFmt w:val="decimal"/>
      <w:lvlText w:val="%1."/>
      <w:lvlJc w:val="left"/>
    </w:lvl>
  </w:abstractNum>
  <w:num w:numId="1">
    <w:abstractNumId w:val="3"/>
  </w:num>
  <w:num w:numId="2">
    <w:abstractNumId w:val="4"/>
  </w:num>
  <w:num w:numId="3">
    <w:abstractNumId w:val="9"/>
  </w:num>
  <w:num w:numId="4">
    <w:abstractNumId w:val="8"/>
  </w:num>
  <w:num w:numId="5">
    <w:abstractNumId w:val="6"/>
  </w:num>
  <w:num w:numId="6">
    <w:abstractNumId w:val="7"/>
  </w:num>
  <w:num w:numId="7">
    <w:abstractNumId w:val="1"/>
  </w:num>
  <w:num w:numId="8">
    <w:abstractNumId w:val="5"/>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7AE6C79"/>
    <w:rsid w:val="5F926458"/>
    <w:rsid w:val="7443067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eastAsiaTheme="minorEastAsia"/>
      <w:sz w:val="22"/>
      <w:szCs w:val="22"/>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3</Characters>
  <Lines>1</Lines>
  <Paragraphs>1</Paragraphs>
  <TotalTime>1</TotalTime>
  <ScaleCrop>false</ScaleCrop>
  <LinksUpToDate>false</LinksUpToDate>
  <CharactersWithSpaces>3</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2024-03-07T17:36:00Z</dcterms:created>
  <dc:creator>Windows User</dc:creator>
  <cp:lastModifiedBy>user</cp:lastModifiedBy>
  <dcterms:modified xsi:type="dcterms:W3CDTF">2024-03-07T18:43:45Z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8E2DF2A9B98648259D358A8E67646E32</vt:lpwstr>
  </property>
</Properties>
</file>