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50" w:lineRule="auto"/>
        <w:ind w:right="20"/>
        <w:rPr>
          <w:color w:val="auto"/>
          <w:sz w:val="20"/>
          <w:szCs w:val="20"/>
        </w:rPr>
      </w:pPr>
      <w:r>
        <w:rPr>
          <w:rFonts w:ascii="Arial" w:hAnsi="Arial" w:eastAsia="Arial" w:cs="Arial"/>
          <w:b/>
          <w:bCs/>
          <w:color w:val="auto"/>
          <w:sz w:val="32"/>
          <w:szCs w:val="32"/>
        </w:rPr>
        <w:t>The Efficacy of Nanoemulsion-Based Delivery Systems to</w:t>
      </w:r>
      <w:r>
        <w:rPr>
          <w:rFonts w:hint="default" w:ascii="Arial" w:hAnsi="Arial" w:eastAsia="Arial" w:cs="Arial"/>
          <w:b/>
          <w:bCs/>
          <w:color w:val="auto"/>
          <w:sz w:val="32"/>
          <w:szCs w:val="32"/>
          <w:lang w:val="en-US"/>
        </w:rPr>
        <w:t xml:space="preserve"> </w:t>
      </w:r>
      <w:r>
        <w:rPr>
          <w:rFonts w:ascii="Arial" w:hAnsi="Arial" w:eastAsia="Arial" w:cs="Arial"/>
          <w:b/>
          <w:bCs/>
          <w:color w:val="auto"/>
          <w:sz w:val="32"/>
          <w:szCs w:val="32"/>
        </w:rPr>
        <w:t>Improve Vitamin D3 Bioaccessibility and Bioavailability</w:t>
      </w:r>
    </w:p>
    <w:p>
      <w:pPr>
        <w:spacing w:after="0" w:line="20" w:lineRule="exact"/>
        <w:rPr>
          <w:color w:val="auto"/>
          <w:sz w:val="20"/>
          <w:szCs w:val="20"/>
        </w:rPr>
      </w:pPr>
    </w:p>
    <w:p>
      <w:pPr>
        <w:spacing w:after="0" w:line="20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ABSTRACT</w:t>
      </w:r>
    </w:p>
    <w:p>
      <w:pPr>
        <w:spacing w:after="0" w:line="200" w:lineRule="exact"/>
        <w:rPr>
          <w:color w:val="auto"/>
          <w:sz w:val="20"/>
          <w:szCs w:val="20"/>
        </w:rPr>
      </w:pPr>
    </w:p>
    <w:p>
      <w:pPr>
        <w:spacing w:after="0" w:line="234" w:lineRule="exact"/>
        <w:rPr>
          <w:color w:val="auto"/>
          <w:sz w:val="20"/>
          <w:szCs w:val="20"/>
        </w:rPr>
      </w:pPr>
    </w:p>
    <w:p>
      <w:pPr>
        <w:spacing w:after="0" w:line="502" w:lineRule="auto"/>
        <w:ind w:left="360" w:right="360" w:firstLine="720"/>
        <w:jc w:val="both"/>
        <w:rPr>
          <w:color w:val="auto"/>
          <w:sz w:val="20"/>
          <w:szCs w:val="20"/>
        </w:rPr>
      </w:pPr>
      <w:r>
        <w:rPr>
          <w:rFonts w:ascii="Times New Roman" w:hAnsi="Times New Roman" w:eastAsia="Times New Roman" w:cs="Times New Roman"/>
          <w:color w:val="auto"/>
          <w:sz w:val="21"/>
          <w:szCs w:val="21"/>
        </w:rPr>
        <w:t>Vitamin D deficiency is an epidemic issue in all age groups in Western countries and that affects both skeletal and non-skeletal functions. Even with the wide application of food fortification, vitamin D deficiency tends to increase continuously. Being hydrophobic in nature, vitamin D has poor solubility; thereby it negatively affects its absorption and bioavailability when compared to other hydrophilic dietary compounds. The need to develop a novel strategy is of greater importance to enhance its bioavailability and thereby improving vitamin D level in the body.</w:t>
      </w:r>
    </w:p>
    <w:p>
      <w:pPr>
        <w:spacing w:after="0" w:line="5" w:lineRule="exact"/>
        <w:rPr>
          <w:color w:val="auto"/>
          <w:sz w:val="20"/>
          <w:szCs w:val="20"/>
        </w:rPr>
      </w:pPr>
    </w:p>
    <w:p>
      <w:pPr>
        <w:spacing w:after="0" w:line="491" w:lineRule="exact"/>
        <w:ind w:left="360" w:right="360" w:firstLine="720"/>
        <w:jc w:val="both"/>
        <w:rPr>
          <w:color w:val="auto"/>
          <w:sz w:val="20"/>
          <w:szCs w:val="20"/>
        </w:rPr>
      </w:pPr>
      <w:r>
        <w:rPr>
          <w:rFonts w:ascii="Times New Roman" w:hAnsi="Times New Roman" w:eastAsia="Times New Roman" w:cs="Times New Roman"/>
          <w:color w:val="auto"/>
          <w:sz w:val="21"/>
          <w:szCs w:val="21"/>
        </w:rPr>
        <w:t>In this study, lipid-based delivery of oil-in-water nanoemulsion (diameter &lt; 200nm) was utilized to improve the bioaccessibility and oral bioavailability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First, we examined the </w:t>
      </w:r>
      <w:r>
        <w:rPr>
          <w:rFonts w:ascii="Times New Roman" w:hAnsi="Times New Roman" w:eastAsia="Times New Roman" w:cs="Times New Roman"/>
          <w:i/>
          <w:iCs/>
          <w:color w:val="auto"/>
          <w:sz w:val="21"/>
          <w:szCs w:val="21"/>
        </w:rPr>
        <w:t>in vitro</w:t>
      </w:r>
      <w:r>
        <w:rPr>
          <w:rFonts w:ascii="Times New Roman" w:hAnsi="Times New Roman" w:eastAsia="Times New Roman" w:cs="Times New Roman"/>
          <w:color w:val="auto"/>
          <w:sz w:val="21"/>
          <w:szCs w:val="21"/>
        </w:rPr>
        <w:t xml:space="preserve"> relative bioaccessibility of nanoencapsulated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using a simulated gastrointestinal system. The study results showed that nanoemulsion-based delivery system significantly increased the relative bioaccessibility by 3.94 fold when compared to the coarse emulsion (diameter &gt;200nm), as indicated by the concentration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in the mixed micelles.</w:t>
      </w:r>
      <w:bookmarkStart w:id="0" w:name="page7"/>
      <w:bookmarkEnd w:id="0"/>
      <w:r>
        <w:rPr>
          <w:rFonts w:hint="default" w:ascii="Times New Roman" w:hAnsi="Times New Roman" w:eastAsia="Times New Roman" w:cs="Times New Roman"/>
          <w:color w:val="auto"/>
          <w:sz w:val="21"/>
          <w:szCs w:val="21"/>
          <w:lang w:val="en-US"/>
        </w:rPr>
        <w:t xml:space="preserve"> </w:t>
      </w:r>
      <w:r>
        <w:rPr>
          <w:rFonts w:ascii="Times New Roman" w:hAnsi="Times New Roman" w:eastAsia="Times New Roman" w:cs="Times New Roman"/>
          <w:color w:val="auto"/>
          <w:sz w:val="21"/>
          <w:szCs w:val="21"/>
        </w:rPr>
        <w:t xml:space="preserve">To evaluate the </w:t>
      </w:r>
      <w:r>
        <w:rPr>
          <w:rFonts w:ascii="Times New Roman" w:hAnsi="Times New Roman" w:eastAsia="Times New Roman" w:cs="Times New Roman"/>
          <w:i/>
          <w:iCs/>
          <w:color w:val="auto"/>
          <w:sz w:val="21"/>
          <w:szCs w:val="21"/>
        </w:rPr>
        <w:t>in vivo</w:t>
      </w:r>
      <w:r>
        <w:rPr>
          <w:rFonts w:ascii="Times New Roman" w:hAnsi="Times New Roman" w:eastAsia="Times New Roman" w:cs="Times New Roman"/>
          <w:color w:val="auto"/>
          <w:sz w:val="21"/>
          <w:szCs w:val="21"/>
        </w:rPr>
        <w:t xml:space="preserve"> bioavailability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an animal study was conducted. Mice were assigned randomly to three groups: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nanoemulsion (n=6), coarse emulsion (diameter &gt; 200nm) (n=6) and vehicle (nanoemulsion without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(n=3), which is the control group. After 3-days of feeding emulsion by mixing in drinking water, the serum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a biomarker of vitamin D availability, was measured using immunoassay. We found that serum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level in animals fed with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nanoemulsion was significantly higher than in those animals fed with coarse emulsion (22.7</w:t>
      </w:r>
      <w:r>
        <w:rPr>
          <w:rFonts w:ascii="MS Gothic" w:hAnsi="MS Gothic" w:eastAsia="MS Gothic" w:cs="MS Gothic"/>
          <w:color w:val="auto"/>
          <w:sz w:val="21"/>
          <w:szCs w:val="21"/>
        </w:rPr>
        <w:t xml:space="preserve"> ±</w:t>
      </w:r>
      <w:r>
        <w:rPr>
          <w:rFonts w:ascii="Times New Roman" w:hAnsi="Times New Roman" w:eastAsia="Times New Roman" w:cs="Times New Roman"/>
          <w:color w:val="auto"/>
          <w:sz w:val="21"/>
          <w:szCs w:val="21"/>
        </w:rPr>
        <w:t xml:space="preserve"> 1.10 ngmL</w:t>
      </w:r>
      <w:r>
        <w:rPr>
          <w:rFonts w:ascii="Times New Roman" w:hAnsi="Times New Roman" w:eastAsia="Times New Roman" w:cs="Times New Roman"/>
          <w:color w:val="auto"/>
          <w:sz w:val="26"/>
          <w:szCs w:val="26"/>
          <w:vertAlign w:val="superscript"/>
        </w:rPr>
        <w:t>-1</w:t>
      </w:r>
      <w:r>
        <w:rPr>
          <w:rFonts w:ascii="Times New Roman" w:hAnsi="Times New Roman" w:eastAsia="Times New Roman" w:cs="Times New Roman"/>
          <w:color w:val="auto"/>
          <w:sz w:val="21"/>
          <w:szCs w:val="21"/>
        </w:rPr>
        <w:t xml:space="preserve"> vs 17.92</w:t>
      </w:r>
      <w:r>
        <w:rPr>
          <w:rFonts w:ascii="MS Gothic" w:hAnsi="MS Gothic" w:eastAsia="MS Gothic" w:cs="MS Gothic"/>
          <w:color w:val="auto"/>
          <w:sz w:val="21"/>
          <w:szCs w:val="21"/>
        </w:rPr>
        <w:t xml:space="preserve"> ±</w:t>
      </w:r>
      <w:r>
        <w:rPr>
          <w:rFonts w:ascii="Times New Roman" w:hAnsi="Times New Roman" w:eastAsia="Times New Roman" w:cs="Times New Roman"/>
          <w:color w:val="auto"/>
          <w:sz w:val="21"/>
          <w:szCs w:val="21"/>
        </w:rPr>
        <w:t xml:space="preserve"> 2.82 ngmL</w:t>
      </w:r>
      <w:r>
        <w:rPr>
          <w:rFonts w:ascii="Times New Roman" w:hAnsi="Times New Roman" w:eastAsia="Times New Roman" w:cs="Times New Roman"/>
          <w:color w:val="auto"/>
          <w:sz w:val="26"/>
          <w:szCs w:val="26"/>
          <w:vertAlign w:val="superscript"/>
        </w:rPr>
        <w:t>-1</w:t>
      </w:r>
      <w:r>
        <w:rPr>
          <w:rFonts w:ascii="Times New Roman" w:hAnsi="Times New Roman" w:eastAsia="Times New Roman" w:cs="Times New Roman"/>
          <w:color w:val="auto"/>
          <w:sz w:val="21"/>
          <w:szCs w:val="21"/>
        </w:rPr>
        <w:t xml:space="preserve">). It indicated that nanoemulsion improved the in </w:t>
      </w:r>
      <w:r>
        <w:rPr>
          <w:rFonts w:ascii="Times New Roman" w:hAnsi="Times New Roman" w:eastAsia="Times New Roman" w:cs="Times New Roman"/>
          <w:i/>
          <w:iCs/>
          <w:color w:val="auto"/>
          <w:sz w:val="21"/>
          <w:szCs w:val="21"/>
        </w:rPr>
        <w:t>vivo</w:t>
      </w:r>
      <w:r>
        <w:rPr>
          <w:rFonts w:ascii="Times New Roman" w:hAnsi="Times New Roman" w:eastAsia="Times New Roman" w:cs="Times New Roman"/>
          <w:color w:val="auto"/>
          <w:sz w:val="21"/>
          <w:szCs w:val="21"/>
        </w:rPr>
        <w:t xml:space="preserve"> bioavailability by 28%. These results showed that the nano-based delivery systems can be utilized to improve vitamin D level, and further human studies are warranted for its application to the human population in order to improve the vitamin D status.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9" w:lineRule="exact"/>
        <w:rPr>
          <w:color w:val="auto"/>
          <w:sz w:val="20"/>
          <w:szCs w:val="20"/>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jc w:val="center"/>
        <w:rPr>
          <w:rFonts w:ascii="Times New Roman" w:hAnsi="Times New Roman" w:eastAsia="Times New Roman" w:cs="Times New Roman"/>
          <w:b/>
          <w:bCs/>
          <w:color w:val="auto"/>
          <w:sz w:val="24"/>
          <w:szCs w:val="24"/>
        </w:rPr>
      </w:pPr>
    </w:p>
    <w:p>
      <w:pPr>
        <w:spacing w:after="0"/>
        <w:rPr>
          <w:color w:val="auto"/>
          <w:sz w:val="20"/>
          <w:szCs w:val="20"/>
        </w:rPr>
      </w:pPr>
      <w:bookmarkStart w:id="1" w:name="page8"/>
      <w:bookmarkEnd w:id="1"/>
      <w:bookmarkStart w:id="67" w:name="_GoBack"/>
      <w:bookmarkEnd w:id="67"/>
      <w:r>
        <w:rPr>
          <w:rFonts w:ascii="Times New Roman" w:hAnsi="Times New Roman" w:eastAsia="Times New Roman" w:cs="Times New Roman"/>
          <w:color w:val="auto"/>
          <w:sz w:val="22"/>
          <w:szCs w:val="22"/>
        </w:rPr>
        <w:t xml:space="preserve">ACKNOWLEDGEMENTS </w:t>
      </w:r>
      <w:r>
        <w:rPr>
          <w:rFonts w:ascii="Times New Roman" w:hAnsi="Times New Roman" w:eastAsia="Times New Roman" w:cs="Times New Roman"/>
          <w:b/>
          <w:bCs/>
          <w:color w:val="auto"/>
          <w:sz w:val="22"/>
          <w:szCs w:val="22"/>
        </w:rPr>
        <w:t>……………………………………………………………………...</w:t>
      </w:r>
      <w:r>
        <w:rPr>
          <w:rFonts w:ascii="Times New Roman" w:hAnsi="Times New Roman" w:eastAsia="Times New Roman" w:cs="Times New Roman"/>
          <w:color w:val="auto"/>
          <w:sz w:val="22"/>
          <w:szCs w:val="22"/>
        </w:rPr>
        <w:t xml:space="preserve"> iv</w:t>
      </w:r>
    </w:p>
    <w:p>
      <w:pPr>
        <w:spacing w:after="0" w:line="200" w:lineRule="exact"/>
        <w:rPr>
          <w:color w:val="auto"/>
          <w:sz w:val="20"/>
          <w:szCs w:val="20"/>
        </w:rPr>
      </w:pPr>
    </w:p>
    <w:p>
      <w:pPr>
        <w:spacing w:after="0" w:line="21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 xml:space="preserve">ABSTRACT </w:t>
      </w:r>
      <w:r>
        <w:rPr>
          <w:rFonts w:ascii="Times New Roman" w:hAnsi="Times New Roman" w:eastAsia="Times New Roman" w:cs="Times New Roman"/>
          <w:b/>
          <w:bCs/>
          <w:color w:val="auto"/>
          <w:sz w:val="22"/>
          <w:szCs w:val="22"/>
        </w:rPr>
        <w:t>……………………………………………………………………………………….</w:t>
      </w:r>
      <w:r>
        <w:rPr>
          <w:rFonts w:ascii="Times New Roman" w:hAnsi="Times New Roman" w:eastAsia="Times New Roman" w:cs="Times New Roman"/>
          <w:color w:val="auto"/>
          <w:sz w:val="22"/>
          <w:szCs w:val="22"/>
        </w:rPr>
        <w:t>v</w:t>
      </w:r>
    </w:p>
    <w:p>
      <w:pPr>
        <w:spacing w:after="0" w:line="200" w:lineRule="exact"/>
        <w:rPr>
          <w:color w:val="auto"/>
          <w:sz w:val="20"/>
          <w:szCs w:val="20"/>
        </w:rPr>
      </w:pPr>
    </w:p>
    <w:p>
      <w:pPr>
        <w:spacing w:after="0" w:line="218"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LIST OF TABLES …………………………………………………………………………..........ix</w:t>
      </w:r>
    </w:p>
    <w:p>
      <w:pPr>
        <w:spacing w:after="0" w:line="200" w:lineRule="exact"/>
        <w:rPr>
          <w:color w:val="auto"/>
          <w:sz w:val="20"/>
          <w:szCs w:val="20"/>
        </w:rPr>
      </w:pPr>
    </w:p>
    <w:p>
      <w:pPr>
        <w:spacing w:after="0" w:line="21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LIST OF FIGURES ……………………………………………………………………………….x</w:t>
      </w:r>
    </w:p>
    <w:p>
      <w:pPr>
        <w:spacing w:after="0" w:line="200" w:lineRule="exact"/>
        <w:rPr>
          <w:color w:val="auto"/>
          <w:sz w:val="20"/>
          <w:szCs w:val="20"/>
        </w:rPr>
      </w:pPr>
    </w:p>
    <w:p>
      <w:pPr>
        <w:spacing w:after="0" w:line="21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CHAPTER</w:t>
      </w:r>
    </w:p>
    <w:p>
      <w:pPr>
        <w:spacing w:after="0" w:line="200" w:lineRule="exact"/>
        <w:rPr>
          <w:color w:val="auto"/>
          <w:sz w:val="20"/>
          <w:szCs w:val="20"/>
        </w:rPr>
      </w:pPr>
    </w:p>
    <w:p>
      <w:pPr>
        <w:spacing w:after="0" w:line="212" w:lineRule="exact"/>
        <w:rPr>
          <w:color w:val="auto"/>
          <w:sz w:val="20"/>
          <w:szCs w:val="20"/>
        </w:rPr>
      </w:pPr>
    </w:p>
    <w:p>
      <w:pPr>
        <w:numPr>
          <w:ilvl w:val="0"/>
          <w:numId w:val="1"/>
        </w:numPr>
        <w:tabs>
          <w:tab w:val="left" w:pos="580"/>
        </w:tabs>
        <w:spacing w:after="0"/>
        <w:ind w:left="580" w:hanging="2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INTRODUCTION………………………………………………………………………………1</w:t>
      </w:r>
    </w:p>
    <w:p>
      <w:pPr>
        <w:spacing w:after="0" w:line="200" w:lineRule="exact"/>
        <w:rPr>
          <w:rFonts w:ascii="Times New Roman" w:hAnsi="Times New Roman" w:eastAsia="Times New Roman" w:cs="Times New Roman"/>
          <w:color w:val="auto"/>
          <w:sz w:val="22"/>
          <w:szCs w:val="22"/>
        </w:rPr>
      </w:pPr>
    </w:p>
    <w:p>
      <w:pPr>
        <w:spacing w:after="0" w:line="214" w:lineRule="exact"/>
        <w:rPr>
          <w:rFonts w:ascii="Times New Roman" w:hAnsi="Times New Roman" w:eastAsia="Times New Roman" w:cs="Times New Roman"/>
          <w:color w:val="auto"/>
          <w:sz w:val="22"/>
          <w:szCs w:val="22"/>
        </w:rPr>
      </w:pPr>
    </w:p>
    <w:p>
      <w:pPr>
        <w:spacing w:after="0"/>
        <w:ind w:left="36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2.LITERATUREREVIEW………………………………………………………………………...3</w:t>
      </w:r>
    </w:p>
    <w:p>
      <w:pPr>
        <w:spacing w:after="0" w:line="200" w:lineRule="exact"/>
        <w:rPr>
          <w:color w:val="auto"/>
          <w:sz w:val="20"/>
          <w:szCs w:val="20"/>
        </w:rPr>
      </w:pPr>
    </w:p>
    <w:p>
      <w:pPr>
        <w:spacing w:after="0" w:line="212"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2"/>
          <w:szCs w:val="22"/>
        </w:rPr>
        <w:t>2.1. Vitamin D and Health ………………………………………………………………..3</w:t>
      </w:r>
    </w:p>
    <w:p>
      <w:pPr>
        <w:spacing w:after="0" w:line="287"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2"/>
          <w:szCs w:val="22"/>
        </w:rPr>
        <w:t>2.2. Vitamin D sources, digestion and its metabolism ……………………………….......4</w:t>
      </w:r>
    </w:p>
    <w:p>
      <w:pPr>
        <w:spacing w:after="0" w:line="287" w:lineRule="exact"/>
        <w:rPr>
          <w:color w:val="auto"/>
          <w:sz w:val="20"/>
          <w:szCs w:val="20"/>
        </w:rPr>
      </w:pPr>
    </w:p>
    <w:p>
      <w:pPr>
        <w:spacing w:after="0"/>
        <w:ind w:left="1800"/>
        <w:rPr>
          <w:color w:val="auto"/>
          <w:sz w:val="20"/>
          <w:szCs w:val="20"/>
        </w:rPr>
      </w:pPr>
      <w:r>
        <w:rPr>
          <w:rFonts w:ascii="Times New Roman" w:hAnsi="Times New Roman" w:eastAsia="Times New Roman" w:cs="Times New Roman"/>
          <w:color w:val="auto"/>
          <w:sz w:val="22"/>
          <w:szCs w:val="22"/>
        </w:rPr>
        <w:t>2.2.1. Synthesis of vitamin D and its metabolites ………………………………..4</w:t>
      </w:r>
    </w:p>
    <w:p>
      <w:pPr>
        <w:spacing w:after="0" w:line="287" w:lineRule="exact"/>
        <w:rPr>
          <w:color w:val="auto"/>
          <w:sz w:val="20"/>
          <w:szCs w:val="20"/>
        </w:rPr>
      </w:pPr>
    </w:p>
    <w:p>
      <w:pPr>
        <w:spacing w:after="0"/>
        <w:ind w:left="1800"/>
        <w:rPr>
          <w:color w:val="auto"/>
          <w:sz w:val="20"/>
          <w:szCs w:val="20"/>
        </w:rPr>
      </w:pPr>
      <w:r>
        <w:rPr>
          <w:rFonts w:ascii="Times New Roman" w:hAnsi="Times New Roman" w:eastAsia="Times New Roman" w:cs="Times New Roman"/>
          <w:color w:val="auto"/>
          <w:sz w:val="22"/>
          <w:szCs w:val="22"/>
        </w:rPr>
        <w:t>2.2.2. Factors influencing vitamin D synthesis …………………………………..5</w:t>
      </w:r>
    </w:p>
    <w:p>
      <w:pPr>
        <w:spacing w:after="0" w:line="285" w:lineRule="exact"/>
        <w:rPr>
          <w:color w:val="auto"/>
          <w:sz w:val="20"/>
          <w:szCs w:val="20"/>
        </w:rPr>
      </w:pPr>
    </w:p>
    <w:p>
      <w:pPr>
        <w:spacing w:after="0"/>
        <w:ind w:left="1800"/>
        <w:rPr>
          <w:color w:val="auto"/>
          <w:sz w:val="20"/>
          <w:szCs w:val="20"/>
        </w:rPr>
      </w:pPr>
      <w:r>
        <w:rPr>
          <w:rFonts w:ascii="Times New Roman" w:hAnsi="Times New Roman" w:eastAsia="Times New Roman" w:cs="Times New Roman"/>
          <w:color w:val="auto"/>
          <w:sz w:val="22"/>
          <w:szCs w:val="22"/>
        </w:rPr>
        <w:t>2.2.3. Vitamin D digestion, absorption, transportation and metabolism ………...5</w:t>
      </w:r>
    </w:p>
    <w:p>
      <w:pPr>
        <w:spacing w:after="0" w:line="287" w:lineRule="exact"/>
        <w:rPr>
          <w:color w:val="auto"/>
          <w:sz w:val="20"/>
          <w:szCs w:val="20"/>
        </w:rPr>
      </w:pPr>
    </w:p>
    <w:p>
      <w:pPr>
        <w:spacing w:after="0"/>
        <w:ind w:left="1800"/>
        <w:rPr>
          <w:color w:val="auto"/>
          <w:sz w:val="20"/>
          <w:szCs w:val="20"/>
        </w:rPr>
      </w:pPr>
      <w:r>
        <w:rPr>
          <w:rFonts w:ascii="Times New Roman" w:hAnsi="Times New Roman" w:eastAsia="Times New Roman" w:cs="Times New Roman"/>
          <w:color w:val="auto"/>
          <w:sz w:val="22"/>
          <w:szCs w:val="22"/>
        </w:rPr>
        <w:t>2.2.4 Vitamin D metabolites and its working mechanisms ……………………...7</w:t>
      </w:r>
    </w:p>
    <w:p>
      <w:pPr>
        <w:spacing w:after="0" w:line="287" w:lineRule="exact"/>
        <w:rPr>
          <w:color w:val="auto"/>
          <w:sz w:val="20"/>
          <w:szCs w:val="20"/>
        </w:rPr>
      </w:pPr>
    </w:p>
    <w:p>
      <w:pPr>
        <w:spacing w:after="0"/>
        <w:ind w:left="1800"/>
        <w:rPr>
          <w:color w:val="auto"/>
          <w:sz w:val="20"/>
          <w:szCs w:val="20"/>
        </w:rPr>
      </w:pPr>
      <w:r>
        <w:rPr>
          <w:rFonts w:ascii="Times New Roman" w:hAnsi="Times New Roman" w:eastAsia="Times New Roman" w:cs="Times New Roman"/>
          <w:color w:val="auto"/>
          <w:sz w:val="22"/>
          <w:szCs w:val="22"/>
        </w:rPr>
        <w:t>2.2.5. Improvement of vitamin D status ………………………………………..10</w:t>
      </w:r>
    </w:p>
    <w:p>
      <w:pPr>
        <w:spacing w:after="0" w:line="287"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2"/>
          <w:szCs w:val="22"/>
        </w:rPr>
        <w:t>2.3. Nanotechnology …………………………………………………………………….13</w:t>
      </w:r>
    </w:p>
    <w:p>
      <w:pPr>
        <w:spacing w:after="0" w:line="287" w:lineRule="exact"/>
        <w:rPr>
          <w:color w:val="auto"/>
          <w:sz w:val="20"/>
          <w:szCs w:val="20"/>
        </w:rPr>
      </w:pPr>
    </w:p>
    <w:p>
      <w:pPr>
        <w:spacing w:after="0"/>
        <w:ind w:left="1800"/>
        <w:rPr>
          <w:color w:val="auto"/>
          <w:sz w:val="20"/>
          <w:szCs w:val="20"/>
        </w:rPr>
      </w:pPr>
      <w:r>
        <w:rPr>
          <w:rFonts w:ascii="Times New Roman" w:hAnsi="Times New Roman" w:eastAsia="Times New Roman" w:cs="Times New Roman"/>
          <w:color w:val="auto"/>
          <w:sz w:val="22"/>
          <w:szCs w:val="22"/>
        </w:rPr>
        <w:t>2.3.1. Introduction of nanotechnology and nanoemulsion ……………………...13</w:t>
      </w:r>
    </w:p>
    <w:p>
      <w:pPr>
        <w:spacing w:after="0" w:line="285" w:lineRule="exact"/>
        <w:rPr>
          <w:color w:val="auto"/>
          <w:sz w:val="20"/>
          <w:szCs w:val="20"/>
        </w:rPr>
      </w:pPr>
    </w:p>
    <w:p>
      <w:pPr>
        <w:spacing w:after="0"/>
        <w:ind w:left="1800"/>
        <w:rPr>
          <w:color w:val="auto"/>
          <w:sz w:val="20"/>
          <w:szCs w:val="20"/>
        </w:rPr>
      </w:pPr>
      <w:r>
        <w:rPr>
          <w:rFonts w:ascii="Times New Roman" w:hAnsi="Times New Roman" w:eastAsia="Times New Roman" w:cs="Times New Roman"/>
          <w:color w:val="auto"/>
          <w:sz w:val="22"/>
          <w:szCs w:val="22"/>
        </w:rPr>
        <w:t>2.3.2. The application of nanotechnology in nutrition and health ……………...15</w:t>
      </w:r>
    </w:p>
    <w:p>
      <w:pPr>
        <w:spacing w:after="0" w:line="287" w:lineRule="exact"/>
        <w:rPr>
          <w:color w:val="auto"/>
          <w:sz w:val="20"/>
          <w:szCs w:val="20"/>
        </w:rPr>
      </w:pPr>
    </w:p>
    <w:p>
      <w:pPr>
        <w:spacing w:after="0"/>
        <w:ind w:left="1800"/>
        <w:rPr>
          <w:color w:val="auto"/>
          <w:sz w:val="20"/>
          <w:szCs w:val="20"/>
        </w:rPr>
      </w:pPr>
      <w:r>
        <w:rPr>
          <w:rFonts w:ascii="Times New Roman" w:hAnsi="Times New Roman" w:eastAsia="Times New Roman" w:cs="Times New Roman"/>
          <w:color w:val="auto"/>
          <w:sz w:val="22"/>
          <w:szCs w:val="22"/>
        </w:rPr>
        <w:t>2.3.3. Various factors influencing nanoemulsions ……………………………...17</w:t>
      </w:r>
    </w:p>
    <w:p>
      <w:pPr>
        <w:spacing w:after="0" w:line="287" w:lineRule="exact"/>
        <w:rPr>
          <w:color w:val="auto"/>
          <w:sz w:val="20"/>
          <w:szCs w:val="20"/>
        </w:rPr>
      </w:pPr>
    </w:p>
    <w:p>
      <w:pPr>
        <w:spacing w:after="0" w:line="393" w:lineRule="auto"/>
        <w:ind w:left="1800" w:right="360"/>
        <w:rPr>
          <w:color w:val="auto"/>
          <w:sz w:val="20"/>
          <w:szCs w:val="20"/>
        </w:rPr>
      </w:pPr>
      <w:r>
        <w:rPr>
          <w:rFonts w:ascii="Times New Roman" w:hAnsi="Times New Roman" w:eastAsia="Times New Roman" w:cs="Times New Roman"/>
          <w:color w:val="auto"/>
          <w:sz w:val="22"/>
          <w:szCs w:val="22"/>
        </w:rPr>
        <w:t>2.3.4. Enhance the bioavailability of nutrients and dietary bioactive components using the nano-based delivery system ………………………………………….21</w:t>
      </w:r>
    </w:p>
    <w:p>
      <w:pPr>
        <w:spacing w:after="0" w:line="91"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2"/>
          <w:szCs w:val="22"/>
        </w:rPr>
        <w:t>2.4. Biological fate of emulsion in the digestive tract ………………………………….22</w:t>
      </w:r>
    </w:p>
    <w:p>
      <w:pPr>
        <w:spacing w:after="0" w:line="287"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2"/>
          <w:szCs w:val="22"/>
        </w:rPr>
        <w:t>2.5. The application of nanotechnology in improving vitamin D status ………………...25</w:t>
      </w:r>
    </w:p>
    <w:p>
      <w:pPr>
        <w:spacing w:after="0" w:line="285"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3. PURPOSE OF STUDY ………………………………………………………………………..27</w:t>
      </w:r>
    </w:p>
    <w:p>
      <w:pPr>
        <w:sectPr>
          <w:pgSz w:w="12240" w:h="15840"/>
          <w:pgMar w:top="1412" w:right="1440" w:bottom="155" w:left="1440" w:header="0" w:footer="0" w:gutter="0"/>
          <w:cols w:equalWidth="0" w:num="1">
            <w:col w:w="9360"/>
          </w:cols>
        </w:sectPr>
      </w:pPr>
    </w:p>
    <w:p>
      <w:pPr>
        <w:spacing w:after="0" w:line="200" w:lineRule="exact"/>
        <w:rPr>
          <w:color w:val="auto"/>
          <w:sz w:val="20"/>
          <w:szCs w:val="20"/>
        </w:rPr>
      </w:pPr>
    </w:p>
    <w:p>
      <w:pPr>
        <w:spacing w:after="0" w:line="398" w:lineRule="exact"/>
        <w:rPr>
          <w:color w:val="auto"/>
          <w:sz w:val="20"/>
          <w:szCs w:val="20"/>
        </w:rPr>
      </w:pPr>
    </w:p>
    <w:p>
      <w:pPr>
        <w:spacing w:after="0"/>
        <w:jc w:val="center"/>
        <w:rPr>
          <w:color w:val="auto"/>
          <w:sz w:val="20"/>
          <w:szCs w:val="20"/>
        </w:rPr>
      </w:pPr>
      <w:r>
        <w:rPr>
          <w:rFonts w:ascii="Cambria" w:hAnsi="Cambria" w:eastAsia="Cambria" w:cs="Cambria"/>
          <w:color w:val="auto"/>
          <w:sz w:val="22"/>
          <w:szCs w:val="22"/>
        </w:rPr>
        <w:t>vii</w:t>
      </w:r>
    </w:p>
    <w:p>
      <w:pPr>
        <w:sectPr>
          <w:type w:val="continuous"/>
          <w:pgSz w:w="12240" w:h="15840"/>
          <w:pgMar w:top="1412" w:right="1440" w:bottom="155" w:left="1440" w:header="0" w:footer="0" w:gutter="0"/>
          <w:cols w:equalWidth="0" w:num="1">
            <w:col w:w="9360"/>
          </w:cols>
        </w:sectPr>
      </w:pPr>
    </w:p>
    <w:p>
      <w:pPr>
        <w:spacing w:after="0"/>
        <w:ind w:left="360"/>
        <w:rPr>
          <w:color w:val="auto"/>
          <w:sz w:val="20"/>
          <w:szCs w:val="20"/>
        </w:rPr>
      </w:pPr>
      <w:bookmarkStart w:id="2" w:name="page9"/>
      <w:bookmarkEnd w:id="2"/>
      <w:r>
        <w:rPr>
          <w:rFonts w:ascii="Times New Roman" w:hAnsi="Times New Roman" w:eastAsia="Times New Roman" w:cs="Times New Roman"/>
          <w:color w:val="auto"/>
          <w:sz w:val="22"/>
          <w:szCs w:val="22"/>
        </w:rPr>
        <w:t>4. METHODS ...………………………………………………………………………………….29</w:t>
      </w:r>
    </w:p>
    <w:p>
      <w:pPr>
        <w:spacing w:after="0" w:line="200" w:lineRule="exact"/>
        <w:rPr>
          <w:color w:val="auto"/>
          <w:sz w:val="20"/>
          <w:szCs w:val="20"/>
        </w:rPr>
      </w:pPr>
    </w:p>
    <w:p>
      <w:pPr>
        <w:spacing w:after="0" w:line="212" w:lineRule="exact"/>
        <w:rPr>
          <w:color w:val="auto"/>
          <w:sz w:val="20"/>
          <w:szCs w:val="20"/>
        </w:rPr>
      </w:pPr>
    </w:p>
    <w:p>
      <w:pPr>
        <w:spacing w:after="0"/>
        <w:ind w:left="1060"/>
        <w:rPr>
          <w:color w:val="auto"/>
          <w:sz w:val="20"/>
          <w:szCs w:val="20"/>
        </w:rPr>
      </w:pPr>
      <w:r>
        <w:rPr>
          <w:rFonts w:ascii="Times New Roman" w:hAnsi="Times New Roman" w:eastAsia="Times New Roman" w:cs="Times New Roman"/>
          <w:color w:val="auto"/>
          <w:sz w:val="22"/>
          <w:szCs w:val="22"/>
        </w:rPr>
        <w:t>4.1. Nanoemulsion fabrication and characterization……………………………………..29</w:t>
      </w:r>
    </w:p>
    <w:p>
      <w:pPr>
        <w:spacing w:after="0" w:line="287" w:lineRule="exact"/>
        <w:rPr>
          <w:color w:val="auto"/>
          <w:sz w:val="20"/>
          <w:szCs w:val="20"/>
        </w:rPr>
      </w:pPr>
    </w:p>
    <w:p>
      <w:pPr>
        <w:spacing w:after="0"/>
        <w:ind w:left="1800"/>
        <w:rPr>
          <w:color w:val="auto"/>
          <w:sz w:val="20"/>
          <w:szCs w:val="20"/>
        </w:rPr>
      </w:pPr>
      <w:r>
        <w:rPr>
          <w:rFonts w:ascii="Times New Roman" w:hAnsi="Times New Roman" w:eastAsia="Times New Roman" w:cs="Times New Roman"/>
          <w:color w:val="auto"/>
          <w:sz w:val="22"/>
          <w:szCs w:val="22"/>
        </w:rPr>
        <w:t>4.1.1. Nanoemulsion preparation………………………………………………..29</w:t>
      </w:r>
    </w:p>
    <w:p>
      <w:pPr>
        <w:spacing w:after="0" w:line="287" w:lineRule="exact"/>
        <w:rPr>
          <w:color w:val="auto"/>
          <w:sz w:val="20"/>
          <w:szCs w:val="20"/>
        </w:rPr>
      </w:pPr>
    </w:p>
    <w:p>
      <w:pPr>
        <w:spacing w:after="0"/>
        <w:ind w:left="1800"/>
        <w:rPr>
          <w:color w:val="auto"/>
          <w:sz w:val="20"/>
          <w:szCs w:val="20"/>
        </w:rPr>
      </w:pPr>
      <w:r>
        <w:rPr>
          <w:rFonts w:ascii="Times New Roman" w:hAnsi="Times New Roman" w:eastAsia="Times New Roman" w:cs="Times New Roman"/>
          <w:color w:val="auto"/>
          <w:sz w:val="22"/>
          <w:szCs w:val="22"/>
        </w:rPr>
        <w:t>4.1.2. Particle characterization…………………………………………………..31</w:t>
      </w:r>
    </w:p>
    <w:p>
      <w:pPr>
        <w:spacing w:after="0" w:line="287"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2"/>
          <w:szCs w:val="22"/>
        </w:rPr>
        <w:t>4.2. In vitro Bioaccessibility……………………………………………………………..31</w:t>
      </w:r>
    </w:p>
    <w:p>
      <w:pPr>
        <w:spacing w:after="0" w:line="287" w:lineRule="exact"/>
        <w:rPr>
          <w:color w:val="auto"/>
          <w:sz w:val="20"/>
          <w:szCs w:val="20"/>
        </w:rPr>
      </w:pPr>
    </w:p>
    <w:p>
      <w:pPr>
        <w:spacing w:after="0"/>
        <w:ind w:left="1800"/>
        <w:rPr>
          <w:color w:val="auto"/>
          <w:sz w:val="20"/>
          <w:szCs w:val="20"/>
        </w:rPr>
      </w:pPr>
      <w:r>
        <w:rPr>
          <w:rFonts w:ascii="Times New Roman" w:hAnsi="Times New Roman" w:eastAsia="Times New Roman" w:cs="Times New Roman"/>
          <w:color w:val="auto"/>
          <w:sz w:val="22"/>
          <w:szCs w:val="22"/>
        </w:rPr>
        <w:t>4.2.1. Simulated gastrointestinal model…………………………………………31</w:t>
      </w:r>
    </w:p>
    <w:p>
      <w:pPr>
        <w:spacing w:after="0" w:line="285" w:lineRule="exact"/>
        <w:rPr>
          <w:color w:val="auto"/>
          <w:sz w:val="20"/>
          <w:szCs w:val="20"/>
        </w:rPr>
      </w:pPr>
    </w:p>
    <w:p>
      <w:pPr>
        <w:spacing w:after="0"/>
        <w:ind w:left="2520"/>
        <w:rPr>
          <w:color w:val="auto"/>
          <w:sz w:val="20"/>
          <w:szCs w:val="20"/>
        </w:rPr>
      </w:pPr>
      <w:r>
        <w:rPr>
          <w:rFonts w:ascii="Times New Roman" w:hAnsi="Times New Roman" w:eastAsia="Times New Roman" w:cs="Times New Roman"/>
          <w:color w:val="auto"/>
          <w:sz w:val="22"/>
          <w:szCs w:val="22"/>
        </w:rPr>
        <w:t>4.2.1.1. Mouth phase……………………………………………………31</w:t>
      </w:r>
    </w:p>
    <w:p>
      <w:pPr>
        <w:spacing w:after="0" w:line="287" w:lineRule="exact"/>
        <w:rPr>
          <w:color w:val="auto"/>
          <w:sz w:val="20"/>
          <w:szCs w:val="20"/>
        </w:rPr>
      </w:pPr>
    </w:p>
    <w:p>
      <w:pPr>
        <w:spacing w:after="0"/>
        <w:ind w:left="2520"/>
        <w:rPr>
          <w:color w:val="auto"/>
          <w:sz w:val="20"/>
          <w:szCs w:val="20"/>
        </w:rPr>
      </w:pPr>
      <w:r>
        <w:rPr>
          <w:rFonts w:ascii="Times New Roman" w:hAnsi="Times New Roman" w:eastAsia="Times New Roman" w:cs="Times New Roman"/>
          <w:color w:val="auto"/>
          <w:sz w:val="22"/>
          <w:szCs w:val="22"/>
        </w:rPr>
        <w:t>4.2.1.2. Gastric phase…………………………………………………...32</w:t>
      </w:r>
    </w:p>
    <w:p>
      <w:pPr>
        <w:spacing w:after="0" w:line="287" w:lineRule="exact"/>
        <w:rPr>
          <w:color w:val="auto"/>
          <w:sz w:val="20"/>
          <w:szCs w:val="20"/>
        </w:rPr>
      </w:pPr>
    </w:p>
    <w:p>
      <w:pPr>
        <w:spacing w:after="0"/>
        <w:ind w:left="2520"/>
        <w:rPr>
          <w:color w:val="auto"/>
          <w:sz w:val="20"/>
          <w:szCs w:val="20"/>
        </w:rPr>
      </w:pPr>
      <w:r>
        <w:rPr>
          <w:rFonts w:ascii="Times New Roman" w:hAnsi="Times New Roman" w:eastAsia="Times New Roman" w:cs="Times New Roman"/>
          <w:color w:val="auto"/>
          <w:sz w:val="22"/>
          <w:szCs w:val="22"/>
        </w:rPr>
        <w:t>4.2.1.3. Small intestine phase…………………………………………..32</w:t>
      </w:r>
    </w:p>
    <w:p>
      <w:pPr>
        <w:spacing w:after="0" w:line="287" w:lineRule="exact"/>
        <w:rPr>
          <w:color w:val="auto"/>
          <w:sz w:val="20"/>
          <w:szCs w:val="20"/>
        </w:rPr>
      </w:pPr>
    </w:p>
    <w:p>
      <w:pPr>
        <w:spacing w:after="0"/>
        <w:ind w:left="1800"/>
        <w:rPr>
          <w:color w:val="auto"/>
          <w:sz w:val="20"/>
          <w:szCs w:val="20"/>
        </w:rPr>
      </w:pPr>
      <w:r>
        <w:rPr>
          <w:rFonts w:ascii="Times New Roman" w:hAnsi="Times New Roman" w:eastAsia="Times New Roman" w:cs="Times New Roman"/>
          <w:color w:val="auto"/>
          <w:sz w:val="22"/>
          <w:szCs w:val="22"/>
        </w:rPr>
        <w:t>4.2.2. Relative Bioaccessibility………………………………………………….33</w:t>
      </w:r>
    </w:p>
    <w:p>
      <w:pPr>
        <w:spacing w:after="0" w:line="285"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2"/>
          <w:szCs w:val="22"/>
        </w:rPr>
        <w:t>4.3. Animal study………………………………………………………………………...34</w:t>
      </w:r>
    </w:p>
    <w:p>
      <w:pPr>
        <w:spacing w:after="0" w:line="286" w:lineRule="exact"/>
        <w:rPr>
          <w:color w:val="auto"/>
          <w:sz w:val="20"/>
          <w:szCs w:val="20"/>
        </w:rPr>
      </w:pPr>
    </w:p>
    <w:p>
      <w:pPr>
        <w:spacing w:after="0"/>
        <w:ind w:left="1800"/>
        <w:rPr>
          <w:color w:val="auto"/>
          <w:sz w:val="20"/>
          <w:szCs w:val="20"/>
        </w:rPr>
      </w:pPr>
      <w:r>
        <w:rPr>
          <w:rFonts w:ascii="Times New Roman" w:hAnsi="Times New Roman" w:eastAsia="Times New Roman" w:cs="Times New Roman"/>
          <w:color w:val="auto"/>
          <w:sz w:val="22"/>
          <w:szCs w:val="22"/>
        </w:rPr>
        <w:t>4.3.1. Measurement of serum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………………………………………..34</w:t>
      </w:r>
    </w:p>
    <w:p>
      <w:pPr>
        <w:spacing w:after="0" w:line="287" w:lineRule="exact"/>
        <w:rPr>
          <w:color w:val="auto"/>
          <w:sz w:val="20"/>
          <w:szCs w:val="20"/>
        </w:rPr>
      </w:pPr>
    </w:p>
    <w:p>
      <w:pPr>
        <w:spacing w:after="0"/>
        <w:ind w:left="1800"/>
        <w:rPr>
          <w:color w:val="auto"/>
          <w:sz w:val="20"/>
          <w:szCs w:val="20"/>
        </w:rPr>
      </w:pPr>
      <w:r>
        <w:rPr>
          <w:rFonts w:ascii="Times New Roman" w:hAnsi="Times New Roman" w:eastAsia="Times New Roman" w:cs="Times New Roman"/>
          <w:color w:val="auto"/>
          <w:sz w:val="22"/>
          <w:szCs w:val="22"/>
        </w:rPr>
        <w:t>4.3.2 Quantitative real-time PCR ……………………………………………….34</w:t>
      </w:r>
    </w:p>
    <w:p>
      <w:pPr>
        <w:spacing w:after="0" w:line="287"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2"/>
          <w:szCs w:val="22"/>
        </w:rPr>
        <w:t>4.4. Statistical analysis …………………………………………………………………..36</w:t>
      </w:r>
    </w:p>
    <w:p>
      <w:pPr>
        <w:spacing w:after="0" w:line="28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5. RESULTS ……………………………………………………………………………………..37</w:t>
      </w:r>
    </w:p>
    <w:p>
      <w:pPr>
        <w:spacing w:after="0" w:line="200" w:lineRule="exact"/>
        <w:rPr>
          <w:color w:val="auto"/>
          <w:sz w:val="20"/>
          <w:szCs w:val="20"/>
        </w:rPr>
      </w:pPr>
    </w:p>
    <w:p>
      <w:pPr>
        <w:spacing w:after="0" w:line="212"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2"/>
          <w:szCs w:val="22"/>
        </w:rPr>
        <w:t>5.1. Particle characteristics of the emulsion ……………………………………………..37</w:t>
      </w:r>
    </w:p>
    <w:p>
      <w:pPr>
        <w:spacing w:after="0" w:line="284"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2"/>
          <w:szCs w:val="22"/>
        </w:rPr>
        <w:t xml:space="preserve">5.2. In </w:t>
      </w:r>
      <w:r>
        <w:rPr>
          <w:rFonts w:ascii="Times New Roman" w:hAnsi="Times New Roman" w:eastAsia="Times New Roman" w:cs="Times New Roman"/>
          <w:i/>
          <w:iCs/>
          <w:color w:val="auto"/>
          <w:sz w:val="22"/>
          <w:szCs w:val="22"/>
        </w:rPr>
        <w:t>vitro</w:t>
      </w:r>
      <w:r>
        <w:rPr>
          <w:rFonts w:ascii="Times New Roman" w:hAnsi="Times New Roman" w:eastAsia="Times New Roman" w:cs="Times New Roman"/>
          <w:color w:val="auto"/>
          <w:sz w:val="22"/>
          <w:szCs w:val="22"/>
        </w:rPr>
        <w:t xml:space="preserve"> lipid digestion and vitamin D Bioaccessibility …………………………….41</w:t>
      </w:r>
    </w:p>
    <w:p>
      <w:pPr>
        <w:spacing w:after="0" w:line="287"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2"/>
          <w:szCs w:val="22"/>
        </w:rPr>
        <w:t xml:space="preserve">5.3. In </w:t>
      </w:r>
      <w:r>
        <w:rPr>
          <w:rFonts w:ascii="Times New Roman" w:hAnsi="Times New Roman" w:eastAsia="Times New Roman" w:cs="Times New Roman"/>
          <w:i/>
          <w:iCs/>
          <w:color w:val="auto"/>
          <w:sz w:val="22"/>
          <w:szCs w:val="22"/>
        </w:rPr>
        <w:t>vivo</w:t>
      </w:r>
      <w:r>
        <w:rPr>
          <w:rFonts w:ascii="Times New Roman" w:hAnsi="Times New Roman" w:eastAsia="Times New Roman" w:cs="Times New Roman"/>
          <w:color w:val="auto"/>
          <w:sz w:val="22"/>
          <w:szCs w:val="22"/>
        </w:rPr>
        <w:t xml:space="preserve"> vitamin D Bioavailability …………………………………………………...44</w:t>
      </w:r>
    </w:p>
    <w:p>
      <w:pPr>
        <w:spacing w:after="0" w:line="288"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2"/>
          <w:szCs w:val="22"/>
        </w:rPr>
        <w:t>5.4. The expression of vitamin D metabolically-related genes ………………………….45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4" w:lineRule="exact"/>
        <w:rPr>
          <w:color w:val="auto"/>
          <w:sz w:val="20"/>
          <w:szCs w:val="20"/>
        </w:rPr>
      </w:pPr>
    </w:p>
    <w:p>
      <w:pPr>
        <w:numPr>
          <w:ilvl w:val="0"/>
          <w:numId w:val="2"/>
        </w:numPr>
        <w:tabs>
          <w:tab w:val="left" w:pos="580"/>
        </w:tabs>
        <w:spacing w:after="0"/>
        <w:ind w:left="580" w:hanging="22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DISCUSSION …………………………………………………………………………………48</w:t>
      </w:r>
    </w:p>
    <w:p>
      <w:pPr>
        <w:spacing w:after="0" w:line="200" w:lineRule="exact"/>
        <w:rPr>
          <w:rFonts w:ascii="Times New Roman" w:hAnsi="Times New Roman" w:eastAsia="Times New Roman" w:cs="Times New Roman"/>
          <w:color w:val="auto"/>
          <w:sz w:val="22"/>
          <w:szCs w:val="22"/>
        </w:rPr>
      </w:pPr>
    </w:p>
    <w:p>
      <w:pPr>
        <w:spacing w:after="0" w:line="211" w:lineRule="exact"/>
        <w:rPr>
          <w:rFonts w:ascii="Times New Roman" w:hAnsi="Times New Roman" w:eastAsia="Times New Roman" w:cs="Times New Roman"/>
          <w:color w:val="auto"/>
          <w:sz w:val="22"/>
          <w:szCs w:val="22"/>
        </w:rPr>
      </w:pPr>
    </w:p>
    <w:p>
      <w:pPr>
        <w:numPr>
          <w:ilvl w:val="0"/>
          <w:numId w:val="2"/>
        </w:numPr>
        <w:tabs>
          <w:tab w:val="left" w:pos="581"/>
        </w:tabs>
        <w:spacing w:after="0" w:line="732" w:lineRule="auto"/>
        <w:ind w:left="360" w:right="380"/>
        <w:jc w:val="both"/>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3"/>
          <w:szCs w:val="23"/>
        </w:rPr>
        <w:t>SUMMARY &amp; CONCLUSIONS</w:t>
      </w:r>
      <w:r>
        <w:rPr>
          <w:rFonts w:ascii="Times New Roman" w:hAnsi="Times New Roman" w:eastAsia="Times New Roman" w:cs="Times New Roman"/>
          <w:color w:val="auto"/>
          <w:sz w:val="21"/>
          <w:szCs w:val="21"/>
        </w:rPr>
        <w:t>…………………………………………………………..50 BIBLIOGRAPHY………………………………………………………………………………...51</w:t>
      </w:r>
    </w:p>
    <w:p>
      <w:pPr>
        <w:sectPr>
          <w:pgSz w:w="12240" w:h="15840"/>
          <w:pgMar w:top="1416" w:right="1440" w:bottom="155" w:left="1440" w:header="0" w:footer="0" w:gutter="0"/>
          <w:cols w:equalWidth="0" w:num="1">
            <w:col w:w="9360"/>
          </w:cols>
        </w:sectPr>
      </w:pPr>
    </w:p>
    <w:p>
      <w:pPr>
        <w:spacing w:after="0" w:line="91" w:lineRule="exact"/>
        <w:rPr>
          <w:color w:val="auto"/>
          <w:sz w:val="20"/>
          <w:szCs w:val="20"/>
        </w:rPr>
      </w:pPr>
    </w:p>
    <w:p>
      <w:pPr>
        <w:spacing w:after="0"/>
        <w:jc w:val="center"/>
        <w:rPr>
          <w:color w:val="auto"/>
          <w:sz w:val="20"/>
          <w:szCs w:val="20"/>
        </w:rPr>
      </w:pPr>
      <w:r>
        <w:rPr>
          <w:rFonts w:ascii="Cambria" w:hAnsi="Cambria" w:eastAsia="Cambria" w:cs="Cambria"/>
          <w:color w:val="auto"/>
          <w:sz w:val="20"/>
          <w:szCs w:val="20"/>
        </w:rPr>
        <w:t>viii</w:t>
      </w:r>
    </w:p>
    <w:p>
      <w:pPr>
        <w:sectPr>
          <w:type w:val="continuous"/>
          <w:pgSz w:w="12240" w:h="15840"/>
          <w:pgMar w:top="1416" w:right="1440" w:bottom="155" w:left="1440" w:header="0" w:footer="0" w:gutter="0"/>
          <w:cols w:equalWidth="0" w:num="1">
            <w:col w:w="9360"/>
          </w:cols>
        </w:sectPr>
      </w:pPr>
    </w:p>
    <w:p>
      <w:pPr>
        <w:spacing w:after="0" w:line="200" w:lineRule="exact"/>
        <w:rPr>
          <w:color w:val="auto"/>
          <w:sz w:val="20"/>
          <w:szCs w:val="20"/>
        </w:rPr>
      </w:pPr>
      <w:bookmarkStart w:id="3" w:name="page10"/>
      <w:bookmarkEnd w:id="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LIST OF TABLES</w:t>
      </w:r>
    </w:p>
    <w:p>
      <w:pPr>
        <w:spacing w:after="0" w:line="200" w:lineRule="exact"/>
        <w:rPr>
          <w:color w:val="auto"/>
          <w:sz w:val="20"/>
          <w:szCs w:val="20"/>
        </w:rPr>
      </w:pPr>
    </w:p>
    <w:p>
      <w:pPr>
        <w:spacing w:after="0" w:line="374" w:lineRule="exact"/>
        <w:rPr>
          <w:color w:val="auto"/>
          <w:sz w:val="20"/>
          <w:szCs w:val="20"/>
        </w:rPr>
      </w:pPr>
    </w:p>
    <w:p>
      <w:pPr>
        <w:tabs>
          <w:tab w:val="left" w:pos="8440"/>
        </w:tabs>
        <w:spacing w:after="0"/>
        <w:ind w:left="360"/>
        <w:rPr>
          <w:color w:val="auto"/>
          <w:sz w:val="20"/>
          <w:szCs w:val="20"/>
        </w:rPr>
      </w:pPr>
      <w:r>
        <w:rPr>
          <w:rFonts w:ascii="Times New Roman" w:hAnsi="Times New Roman" w:eastAsia="Times New Roman" w:cs="Times New Roman"/>
          <w:b/>
          <w:bCs/>
          <w:color w:val="auto"/>
          <w:sz w:val="24"/>
          <w:szCs w:val="24"/>
        </w:rPr>
        <w:t>Table</w:t>
      </w:r>
      <w:r>
        <w:rPr>
          <w:color w:val="auto"/>
          <w:sz w:val="20"/>
          <w:szCs w:val="20"/>
        </w:rPr>
        <w:tab/>
      </w:r>
      <w:r>
        <w:rPr>
          <w:rFonts w:ascii="Times New Roman" w:hAnsi="Times New Roman" w:eastAsia="Times New Roman" w:cs="Times New Roman"/>
          <w:b/>
          <w:bCs/>
          <w:color w:val="auto"/>
          <w:sz w:val="24"/>
          <w:szCs w:val="24"/>
        </w:rPr>
        <w:t>Page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0" w:lineRule="exact"/>
        <w:rPr>
          <w:color w:val="auto"/>
          <w:sz w:val="20"/>
          <w:szCs w:val="20"/>
        </w:rPr>
      </w:pPr>
    </w:p>
    <w:p>
      <w:pPr>
        <w:spacing w:after="0"/>
        <w:jc w:val="center"/>
        <w:rPr>
          <w:color w:val="auto"/>
          <w:sz w:val="20"/>
          <w:szCs w:val="20"/>
        </w:rPr>
      </w:pPr>
      <w:r>
        <w:rPr>
          <w:rFonts w:ascii="Cambria" w:hAnsi="Cambria" w:eastAsia="Cambria" w:cs="Cambria"/>
          <w:color w:val="auto"/>
          <w:sz w:val="22"/>
          <w:szCs w:val="22"/>
        </w:rPr>
        <w:t>ix</w:t>
      </w:r>
    </w:p>
    <w:p>
      <w:pPr>
        <w:sectPr>
          <w:pgSz w:w="12240" w:h="15840"/>
          <w:pgMar w:top="1440" w:right="1440" w:bottom="155" w:left="1440" w:header="0" w:footer="0" w:gutter="0"/>
          <w:cols w:equalWidth="0" w:num="1">
            <w:col w:w="9360"/>
          </w:cols>
        </w:sectPr>
      </w:pPr>
    </w:p>
    <w:p>
      <w:pPr>
        <w:spacing w:after="0"/>
        <w:ind w:left="360"/>
        <w:rPr>
          <w:color w:val="auto"/>
          <w:sz w:val="20"/>
          <w:szCs w:val="20"/>
        </w:rPr>
      </w:pPr>
      <w:bookmarkStart w:id="4" w:name="page11"/>
      <w:bookmarkEnd w:id="4"/>
      <w:r>
        <w:rPr>
          <w:rFonts w:ascii="Times New Roman" w:hAnsi="Times New Roman" w:eastAsia="Times New Roman" w:cs="Times New Roman"/>
          <w:color w:val="auto"/>
          <w:sz w:val="22"/>
          <w:szCs w:val="22"/>
        </w:rPr>
        <w:t>4.1. PCR primer sequences for real-time PCR analysis…………………………………………..35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LIST OF FIGURES</w:t>
      </w:r>
    </w:p>
    <w:p>
      <w:pPr>
        <w:spacing w:after="0" w:line="200" w:lineRule="exact"/>
        <w:rPr>
          <w:color w:val="auto"/>
          <w:sz w:val="20"/>
          <w:szCs w:val="20"/>
        </w:rPr>
      </w:pPr>
    </w:p>
    <w:p>
      <w:pPr>
        <w:spacing w:after="0" w:line="374" w:lineRule="exact"/>
        <w:rPr>
          <w:color w:val="auto"/>
          <w:sz w:val="20"/>
          <w:szCs w:val="20"/>
        </w:rPr>
      </w:pPr>
    </w:p>
    <w:p>
      <w:pPr>
        <w:tabs>
          <w:tab w:val="left" w:pos="8440"/>
        </w:tabs>
        <w:spacing w:after="0"/>
        <w:ind w:left="360"/>
        <w:rPr>
          <w:color w:val="auto"/>
          <w:sz w:val="20"/>
          <w:szCs w:val="20"/>
        </w:rPr>
      </w:pPr>
      <w:r>
        <w:rPr>
          <w:rFonts w:ascii="Times New Roman" w:hAnsi="Times New Roman" w:eastAsia="Times New Roman" w:cs="Times New Roman"/>
          <w:b/>
          <w:bCs/>
          <w:color w:val="auto"/>
          <w:sz w:val="24"/>
          <w:szCs w:val="24"/>
        </w:rPr>
        <w:t>Figure</w:t>
      </w:r>
      <w:r>
        <w:rPr>
          <w:color w:val="auto"/>
          <w:sz w:val="20"/>
          <w:szCs w:val="20"/>
        </w:rPr>
        <w:tab/>
      </w:r>
      <w:r>
        <w:rPr>
          <w:rFonts w:ascii="Times New Roman" w:hAnsi="Times New Roman" w:eastAsia="Times New Roman" w:cs="Times New Roman"/>
          <w:b/>
          <w:bCs/>
          <w:color w:val="auto"/>
          <w:sz w:val="24"/>
          <w:szCs w:val="24"/>
        </w:rPr>
        <w:t>Page</w:t>
      </w:r>
    </w:p>
    <w:p>
      <w:pPr>
        <w:spacing w:after="0" w:line="200" w:lineRule="exact"/>
        <w:rPr>
          <w:color w:val="auto"/>
          <w:sz w:val="20"/>
          <w:szCs w:val="20"/>
        </w:rPr>
      </w:pPr>
    </w:p>
    <w:p>
      <w:pPr>
        <w:spacing w:after="0" w:line="23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2.1. Schematic mechanism of the vitamin D metabolism………………………………………….9</w:t>
      </w:r>
    </w:p>
    <w:p>
      <w:pPr>
        <w:sectPr>
          <w:pgSz w:w="12240" w:h="15840"/>
          <w:pgMar w:top="1416" w:right="1440" w:bottom="155" w:left="1440" w:header="0" w:footer="0" w:gutter="0"/>
          <w:cols w:equalWidth="0" w:num="1">
            <w:col w:w="9360"/>
          </w:cols>
        </w:sectPr>
      </w:pPr>
    </w:p>
    <w:p>
      <w:pPr>
        <w:spacing w:after="0" w:line="200" w:lineRule="exact"/>
        <w:rPr>
          <w:color w:val="auto"/>
          <w:sz w:val="20"/>
          <w:szCs w:val="20"/>
        </w:rPr>
      </w:pPr>
    </w:p>
    <w:p>
      <w:pPr>
        <w:spacing w:after="0" w:line="315" w:lineRule="exact"/>
        <w:rPr>
          <w:color w:val="auto"/>
          <w:sz w:val="20"/>
          <w:szCs w:val="20"/>
        </w:rPr>
      </w:pPr>
    </w:p>
    <w:p>
      <w:pPr>
        <w:spacing w:after="0"/>
        <w:jc w:val="center"/>
        <w:rPr>
          <w:color w:val="auto"/>
          <w:sz w:val="20"/>
          <w:szCs w:val="20"/>
        </w:rPr>
      </w:pPr>
      <w:r>
        <w:rPr>
          <w:rFonts w:ascii="Cambria" w:hAnsi="Cambria" w:eastAsia="Cambria" w:cs="Cambria"/>
          <w:color w:val="auto"/>
          <w:sz w:val="22"/>
          <w:szCs w:val="22"/>
        </w:rPr>
        <w:t>x</w:t>
      </w:r>
    </w:p>
    <w:p>
      <w:pPr>
        <w:sectPr>
          <w:type w:val="continuous"/>
          <w:pgSz w:w="12240" w:h="15840"/>
          <w:pgMar w:top="1416" w:right="1440" w:bottom="155" w:left="1440" w:header="0" w:footer="0" w:gutter="0"/>
          <w:cols w:equalWidth="0" w:num="1">
            <w:col w:w="9360"/>
          </w:cols>
        </w:sectPr>
      </w:pPr>
    </w:p>
    <w:p>
      <w:pPr>
        <w:spacing w:after="0" w:line="511" w:lineRule="auto"/>
        <w:ind w:left="360" w:right="360"/>
        <w:jc w:val="both"/>
        <w:rPr>
          <w:color w:val="auto"/>
          <w:sz w:val="20"/>
          <w:szCs w:val="20"/>
        </w:rPr>
      </w:pPr>
      <w:bookmarkStart w:id="5" w:name="page12"/>
      <w:bookmarkEnd w:id="5"/>
      <w:r>
        <w:rPr>
          <w:rFonts w:ascii="Times New Roman" w:hAnsi="Times New Roman" w:eastAsia="Times New Roman" w:cs="Times New Roman"/>
          <w:color w:val="auto"/>
          <w:sz w:val="22"/>
          <w:szCs w:val="22"/>
        </w:rPr>
        <w:t>2.2. Schematic representation of the mechanism of</w:t>
      </w:r>
      <w:r>
        <w:rPr>
          <w:color w:val="auto"/>
          <w:sz w:val="20"/>
          <w:szCs w:val="20"/>
        </w:rPr>
        <w:t xml:space="preserve"> </w:t>
      </w:r>
      <w:r>
        <w:rPr>
          <w:rFonts w:ascii="Times New Roman" w:hAnsi="Times New Roman" w:eastAsia="Times New Roman" w:cs="Times New Roman"/>
          <w:color w:val="auto"/>
          <w:sz w:val="22"/>
          <w:szCs w:val="22"/>
        </w:rPr>
        <w:t>component uptake by the small intestine cells……………………………………………………………………………………………….24</w:t>
      </w:r>
    </w:p>
    <w:p>
      <w:pPr>
        <w:spacing w:after="0" w:line="9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4.1. Process of making oil-in-water nanoemulsion………………………………………….........30</w:t>
      </w:r>
    </w:p>
    <w:p>
      <w:pPr>
        <w:spacing w:after="0" w:line="200" w:lineRule="exact"/>
        <w:rPr>
          <w:color w:val="auto"/>
          <w:sz w:val="20"/>
          <w:szCs w:val="20"/>
        </w:rPr>
      </w:pPr>
    </w:p>
    <w:p>
      <w:pPr>
        <w:spacing w:after="0" w:line="217" w:lineRule="exact"/>
        <w:rPr>
          <w:color w:val="auto"/>
          <w:sz w:val="20"/>
          <w:szCs w:val="20"/>
        </w:rPr>
      </w:pPr>
    </w:p>
    <w:p>
      <w:pPr>
        <w:spacing w:after="0" w:line="494" w:lineRule="auto"/>
        <w:ind w:left="360" w:right="360"/>
        <w:jc w:val="both"/>
        <w:rPr>
          <w:color w:val="auto"/>
          <w:sz w:val="20"/>
          <w:szCs w:val="20"/>
        </w:rPr>
      </w:pPr>
      <w:r>
        <w:rPr>
          <w:rFonts w:ascii="Times New Roman" w:hAnsi="Times New Roman" w:eastAsia="Times New Roman" w:cs="Times New Roman"/>
          <w:color w:val="auto"/>
          <w:sz w:val="22"/>
          <w:szCs w:val="22"/>
        </w:rPr>
        <w:t xml:space="preserve">5.1. Influence of gastrointestinal tract (GIT) phases and emusion types on the mean particle diameter (d32) of cholecalciferol-enriched oil-in water emulsions determined by an in </w:t>
      </w:r>
      <w:r>
        <w:rPr>
          <w:rFonts w:ascii="Times New Roman" w:hAnsi="Times New Roman" w:eastAsia="Times New Roman" w:cs="Times New Roman"/>
          <w:i/>
          <w:iCs/>
          <w:color w:val="auto"/>
          <w:sz w:val="22"/>
          <w:szCs w:val="22"/>
        </w:rPr>
        <w:t>vitro</w:t>
      </w:r>
      <w:r>
        <w:rPr>
          <w:rFonts w:ascii="Times New Roman" w:hAnsi="Times New Roman" w:eastAsia="Times New Roman" w:cs="Times New Roman"/>
          <w:color w:val="auto"/>
          <w:sz w:val="22"/>
          <w:szCs w:val="22"/>
        </w:rPr>
        <w:t xml:space="preserve"> simulated GIT…………………………………………………………………………………….38</w:t>
      </w:r>
    </w:p>
    <w:p>
      <w:pPr>
        <w:spacing w:after="0" w:line="115" w:lineRule="exact"/>
        <w:rPr>
          <w:color w:val="auto"/>
          <w:sz w:val="20"/>
          <w:szCs w:val="20"/>
        </w:rPr>
      </w:pPr>
    </w:p>
    <w:p>
      <w:pPr>
        <w:spacing w:after="0" w:line="496" w:lineRule="auto"/>
        <w:ind w:left="360" w:right="360"/>
        <w:jc w:val="both"/>
        <w:rPr>
          <w:color w:val="auto"/>
          <w:sz w:val="20"/>
          <w:szCs w:val="20"/>
        </w:rPr>
      </w:pPr>
      <w:r>
        <w:rPr>
          <w:rFonts w:ascii="Times New Roman" w:hAnsi="Times New Roman" w:eastAsia="Times New Roman" w:cs="Times New Roman"/>
          <w:color w:val="auto"/>
          <w:sz w:val="22"/>
          <w:szCs w:val="22"/>
        </w:rPr>
        <w:t xml:space="preserve">5.2. Influence of gastrointestinal tract (GIT) phases and emusion types on particle charge (ζ-potential) of cholecalciferol-enriched oil-in water emulsions determined by an in </w:t>
      </w:r>
      <w:r>
        <w:rPr>
          <w:rFonts w:ascii="Times New Roman" w:hAnsi="Times New Roman" w:eastAsia="Times New Roman" w:cs="Times New Roman"/>
          <w:i/>
          <w:iCs/>
          <w:color w:val="auto"/>
          <w:sz w:val="22"/>
          <w:szCs w:val="22"/>
        </w:rPr>
        <w:t>vitro</w:t>
      </w:r>
      <w:r>
        <w:rPr>
          <w:rFonts w:ascii="Times New Roman" w:hAnsi="Times New Roman" w:eastAsia="Times New Roman" w:cs="Times New Roman"/>
          <w:color w:val="auto"/>
          <w:sz w:val="22"/>
          <w:szCs w:val="22"/>
        </w:rPr>
        <w:t xml:space="preserve"> simulated GIT………………………………………………………………………………………………..39</w:t>
      </w:r>
    </w:p>
    <w:p>
      <w:pPr>
        <w:spacing w:after="0" w:line="109" w:lineRule="exact"/>
        <w:rPr>
          <w:color w:val="auto"/>
          <w:sz w:val="20"/>
          <w:szCs w:val="20"/>
        </w:rPr>
      </w:pPr>
    </w:p>
    <w:p>
      <w:pPr>
        <w:spacing w:after="0" w:line="487" w:lineRule="auto"/>
        <w:ind w:left="360" w:right="360"/>
        <w:jc w:val="both"/>
        <w:rPr>
          <w:color w:val="auto"/>
          <w:sz w:val="20"/>
          <w:szCs w:val="20"/>
        </w:rPr>
      </w:pPr>
      <w:r>
        <w:rPr>
          <w:rFonts w:ascii="Times New Roman" w:hAnsi="Times New Roman" w:eastAsia="Times New Roman" w:cs="Times New Roman"/>
          <w:color w:val="auto"/>
          <w:sz w:val="22"/>
          <w:szCs w:val="22"/>
        </w:rPr>
        <w:t>5.3. Impact of emuslion types on physical homogeneity of cholecalciferol-enriched oil-in-water emulsion. The percentage on the figure are coefficient of variation for physical chracteristics in each group. A) Homogeneity of particle size. Due to significantly high particle size for the coarse emulsion, the particle size was normalized to the mean for comparison on the figure. B) Homogeneity of particle charge. C) Digital photographs at different stages of the GIT................41</w:t>
      </w:r>
    </w:p>
    <w:p>
      <w:pPr>
        <w:spacing w:after="0" w:line="12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5.4. Release of FFA from emulsions under simulated small intestine conditions………………..42</w:t>
      </w:r>
    </w:p>
    <w:p>
      <w:pPr>
        <w:spacing w:after="0" w:line="200" w:lineRule="exact"/>
        <w:rPr>
          <w:color w:val="auto"/>
          <w:sz w:val="20"/>
          <w:szCs w:val="20"/>
        </w:rPr>
      </w:pPr>
    </w:p>
    <w:p>
      <w:pPr>
        <w:spacing w:after="0" w:line="21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5.5.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concentration in raw digesta and the mixed micelles of the simulated GIT system.</w:t>
      </w:r>
    </w:p>
    <w:p>
      <w:pPr>
        <w:spacing w:after="0" w:line="253" w:lineRule="exact"/>
        <w:rPr>
          <w:color w:val="auto"/>
          <w:sz w:val="20"/>
          <w:szCs w:val="20"/>
        </w:rPr>
      </w:pPr>
    </w:p>
    <w:p>
      <w:pPr>
        <w:numPr>
          <w:ilvl w:val="0"/>
          <w:numId w:val="3"/>
        </w:numPr>
        <w:tabs>
          <w:tab w:val="left" w:pos="643"/>
        </w:tabs>
        <w:spacing w:after="0" w:line="496" w:lineRule="auto"/>
        <w:ind w:left="360" w:right="360"/>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The concentartion of vitamin D in the raw digesta and B) The concentartion of vitamin D in the mixed micelle C) Coefficient of varaiation of vitamin D concentration in various emulsion groups…………………………………………………………………………………..44</w:t>
      </w:r>
    </w:p>
    <w:p>
      <w:pPr>
        <w:spacing w:after="0" w:line="106" w:lineRule="exact"/>
        <w:rPr>
          <w:color w:val="auto"/>
          <w:sz w:val="20"/>
          <w:szCs w:val="20"/>
        </w:rPr>
      </w:pPr>
    </w:p>
    <w:p>
      <w:pPr>
        <w:spacing w:after="0" w:line="515" w:lineRule="auto"/>
        <w:ind w:left="360" w:right="360"/>
        <w:rPr>
          <w:color w:val="auto"/>
          <w:sz w:val="20"/>
          <w:szCs w:val="20"/>
        </w:rPr>
      </w:pPr>
      <w:r>
        <w:rPr>
          <w:rFonts w:ascii="Times New Roman" w:hAnsi="Times New Roman" w:eastAsia="Times New Roman" w:cs="Times New Roman"/>
          <w:color w:val="auto"/>
          <w:sz w:val="22"/>
          <w:szCs w:val="22"/>
        </w:rPr>
        <w:t xml:space="preserve">5.6. The in </w:t>
      </w:r>
      <w:r>
        <w:rPr>
          <w:rFonts w:ascii="Times New Roman" w:hAnsi="Times New Roman" w:eastAsia="Times New Roman" w:cs="Times New Roman"/>
          <w:i/>
          <w:iCs/>
          <w:color w:val="auto"/>
          <w:sz w:val="22"/>
          <w:szCs w:val="22"/>
        </w:rPr>
        <w:t>vivo</w:t>
      </w:r>
      <w:r>
        <w:rPr>
          <w:rFonts w:ascii="Times New Roman" w:hAnsi="Times New Roman" w:eastAsia="Times New Roman" w:cs="Times New Roman"/>
          <w:color w:val="auto"/>
          <w:sz w:val="22"/>
          <w:szCs w:val="22"/>
        </w:rPr>
        <w:t xml:space="preserve"> bioavailability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A) The concentration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in plasma and B) The coefficient of variation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in plasma………………………………………….45</w:t>
      </w:r>
    </w:p>
    <w:p>
      <w:pPr>
        <w:spacing w:after="0" w:line="89" w:lineRule="exact"/>
        <w:rPr>
          <w:color w:val="auto"/>
          <w:sz w:val="20"/>
          <w:szCs w:val="20"/>
        </w:rPr>
      </w:pPr>
    </w:p>
    <w:p>
      <w:pPr>
        <w:spacing w:after="0" w:line="513" w:lineRule="auto"/>
        <w:ind w:left="360" w:right="360"/>
        <w:rPr>
          <w:color w:val="auto"/>
          <w:sz w:val="20"/>
          <w:szCs w:val="20"/>
        </w:rPr>
      </w:pPr>
      <w:r>
        <w:rPr>
          <w:rFonts w:ascii="Times New Roman" w:hAnsi="Times New Roman" w:eastAsia="Times New Roman" w:cs="Times New Roman"/>
          <w:color w:val="auto"/>
          <w:sz w:val="22"/>
          <w:szCs w:val="22"/>
        </w:rPr>
        <w:t>5.7. Influence of different emulsion types on the expression of vitamin D metabolically related genes. A) The impact on expression of genes in intestinal mucosa B) The impact on expression of</w:t>
      </w:r>
    </w:p>
    <w:p>
      <w:pPr>
        <w:sectPr>
          <w:pgSz w:w="12240" w:h="15840"/>
          <w:pgMar w:top="1419" w:right="1440" w:bottom="155" w:left="1440" w:header="0" w:footer="0" w:gutter="0"/>
          <w:cols w:equalWidth="0" w:num="1">
            <w:col w:w="9360"/>
          </w:cols>
        </w:sectPr>
      </w:pPr>
    </w:p>
    <w:p>
      <w:pPr>
        <w:spacing w:after="0" w:line="200" w:lineRule="exact"/>
        <w:rPr>
          <w:color w:val="auto"/>
          <w:sz w:val="20"/>
          <w:szCs w:val="20"/>
        </w:rPr>
      </w:pPr>
    </w:p>
    <w:p>
      <w:pPr>
        <w:spacing w:after="0" w:line="269" w:lineRule="exact"/>
        <w:rPr>
          <w:color w:val="auto"/>
          <w:sz w:val="20"/>
          <w:szCs w:val="20"/>
        </w:rPr>
      </w:pPr>
    </w:p>
    <w:p>
      <w:pPr>
        <w:spacing w:after="0"/>
        <w:jc w:val="center"/>
        <w:rPr>
          <w:color w:val="auto"/>
          <w:sz w:val="20"/>
          <w:szCs w:val="20"/>
        </w:rPr>
      </w:pPr>
      <w:r>
        <w:rPr>
          <w:rFonts w:ascii="Cambria" w:hAnsi="Cambria" w:eastAsia="Cambria" w:cs="Cambria"/>
          <w:color w:val="auto"/>
          <w:sz w:val="21"/>
          <w:szCs w:val="21"/>
        </w:rPr>
        <w:t>xi</w:t>
      </w:r>
    </w:p>
    <w:p>
      <w:pPr>
        <w:sectPr>
          <w:type w:val="continuous"/>
          <w:pgSz w:w="12240" w:h="15840"/>
          <w:pgMar w:top="1419" w:right="1440" w:bottom="155" w:left="1440" w:header="0" w:footer="0" w:gutter="0"/>
          <w:cols w:equalWidth="0" w:num="1">
            <w:col w:w="9360"/>
          </w:cols>
        </w:sectPr>
      </w:pPr>
    </w:p>
    <w:p>
      <w:pPr>
        <w:spacing w:after="0"/>
        <w:jc w:val="center"/>
        <w:rPr>
          <w:color w:val="auto"/>
          <w:sz w:val="20"/>
          <w:szCs w:val="20"/>
        </w:rPr>
      </w:pPr>
      <w:bookmarkStart w:id="6" w:name="page13"/>
      <w:bookmarkEnd w:id="6"/>
      <w:r>
        <w:rPr>
          <w:rFonts w:ascii="Times New Roman" w:hAnsi="Times New Roman" w:eastAsia="Times New Roman" w:cs="Times New Roman"/>
          <w:color w:val="auto"/>
          <w:sz w:val="22"/>
          <w:szCs w:val="22"/>
        </w:rPr>
        <w:t>genes in liver tissue C) The correlation between the serum vitamin D concentration and gene</w:t>
      </w:r>
    </w:p>
    <w:p>
      <w:pPr>
        <w:spacing w:after="0" w:line="25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expression………………………………………………………………………………………...47</w:t>
      </w:r>
    </w:p>
    <w:p>
      <w:pPr>
        <w:sectPr>
          <w:pgSz w:w="12240" w:h="15840"/>
          <w:pgMar w:top="1419" w:right="1440" w:bottom="155"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jc w:val="center"/>
        <w:rPr>
          <w:color w:val="auto"/>
          <w:sz w:val="20"/>
          <w:szCs w:val="20"/>
        </w:rPr>
      </w:pPr>
      <w:r>
        <w:rPr>
          <w:rFonts w:ascii="Cambria" w:hAnsi="Cambria" w:eastAsia="Cambria" w:cs="Cambria"/>
          <w:color w:val="auto"/>
          <w:sz w:val="22"/>
          <w:szCs w:val="22"/>
        </w:rPr>
        <w:t>xii</w:t>
      </w:r>
    </w:p>
    <w:p>
      <w:pPr>
        <w:sectPr>
          <w:type w:val="continuous"/>
          <w:pgSz w:w="12240" w:h="15840"/>
          <w:pgMar w:top="1419" w:right="1440" w:bottom="155" w:left="1440" w:header="0" w:footer="0" w:gutter="0"/>
          <w:cols w:equalWidth="0" w:num="1">
            <w:col w:w="9360"/>
          </w:cols>
        </w:sectPr>
      </w:pPr>
    </w:p>
    <w:p>
      <w:pPr>
        <w:spacing w:after="0"/>
        <w:jc w:val="center"/>
        <w:rPr>
          <w:color w:val="auto"/>
          <w:sz w:val="20"/>
          <w:szCs w:val="20"/>
        </w:rPr>
      </w:pPr>
      <w:bookmarkStart w:id="7" w:name="page14"/>
      <w:bookmarkEnd w:id="7"/>
      <w:r>
        <w:rPr>
          <w:rFonts w:ascii="Times New Roman" w:hAnsi="Times New Roman" w:eastAsia="Times New Roman" w:cs="Times New Roman"/>
          <w:color w:val="auto"/>
          <w:sz w:val="24"/>
          <w:szCs w:val="24"/>
        </w:rPr>
        <w:t>CHAPTER 1</w:t>
      </w:r>
    </w:p>
    <w:p>
      <w:pPr>
        <w:spacing w:after="0" w:line="200" w:lineRule="exact"/>
        <w:rPr>
          <w:color w:val="auto"/>
          <w:sz w:val="20"/>
          <w:szCs w:val="20"/>
        </w:rPr>
      </w:pPr>
    </w:p>
    <w:p>
      <w:pPr>
        <w:spacing w:after="0" w:line="23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INTRODUCTION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0" w:lineRule="exact"/>
        <w:rPr>
          <w:color w:val="auto"/>
          <w:sz w:val="20"/>
          <w:szCs w:val="20"/>
        </w:rPr>
      </w:pPr>
    </w:p>
    <w:p>
      <w:pPr>
        <w:spacing w:after="0" w:line="479" w:lineRule="auto"/>
        <w:ind w:left="360" w:right="360" w:firstLine="720"/>
        <w:jc w:val="both"/>
        <w:rPr>
          <w:color w:val="auto"/>
          <w:sz w:val="20"/>
          <w:szCs w:val="20"/>
        </w:rPr>
      </w:pPr>
      <w:r>
        <w:rPr>
          <w:rFonts w:ascii="Times New Roman" w:hAnsi="Times New Roman" w:eastAsia="Times New Roman" w:cs="Times New Roman"/>
          <w:color w:val="auto"/>
          <w:sz w:val="22"/>
          <w:szCs w:val="22"/>
        </w:rPr>
        <w:t>Vitamin D is a fat-soluble vitamin that has a wide range of skeletal and non-skeletal functions. It is mainly synthesized in the skin when exposed to sunlight and it is naturally present in a few foods. Even with a fortification of foods, the vitamin D sufficiency has decreased in all age groups in Western countries (Wang et al., 2008). Suboptimal levels of vitamin D not only affect bone mineralization, but it is also related to various chronic diseases, including many types of cancers, particularly colorectal cancer (CRC). Typically, in clinical practice, supplementation is recommended to treat vitamin D deficiency (Holick et al., 2011). Because of its hydrophobic nature, vitamin D has poor solubility and thereby it negatively affects its absorption in the body, which may lead to suboptimal vitamin D status (Grossmann &amp; Tangpricha, 2010).</w:t>
      </w:r>
    </w:p>
    <w:p>
      <w:pPr>
        <w:spacing w:after="0" w:line="8" w:lineRule="exact"/>
        <w:rPr>
          <w:color w:val="auto"/>
          <w:sz w:val="20"/>
          <w:szCs w:val="20"/>
        </w:rPr>
      </w:pPr>
    </w:p>
    <w:p>
      <w:pPr>
        <w:spacing w:after="0" w:line="479" w:lineRule="auto"/>
        <w:ind w:left="360" w:right="360" w:firstLine="720"/>
        <w:jc w:val="both"/>
        <w:rPr>
          <w:color w:val="auto"/>
          <w:sz w:val="20"/>
          <w:szCs w:val="20"/>
        </w:rPr>
      </w:pPr>
      <w:r>
        <w:rPr>
          <w:rFonts w:ascii="Times New Roman" w:hAnsi="Times New Roman" w:eastAsia="Times New Roman" w:cs="Times New Roman"/>
          <w:color w:val="auto"/>
          <w:sz w:val="22"/>
          <w:szCs w:val="22"/>
        </w:rPr>
        <w:t>Recently, due to advancements in nanotechnology, nanoemulsion-based delivery systems have been utilized to efficiently deliver hydrophobic nutrients or dietary bioactive compounds. Nanoemulsion (&lt; 200nm in diameter) is a lipid-based delivery system, in which one immiscible liquid is dispersed in another liquid. In this study,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after being dissolved in corn oil, is dispersed in the aqueous phase (a mixture of buffer and emulsifier) to form an oil-in-water nanoemulsion. It has been reported that lipid-based delivery systems improve solubility, stability, water dispersibility and bioaccessibility of hydrophobic dietary bioactive compounds (Wang et al., 2012) &amp; (Huang, Yu, &amp; Ru, 2010). In the present study, we aim to determine whether the nano-based delivery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enhances the </w:t>
      </w:r>
      <w:r>
        <w:rPr>
          <w:rFonts w:ascii="Times New Roman" w:hAnsi="Times New Roman" w:eastAsia="Times New Roman" w:cs="Times New Roman"/>
          <w:i/>
          <w:iCs/>
          <w:color w:val="auto"/>
          <w:sz w:val="22"/>
          <w:szCs w:val="22"/>
        </w:rPr>
        <w:t>in vitro</w:t>
      </w:r>
      <w:r>
        <w:rPr>
          <w:rFonts w:ascii="Times New Roman" w:hAnsi="Times New Roman" w:eastAsia="Times New Roman" w:cs="Times New Roman"/>
          <w:color w:val="auto"/>
          <w:sz w:val="22"/>
          <w:szCs w:val="22"/>
        </w:rPr>
        <w:t xml:space="preserve"> bioaccessibility when compared to the coarse emulsion (&gt;200nm in diameter) using </w:t>
      </w:r>
      <w:r>
        <w:rPr>
          <w:rFonts w:ascii="Times New Roman" w:hAnsi="Times New Roman" w:eastAsia="Times New Roman" w:cs="Times New Roman"/>
          <w:i/>
          <w:iCs/>
          <w:color w:val="auto"/>
          <w:sz w:val="22"/>
          <w:szCs w:val="22"/>
        </w:rPr>
        <w:t>in vitro</w:t>
      </w:r>
      <w:r>
        <w:rPr>
          <w:rFonts w:ascii="Times New Roman" w:hAnsi="Times New Roman" w:eastAsia="Times New Roman" w:cs="Times New Roman"/>
          <w:color w:val="auto"/>
          <w:sz w:val="22"/>
          <w:szCs w:val="22"/>
        </w:rPr>
        <w:t xml:space="preserve"> simulated gastrointestinal system.</w:t>
      </w:r>
    </w:p>
    <w:p>
      <w:pPr>
        <w:spacing w:after="0" w:line="7" w:lineRule="exact"/>
        <w:rPr>
          <w:color w:val="auto"/>
          <w:sz w:val="20"/>
          <w:szCs w:val="20"/>
        </w:rPr>
      </w:pPr>
    </w:p>
    <w:p>
      <w:pPr>
        <w:spacing w:after="0" w:line="553" w:lineRule="auto"/>
        <w:ind w:left="360" w:right="360" w:firstLine="720"/>
        <w:jc w:val="both"/>
        <w:rPr>
          <w:color w:val="auto"/>
          <w:sz w:val="20"/>
          <w:szCs w:val="20"/>
        </w:rPr>
      </w:pPr>
      <w:r>
        <w:rPr>
          <w:rFonts w:ascii="Times New Roman" w:hAnsi="Times New Roman" w:eastAsia="Times New Roman" w:cs="Times New Roman"/>
          <w:color w:val="auto"/>
          <w:sz w:val="21"/>
          <w:szCs w:val="21"/>
        </w:rPr>
        <w:t xml:space="preserve">A recent </w:t>
      </w:r>
      <w:r>
        <w:rPr>
          <w:rFonts w:ascii="Times New Roman" w:hAnsi="Times New Roman" w:eastAsia="Times New Roman" w:cs="Times New Roman"/>
          <w:i/>
          <w:iCs/>
          <w:color w:val="auto"/>
          <w:sz w:val="21"/>
          <w:szCs w:val="21"/>
        </w:rPr>
        <w:t>in vivo</w:t>
      </w:r>
      <w:r>
        <w:rPr>
          <w:rFonts w:ascii="Times New Roman" w:hAnsi="Times New Roman" w:eastAsia="Times New Roman" w:cs="Times New Roman"/>
          <w:color w:val="auto"/>
          <w:sz w:val="21"/>
          <w:szCs w:val="21"/>
        </w:rPr>
        <w:t xml:space="preserve"> study was performed to evaluate the influence of nanoemulsion on </w:t>
      </w:r>
      <w:r>
        <w:rPr>
          <w:rFonts w:ascii="Times New Roman" w:hAnsi="Times New Roman" w:eastAsia="Times New Roman" w:cs="Times New Roman"/>
          <w:i/>
          <w:iCs/>
          <w:color w:val="auto"/>
          <w:sz w:val="21"/>
          <w:szCs w:val="21"/>
        </w:rPr>
        <w:t>in vivo</w:t>
      </w:r>
      <w:r>
        <w:rPr>
          <w:rFonts w:ascii="Times New Roman" w:hAnsi="Times New Roman" w:eastAsia="Times New Roman" w:cs="Times New Roman"/>
          <w:color w:val="auto"/>
          <w:sz w:val="21"/>
          <w:szCs w:val="21"/>
        </w:rPr>
        <w:t xml:space="preserve"> bioavailability of vitamin D</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1"/>
          <w:szCs w:val="21"/>
        </w:rPr>
        <w:t xml:space="preserve"> by Salvia-Trujillo, et al., 2017. These researchers found a poor </w:t>
      </w:r>
      <w:r>
        <w:rPr>
          <w:rFonts w:ascii="Times New Roman" w:hAnsi="Times New Roman" w:eastAsia="Times New Roman" w:cs="Times New Roman"/>
          <w:i/>
          <w:iCs/>
          <w:color w:val="auto"/>
          <w:sz w:val="21"/>
          <w:szCs w:val="21"/>
        </w:rPr>
        <w:t>in</w:t>
      </w:r>
    </w:p>
    <w:p>
      <w:pPr>
        <w:sectPr>
          <w:pgSz w:w="12240" w:h="15840"/>
          <w:pgMar w:top="1416" w:right="1440" w:bottom="181" w:left="1440" w:header="0" w:footer="0" w:gutter="0"/>
          <w:cols w:equalWidth="0" w:num="1">
            <w:col w:w="9360"/>
          </w:cols>
        </w:sectPr>
      </w:pPr>
    </w:p>
    <w:p>
      <w:pPr>
        <w:spacing w:after="0" w:line="200" w:lineRule="exact"/>
        <w:rPr>
          <w:color w:val="auto"/>
          <w:sz w:val="20"/>
          <w:szCs w:val="20"/>
        </w:rPr>
      </w:pPr>
    </w:p>
    <w:p>
      <w:pPr>
        <w:spacing w:after="0" w:line="36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1</w:t>
      </w:r>
    </w:p>
    <w:p>
      <w:pPr>
        <w:sectPr>
          <w:type w:val="continuous"/>
          <w:pgSz w:w="12240" w:h="15840"/>
          <w:pgMar w:top="1416" w:right="1440" w:bottom="181" w:left="1440" w:header="0" w:footer="0" w:gutter="0"/>
          <w:cols w:equalWidth="0" w:num="1">
            <w:col w:w="9360"/>
          </w:cols>
        </w:sectPr>
      </w:pPr>
    </w:p>
    <w:p>
      <w:pPr>
        <w:spacing w:after="0" w:line="480" w:lineRule="auto"/>
        <w:ind w:left="360" w:right="360"/>
        <w:jc w:val="both"/>
        <w:rPr>
          <w:color w:val="auto"/>
          <w:sz w:val="20"/>
          <w:szCs w:val="20"/>
        </w:rPr>
      </w:pPr>
      <w:bookmarkStart w:id="8" w:name="page15"/>
      <w:bookmarkEnd w:id="8"/>
      <w:r>
        <w:rPr>
          <w:rFonts w:ascii="Times New Roman" w:hAnsi="Times New Roman" w:eastAsia="Times New Roman" w:cs="Times New Roman"/>
          <w:i/>
          <w:iCs/>
          <w:color w:val="auto"/>
          <w:sz w:val="22"/>
          <w:szCs w:val="22"/>
        </w:rPr>
        <w:t>vitro-in vivo</w:t>
      </w:r>
      <w:r>
        <w:rPr>
          <w:rFonts w:ascii="Times New Roman" w:hAnsi="Times New Roman" w:eastAsia="Times New Roman" w:cs="Times New Roman"/>
          <w:color w:val="auto"/>
          <w:sz w:val="22"/>
          <w:szCs w:val="22"/>
        </w:rPr>
        <w:t xml:space="preserve"> correlation, which is established through student’s t-test. This may be due to </w:t>
      </w:r>
      <w:r>
        <w:rPr>
          <w:rFonts w:ascii="Times New Roman" w:hAnsi="Times New Roman" w:eastAsia="Times New Roman" w:cs="Times New Roman"/>
          <w:i/>
          <w:iCs/>
          <w:color w:val="auto"/>
          <w:sz w:val="22"/>
          <w:szCs w:val="22"/>
        </w:rPr>
        <w:t xml:space="preserve">in vivo </w:t>
      </w:r>
      <w:r>
        <w:rPr>
          <w:rFonts w:ascii="Times New Roman" w:hAnsi="Times New Roman" w:eastAsia="Times New Roman" w:cs="Times New Roman"/>
          <w:color w:val="auto"/>
          <w:sz w:val="22"/>
          <w:szCs w:val="22"/>
        </w:rPr>
        <w:t>study, which did not monitor the serum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level to determine the vitamin D level. Instead, vitamin D</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 xml:space="preserve"> level was analysed using a total lipid extraction from the intestine or serum followed by purification of total lipid (i.e separation of vitamin D from lipid contaminants) by soild phase chromatography. Then, the vitamin D fraction was determined using a high-performance liquid chromatography (HPLC) system. Even though HPLC with UV detection is an accepted method it was reported that this method is cumbersome, requires large sample and it is unsuitable for clinical laboratory use (Wootton Andrew, 2005) &amp; (Hollis Bruce 2010). Therefore, in our study, after treatment with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nanoemulsion or the coarse emulsion, we aim to determine the </w:t>
      </w:r>
      <w:r>
        <w:rPr>
          <w:rFonts w:ascii="Times New Roman" w:hAnsi="Times New Roman" w:eastAsia="Times New Roman" w:cs="Times New Roman"/>
          <w:i/>
          <w:iCs/>
          <w:color w:val="auto"/>
          <w:sz w:val="22"/>
          <w:szCs w:val="22"/>
        </w:rPr>
        <w:t>in vivo</w:t>
      </w:r>
      <w:r>
        <w:rPr>
          <w:rFonts w:ascii="Times New Roman" w:hAnsi="Times New Roman" w:eastAsia="Times New Roman" w:cs="Times New Roman"/>
          <w:color w:val="auto"/>
          <w:sz w:val="22"/>
          <w:szCs w:val="22"/>
        </w:rPr>
        <w:t xml:space="preserve"> bioavailability, by measuring the serum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a more stable and sensitive biomarker of vitamin D availability using radioimmunoassay. After completing the </w:t>
      </w:r>
      <w:r>
        <w:rPr>
          <w:rFonts w:ascii="Times New Roman" w:hAnsi="Times New Roman" w:eastAsia="Times New Roman" w:cs="Times New Roman"/>
          <w:i/>
          <w:iCs/>
          <w:color w:val="auto"/>
          <w:sz w:val="22"/>
          <w:szCs w:val="22"/>
        </w:rPr>
        <w:t>in vitro</w:t>
      </w:r>
      <w:r>
        <w:rPr>
          <w:rFonts w:ascii="Times New Roman" w:hAnsi="Times New Roman" w:eastAsia="Times New Roman" w:cs="Times New Roman"/>
          <w:color w:val="auto"/>
          <w:sz w:val="22"/>
          <w:szCs w:val="22"/>
        </w:rPr>
        <w:t xml:space="preserve"> and </w:t>
      </w:r>
      <w:r>
        <w:rPr>
          <w:rFonts w:ascii="Times New Roman" w:hAnsi="Times New Roman" w:eastAsia="Times New Roman" w:cs="Times New Roman"/>
          <w:i/>
          <w:iCs/>
          <w:color w:val="auto"/>
          <w:sz w:val="22"/>
          <w:szCs w:val="22"/>
        </w:rPr>
        <w:t>in vivo</w:t>
      </w:r>
      <w:r>
        <w:rPr>
          <w:rFonts w:ascii="Times New Roman" w:hAnsi="Times New Roman" w:eastAsia="Times New Roman" w:cs="Times New Roman"/>
          <w:color w:val="auto"/>
          <w:sz w:val="22"/>
          <w:szCs w:val="22"/>
        </w:rPr>
        <w:t xml:space="preserve"> studies, we hope to improve our understanding of whether nano-based delivery enhances the solubility, bioaccessibility and </w:t>
      </w:r>
      <w:r>
        <w:rPr>
          <w:rFonts w:ascii="Times New Roman" w:hAnsi="Times New Roman" w:eastAsia="Times New Roman" w:cs="Times New Roman"/>
          <w:i/>
          <w:iCs/>
          <w:color w:val="auto"/>
          <w:sz w:val="22"/>
          <w:szCs w:val="22"/>
        </w:rPr>
        <w:t>in vivo</w:t>
      </w:r>
      <w:r>
        <w:rPr>
          <w:rFonts w:ascii="Times New Roman" w:hAnsi="Times New Roman" w:eastAsia="Times New Roman" w:cs="Times New Roman"/>
          <w:color w:val="auto"/>
          <w:sz w:val="22"/>
          <w:szCs w:val="22"/>
        </w:rPr>
        <w:t xml:space="preserve"> bioavailability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when compared to the coarse emulsion.</w:t>
      </w:r>
    </w:p>
    <w:p>
      <w:pPr>
        <w:spacing w:after="0" w:line="4" w:lineRule="exact"/>
        <w:rPr>
          <w:color w:val="auto"/>
          <w:sz w:val="20"/>
          <w:szCs w:val="20"/>
        </w:rPr>
      </w:pPr>
    </w:p>
    <w:p>
      <w:pPr>
        <w:spacing w:after="0" w:line="485" w:lineRule="auto"/>
        <w:ind w:left="360" w:right="360" w:firstLine="720"/>
        <w:jc w:val="both"/>
        <w:rPr>
          <w:color w:val="auto"/>
          <w:sz w:val="20"/>
          <w:szCs w:val="20"/>
        </w:rPr>
      </w:pPr>
      <w:r>
        <w:rPr>
          <w:rFonts w:ascii="Times New Roman" w:hAnsi="Times New Roman" w:eastAsia="Times New Roman" w:cs="Times New Roman"/>
          <w:color w:val="auto"/>
          <w:sz w:val="22"/>
          <w:szCs w:val="22"/>
        </w:rPr>
        <w:t>In vitamin D metabolism, after fist hydroxylation in the liver, the produced serum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will be transported to the kidney by vitamin D binding protein (DBP). In the proximal renal tubule, the second hydroxylation occurs and thereby it produces 1,25(OH)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a biologically active form of vitamin D (Christakos et al., 2012). During vitamin D metabolism, multiple genes such as VDR, CYP27A1, CYP2R1, TRPV6, CYP27B1 etc participate in vitamin D metabolism. Therefore, we will also examine whether the nanoemulsion-based delivery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alters vitamin D metabolically related genes using real-time PCR.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CHAPTER 2</w:t>
      </w:r>
    </w:p>
    <w:p>
      <w:pPr>
        <w:sectPr>
          <w:pgSz w:w="12240" w:h="15840"/>
          <w:pgMar w:top="1415"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2</w:t>
      </w:r>
    </w:p>
    <w:p>
      <w:pPr>
        <w:sectPr>
          <w:type w:val="continuous"/>
          <w:pgSz w:w="12240" w:h="15840"/>
          <w:pgMar w:top="1415" w:right="1440" w:bottom="181" w:left="1440" w:header="0" w:footer="0" w:gutter="0"/>
          <w:cols w:equalWidth="0" w:num="1">
            <w:col w:w="9360"/>
          </w:cols>
        </w:sectPr>
      </w:pPr>
    </w:p>
    <w:p>
      <w:pPr>
        <w:spacing w:after="0"/>
        <w:jc w:val="center"/>
        <w:rPr>
          <w:color w:val="auto"/>
          <w:sz w:val="20"/>
          <w:szCs w:val="20"/>
        </w:rPr>
      </w:pPr>
      <w:bookmarkStart w:id="9" w:name="page16"/>
      <w:bookmarkEnd w:id="9"/>
      <w:r>
        <w:rPr>
          <w:rFonts w:ascii="Times New Roman" w:hAnsi="Times New Roman" w:eastAsia="Times New Roman" w:cs="Times New Roman"/>
          <w:color w:val="auto"/>
          <w:sz w:val="24"/>
          <w:szCs w:val="24"/>
        </w:rPr>
        <w:t>LITERATURE REVIEW</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2"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2"/>
          <w:szCs w:val="22"/>
        </w:rPr>
        <w:t>2.1. Vitamin D and Health</w:t>
      </w:r>
    </w:p>
    <w:p>
      <w:pPr>
        <w:spacing w:after="0" w:line="200" w:lineRule="exact"/>
        <w:rPr>
          <w:color w:val="auto"/>
          <w:sz w:val="20"/>
          <w:szCs w:val="20"/>
        </w:rPr>
      </w:pPr>
    </w:p>
    <w:p>
      <w:pPr>
        <w:spacing w:after="0" w:line="216" w:lineRule="exact"/>
        <w:rPr>
          <w:color w:val="auto"/>
          <w:sz w:val="20"/>
          <w:szCs w:val="20"/>
        </w:rPr>
      </w:pPr>
    </w:p>
    <w:p>
      <w:pPr>
        <w:spacing w:after="0" w:line="490" w:lineRule="auto"/>
        <w:ind w:left="360" w:right="360" w:firstLine="720"/>
        <w:jc w:val="both"/>
        <w:rPr>
          <w:color w:val="auto"/>
          <w:sz w:val="20"/>
          <w:szCs w:val="20"/>
        </w:rPr>
      </w:pPr>
      <w:r>
        <w:rPr>
          <w:rFonts w:ascii="Times New Roman" w:hAnsi="Times New Roman" w:eastAsia="Times New Roman" w:cs="Times New Roman"/>
          <w:color w:val="auto"/>
          <w:sz w:val="22"/>
          <w:szCs w:val="22"/>
        </w:rPr>
        <w:t>Vitamin D is a fat-soluble vitamin. The majority of this vitamin is synthesized when UV rays from sunlight strike the skin. It is also naturally present in a few food sources. In the U.S a small number of products are fortified with vitamin D. In clinical practice, vitamin D supplementation is recommended to reduce vitamin D deficiency and its related diseases.</w:t>
      </w:r>
    </w:p>
    <w:p>
      <w:pPr>
        <w:spacing w:after="0" w:line="118" w:lineRule="exact"/>
        <w:rPr>
          <w:color w:val="auto"/>
          <w:sz w:val="20"/>
          <w:szCs w:val="20"/>
        </w:rPr>
      </w:pPr>
    </w:p>
    <w:p>
      <w:pPr>
        <w:spacing w:after="0" w:line="484" w:lineRule="auto"/>
        <w:ind w:left="360" w:right="360" w:firstLine="775"/>
        <w:jc w:val="both"/>
        <w:rPr>
          <w:color w:val="auto"/>
          <w:sz w:val="20"/>
          <w:szCs w:val="20"/>
        </w:rPr>
      </w:pPr>
      <w:r>
        <w:rPr>
          <w:rFonts w:ascii="Times New Roman" w:hAnsi="Times New Roman" w:eastAsia="Times New Roman" w:cs="Times New Roman"/>
          <w:color w:val="auto"/>
          <w:sz w:val="22"/>
          <w:szCs w:val="22"/>
        </w:rPr>
        <w:t>Vitamin D, whether it comes from sun exposure, food, or supplementation needs to undergo two activating hydroxylations; one in the liver to produce 25(OH)D</w:t>
      </w:r>
      <w:r>
        <w:rPr>
          <w:rFonts w:ascii="Times New Roman" w:hAnsi="Times New Roman" w:eastAsia="Times New Roman" w:cs="Times New Roman"/>
          <w:color w:val="auto"/>
          <w:sz w:val="7"/>
          <w:szCs w:val="7"/>
        </w:rPr>
        <w:t>3</w:t>
      </w:r>
      <w:r>
        <w:rPr>
          <w:rFonts w:ascii="Times New Roman" w:hAnsi="Times New Roman" w:eastAsia="Times New Roman" w:cs="Times New Roman"/>
          <w:color w:val="auto"/>
          <w:sz w:val="22"/>
          <w:szCs w:val="22"/>
        </w:rPr>
        <w:t xml:space="preserve"> and the other in the kidney to synthesize the active hormonal metabolite 1,25(OH)</w:t>
      </w:r>
      <w:r>
        <w:rPr>
          <w:rFonts w:ascii="Times New Roman" w:hAnsi="Times New Roman" w:eastAsia="Times New Roman" w:cs="Times New Roman"/>
          <w:color w:val="auto"/>
          <w:sz w:val="7"/>
          <w:szCs w:val="7"/>
        </w:rPr>
        <w:t>2</w:t>
      </w:r>
      <w:r>
        <w:rPr>
          <w:rFonts w:ascii="Times New Roman" w:hAnsi="Times New Roman" w:eastAsia="Times New Roman" w:cs="Times New Roman"/>
          <w:color w:val="auto"/>
          <w:sz w:val="22"/>
          <w:szCs w:val="22"/>
        </w:rPr>
        <w:t>D</w:t>
      </w:r>
      <w:r>
        <w:rPr>
          <w:rFonts w:ascii="Times New Roman" w:hAnsi="Times New Roman" w:eastAsia="Times New Roman" w:cs="Times New Roman"/>
          <w:color w:val="auto"/>
          <w:sz w:val="7"/>
          <w:szCs w:val="7"/>
        </w:rPr>
        <w:t>3</w:t>
      </w:r>
      <w:r>
        <w:rPr>
          <w:rFonts w:ascii="Times New Roman" w:hAnsi="Times New Roman" w:eastAsia="Times New Roman" w:cs="Times New Roman"/>
          <w:color w:val="auto"/>
          <w:sz w:val="22"/>
          <w:szCs w:val="22"/>
        </w:rPr>
        <w:t xml:space="preserve"> which is responsible for activating the vitamin D receptor and subsequent changes in gene expression (Holick, M. F., 2007). Serum 25(OH)D</w:t>
      </w:r>
      <w:r>
        <w:rPr>
          <w:rFonts w:ascii="Times New Roman" w:hAnsi="Times New Roman" w:eastAsia="Times New Roman" w:cs="Times New Roman"/>
          <w:color w:val="auto"/>
          <w:sz w:val="7"/>
          <w:szCs w:val="7"/>
        </w:rPr>
        <w:t>3</w:t>
      </w:r>
      <w:r>
        <w:rPr>
          <w:rFonts w:ascii="Times New Roman" w:hAnsi="Times New Roman" w:eastAsia="Times New Roman" w:cs="Times New Roman"/>
          <w:color w:val="auto"/>
          <w:sz w:val="22"/>
          <w:szCs w:val="22"/>
        </w:rPr>
        <w:t xml:space="preserve"> is the commonly used biomarker for an assessment of vitamin D status. Several factors influence the serum 25(OH)D</w:t>
      </w:r>
      <w:r>
        <w:rPr>
          <w:rFonts w:ascii="Times New Roman" w:hAnsi="Times New Roman" w:eastAsia="Times New Roman" w:cs="Times New Roman"/>
          <w:color w:val="auto"/>
          <w:sz w:val="7"/>
          <w:szCs w:val="7"/>
        </w:rPr>
        <w:t>3</w:t>
      </w:r>
      <w:r>
        <w:rPr>
          <w:rFonts w:ascii="Times New Roman" w:hAnsi="Times New Roman" w:eastAsia="Times New Roman" w:cs="Times New Roman"/>
          <w:color w:val="auto"/>
          <w:sz w:val="22"/>
          <w:szCs w:val="22"/>
        </w:rPr>
        <w:t xml:space="preserve"> level which includes cutaneous production of vitamin D, dietary intake, absorption of vitamin D in intestine &amp; metabolic activation and subsequent vitamin D metabolites production (Grossmann &amp; Tangpricha, 2010).</w:t>
      </w:r>
    </w:p>
    <w:p>
      <w:pPr>
        <w:spacing w:after="0" w:line="126" w:lineRule="exact"/>
        <w:rPr>
          <w:color w:val="auto"/>
          <w:sz w:val="20"/>
          <w:szCs w:val="20"/>
        </w:rPr>
      </w:pPr>
    </w:p>
    <w:p>
      <w:pPr>
        <w:spacing w:after="0" w:line="485" w:lineRule="auto"/>
        <w:ind w:left="360" w:right="360" w:firstLine="720"/>
        <w:jc w:val="both"/>
        <w:rPr>
          <w:color w:val="auto"/>
          <w:sz w:val="20"/>
          <w:szCs w:val="20"/>
        </w:rPr>
      </w:pPr>
      <w:r>
        <w:rPr>
          <w:rFonts w:ascii="Times New Roman" w:hAnsi="Times New Roman" w:eastAsia="Times New Roman" w:cs="Times New Roman"/>
          <w:color w:val="auto"/>
          <w:sz w:val="22"/>
          <w:szCs w:val="22"/>
        </w:rPr>
        <w:t>“Vitamin D” has a wide range of functions, such as regulating calcium and phosphorous metabolism, helping in bone mineralization and demineralization, reducing inflammation, modulating cell growth, neuromuscular function and immune function. It is also involved in other extraskeletal functions. For instance, vitamin D deficiency is associated with various chronic diseases, such as cardiovascular disease, diabetes and some cancers, including colorectal cancer (CRC). Various preclinical studies in cell culture and animal models, and many epidemiological studies support the role of vitamin D as an anticancer agent.</w:t>
      </w:r>
    </w:p>
    <w:p>
      <w:pPr>
        <w:sectPr>
          <w:pgSz w:w="12240" w:h="15840"/>
          <w:pgMar w:top="1416"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3</w:t>
      </w:r>
    </w:p>
    <w:p>
      <w:pPr>
        <w:sectPr>
          <w:type w:val="continuous"/>
          <w:pgSz w:w="12240" w:h="15840"/>
          <w:pgMar w:top="1416" w:right="1440" w:bottom="181" w:left="1440" w:header="0" w:footer="0" w:gutter="0"/>
          <w:cols w:equalWidth="0" w:num="1">
            <w:col w:w="9360"/>
          </w:cols>
        </w:sectPr>
      </w:pPr>
    </w:p>
    <w:p>
      <w:pPr>
        <w:spacing w:after="0"/>
        <w:ind w:left="360"/>
        <w:rPr>
          <w:color w:val="auto"/>
          <w:sz w:val="20"/>
          <w:szCs w:val="20"/>
        </w:rPr>
      </w:pPr>
      <w:bookmarkStart w:id="10" w:name="page17"/>
      <w:bookmarkEnd w:id="10"/>
      <w:r>
        <w:rPr>
          <w:rFonts w:ascii="Times New Roman" w:hAnsi="Times New Roman" w:eastAsia="Times New Roman" w:cs="Times New Roman"/>
          <w:b/>
          <w:bCs/>
          <w:color w:val="auto"/>
          <w:sz w:val="22"/>
          <w:szCs w:val="22"/>
        </w:rPr>
        <w:t>2.2. Vitamin D sources, digestion and its metabolism</w:t>
      </w:r>
    </w:p>
    <w:p>
      <w:pPr>
        <w:spacing w:after="0" w:line="200" w:lineRule="exact"/>
        <w:rPr>
          <w:color w:val="auto"/>
          <w:sz w:val="20"/>
          <w:szCs w:val="20"/>
        </w:rPr>
      </w:pPr>
    </w:p>
    <w:p>
      <w:pPr>
        <w:spacing w:after="0" w:line="212"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2"/>
          <w:szCs w:val="22"/>
        </w:rPr>
        <w:t>2.2.1. Synthesis of vitamin D and its metabolites</w:t>
      </w:r>
    </w:p>
    <w:p>
      <w:pPr>
        <w:spacing w:after="0" w:line="200" w:lineRule="exact"/>
        <w:rPr>
          <w:color w:val="auto"/>
          <w:sz w:val="20"/>
          <w:szCs w:val="20"/>
        </w:rPr>
      </w:pPr>
    </w:p>
    <w:p>
      <w:pPr>
        <w:spacing w:after="0" w:line="343" w:lineRule="exact"/>
        <w:rPr>
          <w:color w:val="auto"/>
          <w:sz w:val="20"/>
          <w:szCs w:val="20"/>
        </w:rPr>
      </w:pPr>
    </w:p>
    <w:p>
      <w:pPr>
        <w:spacing w:after="0" w:line="481" w:lineRule="exact"/>
        <w:ind w:left="360" w:right="360" w:firstLine="720"/>
        <w:jc w:val="both"/>
        <w:rPr>
          <w:color w:val="auto"/>
          <w:sz w:val="20"/>
          <w:szCs w:val="20"/>
        </w:rPr>
      </w:pPr>
      <w:r>
        <w:rPr>
          <w:rFonts w:ascii="Times New Roman" w:hAnsi="Times New Roman" w:eastAsia="Times New Roman" w:cs="Times New Roman"/>
          <w:color w:val="auto"/>
          <w:sz w:val="21"/>
          <w:szCs w:val="21"/>
        </w:rPr>
        <w:t>Vitamin D (the sunshine vitamin) is a steroid hormone synthesized in the body when the skin is exposed to ultraviolet rays B at a specific wavelength (290 to 315 nm). In sebaceous glands of the skin 7-dehydrocholesterol is synthesized and when the sun rays hit the 7- dehydrocholesterol, it undergoes photolytic ring opening and synthesizes previtamin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The previtamin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get converted to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called cholecalciferol, by non-enzymatic thermal isomerization.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will be taken to the liver for the first hydroxylation through the blood using</w:t>
      </w:r>
      <w:r>
        <w:rPr>
          <w:rFonts w:ascii="Arial Unicode MS" w:hAnsi="Arial Unicode MS" w:eastAsia="Arial Unicode MS" w:cs="Arial Unicode MS"/>
          <w:color w:val="auto"/>
          <w:sz w:val="21"/>
          <w:szCs w:val="21"/>
        </w:rPr>
        <w:t xml:space="preserve"> �</w:t>
      </w:r>
      <w:r>
        <w:rPr>
          <w:rFonts w:ascii="Times New Roman" w:hAnsi="Times New Roman" w:eastAsia="Times New Roman" w:cs="Times New Roman"/>
          <w:color w:val="auto"/>
          <w:sz w:val="21"/>
          <w:szCs w:val="21"/>
        </w:rPr>
        <w:t>-2 globulin vitamin D binding protein (DBP). In the liver,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will be converted down to the prohormone called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(calcidiol) by “25-hydroxylase” a cytochrome P450 enzyme. Among the various P450 enzymes, CYP2R1 and CYP27A1 play a major role in vitamin D hydroxylation at C-25.</w:t>
      </w:r>
    </w:p>
    <w:p>
      <w:pPr>
        <w:spacing w:after="0" w:line="389" w:lineRule="exact"/>
        <w:rPr>
          <w:color w:val="auto"/>
          <w:sz w:val="20"/>
          <w:szCs w:val="20"/>
        </w:rPr>
      </w:pPr>
    </w:p>
    <w:p>
      <w:pPr>
        <w:spacing w:after="0" w:line="474" w:lineRule="exact"/>
        <w:ind w:left="360" w:right="360" w:firstLine="720"/>
        <w:jc w:val="both"/>
        <w:rPr>
          <w:color w:val="auto"/>
          <w:sz w:val="20"/>
          <w:szCs w:val="20"/>
        </w:rPr>
      </w:pPr>
      <w:r>
        <w:rPr>
          <w:rFonts w:ascii="Times New Roman" w:hAnsi="Times New Roman" w:eastAsia="Times New Roman" w:cs="Times New Roman"/>
          <w:color w:val="auto"/>
          <w:sz w:val="22"/>
          <w:szCs w:val="22"/>
        </w:rPr>
        <w:t>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will be then transferred to the kidney for a second hydroxylation. In the kidney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will be converted to 1,25(OH)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(calcitriol), the hormonally active form of vitamin D, by the enzyme 1</w:t>
      </w:r>
      <w:r>
        <w:rPr>
          <w:rFonts w:ascii="Arial Unicode MS" w:hAnsi="Arial Unicode MS" w:eastAsia="Arial Unicode MS" w:cs="Arial Unicode MS"/>
          <w:color w:val="auto"/>
          <w:sz w:val="22"/>
          <w:szCs w:val="22"/>
        </w:rPr>
        <w:t>α</w:t>
      </w:r>
      <w:r>
        <w:rPr>
          <w:rFonts w:ascii="Times New Roman" w:hAnsi="Times New Roman" w:eastAsia="Times New Roman" w:cs="Times New Roman"/>
          <w:color w:val="auto"/>
          <w:sz w:val="22"/>
          <w:szCs w:val="22"/>
        </w:rPr>
        <w:t>(OH)ase (CYP27B1). Kidneys are the main sites for the production of 1,25(OH)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by 1</w:t>
      </w:r>
      <w:r>
        <w:rPr>
          <w:rFonts w:ascii="Arial Unicode MS" w:hAnsi="Arial Unicode MS" w:eastAsia="Arial Unicode MS" w:cs="Arial Unicode MS"/>
          <w:color w:val="auto"/>
          <w:sz w:val="22"/>
          <w:szCs w:val="22"/>
        </w:rPr>
        <w:t>α</w:t>
      </w:r>
      <w:r>
        <w:rPr>
          <w:rFonts w:ascii="Times New Roman" w:hAnsi="Times New Roman" w:eastAsia="Times New Roman" w:cs="Times New Roman"/>
          <w:color w:val="auto"/>
          <w:sz w:val="22"/>
          <w:szCs w:val="22"/>
        </w:rPr>
        <w:t>(OH)ase, but recent findings (Zehnder et al., 2001), shows 1</w:t>
      </w:r>
      <w:r>
        <w:rPr>
          <w:rFonts w:ascii="Arial Unicode MS" w:hAnsi="Arial Unicode MS" w:eastAsia="Arial Unicode MS" w:cs="Arial Unicode MS"/>
          <w:color w:val="auto"/>
          <w:sz w:val="22"/>
          <w:szCs w:val="22"/>
        </w:rPr>
        <w:t>α</w:t>
      </w:r>
      <w:r>
        <w:rPr>
          <w:rFonts w:ascii="Times New Roman" w:hAnsi="Times New Roman" w:eastAsia="Times New Roman" w:cs="Times New Roman"/>
          <w:color w:val="auto"/>
          <w:sz w:val="22"/>
          <w:szCs w:val="22"/>
        </w:rPr>
        <w:t>(OH)ase (CYP27B1) is also present in extra-renal sites including normal colon cells, brain, placenta, pancreas, lymph nodes and skin, which could result in a local conversion of 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to 1,25(OH)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at extra-renal sites.</w:t>
      </w:r>
    </w:p>
    <w:p>
      <w:pPr>
        <w:spacing w:after="0" w:line="386" w:lineRule="exact"/>
        <w:rPr>
          <w:color w:val="auto"/>
          <w:sz w:val="20"/>
          <w:szCs w:val="20"/>
        </w:rPr>
      </w:pPr>
    </w:p>
    <w:p>
      <w:pPr>
        <w:spacing w:after="0" w:line="512" w:lineRule="auto"/>
        <w:ind w:left="360" w:right="360" w:firstLine="720"/>
        <w:jc w:val="both"/>
        <w:rPr>
          <w:color w:val="auto"/>
          <w:sz w:val="20"/>
          <w:szCs w:val="20"/>
        </w:rPr>
      </w:pPr>
      <w:r>
        <w:rPr>
          <w:rFonts w:ascii="Times New Roman" w:hAnsi="Times New Roman" w:eastAsia="Times New Roman" w:cs="Times New Roman"/>
          <w:color w:val="auto"/>
          <w:sz w:val="21"/>
          <w:szCs w:val="21"/>
        </w:rPr>
        <w:t>The half-life period of 1,25(OH)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1"/>
          <w:szCs w:val="21"/>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in the blood is only about 4 to 6 hours and its synthesis is tightly controllable, whereas the half-life of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is 10 to 20 days (Van den Berg, 1997) and reflects vitamin D exposure more directly. It is interesting to note that the concentration of 1,25(OH)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1"/>
          <w:szCs w:val="21"/>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in serum is approximately 1000 times lower than the prohormone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1,25(OH)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1"/>
          <w:szCs w:val="21"/>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binds with vitamin D receptors (VDRs) and cell membrane receptors thereby influencing the gene transcription process in many tissues of the body. It was stated that the vitamin</w:t>
      </w:r>
    </w:p>
    <w:p>
      <w:pPr>
        <w:sectPr>
          <w:pgSz w:w="12240" w:h="15840"/>
          <w:pgMar w:top="1417" w:right="1440" w:bottom="181" w:left="1440" w:header="0" w:footer="0" w:gutter="0"/>
          <w:cols w:equalWidth="0" w:num="1">
            <w:col w:w="9360"/>
          </w:cols>
        </w:sectPr>
      </w:pPr>
    </w:p>
    <w:p>
      <w:pPr>
        <w:spacing w:after="0" w:line="200" w:lineRule="exact"/>
        <w:rPr>
          <w:color w:val="auto"/>
          <w:sz w:val="20"/>
          <w:szCs w:val="20"/>
        </w:rPr>
      </w:pPr>
    </w:p>
    <w:p>
      <w:pPr>
        <w:spacing w:after="0" w:line="25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4</w:t>
      </w:r>
    </w:p>
    <w:p>
      <w:pPr>
        <w:sectPr>
          <w:type w:val="continuous"/>
          <w:pgSz w:w="12240" w:h="15840"/>
          <w:pgMar w:top="1417" w:right="1440" w:bottom="181" w:left="1440" w:header="0" w:footer="0" w:gutter="0"/>
          <w:cols w:equalWidth="0" w:num="1">
            <w:col w:w="9360"/>
          </w:cols>
        </w:sectPr>
      </w:pPr>
    </w:p>
    <w:p>
      <w:pPr>
        <w:spacing w:after="0" w:line="511" w:lineRule="auto"/>
        <w:ind w:left="360" w:right="360"/>
        <w:jc w:val="both"/>
        <w:rPr>
          <w:color w:val="auto"/>
          <w:sz w:val="20"/>
          <w:szCs w:val="20"/>
        </w:rPr>
      </w:pPr>
      <w:bookmarkStart w:id="11" w:name="page18"/>
      <w:bookmarkEnd w:id="11"/>
      <w:r>
        <w:rPr>
          <w:rFonts w:ascii="Times New Roman" w:hAnsi="Times New Roman" w:eastAsia="Times New Roman" w:cs="Times New Roman"/>
          <w:color w:val="auto"/>
          <w:sz w:val="22"/>
          <w:szCs w:val="22"/>
        </w:rPr>
        <w:t>D hormone regulates more than 200 different genes either directly or indirectly (Holick, M. F., 2008).</w:t>
      </w: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2"/>
          <w:szCs w:val="22"/>
        </w:rPr>
        <w:t>2.2.2. Factors influencing vitamin D synthesis</w:t>
      </w:r>
    </w:p>
    <w:p>
      <w:pPr>
        <w:spacing w:after="0" w:line="200" w:lineRule="exact"/>
        <w:rPr>
          <w:color w:val="auto"/>
          <w:sz w:val="20"/>
          <w:szCs w:val="20"/>
        </w:rPr>
      </w:pPr>
    </w:p>
    <w:p>
      <w:pPr>
        <w:spacing w:after="0" w:line="214" w:lineRule="exact"/>
        <w:rPr>
          <w:color w:val="auto"/>
          <w:sz w:val="20"/>
          <w:szCs w:val="20"/>
        </w:rPr>
      </w:pPr>
    </w:p>
    <w:p>
      <w:pPr>
        <w:spacing w:after="0" w:line="490" w:lineRule="auto"/>
        <w:ind w:left="360" w:right="360" w:firstLine="720"/>
        <w:jc w:val="both"/>
        <w:rPr>
          <w:color w:val="auto"/>
          <w:sz w:val="20"/>
          <w:szCs w:val="20"/>
        </w:rPr>
      </w:pPr>
      <w:r>
        <w:rPr>
          <w:rFonts w:ascii="Times New Roman" w:hAnsi="Times New Roman" w:eastAsia="Times New Roman" w:cs="Times New Roman"/>
          <w:color w:val="auto"/>
          <w:sz w:val="22"/>
          <w:szCs w:val="22"/>
        </w:rPr>
        <w:t>Despite the fact that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is synthesized in sufficient amounts when we expose ourselves to sunlight, there are many factors that influence the amount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synthesis in the body. The influencing factors are the amount of melanin pigment in the skin, type of clothing, use of sunscreen lotions, time of day, exposure duration, latitude and season of the exposure.</w:t>
      </w:r>
    </w:p>
    <w:p>
      <w:pPr>
        <w:spacing w:after="0" w:line="118" w:lineRule="exact"/>
        <w:rPr>
          <w:color w:val="auto"/>
          <w:sz w:val="20"/>
          <w:szCs w:val="20"/>
        </w:rPr>
      </w:pPr>
    </w:p>
    <w:p>
      <w:pPr>
        <w:spacing w:after="0" w:line="485" w:lineRule="auto"/>
        <w:ind w:left="360" w:right="360" w:firstLine="720"/>
        <w:jc w:val="both"/>
        <w:rPr>
          <w:color w:val="auto"/>
          <w:sz w:val="20"/>
          <w:szCs w:val="20"/>
        </w:rPr>
      </w:pPr>
      <w:r>
        <w:rPr>
          <w:rFonts w:ascii="Times New Roman" w:hAnsi="Times New Roman" w:eastAsia="Times New Roman" w:cs="Times New Roman"/>
          <w:color w:val="auto"/>
          <w:sz w:val="22"/>
          <w:szCs w:val="22"/>
        </w:rPr>
        <w:t>The people in northern part of America do not synthesize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during the winter season from the month of November through February (Holick et al., 2005) so they will use the stored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which was synthesized during the summer. They also get some vitamin D from animal origin dietary sources like liver, beef, veal, eggs, milk, cheese, butter and fatty fishes like salmon and sardines. Since the natural food sources for vitamin D are few, the artificial fortification of some foods with vitamin D was established in 1930 in order to eradicate the disease rickets. The usual foods that are fortified are cow’s milk, soymilk, tofu and margarine.</w:t>
      </w:r>
    </w:p>
    <w:p>
      <w:pPr>
        <w:spacing w:after="0" w:line="200" w:lineRule="exact"/>
        <w:rPr>
          <w:color w:val="auto"/>
          <w:sz w:val="20"/>
          <w:szCs w:val="20"/>
        </w:rPr>
      </w:pPr>
    </w:p>
    <w:p>
      <w:pPr>
        <w:spacing w:after="0" w:line="200" w:lineRule="exact"/>
        <w:rPr>
          <w:color w:val="auto"/>
          <w:sz w:val="20"/>
          <w:szCs w:val="20"/>
        </w:rPr>
      </w:pPr>
    </w:p>
    <w:p>
      <w:pPr>
        <w:spacing w:after="0" w:line="388"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2"/>
          <w:szCs w:val="22"/>
        </w:rPr>
        <w:t>2.2.3. Vitamin D digestion, absorption, transportation and metabolism</w:t>
      </w:r>
    </w:p>
    <w:p>
      <w:pPr>
        <w:spacing w:after="0" w:line="200" w:lineRule="exact"/>
        <w:rPr>
          <w:color w:val="auto"/>
          <w:sz w:val="20"/>
          <w:szCs w:val="20"/>
        </w:rPr>
      </w:pPr>
    </w:p>
    <w:p>
      <w:pPr>
        <w:spacing w:after="0" w:line="216" w:lineRule="exact"/>
        <w:rPr>
          <w:color w:val="auto"/>
          <w:sz w:val="20"/>
          <w:szCs w:val="20"/>
        </w:rPr>
      </w:pPr>
    </w:p>
    <w:p>
      <w:pPr>
        <w:spacing w:after="0" w:line="512" w:lineRule="auto"/>
        <w:ind w:left="360" w:right="360" w:firstLine="721"/>
        <w:jc w:val="both"/>
        <w:rPr>
          <w:color w:val="auto"/>
          <w:sz w:val="20"/>
          <w:szCs w:val="20"/>
        </w:rPr>
      </w:pPr>
      <w:r>
        <w:rPr>
          <w:rFonts w:ascii="Times New Roman" w:hAnsi="Times New Roman" w:eastAsia="Times New Roman" w:cs="Times New Roman"/>
          <w:color w:val="auto"/>
          <w:sz w:val="21"/>
          <w:szCs w:val="21"/>
        </w:rPr>
        <w:t>As a fat-soluble compound vitamin D undergoes the same digestion process as lipids in the upper gastrointestinal tract (Tso &amp; Fujimoto, 1991), (Borel, Caillaud, &amp; Cano, 2015). Even though some fat digestion occurs in the mouth and stomach (10-30%) by lingual and gastric lipase (pH activity range 3-7), the predominate digestion and absorption of lipids occur in the small intestine by digestive action of pancreatic lipase (pH activity range is 4.5-7.5). Stored bile salt (amphipathic molecule) in the gallbladder gets released once the fat substance reaches the duodenum. The bile</w:t>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5</w:t>
      </w:r>
    </w:p>
    <w:p>
      <w:pPr>
        <w:sectPr>
          <w:type w:val="continuous"/>
          <w:pgSz w:w="12240" w:h="15840"/>
          <w:pgMar w:top="1419" w:right="1440" w:bottom="181" w:left="1440" w:header="0" w:footer="0" w:gutter="0"/>
          <w:cols w:equalWidth="0" w:num="1">
            <w:col w:w="9360"/>
          </w:cols>
        </w:sectPr>
      </w:pPr>
    </w:p>
    <w:p>
      <w:pPr>
        <w:spacing w:after="0" w:line="496" w:lineRule="auto"/>
        <w:ind w:left="360" w:right="360"/>
        <w:jc w:val="both"/>
        <w:rPr>
          <w:color w:val="auto"/>
          <w:sz w:val="20"/>
          <w:szCs w:val="20"/>
        </w:rPr>
      </w:pPr>
      <w:bookmarkStart w:id="12" w:name="page19"/>
      <w:bookmarkEnd w:id="12"/>
      <w:r>
        <w:rPr>
          <w:rFonts w:ascii="Times New Roman" w:hAnsi="Times New Roman" w:eastAsia="Times New Roman" w:cs="Times New Roman"/>
          <w:color w:val="auto"/>
          <w:sz w:val="22"/>
          <w:szCs w:val="22"/>
        </w:rPr>
        <w:t>salt helps in emulsification of lipids and converts bigger lipid droplets to smaller droplets called micelles. The increase in lipid surface area caused by bile emulsification assists pancreatic lipase in digestion and eventual absorption of lipids.</w:t>
      </w:r>
    </w:p>
    <w:p>
      <w:pPr>
        <w:spacing w:after="0" w:line="109" w:lineRule="exact"/>
        <w:rPr>
          <w:color w:val="auto"/>
          <w:sz w:val="20"/>
          <w:szCs w:val="20"/>
        </w:rPr>
      </w:pPr>
    </w:p>
    <w:p>
      <w:pPr>
        <w:spacing w:after="0" w:line="484" w:lineRule="auto"/>
        <w:ind w:left="360" w:right="360" w:firstLine="720"/>
        <w:jc w:val="both"/>
        <w:rPr>
          <w:color w:val="auto"/>
          <w:sz w:val="20"/>
          <w:szCs w:val="20"/>
        </w:rPr>
      </w:pPr>
      <w:r>
        <w:rPr>
          <w:rFonts w:ascii="Times New Roman" w:hAnsi="Times New Roman" w:eastAsia="Times New Roman" w:cs="Times New Roman"/>
          <w:color w:val="auto"/>
          <w:sz w:val="22"/>
          <w:szCs w:val="22"/>
        </w:rPr>
        <w:t>As a result, triglycerides are broken down into free fatty acids (FFA) and 2-monoglycerides. These compounds being lipophilic in nature enter the enterocytes easily. Inside the enterocytes, these compounds get re-esterified and form TG in the smooth endoplasmic reticulum. Then TG combines with cholesterol and phospholipids. Following that it is coated with proteins to make it water-soluble chylomicron. Chylomicron goes to the golgi body and exits the enterocytes by exocytosis. Then it reaches the lymphatic system through lacteals before it finally reaches the bloodstream (Intestinal lymph enters bloodstream without first passing through the liver). From enterocytes, some of the FFA and monoglyceride goes to portal vein blood directly.</w:t>
      </w:r>
    </w:p>
    <w:p>
      <w:pPr>
        <w:spacing w:after="0" w:line="126" w:lineRule="exact"/>
        <w:rPr>
          <w:color w:val="auto"/>
          <w:sz w:val="20"/>
          <w:szCs w:val="20"/>
        </w:rPr>
      </w:pPr>
    </w:p>
    <w:p>
      <w:pPr>
        <w:spacing w:after="0" w:line="484" w:lineRule="auto"/>
        <w:ind w:left="360" w:right="360" w:firstLine="720"/>
        <w:jc w:val="both"/>
        <w:rPr>
          <w:color w:val="auto"/>
          <w:sz w:val="20"/>
          <w:szCs w:val="20"/>
        </w:rPr>
      </w:pPr>
      <w:r>
        <w:rPr>
          <w:rFonts w:ascii="Times New Roman" w:hAnsi="Times New Roman" w:eastAsia="Times New Roman" w:cs="Times New Roman"/>
          <w:color w:val="auto"/>
          <w:sz w:val="22"/>
          <w:szCs w:val="22"/>
        </w:rPr>
        <w:t>More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will be incorporated both in micelles and chylomicron than the hydroxylated form (Borel, Caillaud, &amp; Cano, 2015) but the absorption efficiency of hydroxylated forms is 3 times better than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(Compston et al., 1981). The reason is that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absorption occurs mainly through the chylomicron and is dependent upon bile salts for lymphatic absorption. On the other hand, a hydroxylated form of vitamin uses the portal vein route since these metabolites are more polar and less dependent on bile acids (Van den Berg, 1997), (Maislos &amp; Shany, 1987) &amp; (Borel, 2003).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appearance in the blood starts only after 2hrs, whereas for hydroxylated forms, blood appearance will be much faster (half-hour) (Maislos, Silver, &amp; Fainaru, 1981).</w:t>
      </w:r>
    </w:p>
    <w:p>
      <w:pPr>
        <w:spacing w:after="0" w:line="122" w:lineRule="exact"/>
        <w:rPr>
          <w:color w:val="auto"/>
          <w:sz w:val="20"/>
          <w:szCs w:val="20"/>
        </w:rPr>
      </w:pPr>
    </w:p>
    <w:p>
      <w:pPr>
        <w:spacing w:after="0" w:line="514" w:lineRule="auto"/>
        <w:ind w:left="360" w:right="360" w:firstLine="720"/>
        <w:jc w:val="both"/>
        <w:rPr>
          <w:color w:val="auto"/>
          <w:sz w:val="20"/>
          <w:szCs w:val="20"/>
        </w:rPr>
      </w:pPr>
      <w:r>
        <w:rPr>
          <w:rFonts w:ascii="Times New Roman" w:hAnsi="Times New Roman" w:eastAsia="Times New Roman" w:cs="Times New Roman"/>
          <w:color w:val="auto"/>
          <w:sz w:val="21"/>
          <w:szCs w:val="21"/>
        </w:rPr>
        <w:t>The main site of vitamin D absorption is in the mid intestine, which includes jejunum and ileum (Goncalves et al., 2015). It was stated that in both jejunum and ileum, a relationship was found between intraluminal vitamin D concentration and its absorption rate (Hollander et al., 1978). It was first hypothesized that vitamin D absorption occurs by a non-saturable passive diffusion process (Hollander, Muralidhara, &amp; Zimmerman, 1978). However, recent studies using human</w:t>
      </w:r>
    </w:p>
    <w:p>
      <w:pPr>
        <w:sectPr>
          <w:pgSz w:w="12240" w:h="15840"/>
          <w:pgMar w:top="1419" w:right="1440" w:bottom="181" w:left="1440" w:header="0" w:footer="0" w:gutter="0"/>
          <w:cols w:equalWidth="0" w:num="1">
            <w:col w:w="9360"/>
          </w:cols>
        </w:sectPr>
      </w:pPr>
    </w:p>
    <w:p>
      <w:pPr>
        <w:spacing w:after="0" w:line="23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6</w:t>
      </w:r>
    </w:p>
    <w:p>
      <w:pPr>
        <w:sectPr>
          <w:type w:val="continuous"/>
          <w:pgSz w:w="12240" w:h="15840"/>
          <w:pgMar w:top="1419" w:right="1440" w:bottom="181" w:left="1440" w:header="0" w:footer="0" w:gutter="0"/>
          <w:cols w:equalWidth="0" w:num="1">
            <w:col w:w="9360"/>
          </w:cols>
        </w:sectPr>
      </w:pPr>
    </w:p>
    <w:p>
      <w:pPr>
        <w:spacing w:after="0" w:line="506" w:lineRule="auto"/>
        <w:ind w:left="360" w:right="360"/>
        <w:jc w:val="both"/>
        <w:rPr>
          <w:color w:val="auto"/>
          <w:sz w:val="20"/>
          <w:szCs w:val="20"/>
        </w:rPr>
      </w:pPr>
      <w:bookmarkStart w:id="13" w:name="page20"/>
      <w:bookmarkEnd w:id="13"/>
      <w:r>
        <w:rPr>
          <w:rFonts w:ascii="Times New Roman" w:hAnsi="Times New Roman" w:eastAsia="Times New Roman" w:cs="Times New Roman"/>
          <w:color w:val="auto"/>
          <w:sz w:val="21"/>
          <w:szCs w:val="21"/>
        </w:rPr>
        <w:t>intestinal cell line Caco-2 and HEK have shown that intestinal absorption of vitamin D is not only passive but some intestinal cell membrane proteins such as SR-BI (scavenger Receptor class B type 1), CD36 (cluster determinant 36 and NPC1L1 (Niemann-pick C1-Like 1), are involved in exporting vitamin D across enterocyte membrane. These same proteins are used to absorb cholesterol and other lipophilic components. But limited data is available on how the absorption of other lipophilic components influences the rate of absorption of vitamin D through these proteins. This shift in the absorption of vitamin D from passive diffusion to absorption through these proteins depends on vitamin D concentration. At lower concentrations (dietary concentration of vitamin D), protein-mediated transport was used and at the higher concentrations (pharmacological concentration) passive diffusion was used for absorption of vitamin D. Many factors affect the rate of absorption of vitamin D, which includes the food matrix, the meal composition, digestive enzyme activity, and the transport efficiency across enterocytes (Reboul et al., 2011).</w:t>
      </w:r>
    </w:p>
    <w:p>
      <w:pPr>
        <w:spacing w:after="0" w:line="200" w:lineRule="exact"/>
        <w:rPr>
          <w:color w:val="auto"/>
          <w:sz w:val="20"/>
          <w:szCs w:val="20"/>
        </w:rPr>
      </w:pPr>
    </w:p>
    <w:p>
      <w:pPr>
        <w:spacing w:after="0" w:line="200" w:lineRule="exact"/>
        <w:rPr>
          <w:color w:val="auto"/>
          <w:sz w:val="20"/>
          <w:szCs w:val="20"/>
        </w:rPr>
      </w:pPr>
    </w:p>
    <w:p>
      <w:pPr>
        <w:spacing w:after="0" w:line="386"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2"/>
          <w:szCs w:val="22"/>
        </w:rPr>
        <w:t>2.2.4 Vitamin D metabolites and its working mechanisms</w:t>
      </w:r>
    </w:p>
    <w:p>
      <w:pPr>
        <w:spacing w:after="0" w:line="200" w:lineRule="exact"/>
        <w:rPr>
          <w:color w:val="auto"/>
          <w:sz w:val="20"/>
          <w:szCs w:val="20"/>
        </w:rPr>
      </w:pPr>
    </w:p>
    <w:p>
      <w:pPr>
        <w:spacing w:after="0" w:line="214" w:lineRule="exact"/>
        <w:rPr>
          <w:color w:val="auto"/>
          <w:sz w:val="20"/>
          <w:szCs w:val="20"/>
        </w:rPr>
      </w:pPr>
    </w:p>
    <w:p>
      <w:pPr>
        <w:spacing w:after="0" w:line="490" w:lineRule="auto"/>
        <w:ind w:left="360" w:right="360" w:firstLine="720"/>
        <w:jc w:val="both"/>
        <w:rPr>
          <w:color w:val="auto"/>
          <w:sz w:val="20"/>
          <w:szCs w:val="20"/>
        </w:rPr>
      </w:pPr>
      <w:r>
        <w:rPr>
          <w:rFonts w:ascii="Times New Roman" w:hAnsi="Times New Roman" w:eastAsia="Times New Roman" w:cs="Times New Roman"/>
          <w:color w:val="auto"/>
          <w:sz w:val="22"/>
          <w:szCs w:val="22"/>
        </w:rPr>
        <w:t>Vitamin D a fat-soluble vitamin and its metabolites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and 1,25(OH)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usually bind in the blood with vitamin D binding protein (DBP). Approximately, 85-87% of vitamin D metabolites bind with DBP, 12% binds with albumin and 1% are unbound. Only unbound vitamin D sterols are biologically active (Di Rosa et al., 2013).</w:t>
      </w:r>
    </w:p>
    <w:p>
      <w:pPr>
        <w:spacing w:after="0" w:line="118" w:lineRule="exact"/>
        <w:rPr>
          <w:color w:val="auto"/>
          <w:sz w:val="20"/>
          <w:szCs w:val="20"/>
        </w:rPr>
      </w:pPr>
    </w:p>
    <w:p>
      <w:pPr>
        <w:spacing w:after="0" w:line="490" w:lineRule="auto"/>
        <w:ind w:left="360" w:right="360" w:firstLine="720"/>
        <w:jc w:val="both"/>
        <w:rPr>
          <w:color w:val="auto"/>
          <w:sz w:val="20"/>
          <w:szCs w:val="20"/>
        </w:rPr>
      </w:pPr>
      <w:r>
        <w:rPr>
          <w:rFonts w:ascii="Times New Roman" w:hAnsi="Times New Roman" w:eastAsia="Times New Roman" w:cs="Times New Roman"/>
          <w:color w:val="auto"/>
          <w:sz w:val="22"/>
          <w:szCs w:val="22"/>
        </w:rPr>
        <w:t>The active metabolite of vitamin D is 1,25(OH)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which functions in both autocrine and paracrine manners to signal and to modulate vitamin D function. It has been stated that 1,25(OH)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increases apoptosis. And it inhibits cell proliferation, inflammation, invasion, metastasis and angiogenesis (Feldman et al., 2014).</w:t>
      </w:r>
    </w:p>
    <w:p>
      <w:pPr>
        <w:spacing w:after="0" w:line="118" w:lineRule="exact"/>
        <w:rPr>
          <w:color w:val="auto"/>
          <w:sz w:val="20"/>
          <w:szCs w:val="20"/>
        </w:rPr>
      </w:pPr>
    </w:p>
    <w:p>
      <w:pPr>
        <w:spacing w:after="0" w:line="513" w:lineRule="auto"/>
        <w:ind w:left="360" w:right="360" w:firstLine="720"/>
        <w:jc w:val="both"/>
        <w:rPr>
          <w:color w:val="auto"/>
          <w:sz w:val="20"/>
          <w:szCs w:val="20"/>
        </w:rPr>
      </w:pPr>
      <w:r>
        <w:rPr>
          <w:rFonts w:ascii="Times New Roman" w:hAnsi="Times New Roman" w:eastAsia="Times New Roman" w:cs="Times New Roman"/>
          <w:color w:val="auto"/>
          <w:sz w:val="22"/>
          <w:szCs w:val="22"/>
        </w:rPr>
        <w:t>The function of 1,25(OH)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starts when 1,25(OH)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binds with VDR. VDR is present in many cells of the body including kidney, adrenal, thyroid, bladder, GI tract, liver, prostate and</w:t>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21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7</w:t>
      </w:r>
    </w:p>
    <w:p>
      <w:pPr>
        <w:sectPr>
          <w:type w:val="continuous"/>
          <w:pgSz w:w="12240" w:h="15840"/>
          <w:pgMar w:top="1419" w:right="1440" w:bottom="181" w:left="1440" w:header="0" w:footer="0" w:gutter="0"/>
          <w:cols w:equalWidth="0" w:num="1">
            <w:col w:w="9360"/>
          </w:cols>
        </w:sectPr>
      </w:pPr>
    </w:p>
    <w:p>
      <w:pPr>
        <w:spacing w:after="0" w:line="525" w:lineRule="auto"/>
        <w:ind w:left="360" w:right="360"/>
        <w:jc w:val="both"/>
        <w:rPr>
          <w:color w:val="auto"/>
          <w:sz w:val="20"/>
          <w:szCs w:val="20"/>
        </w:rPr>
      </w:pPr>
      <w:bookmarkStart w:id="14" w:name="page21"/>
      <w:bookmarkEnd w:id="14"/>
      <w:r>
        <w:rPr>
          <w:rFonts w:ascii="Times New Roman" w:hAnsi="Times New Roman" w:eastAsia="Times New Roman" w:cs="Times New Roman"/>
          <w:color w:val="auto"/>
          <w:sz w:val="21"/>
          <w:szCs w:val="21"/>
        </w:rPr>
        <w:t>breast cells. About 3-5% of human genomes are regulated by VDR (Wang, Zhu, &amp; DeLuca, 2012). VDR was detected in normal human colon cells. If the VDR expression is more, it stimulates cell differentiation rather than proliferation, which is required for cancer growth reduction.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685800</wp:posOffset>
            </wp:positionH>
            <wp:positionV relativeFrom="paragraph">
              <wp:posOffset>918210</wp:posOffset>
            </wp:positionV>
            <wp:extent cx="4799965" cy="4686300"/>
            <wp:effectExtent l="0" t="0" r="63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
                    <a:srcRect/>
                    <a:stretch>
                      <a:fillRect/>
                    </a:stretch>
                  </pic:blipFill>
                  <pic:spPr>
                    <a:xfrm>
                      <a:off x="0" y="0"/>
                      <a:ext cx="4799965" cy="46863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0" w:lineRule="exact"/>
        <w:rPr>
          <w:color w:val="auto"/>
          <w:sz w:val="20"/>
          <w:szCs w:val="20"/>
        </w:rPr>
      </w:pPr>
    </w:p>
    <w:p>
      <w:pPr>
        <w:spacing w:after="0"/>
        <w:ind w:left="2220"/>
        <w:rPr>
          <w:color w:val="auto"/>
          <w:sz w:val="20"/>
          <w:szCs w:val="20"/>
        </w:rPr>
      </w:pPr>
      <w:r>
        <w:rPr>
          <w:rFonts w:ascii="Times New Roman" w:hAnsi="Times New Roman" w:eastAsia="Times New Roman" w:cs="Times New Roman"/>
          <w:b/>
          <w:bCs/>
          <w:color w:val="auto"/>
          <w:sz w:val="22"/>
          <w:szCs w:val="22"/>
        </w:rPr>
        <w:t>Figure 2.1.</w:t>
      </w:r>
      <w:r>
        <w:rPr>
          <w:rFonts w:ascii="Times New Roman" w:hAnsi="Times New Roman" w:eastAsia="Times New Roman" w:cs="Times New Roman"/>
          <w:color w:val="auto"/>
          <w:sz w:val="22"/>
          <w:szCs w:val="22"/>
        </w:rPr>
        <w:t xml:space="preserve"> Schematic mechanism of the vitamin D metabolism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p>
      <w:pPr>
        <w:spacing w:after="0" w:line="513" w:lineRule="auto"/>
        <w:ind w:left="360" w:right="360" w:firstLine="720"/>
        <w:jc w:val="both"/>
        <w:rPr>
          <w:color w:val="auto"/>
          <w:sz w:val="20"/>
          <w:szCs w:val="20"/>
        </w:rPr>
      </w:pPr>
      <w:r>
        <w:rPr>
          <w:rFonts w:ascii="Times New Roman" w:hAnsi="Times New Roman" w:eastAsia="Times New Roman" w:cs="Times New Roman"/>
          <w:color w:val="auto"/>
          <w:sz w:val="22"/>
          <w:szCs w:val="22"/>
        </w:rPr>
        <w:t>It has been stated that the receptor of 1,25(OH)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is widely distributed in normal human tissues and mainly localized in the nucleus (Berger et al., 2016). Even though VDR is</w:t>
      </w:r>
    </w:p>
    <w:p>
      <w:pPr>
        <w:sectPr>
          <w:pgSz w:w="12240" w:h="15840"/>
          <w:pgMar w:top="1419" w:right="1440" w:bottom="181" w:left="1440" w:header="0" w:footer="0" w:gutter="0"/>
          <w:cols w:equalWidth="0" w:num="1">
            <w:col w:w="9360"/>
          </w:cols>
        </w:sectPr>
      </w:pPr>
    </w:p>
    <w:p>
      <w:pPr>
        <w:spacing w:after="0" w:line="18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8</w:t>
      </w:r>
    </w:p>
    <w:p>
      <w:pPr>
        <w:sectPr>
          <w:type w:val="continuous"/>
          <w:pgSz w:w="12240" w:h="15840"/>
          <w:pgMar w:top="1419" w:right="1440" w:bottom="181" w:left="1440" w:header="0" w:footer="0" w:gutter="0"/>
          <w:cols w:equalWidth="0" w:num="1">
            <w:col w:w="9360"/>
          </w:cols>
        </w:sectPr>
      </w:pPr>
    </w:p>
    <w:p>
      <w:pPr>
        <w:spacing w:after="0" w:line="503" w:lineRule="auto"/>
        <w:ind w:left="360" w:right="360"/>
        <w:jc w:val="both"/>
        <w:rPr>
          <w:color w:val="auto"/>
          <w:sz w:val="20"/>
          <w:szCs w:val="20"/>
        </w:rPr>
      </w:pPr>
      <w:bookmarkStart w:id="15" w:name="page22"/>
      <w:bookmarkEnd w:id="15"/>
      <w:r>
        <w:rPr>
          <w:rFonts w:ascii="Times New Roman" w:hAnsi="Times New Roman" w:eastAsia="Times New Roman" w:cs="Times New Roman"/>
          <w:color w:val="auto"/>
          <w:sz w:val="21"/>
          <w:szCs w:val="21"/>
        </w:rPr>
        <w:t>predominantly present in the nucleus, some studies show that VDR gets translocated to the nucleus from cytoplasm once the ligand (1,25(OH)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1"/>
          <w:szCs w:val="21"/>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activates the VDR (Hansen, Binderup, Hamberg,</w:t>
      </w:r>
    </w:p>
    <w:p>
      <w:pPr>
        <w:spacing w:after="0" w:line="1" w:lineRule="exact"/>
        <w:rPr>
          <w:color w:val="auto"/>
          <w:sz w:val="20"/>
          <w:szCs w:val="20"/>
        </w:rPr>
      </w:pPr>
    </w:p>
    <w:p>
      <w:pPr>
        <w:numPr>
          <w:ilvl w:val="0"/>
          <w:numId w:val="4"/>
        </w:numPr>
        <w:tabs>
          <w:tab w:val="left" w:pos="641"/>
        </w:tabs>
        <w:spacing w:after="0" w:line="490" w:lineRule="auto"/>
        <w:ind w:left="360" w:right="360"/>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Carlberg, 2001). After 1,25(OH)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binds with VDR, the transcriptional activity will be regulated when 1,25(OH)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-VDR binds with the Retinoid X Receptor (RXR) forming a heterodimer. The whole complex then binds with Vitamin D Responsive Elements (VDRE) in the promoter region of the target genes to initiate transcription.</w:t>
      </w:r>
    </w:p>
    <w:p>
      <w:pPr>
        <w:spacing w:after="0" w:line="118" w:lineRule="exact"/>
        <w:rPr>
          <w:color w:val="auto"/>
          <w:sz w:val="20"/>
          <w:szCs w:val="20"/>
        </w:rPr>
      </w:pPr>
    </w:p>
    <w:p>
      <w:pPr>
        <w:spacing w:after="0" w:line="483" w:lineRule="auto"/>
        <w:ind w:left="360" w:right="360" w:firstLine="720"/>
        <w:jc w:val="both"/>
        <w:rPr>
          <w:color w:val="auto"/>
          <w:sz w:val="20"/>
          <w:szCs w:val="20"/>
        </w:rPr>
      </w:pPr>
      <w:r>
        <w:rPr>
          <w:rFonts w:ascii="Times New Roman" w:hAnsi="Times New Roman" w:eastAsia="Times New Roman" w:cs="Times New Roman"/>
          <w:color w:val="auto"/>
          <w:sz w:val="22"/>
          <w:szCs w:val="22"/>
        </w:rPr>
        <w:t>VDR recruits co-modulators, which includes coactivators and corepressors. When VDRE binds with coactivator proteins, it helps open chromatin through the enzyme histone acetylase. Then the transcription process will be activated. When VDRE binds with corepressor proteins, the chromatin will be closed by recruiting the enzyme histone deacetylase and hence gene transcription will be repressed. So, depending on the type of co-modulators, the transcription process will be activated or deactivated. 1,25(OH)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activates many VDR-dependent genes. Among them, CYP24A1 is particularly important because it is involved in a negative feedback loop and it catalyzes the degradation of both 1,25(OH)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and 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Thus, 1,25(OH)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can be self-regulated.</w:t>
      </w: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2"/>
          <w:szCs w:val="22"/>
        </w:rPr>
        <w:t>2.2.5. Improvement of vitamin D status</w:t>
      </w:r>
    </w:p>
    <w:p>
      <w:pPr>
        <w:spacing w:after="0" w:line="200" w:lineRule="exact"/>
        <w:rPr>
          <w:color w:val="auto"/>
          <w:sz w:val="20"/>
          <w:szCs w:val="20"/>
        </w:rPr>
      </w:pPr>
    </w:p>
    <w:p>
      <w:pPr>
        <w:spacing w:after="0" w:line="216" w:lineRule="exact"/>
        <w:rPr>
          <w:color w:val="auto"/>
          <w:sz w:val="20"/>
          <w:szCs w:val="20"/>
        </w:rPr>
      </w:pPr>
    </w:p>
    <w:p>
      <w:pPr>
        <w:spacing w:after="0" w:line="490" w:lineRule="auto"/>
        <w:ind w:left="360" w:right="360" w:firstLine="720"/>
        <w:jc w:val="both"/>
        <w:rPr>
          <w:color w:val="auto"/>
          <w:sz w:val="20"/>
          <w:szCs w:val="20"/>
        </w:rPr>
      </w:pPr>
      <w:r>
        <w:rPr>
          <w:rFonts w:ascii="Times New Roman" w:hAnsi="Times New Roman" w:eastAsia="Times New Roman" w:cs="Times New Roman"/>
          <w:color w:val="auto"/>
          <w:sz w:val="21"/>
          <w:szCs w:val="21"/>
        </w:rPr>
        <w:t>With few natural vitamin D food sources and fortified foods available, vitamin D intake is not sufficient is to reach an adequate vitamin D status and hence vitamin D deficiency is highly prevalent in the U.S and worldwide in most age groups (Wang et al., 2008). In the U.S it was estimated that more than 90% of the pigmented population and 3/4</w:t>
      </w:r>
      <w:r>
        <w:rPr>
          <w:rFonts w:ascii="Times New Roman" w:hAnsi="Times New Roman" w:eastAsia="Times New Roman" w:cs="Times New Roman"/>
          <w:color w:val="auto"/>
          <w:sz w:val="26"/>
          <w:szCs w:val="26"/>
          <w:vertAlign w:val="superscript"/>
        </w:rPr>
        <w:t>th</w:t>
      </w:r>
      <w:r>
        <w:rPr>
          <w:rFonts w:ascii="Times New Roman" w:hAnsi="Times New Roman" w:eastAsia="Times New Roman" w:cs="Times New Roman"/>
          <w:color w:val="auto"/>
          <w:sz w:val="21"/>
          <w:szCs w:val="21"/>
        </w:rPr>
        <w:t xml:space="preserve"> of the white population are vitamin D insufficient (i.e their serum concentration 30 to &lt;50 nmol/L or 12 to &lt;20 ng/mL). The various reasons for vitamin D insufficiency/ deficiency (i.e their serum concentration (&lt;30 nmol/L or &lt;12ng/mL) in the U.S are low consumption of vitamin D fortified milk, less exposure to sun or</w:t>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9</w:t>
      </w:r>
    </w:p>
    <w:p>
      <w:pPr>
        <w:sectPr>
          <w:type w:val="continuous"/>
          <w:pgSz w:w="12240" w:h="15840"/>
          <w:pgMar w:top="1419" w:right="1440" w:bottom="181" w:left="1440" w:header="0" w:footer="0" w:gutter="0"/>
          <w:cols w:equalWidth="0" w:num="1">
            <w:col w:w="9360"/>
          </w:cols>
        </w:sectPr>
      </w:pPr>
    </w:p>
    <w:p>
      <w:pPr>
        <w:spacing w:after="0" w:line="511" w:lineRule="auto"/>
        <w:ind w:left="360" w:right="360"/>
        <w:jc w:val="both"/>
        <w:rPr>
          <w:color w:val="auto"/>
          <w:sz w:val="20"/>
          <w:szCs w:val="20"/>
        </w:rPr>
      </w:pPr>
      <w:bookmarkStart w:id="16" w:name="page23"/>
      <w:bookmarkEnd w:id="16"/>
      <w:r>
        <w:rPr>
          <w:rFonts w:ascii="Times New Roman" w:hAnsi="Times New Roman" w:eastAsia="Times New Roman" w:cs="Times New Roman"/>
          <w:color w:val="auto"/>
          <w:sz w:val="22"/>
          <w:szCs w:val="22"/>
        </w:rPr>
        <w:t>more usage of sunscreen lotion to protect the skin from sun and the increase in Body Mass Index (Looker et al., 2011), (Holick, 2007) &amp; (Adams &amp; Hewison, 2010).</w:t>
      </w:r>
    </w:p>
    <w:p>
      <w:pPr>
        <w:spacing w:after="0" w:line="94" w:lineRule="exact"/>
        <w:rPr>
          <w:color w:val="auto"/>
          <w:sz w:val="20"/>
          <w:szCs w:val="20"/>
        </w:rPr>
      </w:pPr>
    </w:p>
    <w:p>
      <w:pPr>
        <w:spacing w:after="0" w:line="486" w:lineRule="auto"/>
        <w:ind w:left="360" w:right="360" w:firstLine="720"/>
        <w:jc w:val="both"/>
        <w:rPr>
          <w:color w:val="auto"/>
          <w:sz w:val="20"/>
          <w:szCs w:val="20"/>
        </w:rPr>
      </w:pPr>
      <w:r>
        <w:rPr>
          <w:rFonts w:ascii="Times New Roman" w:hAnsi="Times New Roman" w:eastAsia="Times New Roman" w:cs="Times New Roman"/>
          <w:color w:val="auto"/>
          <w:sz w:val="22"/>
          <w:szCs w:val="22"/>
        </w:rPr>
        <w:t>The deficiency of vitamin D causes a metabolic bone disease called rickets in children and osteomalacia in adults (Wang et al., 2008). In Wang’s review he stated that the suboptimal level of vitamin D status is not only related to impaired bone mineral density it may also increase the risk of various chronic diseases like cardiovascular diseases, hypertension, multiple sclerosis, autoimmune diseases like type I diabetes mellitus, rheumatoid arthritis and various cancers like breast cancer, prostate cancer and colon cancer.</w:t>
      </w:r>
    </w:p>
    <w:p>
      <w:pPr>
        <w:spacing w:after="0" w:line="123" w:lineRule="exact"/>
        <w:rPr>
          <w:color w:val="auto"/>
          <w:sz w:val="20"/>
          <w:szCs w:val="20"/>
        </w:rPr>
      </w:pPr>
    </w:p>
    <w:p>
      <w:pPr>
        <w:spacing w:after="0" w:line="485" w:lineRule="auto"/>
        <w:ind w:left="360" w:right="360" w:firstLine="720"/>
        <w:jc w:val="both"/>
        <w:rPr>
          <w:color w:val="auto"/>
          <w:sz w:val="20"/>
          <w:szCs w:val="20"/>
        </w:rPr>
      </w:pPr>
      <w:r>
        <w:rPr>
          <w:rFonts w:ascii="Times New Roman" w:hAnsi="Times New Roman" w:eastAsia="Times New Roman" w:cs="Times New Roman"/>
          <w:color w:val="auto"/>
          <w:sz w:val="22"/>
          <w:szCs w:val="22"/>
        </w:rPr>
        <w:t>Institute of Medicine found that vitamin D is produced in the skin by exposure to sunlight is very challenging for finalizing its DRI values (Ross et al., 2011). But based on the assumption of no cutaneous production of vitamin D, the current RDA for vitamin D is 600IU/day for ages up to 70 years, 800 IU/day above 70 years to achieve a serum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of 20 ng/ml or 50 nmol/L. A level believed to be adequate to protect bone health in 97.5% of the population (Ross et al., 2011). Hypervitaminosis or vitamin D toxicity symptoms can occur only after extended exposure to a very high dosage level (&gt;50,000 IU) of vitamin D (Van den Berg, 1997).</w:t>
      </w:r>
    </w:p>
    <w:p>
      <w:pPr>
        <w:spacing w:after="0" w:line="122" w:lineRule="exact"/>
        <w:rPr>
          <w:color w:val="auto"/>
          <w:sz w:val="20"/>
          <w:szCs w:val="20"/>
        </w:rPr>
      </w:pPr>
    </w:p>
    <w:p>
      <w:pPr>
        <w:spacing w:after="0" w:line="486" w:lineRule="auto"/>
        <w:ind w:left="360" w:right="360" w:firstLine="720"/>
        <w:jc w:val="both"/>
        <w:rPr>
          <w:color w:val="auto"/>
          <w:sz w:val="20"/>
          <w:szCs w:val="20"/>
        </w:rPr>
      </w:pPr>
      <w:r>
        <w:rPr>
          <w:rFonts w:ascii="Times New Roman" w:hAnsi="Times New Roman" w:eastAsia="Times New Roman" w:cs="Times New Roman"/>
          <w:color w:val="auto"/>
          <w:sz w:val="22"/>
          <w:szCs w:val="22"/>
        </w:rPr>
        <w:t>Vitamin D helps in maintaining calcium homeostasis. When blood calcium level goes down, calcium sensors in the parathyroid gland sense it and release the Parathyroid hormone (PTH). In the kidney, PTH stimulates the conversion of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to the active metabolite 1,25(OH)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The 1,25(OH)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activates VDR and helps increases the production of TRPV6, a vitamin D-dependent brush border membrane calcium channel, which enhances calcium absorption in the intestine.</w:t>
      </w:r>
    </w:p>
    <w:p>
      <w:pPr>
        <w:spacing w:after="0" w:line="123" w:lineRule="exact"/>
        <w:rPr>
          <w:color w:val="auto"/>
          <w:sz w:val="20"/>
          <w:szCs w:val="20"/>
        </w:rPr>
      </w:pPr>
    </w:p>
    <w:p>
      <w:pPr>
        <w:spacing w:after="0" w:line="496" w:lineRule="auto"/>
        <w:ind w:left="360" w:right="360" w:firstLine="720"/>
        <w:jc w:val="both"/>
        <w:rPr>
          <w:color w:val="auto"/>
          <w:sz w:val="20"/>
          <w:szCs w:val="20"/>
        </w:rPr>
      </w:pPr>
      <w:r>
        <w:rPr>
          <w:rFonts w:ascii="Times New Roman" w:hAnsi="Times New Roman" w:eastAsia="Times New Roman" w:cs="Times New Roman"/>
          <w:color w:val="auto"/>
          <w:sz w:val="22"/>
          <w:szCs w:val="22"/>
        </w:rPr>
        <w:t>Many studies have recommended at least 20-30 ng/ml of serum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concentration to maximize vitamin D-dependent intestinal calcium absorption, minimize PTH secretion and to maintain calcium and phosphorous homeostasis (Holick et al., 2005). But several studies have</w:t>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38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10</w:t>
      </w:r>
    </w:p>
    <w:p>
      <w:pPr>
        <w:sectPr>
          <w:type w:val="continuous"/>
          <w:pgSz w:w="12240" w:h="15840"/>
          <w:pgMar w:top="1419" w:right="1440" w:bottom="181" w:left="1440" w:header="0" w:footer="0" w:gutter="0"/>
          <w:cols w:equalWidth="0" w:num="1">
            <w:col w:w="9360"/>
          </w:cols>
        </w:sectPr>
      </w:pPr>
    </w:p>
    <w:p>
      <w:pPr>
        <w:spacing w:after="0" w:line="496" w:lineRule="auto"/>
        <w:ind w:left="360" w:right="360"/>
        <w:jc w:val="both"/>
        <w:rPr>
          <w:color w:val="auto"/>
          <w:sz w:val="20"/>
          <w:szCs w:val="20"/>
        </w:rPr>
      </w:pPr>
      <w:bookmarkStart w:id="17" w:name="page24"/>
      <w:bookmarkEnd w:id="17"/>
      <w:r>
        <w:rPr>
          <w:rFonts w:ascii="Times New Roman" w:hAnsi="Times New Roman" w:eastAsia="Times New Roman" w:cs="Times New Roman"/>
          <w:color w:val="auto"/>
          <w:sz w:val="22"/>
          <w:szCs w:val="22"/>
        </w:rPr>
        <w:t>suggested that the current RDA (600IU/day) is an underestimate and is not sufficient to keep a normal level of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Low vitamin D status is significantly related to all causes of death in U.S population.</w:t>
      </w:r>
    </w:p>
    <w:p>
      <w:pPr>
        <w:spacing w:after="0" w:line="109" w:lineRule="exact"/>
        <w:rPr>
          <w:color w:val="auto"/>
          <w:sz w:val="20"/>
          <w:szCs w:val="20"/>
        </w:rPr>
      </w:pPr>
    </w:p>
    <w:p>
      <w:pPr>
        <w:spacing w:after="0" w:line="483" w:lineRule="auto"/>
        <w:ind w:left="360" w:right="360" w:firstLine="720"/>
        <w:jc w:val="both"/>
        <w:rPr>
          <w:color w:val="auto"/>
          <w:sz w:val="20"/>
          <w:szCs w:val="20"/>
        </w:rPr>
      </w:pPr>
      <w:r>
        <w:rPr>
          <w:rFonts w:ascii="Times New Roman" w:hAnsi="Times New Roman" w:eastAsia="Times New Roman" w:cs="Times New Roman"/>
          <w:color w:val="auto"/>
          <w:sz w:val="22"/>
          <w:szCs w:val="22"/>
        </w:rPr>
        <w:t>Vitamin D deficiency can be improved either by vitamin D supplementation or by carefully exposing the whole body to UVB radiation since parenteral delivery of vitamin D is prohibited in the U.S (Adams &amp; Hewison, 2010). Many researchers are showing interest in vitamin D supplementation to reduce vitamin D deficiency, insufficiency and various chronic diseases (Dawson-hughes, 2008). It was reported that the supplementation form has increased the bioavailability of bioactive compounds compared to the food matrix (Wang et al., 2012). Even with the supplementation, there are differences in bioavailability of vitamin D level. Reduction in bioavailability of vitamin D supplementation may be due to the reduction in supplement dissolution, change in vitamin D absorption in the small intestine or due to altered metabolism of vitamin D in the body.</w:t>
      </w:r>
    </w:p>
    <w:p>
      <w:pPr>
        <w:spacing w:after="0" w:line="128" w:lineRule="exact"/>
        <w:rPr>
          <w:color w:val="auto"/>
          <w:sz w:val="20"/>
          <w:szCs w:val="20"/>
        </w:rPr>
      </w:pPr>
    </w:p>
    <w:p>
      <w:pPr>
        <w:spacing w:after="0" w:line="486" w:lineRule="auto"/>
        <w:ind w:left="360" w:right="360" w:firstLine="721"/>
        <w:jc w:val="both"/>
        <w:rPr>
          <w:color w:val="auto"/>
          <w:sz w:val="20"/>
          <w:szCs w:val="20"/>
        </w:rPr>
      </w:pPr>
      <w:r>
        <w:rPr>
          <w:rFonts w:ascii="Times New Roman" w:hAnsi="Times New Roman" w:eastAsia="Times New Roman" w:cs="Times New Roman"/>
          <w:color w:val="auto"/>
          <w:sz w:val="22"/>
          <w:szCs w:val="22"/>
        </w:rPr>
        <w:t>The absorption of ingested vitamin D is relatively poor due to a highly lipophilic molecule that has naturally poor water solubility and lower oral bioavailability. A considerable amount of research has been done to identify a better method to deliver the lipophilic compound. Vitamin D is often suggested to deliver through a lipid-based delivery system. This lipid-based delivery system improves its bioaccessibility by increasing its solubility and forming mixed micelles in the small intestine (Salvia-Trujillo et al., 2013).</w:t>
      </w:r>
    </w:p>
    <w:p>
      <w:pPr>
        <w:spacing w:after="0" w:line="121" w:lineRule="exact"/>
        <w:rPr>
          <w:color w:val="auto"/>
          <w:sz w:val="20"/>
          <w:szCs w:val="20"/>
        </w:rPr>
      </w:pPr>
    </w:p>
    <w:p>
      <w:pPr>
        <w:spacing w:after="0" w:line="512" w:lineRule="auto"/>
        <w:ind w:left="360" w:right="360" w:firstLine="720"/>
        <w:jc w:val="both"/>
        <w:rPr>
          <w:color w:val="auto"/>
          <w:sz w:val="20"/>
          <w:szCs w:val="20"/>
        </w:rPr>
      </w:pPr>
      <w:r>
        <w:rPr>
          <w:rFonts w:ascii="Times New Roman" w:hAnsi="Times New Roman" w:eastAsia="Times New Roman" w:cs="Times New Roman"/>
          <w:color w:val="auto"/>
          <w:sz w:val="21"/>
          <w:szCs w:val="21"/>
        </w:rPr>
        <w:t>Among the various lipid-based systems, encapsulation of vitamin D, particularly through nanoemulsion is suggested in improving its water solubility, digestion and oral bioavailability (Guttoff et al., 2015) &amp; (Ozturk et al., 2015). Particles in nanometer ranges (diameter &lt; 200nm) have more advantages than conventional emulsion (micrometre sizes or diameter &gt;200nm) because it helps reduce the incomplete dissolution of lipophilic compounds due to larger surface area and are physically stable (Yin et al., 2009). Nanoemulsion, being smaller in particle size tends to digest</w:t>
      </w:r>
    </w:p>
    <w:p>
      <w:pPr>
        <w:sectPr>
          <w:pgSz w:w="12240" w:h="15840"/>
          <w:pgMar w:top="1419" w:right="1440" w:bottom="181" w:left="1440" w:header="0" w:footer="0" w:gutter="0"/>
          <w:cols w:equalWidth="0" w:num="1">
            <w:col w:w="9360"/>
          </w:cols>
        </w:sectPr>
      </w:pPr>
    </w:p>
    <w:p>
      <w:pPr>
        <w:spacing w:after="0" w:line="23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11</w:t>
      </w:r>
    </w:p>
    <w:p>
      <w:pPr>
        <w:sectPr>
          <w:type w:val="continuous"/>
          <w:pgSz w:w="12240" w:h="15840"/>
          <w:pgMar w:top="1419" w:right="1440" w:bottom="181" w:left="1440" w:header="0" w:footer="0" w:gutter="0"/>
          <w:cols w:equalWidth="0" w:num="1">
            <w:col w:w="9360"/>
          </w:cols>
        </w:sectPr>
      </w:pPr>
    </w:p>
    <w:p>
      <w:pPr>
        <w:spacing w:after="0" w:line="490" w:lineRule="auto"/>
        <w:ind w:left="360" w:right="360"/>
        <w:jc w:val="both"/>
        <w:rPr>
          <w:color w:val="auto"/>
          <w:sz w:val="20"/>
          <w:szCs w:val="20"/>
        </w:rPr>
      </w:pPr>
      <w:bookmarkStart w:id="18" w:name="page25"/>
      <w:bookmarkEnd w:id="18"/>
      <w:r>
        <w:rPr>
          <w:rFonts w:ascii="Times New Roman" w:hAnsi="Times New Roman" w:eastAsia="Times New Roman" w:cs="Times New Roman"/>
          <w:color w:val="auto"/>
          <w:sz w:val="22"/>
          <w:szCs w:val="22"/>
        </w:rPr>
        <w:t xml:space="preserve">more rapidly and easily in gastrointestinal fluids. It forms mixed micelles by rapidly solubilizing and transporting lipophilic compounds. Many recent studies indicate that smaller the particle size (nanoparticles) higher the </w:t>
      </w:r>
      <w:r>
        <w:rPr>
          <w:rFonts w:ascii="Times New Roman" w:hAnsi="Times New Roman" w:eastAsia="Times New Roman" w:cs="Times New Roman"/>
          <w:i/>
          <w:iCs/>
          <w:color w:val="auto"/>
          <w:sz w:val="22"/>
          <w:szCs w:val="22"/>
        </w:rPr>
        <w:t>in vitro</w:t>
      </w:r>
      <w:r>
        <w:rPr>
          <w:rFonts w:ascii="Times New Roman" w:hAnsi="Times New Roman" w:eastAsia="Times New Roman" w:cs="Times New Roman"/>
          <w:color w:val="auto"/>
          <w:sz w:val="22"/>
          <w:szCs w:val="22"/>
        </w:rPr>
        <w:t xml:space="preserve"> bioaccessibility or absorption of lipophilic compounds (Salvia-Trujillo et al., 2013).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2"/>
          <w:szCs w:val="22"/>
        </w:rPr>
        <w:t>2.3. Nanotechnology</w:t>
      </w:r>
    </w:p>
    <w:p>
      <w:pPr>
        <w:spacing w:after="0" w:line="200" w:lineRule="exact"/>
        <w:rPr>
          <w:color w:val="auto"/>
          <w:sz w:val="20"/>
          <w:szCs w:val="20"/>
        </w:rPr>
      </w:pPr>
    </w:p>
    <w:p>
      <w:pPr>
        <w:spacing w:after="0" w:line="33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2"/>
          <w:szCs w:val="22"/>
        </w:rPr>
        <w:t>2.3.1. Introduction of nanotechnology and nanoemulsion</w:t>
      </w:r>
    </w:p>
    <w:p>
      <w:pPr>
        <w:spacing w:after="0" w:line="200" w:lineRule="exact"/>
        <w:rPr>
          <w:color w:val="auto"/>
          <w:sz w:val="20"/>
          <w:szCs w:val="20"/>
        </w:rPr>
      </w:pPr>
    </w:p>
    <w:p>
      <w:pPr>
        <w:spacing w:after="0" w:line="341" w:lineRule="exact"/>
        <w:rPr>
          <w:color w:val="auto"/>
          <w:sz w:val="20"/>
          <w:szCs w:val="20"/>
        </w:rPr>
      </w:pPr>
    </w:p>
    <w:p>
      <w:pPr>
        <w:spacing w:after="0" w:line="465" w:lineRule="auto"/>
        <w:ind w:left="360" w:right="360" w:firstLine="720"/>
        <w:jc w:val="both"/>
        <w:rPr>
          <w:color w:val="auto"/>
          <w:sz w:val="20"/>
          <w:szCs w:val="20"/>
        </w:rPr>
      </w:pPr>
      <w:r>
        <w:rPr>
          <w:rFonts w:ascii="Times New Roman" w:hAnsi="Times New Roman" w:eastAsia="Times New Roman" w:cs="Times New Roman"/>
          <w:color w:val="auto"/>
          <w:sz w:val="22"/>
          <w:szCs w:val="22"/>
        </w:rPr>
        <w:t>Nanotechnology is an enabling technology in which the particles are usually in nanoscale (10</w:t>
      </w:r>
      <w:r>
        <w:rPr>
          <w:rFonts w:ascii="Times New Roman" w:hAnsi="Times New Roman" w:eastAsia="Times New Roman" w:cs="Times New Roman"/>
          <w:color w:val="auto"/>
          <w:sz w:val="27"/>
          <w:szCs w:val="27"/>
          <w:vertAlign w:val="superscript"/>
        </w:rPr>
        <w:t>-9</w:t>
      </w:r>
      <w:r>
        <w:rPr>
          <w:rFonts w:ascii="Times New Roman" w:hAnsi="Times New Roman" w:eastAsia="Times New Roman" w:cs="Times New Roman"/>
          <w:color w:val="auto"/>
          <w:sz w:val="22"/>
          <w:szCs w:val="22"/>
        </w:rPr>
        <w:t xml:space="preserve"> m), with many applications in various fields. Nanotechnology is used for various reasons, but we are particularly going to focus on how to encapsulate the poorly soluble and environmentally sensitive bioactive compounds, with the aim of enhancing its bioaccessibility and oral bioavailability. It was stated that to improve the nutritional quality and stability of functional foods, encapsulating the compound would be a good option (Huang, Yu, &amp; Ru, 2010).</w:t>
      </w:r>
    </w:p>
    <w:p>
      <w:pPr>
        <w:spacing w:after="0" w:line="145" w:lineRule="exact"/>
        <w:rPr>
          <w:color w:val="auto"/>
          <w:sz w:val="20"/>
          <w:szCs w:val="20"/>
        </w:rPr>
      </w:pPr>
    </w:p>
    <w:p>
      <w:pPr>
        <w:spacing w:after="0" w:line="496" w:lineRule="auto"/>
        <w:ind w:left="360" w:right="360" w:firstLine="720"/>
        <w:jc w:val="both"/>
        <w:rPr>
          <w:color w:val="auto"/>
          <w:sz w:val="20"/>
          <w:szCs w:val="20"/>
        </w:rPr>
      </w:pPr>
      <w:r>
        <w:rPr>
          <w:rFonts w:ascii="Times New Roman" w:hAnsi="Times New Roman" w:eastAsia="Times New Roman" w:cs="Times New Roman"/>
          <w:color w:val="auto"/>
          <w:sz w:val="22"/>
          <w:szCs w:val="22"/>
        </w:rPr>
        <w:t>Nanoencapsulation can be made accomplished by various methods, such as nanocomposite, nanoemulsification and nanostructuration (Sekhon, 2010). In this review, we will be exploring in detail about nanoemulsification process.</w:t>
      </w:r>
    </w:p>
    <w:p>
      <w:pPr>
        <w:spacing w:after="0" w:line="109" w:lineRule="exact"/>
        <w:rPr>
          <w:color w:val="auto"/>
          <w:sz w:val="20"/>
          <w:szCs w:val="20"/>
        </w:rPr>
      </w:pPr>
    </w:p>
    <w:p>
      <w:pPr>
        <w:spacing w:after="0" w:line="486" w:lineRule="auto"/>
        <w:ind w:left="360" w:right="360" w:firstLine="720"/>
        <w:jc w:val="both"/>
        <w:rPr>
          <w:color w:val="auto"/>
          <w:sz w:val="20"/>
          <w:szCs w:val="20"/>
        </w:rPr>
      </w:pPr>
      <w:r>
        <w:rPr>
          <w:rFonts w:ascii="Times New Roman" w:hAnsi="Times New Roman" w:eastAsia="Times New Roman" w:cs="Times New Roman"/>
          <w:color w:val="auto"/>
          <w:sz w:val="22"/>
          <w:szCs w:val="22"/>
        </w:rPr>
        <w:t>An emulsion consists of at least two immiscible liquids, such as oil and water, in which one liquid dispersed in the other as small spherical droplets (Fang &amp; Bhandari, 2010). In nanoemulsions, the droplet size of the dispersed phase will be in nanosize (diameter &lt; 200nm). The encapsulated product can be used either directly either in the liquid state or in dried form after undergoing a drying process. Emulsion technology is generally used to encapsulate bioactive compounds in aqueous solutions.</w:t>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12</w:t>
      </w:r>
    </w:p>
    <w:p>
      <w:pPr>
        <w:sectPr>
          <w:type w:val="continuous"/>
          <w:pgSz w:w="12240" w:h="15840"/>
          <w:pgMar w:top="1419" w:right="1440" w:bottom="181" w:left="1440" w:header="0" w:footer="0" w:gutter="0"/>
          <w:cols w:equalWidth="0" w:num="1">
            <w:col w:w="9360"/>
          </w:cols>
        </w:sectPr>
      </w:pPr>
    </w:p>
    <w:p>
      <w:pPr>
        <w:spacing w:after="0" w:line="483" w:lineRule="auto"/>
        <w:ind w:left="360" w:right="360" w:firstLine="720"/>
        <w:jc w:val="both"/>
        <w:rPr>
          <w:color w:val="auto"/>
          <w:sz w:val="20"/>
          <w:szCs w:val="20"/>
        </w:rPr>
      </w:pPr>
      <w:bookmarkStart w:id="19" w:name="page26"/>
      <w:bookmarkEnd w:id="19"/>
      <w:r>
        <w:rPr>
          <w:rFonts w:ascii="Times New Roman" w:hAnsi="Times New Roman" w:eastAsia="Times New Roman" w:cs="Times New Roman"/>
          <w:color w:val="auto"/>
          <w:sz w:val="22"/>
          <w:szCs w:val="22"/>
        </w:rPr>
        <w:t>Nanoemulsions have very small size particles (diameter &lt; 200nm) (Mason et al., 2006). Even though nanoemulsions are thermodynamically unstable, they become kinetically stable by using surfactants (McClements, 2012). The formation of nanoemulsions needs external energy such as microfluidizer (flow induced through a small nozzle at high pressure up to 20,000 psi). Particles in nanoemulsions are spherical in shape because of high interfacial tension. Nanoemulsions are the smallest droplets with appearance ranging from transparent to milky white. A nanoemulsion measure ranges from 20 to 200 nm in diameter. It contains oil, water and emulsifier. Usually, the oil phase is the dispersed phase (for example bioactive compound mixed in a carrier oil). The water phase or aqueous phase acts as the continuous phase. The surfactant/emulsifier (amphipathic in nature) reduces the interfacial tension between the oil phase and aqueous phase thereby increasing the stability of the emulsion (Gupta et al., 2016).</w:t>
      </w:r>
    </w:p>
    <w:p>
      <w:pPr>
        <w:spacing w:after="0" w:line="12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1"/>
          <w:szCs w:val="21"/>
        </w:rPr>
        <w:t>A nanoemulsion can be prepared by two different techniques i) high-energy emulsification</w:t>
      </w:r>
    </w:p>
    <w:p>
      <w:pPr>
        <w:spacing w:after="0" w:line="263" w:lineRule="exact"/>
        <w:rPr>
          <w:color w:val="auto"/>
          <w:sz w:val="20"/>
          <w:szCs w:val="20"/>
        </w:rPr>
      </w:pPr>
    </w:p>
    <w:p>
      <w:pPr>
        <w:numPr>
          <w:ilvl w:val="0"/>
          <w:numId w:val="5"/>
        </w:numPr>
        <w:tabs>
          <w:tab w:val="left" w:pos="590"/>
        </w:tabs>
        <w:spacing w:after="0" w:line="484" w:lineRule="auto"/>
        <w:ind w:left="360" w:right="360"/>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ii) low-energy emulsification. High-energy emulsification method is more efficient in reducing the size of the emulsion droplets. Nanoemulsion preparation consists of two stages. In the first stage, a coarse macroemulsion is made by mixing the oil and aqueous phase together using a high-speed blender. Then this coarse emulsion will be then passed through a high-pressure homogenizer or microfluidizer to make fine nanoemulsions. The various types of nanoemulsions are oil-in-water (O/W) emulsion or water-in-oil (W/O) emulsion. Researchers have found that for lipophilic compounds an O/W emulsion is better because of its increased stability and high oral bioavailability (Guttoff, Saberi, &amp; Mcclements, 2015).</w:t>
      </w:r>
    </w:p>
    <w:p>
      <w:pPr>
        <w:spacing w:after="0" w:line="128" w:lineRule="exact"/>
        <w:rPr>
          <w:color w:val="auto"/>
          <w:sz w:val="20"/>
          <w:szCs w:val="20"/>
        </w:rPr>
      </w:pPr>
    </w:p>
    <w:p>
      <w:pPr>
        <w:spacing w:after="0" w:line="514" w:lineRule="auto"/>
        <w:ind w:left="360" w:right="360" w:firstLine="720"/>
        <w:jc w:val="both"/>
        <w:rPr>
          <w:color w:val="auto"/>
          <w:sz w:val="20"/>
          <w:szCs w:val="20"/>
        </w:rPr>
      </w:pPr>
      <w:r>
        <w:rPr>
          <w:rFonts w:ascii="Times New Roman" w:hAnsi="Times New Roman" w:eastAsia="Times New Roman" w:cs="Times New Roman"/>
          <w:color w:val="auto"/>
          <w:sz w:val="21"/>
          <w:szCs w:val="21"/>
        </w:rPr>
        <w:t>Many researchers have found that nanoemulsion is a very good technique for encapsulating lipophilic bioactive compounds because of the following reasons: i) it is a simpler and easier technique to make nanoemulsion ii) it is physically and chemically more stable (less droplet aggregation and gravitational separation) iii) it can be formed using natural food ingredients (a good example Q-Naturale) iv) it increases the oral bioavailability (which is the main reason for oral</w:t>
      </w:r>
    </w:p>
    <w:p>
      <w:pPr>
        <w:sectPr>
          <w:pgSz w:w="12240" w:h="15840"/>
          <w:pgMar w:top="1419" w:right="1440" w:bottom="181" w:left="1440" w:header="0" w:footer="0" w:gutter="0"/>
          <w:cols w:equalWidth="0" w:num="1">
            <w:col w:w="9360"/>
          </w:cols>
        </w:sectPr>
      </w:pPr>
    </w:p>
    <w:p>
      <w:pPr>
        <w:spacing w:after="0" w:line="39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13</w:t>
      </w:r>
    </w:p>
    <w:p>
      <w:pPr>
        <w:sectPr>
          <w:type w:val="continuous"/>
          <w:pgSz w:w="12240" w:h="15840"/>
          <w:pgMar w:top="1419" w:right="1440" w:bottom="181" w:left="1440" w:header="0" w:footer="0" w:gutter="0"/>
          <w:cols w:equalWidth="0" w:num="1">
            <w:col w:w="9360"/>
          </w:cols>
        </w:sectPr>
      </w:pPr>
    </w:p>
    <w:p>
      <w:pPr>
        <w:spacing w:after="0" w:line="483" w:lineRule="auto"/>
        <w:ind w:left="360" w:right="360"/>
        <w:jc w:val="both"/>
        <w:rPr>
          <w:color w:val="auto"/>
          <w:sz w:val="20"/>
          <w:szCs w:val="20"/>
        </w:rPr>
      </w:pPr>
      <w:bookmarkStart w:id="20" w:name="page27"/>
      <w:bookmarkEnd w:id="20"/>
      <w:r>
        <w:rPr>
          <w:rFonts w:ascii="Times New Roman" w:hAnsi="Times New Roman" w:eastAsia="Times New Roman" w:cs="Times New Roman"/>
          <w:color w:val="auto"/>
          <w:sz w:val="22"/>
          <w:szCs w:val="22"/>
        </w:rPr>
        <w:t>supplementation) because its smaller size helps better transportation through the cell membrane and larger surface area per volume, that increases the access for digestive enzymes like lipases v) potential toxicity might be less or insignificant for two reasons A) body makes a variety of lipases that can digest these lipids. B) food grade nanoemulsions will not be in nano-scales once they reach the small intestine due to an increase in size at gastrointestinal tract. vi) nanoemulsion increases the dispersibility of lipid-soluble bioactive compounds in water. The composition of the nanoemulsion plays an important role in lipid digestion, bioaccessibility and bioavailability of the bioactive compounds (Huang, Yu, &amp; Ru, 2010), (Guttoff, Saberi &amp; McClements, 2015), (Gupta et al., 2016) &amp; (McClements, 2011).</w:t>
      </w:r>
    </w:p>
    <w:p>
      <w:pPr>
        <w:spacing w:after="0" w:line="200" w:lineRule="exact"/>
        <w:rPr>
          <w:color w:val="auto"/>
          <w:sz w:val="20"/>
          <w:szCs w:val="20"/>
        </w:rPr>
      </w:pPr>
    </w:p>
    <w:p>
      <w:pPr>
        <w:spacing w:after="0" w:line="200" w:lineRule="exact"/>
        <w:rPr>
          <w:color w:val="auto"/>
          <w:sz w:val="20"/>
          <w:szCs w:val="20"/>
        </w:rPr>
      </w:pPr>
    </w:p>
    <w:p>
      <w:pPr>
        <w:spacing w:after="0" w:line="394"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2"/>
          <w:szCs w:val="22"/>
        </w:rPr>
        <w:t>2.3.2. The application of nanotechnology in nutrition and health</w:t>
      </w:r>
    </w:p>
    <w:p>
      <w:pPr>
        <w:spacing w:after="0" w:line="200" w:lineRule="exact"/>
        <w:rPr>
          <w:color w:val="auto"/>
          <w:sz w:val="20"/>
          <w:szCs w:val="20"/>
        </w:rPr>
      </w:pPr>
    </w:p>
    <w:p>
      <w:pPr>
        <w:spacing w:after="0" w:line="216" w:lineRule="exact"/>
        <w:rPr>
          <w:color w:val="auto"/>
          <w:sz w:val="20"/>
          <w:szCs w:val="20"/>
        </w:rPr>
      </w:pPr>
    </w:p>
    <w:p>
      <w:pPr>
        <w:spacing w:after="0" w:line="485" w:lineRule="auto"/>
        <w:ind w:left="360" w:right="360" w:firstLine="720"/>
        <w:jc w:val="both"/>
        <w:rPr>
          <w:color w:val="auto"/>
          <w:sz w:val="20"/>
          <w:szCs w:val="20"/>
        </w:rPr>
      </w:pPr>
      <w:r>
        <w:rPr>
          <w:rFonts w:ascii="Times New Roman" w:hAnsi="Times New Roman" w:eastAsia="Times New Roman" w:cs="Times New Roman"/>
          <w:color w:val="auto"/>
          <w:sz w:val="22"/>
          <w:szCs w:val="22"/>
        </w:rPr>
        <w:t>Nanotechnology is used in medicine and health in many ways. It is used in disease diagnosis, prevention, and treatment for effective drug delivery. The oral route is one of the ways of delivering drugs. Even though, the oral route is a non-invasive method of delivery, the efficacy of the drug’s effect can be reduced partially due to a harsh acidic environment, altering PH condition of stomach, tight monolayer of endothelial cells in intestine and filtration effect of the liver. Nano-based drug delivery can reduce these issues and can deliver the drug without any alteration (Kayser, Lemke, &amp; Hernández-Trejo, 2005).</w:t>
      </w:r>
    </w:p>
    <w:p>
      <w:pPr>
        <w:spacing w:after="0" w:line="122" w:lineRule="exact"/>
        <w:rPr>
          <w:color w:val="auto"/>
          <w:sz w:val="20"/>
          <w:szCs w:val="20"/>
        </w:rPr>
      </w:pPr>
    </w:p>
    <w:p>
      <w:pPr>
        <w:spacing w:after="0" w:line="480" w:lineRule="auto"/>
        <w:ind w:left="360" w:right="360" w:firstLine="720"/>
        <w:jc w:val="both"/>
        <w:rPr>
          <w:color w:val="auto"/>
          <w:sz w:val="20"/>
          <w:szCs w:val="20"/>
        </w:rPr>
      </w:pPr>
      <w:r>
        <w:rPr>
          <w:rFonts w:ascii="Times New Roman" w:hAnsi="Times New Roman" w:eastAsia="Times New Roman" w:cs="Times New Roman"/>
          <w:color w:val="auto"/>
          <w:sz w:val="22"/>
          <w:szCs w:val="22"/>
        </w:rPr>
        <w:t>Some of the possible advantages of nano-based drug delivery are i) deliver the drug at appropriate dose ii) circulate for long time iii) will not lose its property iv) controlled release at a site v) greater absorption vi) protection from degradation in the gastrointestinal tract vii) better bioavailability viii) targeted delivery of drug (Institute of Food Technologist, www.ift.org).</w:t>
      </w:r>
    </w:p>
    <w:p>
      <w:pPr>
        <w:spacing w:after="0" w:line="2" w:lineRule="exact"/>
        <w:rPr>
          <w:color w:val="auto"/>
          <w:sz w:val="20"/>
          <w:szCs w:val="20"/>
        </w:rPr>
      </w:pPr>
    </w:p>
    <w:p>
      <w:pPr>
        <w:spacing w:after="0" w:line="511" w:lineRule="auto"/>
        <w:ind w:left="360" w:right="360" w:firstLine="720"/>
        <w:jc w:val="both"/>
        <w:rPr>
          <w:color w:val="auto"/>
          <w:sz w:val="20"/>
          <w:szCs w:val="20"/>
        </w:rPr>
      </w:pPr>
      <w:r>
        <w:rPr>
          <w:rFonts w:ascii="Times New Roman" w:hAnsi="Times New Roman" w:eastAsia="Times New Roman" w:cs="Times New Roman"/>
          <w:color w:val="auto"/>
          <w:sz w:val="22"/>
          <w:szCs w:val="22"/>
        </w:rPr>
        <w:t>Nanotechnology is used as an antimicrobial agent, in cancer therapy, ocular delivery, oral drug delivery, parenteral delivery, topical delivery and in cosmetics (Singh, 2015). In cancer</w:t>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37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14</w:t>
      </w:r>
    </w:p>
    <w:p>
      <w:pPr>
        <w:sectPr>
          <w:type w:val="continuous"/>
          <w:pgSz w:w="12240" w:h="15840"/>
          <w:pgMar w:top="1419" w:right="1440" w:bottom="181" w:left="1440" w:header="0" w:footer="0" w:gutter="0"/>
          <w:cols w:equalWidth="0" w:num="1">
            <w:col w:w="9360"/>
          </w:cols>
        </w:sectPr>
      </w:pPr>
    </w:p>
    <w:p>
      <w:pPr>
        <w:spacing w:after="0" w:line="502" w:lineRule="auto"/>
        <w:ind w:left="360" w:right="360"/>
        <w:jc w:val="both"/>
        <w:rPr>
          <w:color w:val="auto"/>
          <w:sz w:val="20"/>
          <w:szCs w:val="20"/>
        </w:rPr>
      </w:pPr>
      <w:bookmarkStart w:id="21" w:name="page28"/>
      <w:bookmarkEnd w:id="21"/>
      <w:r>
        <w:rPr>
          <w:rFonts w:ascii="Times New Roman" w:hAnsi="Times New Roman" w:eastAsia="Times New Roman" w:cs="Times New Roman"/>
          <w:color w:val="auto"/>
          <w:sz w:val="21"/>
          <w:szCs w:val="21"/>
        </w:rPr>
        <w:t>therapy, nanomedicines are used because nano-based drugs have a longer half-life period, better bioavailability, improved solubility of hydrophobic drugs, target delivery to overcome barriers and enhanced therapeutic effects (Duhem, Danhier, &amp; Préat, 2014). Nano-based drug delivery is making use of the pathophysiological features for its own benefit. For example, in a tumor site, the permeability of blood vessels is high (leaky blood vessels) and has poor lymphatic drainage; hence the nano-based drugs Enhance Permeability and Retention rate (EPR) due to lower excretion rate. Increased EPR could increase the therapeutic effect of a drug. EPR depends on the size of nanoparticles and their surface characteristics. Nanocarriers should be bigger than 10nm and have neutral or anionic particle charge to avoid its excretion through kidney filtration (Duhem, Danhier</w:t>
      </w:r>
    </w:p>
    <w:p>
      <w:pPr>
        <w:spacing w:after="0" w:line="6" w:lineRule="exact"/>
        <w:rPr>
          <w:color w:val="auto"/>
          <w:sz w:val="20"/>
          <w:szCs w:val="20"/>
        </w:rPr>
      </w:pPr>
    </w:p>
    <w:p>
      <w:pPr>
        <w:numPr>
          <w:ilvl w:val="0"/>
          <w:numId w:val="6"/>
        </w:numPr>
        <w:tabs>
          <w:tab w:val="left" w:pos="612"/>
        </w:tabs>
        <w:spacing w:after="0" w:line="488" w:lineRule="auto"/>
        <w:ind w:left="360" w:right="360"/>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Preat, 2014). Using nanoencapsulation, site-specific drugs can be delivered for intracellular infections. Advancements in nanotechnology allow ‘personalized medical treatment’ since it is more effective in treating diseases (Sahoo, Parveen, &amp; Panda, 2007), (Srinivas et al., 2010). Nano-based delivery (topical application) of retinyl-palmitate showed improved antioxidant activity in treating skin aging (Oliveira et al., 2014).</w:t>
      </w:r>
    </w:p>
    <w:p>
      <w:pPr>
        <w:spacing w:after="0" w:line="118" w:lineRule="exact"/>
        <w:rPr>
          <w:color w:val="auto"/>
          <w:sz w:val="20"/>
          <w:szCs w:val="20"/>
        </w:rPr>
      </w:pPr>
    </w:p>
    <w:p>
      <w:pPr>
        <w:spacing w:after="0" w:line="487" w:lineRule="auto"/>
        <w:ind w:left="360" w:right="360" w:firstLine="720"/>
        <w:jc w:val="both"/>
        <w:rPr>
          <w:color w:val="auto"/>
          <w:sz w:val="20"/>
          <w:szCs w:val="20"/>
        </w:rPr>
      </w:pPr>
      <w:r>
        <w:rPr>
          <w:rFonts w:ascii="Times New Roman" w:hAnsi="Times New Roman" w:eastAsia="Times New Roman" w:cs="Times New Roman"/>
          <w:color w:val="auto"/>
          <w:sz w:val="22"/>
          <w:szCs w:val="22"/>
        </w:rPr>
        <w:t>Nanoencapsulation techniques are also used to make beverages (functional drinks) (Wang, Soyama, &amp; Luo, 2016). Beverages can contain encapsulated functional compounds, such as lycopene, lutein, omega-3, vitamin A, vitamin D, vitamin E, phytosterols, isoflavones, probiotics and prebiotics. This technique can be used to fortify various food products such as nutritional drink and breakfast cereals with vitamins and minerals (Sozer &amp; Kokini, 2009).</w:t>
      </w:r>
    </w:p>
    <w:p>
      <w:pPr>
        <w:spacing w:after="0" w:line="124" w:lineRule="exact"/>
        <w:rPr>
          <w:color w:val="auto"/>
          <w:sz w:val="20"/>
          <w:szCs w:val="20"/>
        </w:rPr>
      </w:pPr>
    </w:p>
    <w:p>
      <w:pPr>
        <w:spacing w:after="0" w:line="512" w:lineRule="auto"/>
        <w:ind w:left="360" w:right="360" w:firstLine="720"/>
        <w:jc w:val="both"/>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 xml:space="preserve">The National Institute of Health supports the development of nanotechnology (NIH Nanomedicine Roadmap initiative), but does not target nutritional research in particular (NIH, </w:t>
      </w:r>
      <w:r>
        <w:fldChar w:fldCharType="begin"/>
      </w:r>
      <w:r>
        <w:instrText xml:space="preserve"> HYPERLINK "http://nihroadmap.nih.gov/nanomedicine" \h </w:instrText>
      </w:r>
      <w:r>
        <w:fldChar w:fldCharType="separate"/>
      </w:r>
      <w:r>
        <w:rPr>
          <w:rFonts w:ascii="Times New Roman" w:hAnsi="Times New Roman" w:eastAsia="Times New Roman" w:cs="Times New Roman"/>
          <w:color w:val="auto"/>
          <w:sz w:val="21"/>
          <w:szCs w:val="21"/>
        </w:rPr>
        <w:t>http://nihroadmap.nih.gov/nanomedicine)</w:t>
      </w:r>
      <w:r>
        <w:rPr>
          <w:rFonts w:ascii="Times New Roman" w:hAnsi="Times New Roman" w:eastAsia="Times New Roman" w:cs="Times New Roman"/>
          <w:color w:val="auto"/>
          <w:sz w:val="21"/>
          <w:szCs w:val="21"/>
        </w:rPr>
        <w:fldChar w:fldCharType="end"/>
      </w:r>
      <w:r>
        <w:rPr>
          <w:rFonts w:ascii="Times New Roman" w:hAnsi="Times New Roman" w:eastAsia="Times New Roman" w:cs="Times New Roman"/>
          <w:color w:val="auto"/>
          <w:sz w:val="21"/>
          <w:szCs w:val="21"/>
        </w:rPr>
        <w:t>. In the nutritional field, nanotechnology has been used to deliver bioactive components, function foods, antioxidants, vitamins, food additives, proteins, lipids, carbohydrates, dietary supplements such as polyphenols, with the aim of improving bioavailability. Recently, many studies have been carried out adding functional ingredients to foods</w:t>
      </w:r>
    </w:p>
    <w:p>
      <w:pPr>
        <w:sectPr>
          <w:pgSz w:w="12240" w:h="15840"/>
          <w:pgMar w:top="1419" w:right="1440" w:bottom="181" w:left="1440" w:header="0" w:footer="0" w:gutter="0"/>
          <w:cols w:equalWidth="0" w:num="1">
            <w:col w:w="9360"/>
          </w:cols>
        </w:sectPr>
      </w:pPr>
    </w:p>
    <w:p>
      <w:pPr>
        <w:spacing w:after="0" w:line="39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15</w:t>
      </w:r>
    </w:p>
    <w:p>
      <w:pPr>
        <w:sectPr>
          <w:type w:val="continuous"/>
          <w:pgSz w:w="12240" w:h="15840"/>
          <w:pgMar w:top="1419" w:right="1440" w:bottom="181" w:left="1440" w:header="0" w:footer="0" w:gutter="0"/>
          <w:cols w:equalWidth="0" w:num="1">
            <w:col w:w="9360"/>
          </w:cols>
        </w:sectPr>
      </w:pPr>
    </w:p>
    <w:p>
      <w:pPr>
        <w:spacing w:after="0" w:line="487" w:lineRule="auto"/>
        <w:ind w:left="360" w:right="360"/>
        <w:jc w:val="both"/>
        <w:rPr>
          <w:color w:val="auto"/>
          <w:sz w:val="20"/>
          <w:szCs w:val="20"/>
        </w:rPr>
      </w:pPr>
      <w:bookmarkStart w:id="22" w:name="page29"/>
      <w:bookmarkEnd w:id="22"/>
      <w:r>
        <w:rPr>
          <w:rFonts w:ascii="Times New Roman" w:hAnsi="Times New Roman" w:eastAsia="Times New Roman" w:cs="Times New Roman"/>
          <w:color w:val="auto"/>
          <w:sz w:val="22"/>
          <w:szCs w:val="22"/>
        </w:rPr>
        <w:t>to improve their nutritional value. In general nano-based delivery improves bioavailability, stability, absorbability and functionality due to the controlled release of the core contents at the specific target site, when compared to the conventional way of delivery (Sekhon, 2010). For instance, poorly soluble phytochemicals that were encapsulated by nanotechnology had enhanced bioavailability, altering pharmacokinetics and biodistribution (Huang, Yu, &amp; Ru, 2010).</w:t>
      </w:r>
    </w:p>
    <w:p>
      <w:pPr>
        <w:spacing w:after="0" w:line="124" w:lineRule="exact"/>
        <w:rPr>
          <w:color w:val="auto"/>
          <w:sz w:val="20"/>
          <w:szCs w:val="20"/>
        </w:rPr>
      </w:pPr>
    </w:p>
    <w:p>
      <w:pPr>
        <w:spacing w:after="0" w:line="485" w:lineRule="auto"/>
        <w:ind w:left="360" w:right="360" w:firstLine="720"/>
        <w:jc w:val="both"/>
        <w:rPr>
          <w:color w:val="auto"/>
          <w:sz w:val="20"/>
          <w:szCs w:val="20"/>
        </w:rPr>
      </w:pPr>
      <w:r>
        <w:rPr>
          <w:rFonts w:ascii="Times New Roman" w:hAnsi="Times New Roman" w:eastAsia="Times New Roman" w:cs="Times New Roman"/>
          <w:color w:val="auto"/>
          <w:sz w:val="22"/>
          <w:szCs w:val="22"/>
        </w:rPr>
        <w:t>Probiotics have also been nanoencapsulated and showed longer shelf life when incorporated in the products. This treatment was capable of changing the immune response (Vidhyalakshmi et al., 2009). The combination of probiotics and calcium improved the anti-osteoporosis effects of the treatment (Sekhon, 2010). Recently, functional foods and lipophilic bioactive compounds have been encapsulated using food grade coating materials that are ‘Generally Recognized As Safe’ (GRAS) to avoid possible negative side effects and to improve the products nutritional value (Huang, Yu, &amp; Ru, 2010).</w:t>
      </w:r>
    </w:p>
    <w:p>
      <w:pPr>
        <w:spacing w:after="0" w:line="200" w:lineRule="exact"/>
        <w:rPr>
          <w:color w:val="auto"/>
          <w:sz w:val="20"/>
          <w:szCs w:val="20"/>
        </w:rPr>
      </w:pPr>
    </w:p>
    <w:p>
      <w:pPr>
        <w:spacing w:after="0" w:line="200" w:lineRule="exact"/>
        <w:rPr>
          <w:color w:val="auto"/>
          <w:sz w:val="20"/>
          <w:szCs w:val="20"/>
        </w:rPr>
      </w:pPr>
    </w:p>
    <w:p>
      <w:pPr>
        <w:spacing w:after="0" w:line="388"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2"/>
          <w:szCs w:val="22"/>
        </w:rPr>
        <w:t>2.3.3. Various factors influencing nanoemulsions</w:t>
      </w:r>
    </w:p>
    <w:p>
      <w:pPr>
        <w:spacing w:after="0" w:line="200" w:lineRule="exact"/>
        <w:rPr>
          <w:color w:val="auto"/>
          <w:sz w:val="20"/>
          <w:szCs w:val="20"/>
        </w:rPr>
      </w:pPr>
    </w:p>
    <w:p>
      <w:pPr>
        <w:spacing w:after="0" w:line="214" w:lineRule="exact"/>
        <w:rPr>
          <w:color w:val="auto"/>
          <w:sz w:val="20"/>
          <w:szCs w:val="20"/>
        </w:rPr>
      </w:pPr>
    </w:p>
    <w:p>
      <w:pPr>
        <w:spacing w:after="0" w:line="484" w:lineRule="auto"/>
        <w:ind w:left="360" w:right="360" w:firstLine="720"/>
        <w:jc w:val="both"/>
        <w:rPr>
          <w:color w:val="auto"/>
          <w:sz w:val="20"/>
          <w:szCs w:val="20"/>
        </w:rPr>
      </w:pPr>
      <w:r>
        <w:rPr>
          <w:rFonts w:ascii="Times New Roman" w:hAnsi="Times New Roman" w:eastAsia="Times New Roman" w:cs="Times New Roman"/>
          <w:color w:val="auto"/>
          <w:sz w:val="22"/>
          <w:szCs w:val="22"/>
        </w:rPr>
        <w:t>Nanoemulsions, a kind of encapsulation technique can increase the bioaccessibility and bioavailability of bioactive compounds are influenced by several factors, such as the type of carrier oil used in nanoemulsions, a physical state of the lipid phase, size of the emulsion and nature of surfactants (Rao et al., 2013). The meta-analysis study evaluated the impact of the different vehicle on vitamin D bioavailability. The change in serum 25(OH)</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per average daily dose of vitamin D was compared with various studies. It was found that vitamin D in an oil vehicle has greater bioaccessibility and bioavailability than the other forms, which include powdered based vehicle, ethanol and complex matrix (Grossmann &amp; Tangpricha, 2010).</w:t>
      </w:r>
    </w:p>
    <w:p>
      <w:pPr>
        <w:spacing w:after="0" w:line="126" w:lineRule="exact"/>
        <w:rPr>
          <w:color w:val="auto"/>
          <w:sz w:val="20"/>
          <w:szCs w:val="20"/>
        </w:rPr>
      </w:pPr>
    </w:p>
    <w:p>
      <w:pPr>
        <w:spacing w:after="0" w:line="549" w:lineRule="auto"/>
        <w:ind w:left="360" w:right="360" w:firstLine="720"/>
        <w:jc w:val="both"/>
        <w:rPr>
          <w:color w:val="auto"/>
          <w:sz w:val="20"/>
          <w:szCs w:val="20"/>
        </w:rPr>
      </w:pPr>
      <w:r>
        <w:rPr>
          <w:rFonts w:ascii="Times New Roman" w:hAnsi="Times New Roman" w:eastAsia="Times New Roman" w:cs="Times New Roman"/>
          <w:color w:val="auto"/>
          <w:sz w:val="21"/>
          <w:szCs w:val="21"/>
        </w:rPr>
        <w:t>Similarly, when beta-carotene was mixed with triglycerides bile secretion emulsifies beta-carotene better during the lipid digestion when compared to a pure form of beta-carotene (Wang et</w:t>
      </w:r>
    </w:p>
    <w:p>
      <w:pPr>
        <w:sectPr>
          <w:pgSz w:w="12240" w:h="15840"/>
          <w:pgMar w:top="1419" w:right="1440" w:bottom="181" w:left="1440" w:header="0" w:footer="0" w:gutter="0"/>
          <w:cols w:equalWidth="0" w:num="1">
            <w:col w:w="9360"/>
          </w:cols>
        </w:sectPr>
      </w:pPr>
    </w:p>
    <w:p>
      <w:pPr>
        <w:spacing w:after="0" w:line="38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16</w:t>
      </w:r>
    </w:p>
    <w:p>
      <w:pPr>
        <w:sectPr>
          <w:type w:val="continuous"/>
          <w:pgSz w:w="12240" w:h="15840"/>
          <w:pgMar w:top="1419" w:right="1440" w:bottom="181" w:left="1440" w:header="0" w:footer="0" w:gutter="0"/>
          <w:cols w:equalWidth="0" w:num="1">
            <w:col w:w="9360"/>
          </w:cols>
        </w:sectPr>
      </w:pPr>
    </w:p>
    <w:p>
      <w:pPr>
        <w:spacing w:after="0" w:line="511" w:lineRule="auto"/>
        <w:ind w:left="360" w:right="360"/>
        <w:jc w:val="both"/>
        <w:rPr>
          <w:color w:val="auto"/>
          <w:sz w:val="20"/>
          <w:szCs w:val="20"/>
        </w:rPr>
      </w:pPr>
      <w:bookmarkStart w:id="23" w:name="page30"/>
      <w:bookmarkEnd w:id="23"/>
      <w:r>
        <w:rPr>
          <w:rFonts w:ascii="Times New Roman" w:hAnsi="Times New Roman" w:eastAsia="Times New Roman" w:cs="Times New Roman"/>
          <w:color w:val="auto"/>
          <w:sz w:val="22"/>
          <w:szCs w:val="22"/>
        </w:rPr>
        <w:t>al., 2012). Many studies have reported that the nature of the carrier oil has a large impact on the rate of lipid digestion and bioaccessibility.</w:t>
      </w:r>
    </w:p>
    <w:p>
      <w:pPr>
        <w:spacing w:after="0" w:line="94" w:lineRule="exact"/>
        <w:rPr>
          <w:color w:val="auto"/>
          <w:sz w:val="20"/>
          <w:szCs w:val="20"/>
        </w:rPr>
      </w:pPr>
    </w:p>
    <w:p>
      <w:pPr>
        <w:spacing w:after="0" w:line="506" w:lineRule="auto"/>
        <w:ind w:left="360" w:right="360" w:firstLine="720"/>
        <w:jc w:val="both"/>
        <w:rPr>
          <w:color w:val="auto"/>
          <w:sz w:val="20"/>
          <w:szCs w:val="20"/>
        </w:rPr>
      </w:pPr>
      <w:r>
        <w:rPr>
          <w:rFonts w:ascii="Times New Roman" w:hAnsi="Times New Roman" w:eastAsia="Times New Roman" w:cs="Times New Roman"/>
          <w:color w:val="auto"/>
          <w:sz w:val="21"/>
          <w:szCs w:val="21"/>
        </w:rPr>
        <w:t>Different carrier oils such as medium chain triglycerides (MCT), long chain triglycerides (LCT) (example: corn oil &amp; fish oil), orange oil, and mineral oil were selected to examine the influence of carrier oil type on lipid digestion and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bioaccessibility. It was observed that nature of the carrier oil type plays a major role in influencing the bioaccessibility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Oil-in-water nanoemulsion was prepared by homogenizing 10% (w/w) of the oil phase and 90% of the aqueous phase. The oil phase consisted of 0.1% w/w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dissolved within and 99% w/w carrier oil (MCT, corn oil, fish oil, mineral oil or orange oil). Through </w:t>
      </w:r>
      <w:r>
        <w:rPr>
          <w:rFonts w:ascii="Times New Roman" w:hAnsi="Times New Roman" w:eastAsia="Times New Roman" w:cs="Times New Roman"/>
          <w:i/>
          <w:iCs/>
          <w:color w:val="auto"/>
          <w:sz w:val="21"/>
          <w:szCs w:val="21"/>
        </w:rPr>
        <w:t>in vitro</w:t>
      </w:r>
      <w:r>
        <w:rPr>
          <w:rFonts w:ascii="Times New Roman" w:hAnsi="Times New Roman" w:eastAsia="Times New Roman" w:cs="Times New Roman"/>
          <w:color w:val="auto"/>
          <w:sz w:val="21"/>
          <w:szCs w:val="21"/>
        </w:rPr>
        <w:t xml:space="preserve"> digestion (simulated gastrointestinal model), the influence of carrier oil type on the rate and extent of lipid digestion was analyzed using the pH-STAT method. Due to LCT’s higher solubilization capacity for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and thereby forming mixed micelles, it was found that when compared to MCT the nanoemulsion made with LCT has increased bioaccessibility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Therefore, it is considered as the most suitable carrier oil type for nanoemulsion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(Ozturk et al., 2015) beta carotene (Salvia-Trujillo et al., 2013), (Qian, et al., 2012) and vitamin E (Yang &amp; McClements, 2013).</w:t>
      </w:r>
    </w:p>
    <w:p>
      <w:pPr>
        <w:spacing w:after="0" w:line="121" w:lineRule="exact"/>
        <w:rPr>
          <w:color w:val="auto"/>
          <w:sz w:val="20"/>
          <w:szCs w:val="20"/>
        </w:rPr>
      </w:pPr>
    </w:p>
    <w:p>
      <w:pPr>
        <w:spacing w:after="0" w:line="487" w:lineRule="auto"/>
        <w:ind w:left="360" w:right="360" w:firstLine="720"/>
        <w:jc w:val="both"/>
        <w:rPr>
          <w:color w:val="auto"/>
          <w:sz w:val="20"/>
          <w:szCs w:val="20"/>
        </w:rPr>
      </w:pPr>
      <w:r>
        <w:rPr>
          <w:rFonts w:ascii="Times New Roman" w:hAnsi="Times New Roman" w:eastAsia="Times New Roman" w:cs="Times New Roman"/>
          <w:color w:val="auto"/>
          <w:sz w:val="22"/>
          <w:szCs w:val="22"/>
        </w:rPr>
        <w:t>In nanoemulsions of beta-carotene, even though the rate of digestibility is high and the same for both MCT and LCT, the bioaccessibility is high only for LCT (Qian et al., 2012). The reason is that micelles formed from LCT have more core space to accommodate the hydrophobic compounds when compared to MCT. In other words, the core of the micelles formed from LCT has a larger solubilization capacity (Salvia-Trujillo et al., 2013) &amp; (Rao et al., 2013).</w:t>
      </w:r>
    </w:p>
    <w:p>
      <w:pPr>
        <w:spacing w:after="0" w:line="121" w:lineRule="exact"/>
        <w:rPr>
          <w:color w:val="auto"/>
          <w:sz w:val="20"/>
          <w:szCs w:val="20"/>
        </w:rPr>
      </w:pPr>
    </w:p>
    <w:p>
      <w:pPr>
        <w:spacing w:after="0" w:line="488" w:lineRule="auto"/>
        <w:ind w:left="360" w:right="360" w:firstLine="720"/>
        <w:jc w:val="both"/>
        <w:rPr>
          <w:color w:val="auto"/>
          <w:sz w:val="20"/>
          <w:szCs w:val="20"/>
        </w:rPr>
      </w:pPr>
      <w:r>
        <w:rPr>
          <w:rFonts w:ascii="Times New Roman" w:hAnsi="Times New Roman" w:eastAsia="Times New Roman" w:cs="Times New Roman"/>
          <w:color w:val="auto"/>
          <w:sz w:val="22"/>
          <w:szCs w:val="22"/>
        </w:rPr>
        <w:t>The solubility of lipophilic compounds depends on the effect of both endogenous solubilizing components and exogenous components, such as emulsifiers (Porter, Trevaskis, &amp; Charman, 2007). The emulsifier helps in preventing the aggregation and flocculation by reducing the surface tension; thereby it influences the stability of the droplets in the emulsion. There are many types of emulsifiers. Among these, Q-naturale is more stable in simulated digestion and in a</w:t>
      </w:r>
    </w:p>
    <w:p>
      <w:pPr>
        <w:sectPr>
          <w:pgSz w:w="12240" w:h="15840"/>
          <w:pgMar w:top="1419" w:right="1440" w:bottom="181" w:left="1440" w:header="0" w:footer="0" w:gutter="0"/>
          <w:cols w:equalWidth="0" w:num="1">
            <w:col w:w="9360"/>
          </w:cols>
        </w:sectPr>
      </w:pPr>
    </w:p>
    <w:p>
      <w:pPr>
        <w:spacing w:after="0" w:line="25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17</w:t>
      </w:r>
    </w:p>
    <w:p>
      <w:pPr>
        <w:sectPr>
          <w:type w:val="continuous"/>
          <w:pgSz w:w="12240" w:h="15840"/>
          <w:pgMar w:top="1419" w:right="1440" w:bottom="181" w:left="1440" w:header="0" w:footer="0" w:gutter="0"/>
          <w:cols w:equalWidth="0" w:num="1">
            <w:col w:w="9360"/>
          </w:cols>
        </w:sectPr>
      </w:pPr>
    </w:p>
    <w:p>
      <w:pPr>
        <w:spacing w:after="0" w:line="511" w:lineRule="auto"/>
        <w:ind w:left="360" w:right="360"/>
        <w:jc w:val="both"/>
        <w:rPr>
          <w:color w:val="auto"/>
          <w:sz w:val="20"/>
          <w:szCs w:val="20"/>
        </w:rPr>
      </w:pPr>
      <w:bookmarkStart w:id="24" w:name="page31"/>
      <w:bookmarkEnd w:id="24"/>
      <w:r>
        <w:rPr>
          <w:rFonts w:ascii="Times New Roman" w:hAnsi="Times New Roman" w:eastAsia="Times New Roman" w:cs="Times New Roman"/>
          <w:color w:val="auto"/>
          <w:sz w:val="22"/>
          <w:szCs w:val="22"/>
        </w:rPr>
        <w:t>wide range of pH (3-8) (Qian et al., 2012) &amp; (Ozturk et al., 2015). The interfacial layer also influences the rate and extent of the lipid hydrolysis.</w:t>
      </w:r>
    </w:p>
    <w:p>
      <w:pPr>
        <w:spacing w:after="0" w:line="94" w:lineRule="exact"/>
        <w:rPr>
          <w:color w:val="auto"/>
          <w:sz w:val="20"/>
          <w:szCs w:val="20"/>
        </w:rPr>
      </w:pPr>
    </w:p>
    <w:p>
      <w:pPr>
        <w:spacing w:after="0" w:line="508" w:lineRule="auto"/>
        <w:ind w:left="360" w:right="360" w:firstLine="720"/>
        <w:jc w:val="both"/>
        <w:rPr>
          <w:color w:val="auto"/>
          <w:sz w:val="20"/>
          <w:szCs w:val="20"/>
        </w:rPr>
      </w:pPr>
      <w:r>
        <w:rPr>
          <w:rFonts w:ascii="Times New Roman" w:hAnsi="Times New Roman" w:eastAsia="Times New Roman" w:cs="Times New Roman"/>
          <w:color w:val="auto"/>
          <w:sz w:val="21"/>
          <w:szCs w:val="21"/>
        </w:rPr>
        <w:t>In fat digestion, most fats are converted into oil-in-water emulsions in the gastrointestinal tract due to mechanical energy and with the help of surfactants such as bile salts, phospholipids and proteins are either derived from the food matrix or secreted from the body. In humans, the lipid digestion starts in the stomach and the fat hydrolysis occurs due to acid-stable gastric lipase. The process of gastric lipolysis is important so that it increases the substrates availability for the action of pancreatic lipase secreted from the duodenum (Resis et al., 2008). Partially digested lipid goes from stomach to the small intestine where it is mixed with secreted bile salts and pancreatic lipase in duodenum acts on the substrates, which also contain a variety of surfactants. More surfactants will be produced during the hydrolysis of triacylglycerol (Mun, Decker, &amp; McClements, 2007).</w:t>
      </w:r>
    </w:p>
    <w:p>
      <w:pPr>
        <w:spacing w:after="0" w:line="113" w:lineRule="exact"/>
        <w:rPr>
          <w:color w:val="auto"/>
          <w:sz w:val="20"/>
          <w:szCs w:val="20"/>
        </w:rPr>
      </w:pPr>
    </w:p>
    <w:p>
      <w:pPr>
        <w:spacing w:after="0" w:line="486" w:lineRule="auto"/>
        <w:ind w:left="360" w:right="360" w:firstLine="720"/>
        <w:jc w:val="both"/>
        <w:rPr>
          <w:color w:val="auto"/>
          <w:sz w:val="20"/>
          <w:szCs w:val="20"/>
        </w:rPr>
      </w:pPr>
      <w:r>
        <w:rPr>
          <w:rFonts w:ascii="Times New Roman" w:hAnsi="Times New Roman" w:eastAsia="Times New Roman" w:cs="Times New Roman"/>
          <w:color w:val="auto"/>
          <w:sz w:val="22"/>
          <w:szCs w:val="22"/>
        </w:rPr>
        <w:t>The presence of many surfactants usually results in competition with each other to attach to the interface. Hence, in the small intestine, the interfacial layer present around the lipid droplet becomes very complex and it can greatly influence the rate of lipid digestion. To increase lipid digestion, the action of pancreatic lipase in the small intestine should also be increased. The adsorption of lipase to the lipid droplet should be sufficient so that the enzyme can be in closer proximity to the lipid substance in the core of the droplet.</w:t>
      </w:r>
    </w:p>
    <w:p>
      <w:pPr>
        <w:spacing w:after="0" w:line="123" w:lineRule="exact"/>
        <w:rPr>
          <w:color w:val="auto"/>
          <w:sz w:val="20"/>
          <w:szCs w:val="20"/>
        </w:rPr>
      </w:pPr>
    </w:p>
    <w:p>
      <w:pPr>
        <w:spacing w:after="0" w:line="510" w:lineRule="auto"/>
        <w:ind w:left="360" w:right="360" w:firstLine="720"/>
        <w:jc w:val="both"/>
        <w:rPr>
          <w:color w:val="auto"/>
          <w:sz w:val="20"/>
          <w:szCs w:val="20"/>
        </w:rPr>
      </w:pPr>
      <w:r>
        <w:rPr>
          <w:rFonts w:ascii="Times New Roman" w:hAnsi="Times New Roman" w:eastAsia="Times New Roman" w:cs="Times New Roman"/>
          <w:color w:val="auto"/>
          <w:sz w:val="21"/>
          <w:szCs w:val="21"/>
        </w:rPr>
        <w:t>There are various substances inhibiting the action of the lipase. For instance, some emulsifiers have a higher affinity and hence they will not be easily displaced from the droplet for lipase action. A good example is tween-20, which is highly surface active. But the addition of bile replaces tween-20 from the droplet surface promoting lipase adsorption for lipid hydrolysis (Mun, Decker, &amp; McClements, 2007). In addition to this role, bile also helps to solubilize the FFA in the interfacial layer, so it gives space for the lipase to adsorb to the droplet surface and helps increases the lipid digestion. Therefore, a sufficient amount of bile secretion (which is composed of two</w:t>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18</w:t>
      </w:r>
    </w:p>
    <w:p>
      <w:pPr>
        <w:sectPr>
          <w:type w:val="continuous"/>
          <w:pgSz w:w="12240" w:h="15840"/>
          <w:pgMar w:top="1419" w:right="1440" w:bottom="181" w:left="1440" w:header="0" w:footer="0" w:gutter="0"/>
          <w:cols w:equalWidth="0" w:num="1">
            <w:col w:w="9360"/>
          </w:cols>
        </w:sectPr>
      </w:pPr>
    </w:p>
    <w:p>
      <w:pPr>
        <w:spacing w:after="0" w:line="511" w:lineRule="auto"/>
        <w:ind w:left="360" w:right="360"/>
        <w:jc w:val="both"/>
        <w:rPr>
          <w:color w:val="auto"/>
          <w:sz w:val="20"/>
          <w:szCs w:val="20"/>
        </w:rPr>
      </w:pPr>
      <w:bookmarkStart w:id="25" w:name="page32"/>
      <w:bookmarkEnd w:id="25"/>
      <w:r>
        <w:rPr>
          <w:rFonts w:ascii="Times New Roman" w:hAnsi="Times New Roman" w:eastAsia="Times New Roman" w:cs="Times New Roman"/>
          <w:color w:val="auto"/>
          <w:sz w:val="22"/>
          <w:szCs w:val="22"/>
        </w:rPr>
        <w:t>biosurfactants, namely phospholipid and bile salts) promotes lipase action and plays a critical role in lipid digestion (Golding &amp; Wooster, 2010).</w:t>
      </w:r>
    </w:p>
    <w:p>
      <w:pPr>
        <w:spacing w:after="0" w:line="94" w:lineRule="exact"/>
        <w:rPr>
          <w:color w:val="auto"/>
          <w:sz w:val="20"/>
          <w:szCs w:val="20"/>
        </w:rPr>
      </w:pPr>
    </w:p>
    <w:p>
      <w:pPr>
        <w:spacing w:after="0" w:line="488" w:lineRule="auto"/>
        <w:ind w:left="360" w:right="360" w:firstLine="720"/>
        <w:jc w:val="both"/>
        <w:rPr>
          <w:color w:val="auto"/>
          <w:sz w:val="20"/>
          <w:szCs w:val="20"/>
        </w:rPr>
      </w:pPr>
      <w:r>
        <w:rPr>
          <w:rFonts w:ascii="Times New Roman" w:hAnsi="Times New Roman" w:eastAsia="Times New Roman" w:cs="Times New Roman"/>
          <w:color w:val="auto"/>
          <w:sz w:val="22"/>
          <w:szCs w:val="22"/>
        </w:rPr>
        <w:t>For emulsions, it was found that the amount of FFA released from lipid digestion is more in the presence of bile than only with surfactants (Mun, Decker, &amp; McClements, 2007). The digestion of lipids is indicated by the amount of FFA release and it was found that there was a linear relationship between bioaccessibility of bioactive compounds and FFA release in lipid digestion. (Nik, Corredig, &amp; Wright, 2011).</w:t>
      </w:r>
    </w:p>
    <w:p>
      <w:pPr>
        <w:spacing w:after="0" w:line="118" w:lineRule="exact"/>
        <w:rPr>
          <w:color w:val="auto"/>
          <w:sz w:val="20"/>
          <w:szCs w:val="20"/>
        </w:rPr>
      </w:pPr>
    </w:p>
    <w:p>
      <w:pPr>
        <w:spacing w:after="0" w:line="485" w:lineRule="auto"/>
        <w:ind w:left="360" w:right="360" w:firstLine="720"/>
        <w:jc w:val="both"/>
        <w:rPr>
          <w:color w:val="auto"/>
          <w:sz w:val="20"/>
          <w:szCs w:val="20"/>
        </w:rPr>
      </w:pPr>
      <w:r>
        <w:rPr>
          <w:rFonts w:ascii="Times New Roman" w:hAnsi="Times New Roman" w:eastAsia="Times New Roman" w:cs="Times New Roman"/>
          <w:color w:val="auto"/>
          <w:sz w:val="22"/>
          <w:szCs w:val="22"/>
        </w:rPr>
        <w:t>The next influencing factor is particle size and particle charge. Nanoemulsions are made up of very small droplets, which have more surface area per volume, which aids the lipase action and thereby promotes increased lipid digestion. It was found that the smaller the particle size of the initial emulsion, the higher the efficiency of micelle formation and bioaccessibility of lipophilic bioactive compounds (Wang et al., 2012), (Qian et al., 2012) &amp; (Luo, Teng, &amp; Wang, 2012). Hence, in our study controlling the particle size helps to improve the bioaccessibility and bioavailability in vitamin D supplementation.</w:t>
      </w:r>
    </w:p>
    <w:p>
      <w:pPr>
        <w:spacing w:after="0" w:line="122" w:lineRule="exact"/>
        <w:rPr>
          <w:color w:val="auto"/>
          <w:sz w:val="20"/>
          <w:szCs w:val="20"/>
        </w:rPr>
      </w:pPr>
    </w:p>
    <w:p>
      <w:pPr>
        <w:spacing w:after="0" w:line="507" w:lineRule="auto"/>
        <w:ind w:left="360" w:right="360" w:firstLine="720"/>
        <w:jc w:val="both"/>
        <w:rPr>
          <w:color w:val="auto"/>
          <w:sz w:val="20"/>
          <w:szCs w:val="20"/>
        </w:rPr>
      </w:pPr>
      <w:r>
        <w:rPr>
          <w:rFonts w:ascii="Times New Roman" w:hAnsi="Times New Roman" w:eastAsia="Times New Roman" w:cs="Times New Roman"/>
          <w:color w:val="auto"/>
          <w:sz w:val="21"/>
          <w:szCs w:val="21"/>
        </w:rPr>
        <w:t>The nanodroplets often have an electrical charge also known as ‘particle charge’ due to ionized surfactants, minerals and ions. The nanodroplet’s charge plays a critical role in its stability and its performance in the body system. Duhem, Danhier, &amp; Préat (2014) stated that nanoparticles should be bigger than 10nm and have neutral or anionic charged nanoparticles to avoid its excretion through kidney filtration. Nanoemulsion droplets were negatively charged (between -65 to -70mV) when they measure the charge using particle microelectrophoresis. After subjecting the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nanoemulsion in a simulated gastrointestinal system, the negative charge of the nanoemulsion increased due to increase in pH ; adsorption of anionic phospholipids and bile salts to the droplets surface ; and synthesis of anionic FFA during digestion of triglycerides (Ozturk et al., 2015). Due to the above reasons, the particles in the micelles were also negatively charged. The charge of the nanodroplets will be influenced by the nature of the surfactants. Even though we use neutrally</w:t>
      </w:r>
    </w:p>
    <w:p>
      <w:pPr>
        <w:sectPr>
          <w:pgSz w:w="12240" w:h="15840"/>
          <w:pgMar w:top="1419" w:right="1440" w:bottom="181" w:left="1440" w:header="0" w:footer="0" w:gutter="0"/>
          <w:cols w:equalWidth="0" w:num="1">
            <w:col w:w="9360"/>
          </w:cols>
        </w:sectPr>
      </w:pPr>
    </w:p>
    <w:p>
      <w:pPr>
        <w:spacing w:after="0" w:line="24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19</w:t>
      </w:r>
    </w:p>
    <w:p>
      <w:pPr>
        <w:sectPr>
          <w:type w:val="continuous"/>
          <w:pgSz w:w="12240" w:h="15840"/>
          <w:pgMar w:top="1419" w:right="1440" w:bottom="181" w:left="1440" w:header="0" w:footer="0" w:gutter="0"/>
          <w:cols w:equalWidth="0" w:num="1">
            <w:col w:w="9360"/>
          </w:cols>
        </w:sectPr>
      </w:pPr>
    </w:p>
    <w:p>
      <w:pPr>
        <w:spacing w:after="0" w:line="511" w:lineRule="auto"/>
        <w:ind w:left="360" w:right="360"/>
        <w:rPr>
          <w:color w:val="auto"/>
          <w:sz w:val="20"/>
          <w:szCs w:val="20"/>
        </w:rPr>
      </w:pPr>
      <w:bookmarkStart w:id="26" w:name="page33"/>
      <w:bookmarkEnd w:id="26"/>
      <w:r>
        <w:rPr>
          <w:rFonts w:ascii="Times New Roman" w:hAnsi="Times New Roman" w:eastAsia="Times New Roman" w:cs="Times New Roman"/>
          <w:color w:val="auto"/>
          <w:sz w:val="22"/>
          <w:szCs w:val="22"/>
        </w:rPr>
        <w:t>charged surfactants such as Tweens and Spans, the nanodroplets have a negative charge due to anionic FFA and some ionic impurities present during production.</w:t>
      </w:r>
    </w:p>
    <w:p>
      <w:pPr>
        <w:spacing w:after="0" w:line="200" w:lineRule="exact"/>
        <w:rPr>
          <w:color w:val="auto"/>
          <w:sz w:val="20"/>
          <w:szCs w:val="20"/>
        </w:rPr>
      </w:pPr>
    </w:p>
    <w:p>
      <w:pPr>
        <w:spacing w:after="0" w:line="200" w:lineRule="exact"/>
        <w:rPr>
          <w:color w:val="auto"/>
          <w:sz w:val="20"/>
          <w:szCs w:val="20"/>
        </w:rPr>
      </w:pPr>
    </w:p>
    <w:p>
      <w:pPr>
        <w:spacing w:after="0" w:line="362" w:lineRule="exact"/>
        <w:rPr>
          <w:color w:val="auto"/>
          <w:sz w:val="20"/>
          <w:szCs w:val="20"/>
        </w:rPr>
      </w:pPr>
    </w:p>
    <w:p>
      <w:pPr>
        <w:spacing w:after="0" w:line="515" w:lineRule="auto"/>
        <w:ind w:left="360" w:right="360"/>
        <w:rPr>
          <w:color w:val="auto"/>
          <w:sz w:val="20"/>
          <w:szCs w:val="20"/>
        </w:rPr>
      </w:pPr>
      <w:r>
        <w:rPr>
          <w:rFonts w:ascii="Times New Roman" w:hAnsi="Times New Roman" w:eastAsia="Times New Roman" w:cs="Times New Roman"/>
          <w:b/>
          <w:bCs/>
          <w:color w:val="auto"/>
          <w:sz w:val="22"/>
          <w:szCs w:val="22"/>
        </w:rPr>
        <w:t>2.3.4. Enhance the bioavailability of nutrients and dietary bioactive components using the nano-based delivery system</w:t>
      </w:r>
    </w:p>
    <w:p>
      <w:pPr>
        <w:spacing w:after="0" w:line="85" w:lineRule="exact"/>
        <w:rPr>
          <w:color w:val="auto"/>
          <w:sz w:val="20"/>
          <w:szCs w:val="20"/>
        </w:rPr>
      </w:pPr>
    </w:p>
    <w:p>
      <w:pPr>
        <w:spacing w:after="0" w:line="485" w:lineRule="auto"/>
        <w:ind w:left="360" w:right="360" w:firstLine="720"/>
        <w:jc w:val="both"/>
        <w:rPr>
          <w:color w:val="auto"/>
          <w:sz w:val="20"/>
          <w:szCs w:val="20"/>
        </w:rPr>
      </w:pPr>
      <w:r>
        <w:rPr>
          <w:rFonts w:ascii="Times New Roman" w:hAnsi="Times New Roman" w:eastAsia="Times New Roman" w:cs="Times New Roman"/>
          <w:color w:val="auto"/>
          <w:sz w:val="22"/>
          <w:szCs w:val="22"/>
        </w:rPr>
        <w:t>Bioaccessibility is defined as the potential for absorption of nutrients into mixed micelles (Rao et al., 2013). The bioaccessibility of vitamin D can be found by measuring the concentration of vitamin D inside the micelles (Ozturk et al., 2015), (Qian et al., 2012). It has been found that many factors, such as the concentration of the bioactive compound, bile salt, pancreatic lipase, pH and size of the droplet affect the bioaccessibility (Wang et al., 2012). It was found that bioaccessibility of beta-carotene increased with a decrease in the size of the droplets in the emulsions.</w:t>
      </w:r>
    </w:p>
    <w:p>
      <w:pPr>
        <w:spacing w:after="0" w:line="122" w:lineRule="exact"/>
        <w:rPr>
          <w:color w:val="auto"/>
          <w:sz w:val="20"/>
          <w:szCs w:val="20"/>
        </w:rPr>
      </w:pPr>
    </w:p>
    <w:p>
      <w:pPr>
        <w:spacing w:after="0" w:line="502" w:lineRule="auto"/>
        <w:ind w:left="360" w:right="360" w:firstLine="720"/>
        <w:jc w:val="both"/>
        <w:rPr>
          <w:color w:val="auto"/>
          <w:sz w:val="20"/>
          <w:szCs w:val="20"/>
        </w:rPr>
      </w:pPr>
      <w:r>
        <w:rPr>
          <w:rFonts w:ascii="Times New Roman" w:hAnsi="Times New Roman" w:eastAsia="Times New Roman" w:cs="Times New Roman"/>
          <w:color w:val="auto"/>
          <w:sz w:val="21"/>
          <w:szCs w:val="21"/>
        </w:rPr>
        <w:t>Bioavailability is the degree of nutrients absorbed and end up in systematic circulation for physiological functions (Etcheverry, Grusak, &amp; Fleige, 2012). Bioavailability depends on the rate of solubilization, absorption and metabolism of the bioactive compound in the gastrointestinal system. Even though, both the terms bioaccessibility and bioavailability are related to each other, the entire dose that is absorbed in the intestine need not end up in systemic circulation due to various intermediate processes that are involved (Acosta, 2009). Bioavailability of the bioactive compound</w:t>
      </w:r>
    </w:p>
    <w:p>
      <w:pPr>
        <w:spacing w:after="0" w:line="5" w:lineRule="exact"/>
        <w:rPr>
          <w:color w:val="auto"/>
          <w:sz w:val="20"/>
          <w:szCs w:val="20"/>
        </w:rPr>
      </w:pPr>
    </w:p>
    <w:p>
      <w:pPr>
        <w:numPr>
          <w:ilvl w:val="0"/>
          <w:numId w:val="7"/>
        </w:numPr>
        <w:tabs>
          <w:tab w:val="left" w:pos="696"/>
        </w:tabs>
        <w:spacing w:after="0" w:line="496" w:lineRule="auto"/>
        <w:ind w:left="360" w:right="360"/>
        <w:jc w:val="both"/>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can be calculated by the following equation (Joye, Davidov-pardo, &amp; Julian, 2014). F= F</w:t>
      </w:r>
      <w:r>
        <w:rPr>
          <w:rFonts w:ascii="Times New Roman" w:hAnsi="Times New Roman" w:eastAsia="Times New Roman" w:cs="Times New Roman"/>
          <w:color w:val="auto"/>
          <w:sz w:val="13"/>
          <w:szCs w:val="13"/>
        </w:rPr>
        <w:t>C</w:t>
      </w:r>
      <w:r>
        <w:rPr>
          <w:rFonts w:ascii="Times New Roman" w:hAnsi="Times New Roman" w:eastAsia="Times New Roman" w:cs="Times New Roman"/>
          <w:color w:val="auto"/>
          <w:sz w:val="22"/>
          <w:szCs w:val="22"/>
        </w:rPr>
        <w:t xml:space="preserve"> * F</w:t>
      </w:r>
      <w:r>
        <w:rPr>
          <w:rFonts w:ascii="Times New Roman" w:hAnsi="Times New Roman" w:eastAsia="Times New Roman" w:cs="Times New Roman"/>
          <w:color w:val="auto"/>
          <w:sz w:val="13"/>
          <w:szCs w:val="13"/>
        </w:rPr>
        <w:t>B</w:t>
      </w:r>
      <w:r>
        <w:rPr>
          <w:rFonts w:ascii="Times New Roman" w:hAnsi="Times New Roman" w:eastAsia="Times New Roman" w:cs="Times New Roman"/>
          <w:color w:val="auto"/>
          <w:sz w:val="22"/>
          <w:szCs w:val="22"/>
        </w:rPr>
        <w:t xml:space="preserve"> * F</w:t>
      </w:r>
      <w:r>
        <w:rPr>
          <w:rFonts w:ascii="Times New Roman" w:hAnsi="Times New Roman" w:eastAsia="Times New Roman" w:cs="Times New Roman"/>
          <w:color w:val="auto"/>
          <w:sz w:val="13"/>
          <w:szCs w:val="13"/>
        </w:rPr>
        <w:t>A</w:t>
      </w:r>
      <w:r>
        <w:rPr>
          <w:rFonts w:ascii="Times New Roman" w:hAnsi="Times New Roman" w:eastAsia="Times New Roman" w:cs="Times New Roman"/>
          <w:color w:val="auto"/>
          <w:sz w:val="22"/>
          <w:szCs w:val="22"/>
        </w:rPr>
        <w:t xml:space="preserve"> * F</w:t>
      </w:r>
      <w:r>
        <w:rPr>
          <w:rFonts w:ascii="Times New Roman" w:hAnsi="Times New Roman" w:eastAsia="Times New Roman" w:cs="Times New Roman"/>
          <w:color w:val="auto"/>
          <w:sz w:val="13"/>
          <w:szCs w:val="13"/>
        </w:rPr>
        <w:t>M</w:t>
      </w:r>
      <w:r>
        <w:rPr>
          <w:rFonts w:ascii="Times New Roman" w:hAnsi="Times New Roman" w:eastAsia="Times New Roman" w:cs="Times New Roman"/>
          <w:color w:val="auto"/>
          <w:sz w:val="22"/>
          <w:szCs w:val="22"/>
        </w:rPr>
        <w:t>; where F</w:t>
      </w:r>
      <w:r>
        <w:rPr>
          <w:rFonts w:ascii="Times New Roman" w:hAnsi="Times New Roman" w:eastAsia="Times New Roman" w:cs="Times New Roman"/>
          <w:color w:val="auto"/>
          <w:sz w:val="13"/>
          <w:szCs w:val="13"/>
        </w:rPr>
        <w:t>C</w:t>
      </w:r>
      <w:r>
        <w:rPr>
          <w:rFonts w:ascii="Times New Roman" w:hAnsi="Times New Roman" w:eastAsia="Times New Roman" w:cs="Times New Roman"/>
          <w:color w:val="auto"/>
          <w:sz w:val="22"/>
          <w:szCs w:val="22"/>
        </w:rPr>
        <w:t xml:space="preserve"> = Fraction that remains active prior to digestion; F</w:t>
      </w:r>
      <w:r>
        <w:rPr>
          <w:rFonts w:ascii="Times New Roman" w:hAnsi="Times New Roman" w:eastAsia="Times New Roman" w:cs="Times New Roman"/>
          <w:color w:val="auto"/>
          <w:sz w:val="13"/>
          <w:szCs w:val="13"/>
        </w:rPr>
        <w:t>B</w:t>
      </w:r>
      <w:r>
        <w:rPr>
          <w:rFonts w:ascii="Times New Roman" w:hAnsi="Times New Roman" w:eastAsia="Times New Roman" w:cs="Times New Roman"/>
          <w:color w:val="auto"/>
          <w:sz w:val="22"/>
          <w:szCs w:val="22"/>
        </w:rPr>
        <w:t xml:space="preserve"> = Fraction bioaccessible; F</w:t>
      </w:r>
      <w:r>
        <w:rPr>
          <w:rFonts w:ascii="Times New Roman" w:hAnsi="Times New Roman" w:eastAsia="Times New Roman" w:cs="Times New Roman"/>
          <w:color w:val="auto"/>
          <w:sz w:val="13"/>
          <w:szCs w:val="13"/>
        </w:rPr>
        <w:t>A</w:t>
      </w:r>
      <w:r>
        <w:rPr>
          <w:rFonts w:ascii="Times New Roman" w:hAnsi="Times New Roman" w:eastAsia="Times New Roman" w:cs="Times New Roman"/>
          <w:color w:val="auto"/>
          <w:sz w:val="22"/>
          <w:szCs w:val="22"/>
        </w:rPr>
        <w:t xml:space="preserve"> = Fraction absorbed and F</w:t>
      </w:r>
      <w:r>
        <w:rPr>
          <w:rFonts w:ascii="Times New Roman" w:hAnsi="Times New Roman" w:eastAsia="Times New Roman" w:cs="Times New Roman"/>
          <w:color w:val="auto"/>
          <w:sz w:val="13"/>
          <w:szCs w:val="13"/>
        </w:rPr>
        <w:t>M</w:t>
      </w:r>
      <w:r>
        <w:rPr>
          <w:rFonts w:ascii="Times New Roman" w:hAnsi="Times New Roman" w:eastAsia="Times New Roman" w:cs="Times New Roman"/>
          <w:color w:val="auto"/>
          <w:sz w:val="22"/>
          <w:szCs w:val="22"/>
        </w:rPr>
        <w:t xml:space="preserve"> = Fraction not metabolized.</w:t>
      </w:r>
    </w:p>
    <w:p>
      <w:pPr>
        <w:spacing w:after="0" w:line="109" w:lineRule="exact"/>
        <w:rPr>
          <w:color w:val="auto"/>
          <w:sz w:val="20"/>
          <w:szCs w:val="20"/>
        </w:rPr>
      </w:pPr>
    </w:p>
    <w:p>
      <w:pPr>
        <w:spacing w:after="0" w:line="526" w:lineRule="auto"/>
        <w:ind w:left="360" w:right="360" w:firstLine="720"/>
        <w:jc w:val="both"/>
        <w:rPr>
          <w:color w:val="auto"/>
          <w:sz w:val="20"/>
          <w:szCs w:val="20"/>
        </w:rPr>
      </w:pPr>
      <w:r>
        <w:rPr>
          <w:rFonts w:ascii="Times New Roman" w:hAnsi="Times New Roman" w:eastAsia="Times New Roman" w:cs="Times New Roman"/>
          <w:color w:val="auto"/>
          <w:sz w:val="21"/>
          <w:szCs w:val="21"/>
        </w:rPr>
        <w:t>Many hydrophobic bioactive components have relatively lower oral bioavailability due to poor absorption, low bioaccessibility and chemical instability. Nanoemulsions showed a higher digestion rate in the gastrointestinal tract when compared to conventional emulsions because of the</w:t>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21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20</w:t>
      </w:r>
    </w:p>
    <w:p>
      <w:pPr>
        <w:sectPr>
          <w:type w:val="continuous"/>
          <w:pgSz w:w="12240" w:h="15840"/>
          <w:pgMar w:top="1419" w:right="1440" w:bottom="181" w:left="1440" w:header="0" w:footer="0" w:gutter="0"/>
          <w:cols w:equalWidth="0" w:num="1">
            <w:col w:w="9360"/>
          </w:cols>
        </w:sectPr>
      </w:pPr>
    </w:p>
    <w:p>
      <w:pPr>
        <w:spacing w:after="0" w:line="487" w:lineRule="auto"/>
        <w:ind w:left="360" w:right="360"/>
        <w:jc w:val="both"/>
        <w:rPr>
          <w:color w:val="auto"/>
          <w:sz w:val="20"/>
          <w:szCs w:val="20"/>
        </w:rPr>
      </w:pPr>
      <w:bookmarkStart w:id="27" w:name="page34"/>
      <w:bookmarkEnd w:id="27"/>
      <w:r>
        <w:rPr>
          <w:rFonts w:ascii="Times New Roman" w:hAnsi="Times New Roman" w:eastAsia="Times New Roman" w:cs="Times New Roman"/>
          <w:color w:val="auto"/>
          <w:sz w:val="22"/>
          <w:szCs w:val="22"/>
        </w:rPr>
        <w:t>availability of more binding sites for attaching the digestive enzymes such as lipases (Salvia-Trujillo et al., 2016). The rate of lipolysis is 3 times higher for nanoemulsion when compared to conventional emulsion (Armand et al, 1999). It was stated that nanoemulsion of vitamin E has increased solubility and enhanced oral bioavailability when compared to natural vitamin E (Parthasarathi et al, 2016).</w:t>
      </w:r>
    </w:p>
    <w:p>
      <w:pPr>
        <w:spacing w:after="0" w:line="124" w:lineRule="exact"/>
        <w:rPr>
          <w:color w:val="auto"/>
          <w:sz w:val="20"/>
          <w:szCs w:val="20"/>
        </w:rPr>
      </w:pPr>
    </w:p>
    <w:p>
      <w:pPr>
        <w:spacing w:after="0" w:line="485" w:lineRule="auto"/>
        <w:ind w:left="360" w:right="360" w:firstLine="720"/>
        <w:jc w:val="both"/>
        <w:rPr>
          <w:color w:val="auto"/>
          <w:sz w:val="20"/>
          <w:szCs w:val="20"/>
        </w:rPr>
      </w:pPr>
      <w:r>
        <w:rPr>
          <w:rFonts w:ascii="Times New Roman" w:hAnsi="Times New Roman" w:eastAsia="Times New Roman" w:cs="Times New Roman"/>
          <w:color w:val="auto"/>
          <w:sz w:val="22"/>
          <w:szCs w:val="22"/>
        </w:rPr>
        <w:t>Nanoparticles showed better bioavailability of the core ingredients due to direct and improved uptake (intestinal absorption) of nanoparticles in the system. The smaller size particles can easily go through the cell membrane thereby increasing the concentration of the core ingredient in the plasma (bioavailability) (Huang, Yu, &amp; Ru, 2010). A particle size below 500 nm has an increased absorption rate and bioavailability. The actual process behind increased uptake is not clearly understood, but it may be due to increased solubility of core ingredients, increased rate of mass transfer, extended retention time or increased absorption rate (Acosta, 2009).</w:t>
      </w:r>
    </w:p>
    <w:p>
      <w:pPr>
        <w:spacing w:after="0" w:line="122" w:lineRule="exact"/>
        <w:rPr>
          <w:color w:val="auto"/>
          <w:sz w:val="20"/>
          <w:szCs w:val="20"/>
        </w:rPr>
      </w:pPr>
    </w:p>
    <w:p>
      <w:pPr>
        <w:spacing w:after="0" w:line="483" w:lineRule="auto"/>
        <w:ind w:left="360" w:right="360" w:firstLine="720"/>
        <w:jc w:val="both"/>
        <w:rPr>
          <w:color w:val="auto"/>
          <w:sz w:val="20"/>
          <w:szCs w:val="20"/>
        </w:rPr>
      </w:pPr>
      <w:r>
        <w:rPr>
          <w:rFonts w:ascii="Times New Roman" w:hAnsi="Times New Roman" w:eastAsia="Times New Roman" w:cs="Times New Roman"/>
          <w:color w:val="auto"/>
          <w:sz w:val="22"/>
          <w:szCs w:val="22"/>
        </w:rPr>
        <w:t xml:space="preserve">Oil-in-water nanoemulsion of curcumin (insoluble in water) was made, using MCT as oil and Tween-20 as an emulsifier. It showed that there was a 3-fold increase in oral bioavailability of nanoemulsion of curcumin when compared to convention emulsion of curcumin. Also, for </w:t>
      </w:r>
      <w:r>
        <w:rPr>
          <w:rFonts w:ascii="Times New Roman" w:hAnsi="Times New Roman" w:eastAsia="Times New Roman" w:cs="Times New Roman"/>
          <w:i/>
          <w:iCs/>
          <w:color w:val="auto"/>
          <w:sz w:val="22"/>
          <w:szCs w:val="22"/>
        </w:rPr>
        <w:t>in vivo</w:t>
      </w:r>
      <w:r>
        <w:rPr>
          <w:rFonts w:ascii="Times New Roman" w:hAnsi="Times New Roman" w:eastAsia="Times New Roman" w:cs="Times New Roman"/>
          <w:color w:val="auto"/>
          <w:sz w:val="22"/>
          <w:szCs w:val="22"/>
        </w:rPr>
        <w:t xml:space="preserve"> study, 85% of inflammation was inhibited (Huang, Yu, &amp; Ru, 2010). Nanoencapsulation of epigallocatechin gallate and curcumin showed improved stability and oral bioavailability. (Wang, Wang, &amp; Huang, 2009). Similarly, (Fathi, Mozafari, &amp; Mohebbi, 2012) stated that nanoemulsion is a good way to deliver hydrophobic compounds. It improves its solubility and thereby increasing its absorption in gastrointestinal systems due to its smaller size and changes made by the surfactants. Nanodispersions of coenzyme Q10 (CoQ10), improved cellular uptake by 7-fold times when compared to traditional formulation (Peters &amp; Brain, 2009).</w:t>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21</w:t>
      </w:r>
    </w:p>
    <w:p>
      <w:pPr>
        <w:sectPr>
          <w:type w:val="continuous"/>
          <w:pgSz w:w="12240" w:h="15840"/>
          <w:pgMar w:top="1419" w:right="1440" w:bottom="181" w:left="1440" w:header="0" w:footer="0" w:gutter="0"/>
          <w:cols w:equalWidth="0" w:num="1">
            <w:col w:w="9360"/>
          </w:cols>
        </w:sectPr>
      </w:pPr>
    </w:p>
    <w:p>
      <w:pPr>
        <w:spacing w:after="0"/>
        <w:ind w:left="360"/>
        <w:rPr>
          <w:color w:val="auto"/>
          <w:sz w:val="20"/>
          <w:szCs w:val="20"/>
        </w:rPr>
      </w:pPr>
      <w:bookmarkStart w:id="28" w:name="page35"/>
      <w:bookmarkEnd w:id="28"/>
      <w:r>
        <w:rPr>
          <w:rFonts w:ascii="Times New Roman" w:hAnsi="Times New Roman" w:eastAsia="Times New Roman" w:cs="Times New Roman"/>
          <w:b/>
          <w:bCs/>
          <w:color w:val="auto"/>
          <w:sz w:val="22"/>
          <w:szCs w:val="22"/>
        </w:rPr>
        <w:t>2.4. Biological fate of emulsion in the digestive tract</w:t>
      </w:r>
    </w:p>
    <w:p>
      <w:pPr>
        <w:spacing w:after="0" w:line="200" w:lineRule="exact"/>
        <w:rPr>
          <w:color w:val="auto"/>
          <w:sz w:val="20"/>
          <w:szCs w:val="20"/>
        </w:rPr>
      </w:pPr>
    </w:p>
    <w:p>
      <w:pPr>
        <w:spacing w:after="0" w:line="214" w:lineRule="exact"/>
        <w:rPr>
          <w:color w:val="auto"/>
          <w:sz w:val="20"/>
          <w:szCs w:val="20"/>
        </w:rPr>
      </w:pPr>
    </w:p>
    <w:p>
      <w:pPr>
        <w:spacing w:after="0" w:line="483" w:lineRule="auto"/>
        <w:ind w:left="360" w:right="360" w:firstLine="720"/>
        <w:jc w:val="both"/>
        <w:rPr>
          <w:color w:val="auto"/>
          <w:sz w:val="20"/>
          <w:szCs w:val="20"/>
        </w:rPr>
      </w:pPr>
      <w:r>
        <w:rPr>
          <w:rFonts w:ascii="Times New Roman" w:hAnsi="Times New Roman" w:eastAsia="Times New Roman" w:cs="Times New Roman"/>
          <w:color w:val="auto"/>
          <w:sz w:val="22"/>
          <w:szCs w:val="22"/>
        </w:rPr>
        <w:t>The schematic Figure 2.2 illustrates the mechanism of component absorption in the gastrointestinal system. It was stated that the rate and extent of lipid digestion increases with the decrease in nanoemulsion size (Cerqueira et al., 2014). Once the nanoemulsion is ingested, partial digestion occurs in the mouth. Enzymes such as lingual lipase and saliva in the mouth mixes with the nanoemulsion and alters the interfacial properties. The partially digested ‘bolus’ enters the stomach, which is in an acidic condition mixed with gastric lipase (initiates lipid digestion), gastric proteases, and phospholipids for further digestion in the stomach. Due to the action of enzymes and other components, in the gastric environment, the size of the droplet will be increased due to flocculation and/or coalescence and it will no longer be in nanosize Also, it was noted that nanoemulsion are more resistant to droplet flocculation and/or coalescence when compared to conventional emulsion (Parthasarathi et al., 2016).</w:t>
      </w:r>
    </w:p>
    <w:p>
      <w:pPr>
        <w:spacing w:after="0" w:line="125" w:lineRule="exact"/>
        <w:rPr>
          <w:color w:val="auto"/>
          <w:sz w:val="20"/>
          <w:szCs w:val="20"/>
        </w:rPr>
      </w:pPr>
    </w:p>
    <w:p>
      <w:pPr>
        <w:spacing w:after="0" w:line="485" w:lineRule="auto"/>
        <w:ind w:left="360" w:right="360" w:firstLine="720"/>
        <w:jc w:val="both"/>
        <w:rPr>
          <w:color w:val="auto"/>
          <w:sz w:val="20"/>
          <w:szCs w:val="20"/>
        </w:rPr>
      </w:pPr>
      <w:r>
        <w:rPr>
          <w:rFonts w:ascii="Times New Roman" w:hAnsi="Times New Roman" w:eastAsia="Times New Roman" w:cs="Times New Roman"/>
          <w:color w:val="auto"/>
          <w:sz w:val="22"/>
          <w:szCs w:val="22"/>
        </w:rPr>
        <w:t>Then, the partially digested ‘chyme’ enters the duodenum, where most of the enzymes released to help with further digestion of lipid. Bile, produced in the liver, is released to emulsify the fat, thereby increasing the surface area for enzymes such as pancreatic enzymes to act on. In addition to bile, the bicarbonate solution is also released to increase the pH to 6 to 7. The surface-active substances such as bile salts and phospholipids present in the small intestine, might compete and replace the surface-active substances originally present in the lipid droplet (McClements &amp; Xiao, 2012).</w:t>
      </w:r>
    </w:p>
    <w:p>
      <w:pPr>
        <w:spacing w:after="0" w:line="122" w:lineRule="exact"/>
        <w:rPr>
          <w:color w:val="auto"/>
          <w:sz w:val="20"/>
          <w:szCs w:val="20"/>
        </w:rPr>
      </w:pPr>
    </w:p>
    <w:p>
      <w:pPr>
        <w:spacing w:after="0" w:line="512" w:lineRule="auto"/>
        <w:ind w:left="360" w:right="360" w:firstLine="720"/>
        <w:jc w:val="both"/>
        <w:rPr>
          <w:color w:val="auto"/>
          <w:sz w:val="20"/>
          <w:szCs w:val="20"/>
        </w:rPr>
      </w:pPr>
      <w:r>
        <w:rPr>
          <w:rFonts w:ascii="Times New Roman" w:hAnsi="Times New Roman" w:eastAsia="Times New Roman" w:cs="Times New Roman"/>
          <w:color w:val="auto"/>
          <w:sz w:val="21"/>
          <w:szCs w:val="21"/>
        </w:rPr>
        <w:t>Due to the action of pancreatic lipase, triglycerides and diglycerides will be broken down into monoglycerides and FFA. Bile salts surround the lipid digestion products and form micelles, where the lipid digestion products are incorporated into the micelles. The bioactive lipophilic components, which are incorporated into mixed micelles, will be transported through the mucous layer and epithelial cells lining the small intestine, where they may be absorbed. The absorption of digested compounds depends on its i) solubility in GI lumen and ii) its ability to diffuse across the</w:t>
      </w:r>
    </w:p>
    <w:p>
      <w:pPr>
        <w:sectPr>
          <w:pgSz w:w="12240" w:h="15840"/>
          <w:pgMar w:top="1417" w:right="1440" w:bottom="181" w:left="1440" w:header="0" w:footer="0" w:gutter="0"/>
          <w:cols w:equalWidth="0" w:num="1">
            <w:col w:w="9360"/>
          </w:cols>
        </w:sectPr>
      </w:pPr>
    </w:p>
    <w:p>
      <w:pPr>
        <w:spacing w:after="0" w:line="24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22</w:t>
      </w:r>
    </w:p>
    <w:p>
      <w:pPr>
        <w:sectPr>
          <w:type w:val="continuous"/>
          <w:pgSz w:w="12240" w:h="15840"/>
          <w:pgMar w:top="1417" w:right="1440" w:bottom="181" w:left="1440" w:header="0" w:footer="0" w:gutter="0"/>
          <w:cols w:equalWidth="0" w:num="1">
            <w:col w:w="9360"/>
          </w:cols>
        </w:sectPr>
      </w:pPr>
    </w:p>
    <w:p>
      <w:pPr>
        <w:spacing w:after="0" w:line="511" w:lineRule="auto"/>
        <w:ind w:left="360" w:right="360"/>
        <w:jc w:val="both"/>
        <w:rPr>
          <w:color w:val="auto"/>
          <w:sz w:val="20"/>
          <w:szCs w:val="20"/>
        </w:rPr>
      </w:pPr>
      <w:bookmarkStart w:id="29" w:name="page36"/>
      <w:bookmarkEnd w:id="29"/>
      <w:r>
        <w:rPr>
          <w:rFonts w:ascii="Times New Roman" w:hAnsi="Times New Roman" w:eastAsia="Times New Roman" w:cs="Times New Roman"/>
          <w:color w:val="auto"/>
          <w:sz w:val="22"/>
          <w:szCs w:val="22"/>
        </w:rPr>
        <w:t>enterocytes. The nanoemulsion-based formulation helps to overcome solubilization problem and thereby its oral bioavailability will be increased (Parthasarathi et al., 2016).</w:t>
      </w:r>
    </w:p>
    <w:p>
      <w:pPr>
        <w:spacing w:after="0" w:line="94" w:lineRule="exact"/>
        <w:rPr>
          <w:color w:val="auto"/>
          <w:sz w:val="20"/>
          <w:szCs w:val="20"/>
        </w:rPr>
      </w:pPr>
    </w:p>
    <w:p>
      <w:pPr>
        <w:spacing w:after="0" w:line="484" w:lineRule="auto"/>
        <w:ind w:left="360" w:right="360" w:firstLine="720"/>
        <w:jc w:val="both"/>
        <w:rPr>
          <w:color w:val="auto"/>
          <w:sz w:val="20"/>
          <w:szCs w:val="20"/>
        </w:rPr>
      </w:pPr>
      <w:r>
        <w:rPr>
          <w:rFonts w:ascii="Times New Roman" w:hAnsi="Times New Roman" w:eastAsia="Times New Roman" w:cs="Times New Roman"/>
          <w:color w:val="auto"/>
          <w:sz w:val="22"/>
          <w:szCs w:val="22"/>
        </w:rPr>
        <w:t>The inner region of the small intestine is covered with finger-like projections known as villi. Each epithelial cell is covered with even smaller projections known as microvilli and this helps for nutrients absorption. The absorption of nutrients in small intestine occurs either by either passive or active transport. In passive transport, the nutrients are absorbed by simple diffusion due to concentration gradient and hence it does not require any energy for transportation. In active transport, the cells use energy to absorb nutrients through specific channels on the surface of the epithelial cells even if the concentration of the nutrient is higher inside the cell when compared to outside the cell (Acosta Edgar, 2009).</w:t>
      </w:r>
    </w:p>
    <w:p>
      <w:pPr>
        <w:spacing w:after="0" w:line="126" w:lineRule="exact"/>
        <w:rPr>
          <w:color w:val="auto"/>
          <w:sz w:val="20"/>
          <w:szCs w:val="20"/>
        </w:rPr>
      </w:pPr>
    </w:p>
    <w:p>
      <w:pPr>
        <w:spacing w:after="0" w:line="488" w:lineRule="auto"/>
        <w:ind w:left="360" w:right="360" w:firstLine="720"/>
        <w:jc w:val="both"/>
        <w:rPr>
          <w:color w:val="auto"/>
          <w:sz w:val="20"/>
          <w:szCs w:val="20"/>
        </w:rPr>
      </w:pPr>
      <w:r>
        <w:rPr>
          <w:rFonts w:ascii="Times New Roman" w:hAnsi="Times New Roman" w:eastAsia="Times New Roman" w:cs="Times New Roman"/>
          <w:color w:val="auto"/>
          <w:sz w:val="22"/>
          <w:szCs w:val="22"/>
        </w:rPr>
        <w:t>Direct nanoparticle uptake, is especially common in nondigestible solid nanoparticles i.e the nanoparticles are made from indigestible oils (e.g mineral oils, hydrocarbons etc). Whereas, edible nanoemulsion (like we used in our study) are less likely to be absorbed and accumulated directly in epithelial cells since it is expected to be digested within the GI system (McClements &amp; Xiao, 2012).</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685800</wp:posOffset>
            </wp:positionH>
            <wp:positionV relativeFrom="paragraph">
              <wp:posOffset>88900</wp:posOffset>
            </wp:positionV>
            <wp:extent cx="4995545" cy="2912745"/>
            <wp:effectExtent l="0" t="0" r="1460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
                    <a:srcRect/>
                    <a:stretch>
                      <a:fillRect/>
                    </a:stretch>
                  </pic:blipFill>
                  <pic:spPr>
                    <a:xfrm>
                      <a:off x="0" y="0"/>
                      <a:ext cx="4995545" cy="2912745"/>
                    </a:xfrm>
                    <a:prstGeom prst="rect">
                      <a:avLst/>
                    </a:prstGeom>
                    <a:noFill/>
                  </pic:spPr>
                </pic:pic>
              </a:graphicData>
            </a:graphic>
          </wp:anchor>
        </w:drawing>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23</w:t>
      </w:r>
    </w:p>
    <w:p>
      <w:pPr>
        <w:sectPr>
          <w:type w:val="continuous"/>
          <w:pgSz w:w="12240" w:h="15840"/>
          <w:pgMar w:top="1419" w:right="1440" w:bottom="181" w:left="1440" w:header="0" w:footer="0" w:gutter="0"/>
          <w:cols w:equalWidth="0" w:num="1">
            <w:col w:w="9360"/>
          </w:cols>
        </w:sectPr>
      </w:pPr>
    </w:p>
    <w:p>
      <w:pPr>
        <w:spacing w:after="0" w:line="294" w:lineRule="auto"/>
        <w:ind w:left="360" w:right="360"/>
        <w:jc w:val="center"/>
        <w:rPr>
          <w:color w:val="auto"/>
          <w:sz w:val="20"/>
          <w:szCs w:val="20"/>
        </w:rPr>
      </w:pPr>
      <w:bookmarkStart w:id="30" w:name="page37"/>
      <w:bookmarkEnd w:id="30"/>
      <w:r>
        <w:rPr>
          <w:rFonts w:ascii="Times New Roman" w:hAnsi="Times New Roman" w:eastAsia="Times New Roman" w:cs="Times New Roman"/>
          <w:b/>
          <w:bCs/>
          <w:color w:val="auto"/>
          <w:sz w:val="22"/>
          <w:szCs w:val="22"/>
        </w:rPr>
        <w:t>Figure 2.2.</w:t>
      </w:r>
      <w:r>
        <w:rPr>
          <w:rFonts w:ascii="Times New Roman" w:hAnsi="Times New Roman" w:eastAsia="Times New Roman" w:cs="Times New Roman"/>
          <w:color w:val="auto"/>
          <w:sz w:val="22"/>
          <w:szCs w:val="22"/>
        </w:rPr>
        <w:t xml:space="preserve"> Schematic representation of the mechanism of component uptake by the small intestine cells</w:t>
      </w:r>
    </w:p>
    <w:p>
      <w:pPr>
        <w:spacing w:after="0" w:line="200" w:lineRule="exact"/>
        <w:rPr>
          <w:color w:val="auto"/>
          <w:sz w:val="20"/>
          <w:szCs w:val="20"/>
        </w:rPr>
      </w:pPr>
    </w:p>
    <w:p>
      <w:pPr>
        <w:spacing w:after="0" w:line="200" w:lineRule="exact"/>
        <w:rPr>
          <w:color w:val="auto"/>
          <w:sz w:val="20"/>
          <w:szCs w:val="20"/>
        </w:rPr>
      </w:pPr>
    </w:p>
    <w:p>
      <w:pPr>
        <w:spacing w:after="0" w:line="355"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2"/>
          <w:szCs w:val="22"/>
        </w:rPr>
        <w:t>2.5. The application of nanotechnology in improving vitamin D status</w:t>
      </w:r>
    </w:p>
    <w:p>
      <w:pPr>
        <w:spacing w:after="0" w:line="200" w:lineRule="exact"/>
        <w:rPr>
          <w:color w:val="auto"/>
          <w:sz w:val="20"/>
          <w:szCs w:val="20"/>
        </w:rPr>
      </w:pPr>
    </w:p>
    <w:p>
      <w:pPr>
        <w:spacing w:after="0" w:line="214" w:lineRule="exact"/>
        <w:rPr>
          <w:color w:val="auto"/>
          <w:sz w:val="20"/>
          <w:szCs w:val="20"/>
        </w:rPr>
      </w:pPr>
    </w:p>
    <w:p>
      <w:pPr>
        <w:spacing w:after="0" w:line="483" w:lineRule="auto"/>
        <w:ind w:left="360" w:right="360" w:firstLine="721"/>
        <w:jc w:val="both"/>
        <w:rPr>
          <w:color w:val="auto"/>
          <w:sz w:val="20"/>
          <w:szCs w:val="20"/>
        </w:rPr>
      </w:pPr>
      <w:r>
        <w:rPr>
          <w:rFonts w:ascii="Times New Roman" w:hAnsi="Times New Roman" w:eastAsia="Times New Roman" w:cs="Times New Roman"/>
          <w:color w:val="auto"/>
          <w:sz w:val="22"/>
          <w:szCs w:val="22"/>
        </w:rPr>
        <w:t>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is sensitive to some environmental conditions such as light, heat and oxygen. It is not stable when oxidation occurs since it might lose its function and its related benefits (Luo, Teng &amp; Wang, 2012). Also since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is hydrophobic in nature, it has a lower intestinal absorption rate (Salvia-Trujillo et al., 2013) and oral bioavailability. Because of these reasons we need to entrap and encapsulate the hydrophobic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compound efficiently with the lipid-based delivery system. The nanoencapsulation process helps in increasing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stability, retaining its function and also improves its bioaccessibility (Walia et al., 2017) &amp; (Maurya &amp; Aggarwal 2017). In 1998, Delaurent and colleagues first reported molecular encapsulation of vitamin D by cyclodextrins to overcome the problems related to its distribution and solubility in food and drugs. In this study, the authors determined the most appropriate method to characterize vitamin D/cyclodextrins complex to understand its structure via a molecular model.</w:t>
      </w:r>
    </w:p>
    <w:p>
      <w:pPr>
        <w:spacing w:after="0" w:line="126" w:lineRule="exact"/>
        <w:rPr>
          <w:color w:val="auto"/>
          <w:sz w:val="20"/>
          <w:szCs w:val="20"/>
        </w:rPr>
      </w:pPr>
    </w:p>
    <w:p>
      <w:pPr>
        <w:spacing w:after="0" w:line="485" w:lineRule="auto"/>
        <w:ind w:left="360" w:right="360" w:firstLine="720"/>
        <w:jc w:val="both"/>
        <w:rPr>
          <w:color w:val="auto"/>
          <w:sz w:val="20"/>
          <w:szCs w:val="20"/>
        </w:rPr>
      </w:pPr>
      <w:r>
        <w:rPr>
          <w:rFonts w:ascii="Times New Roman" w:hAnsi="Times New Roman" w:eastAsia="Times New Roman" w:cs="Times New Roman"/>
          <w:color w:val="auto"/>
          <w:sz w:val="22"/>
          <w:szCs w:val="22"/>
        </w:rPr>
        <w:t>In another study,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was encapsulated with oil-in-water nanoemulsion to study the influence of various types of carrier oil (MCT, LCT and indigestible oil) using simulated GIT model with the goal of improving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bioaccessibility. It was reported that one, carrier oils have the greater impact on lipid digestion and, two, nanoemulsion prepared from LCT improved bioaccessibility when compared to nanoemulsion prepared from MCT or indigestible oils (Ozturk et al., 2015). Nanoparticle formulation showed promising </w:t>
      </w:r>
      <w:r>
        <w:rPr>
          <w:rFonts w:ascii="Times New Roman" w:hAnsi="Times New Roman" w:eastAsia="Times New Roman" w:cs="Times New Roman"/>
          <w:i/>
          <w:iCs/>
          <w:color w:val="auto"/>
          <w:sz w:val="22"/>
          <w:szCs w:val="22"/>
        </w:rPr>
        <w:t>in vitro</w:t>
      </w:r>
      <w:r>
        <w:rPr>
          <w:rFonts w:ascii="Times New Roman" w:hAnsi="Times New Roman" w:eastAsia="Times New Roman" w:cs="Times New Roman"/>
          <w:color w:val="auto"/>
          <w:sz w:val="22"/>
          <w:szCs w:val="22"/>
        </w:rPr>
        <w:t xml:space="preserve"> results, but to the best of our knowledge no </w:t>
      </w:r>
      <w:r>
        <w:rPr>
          <w:rFonts w:ascii="Times New Roman" w:hAnsi="Times New Roman" w:eastAsia="Times New Roman" w:cs="Times New Roman"/>
          <w:i/>
          <w:iCs/>
          <w:color w:val="auto"/>
          <w:sz w:val="22"/>
          <w:szCs w:val="22"/>
        </w:rPr>
        <w:t>in vivo</w:t>
      </w:r>
      <w:r>
        <w:rPr>
          <w:rFonts w:ascii="Times New Roman" w:hAnsi="Times New Roman" w:eastAsia="Times New Roman" w:cs="Times New Roman"/>
          <w:color w:val="auto"/>
          <w:sz w:val="22"/>
          <w:szCs w:val="22"/>
        </w:rPr>
        <w:t xml:space="preserve"> studies have been conducted (Huang, Yu, &amp; Ru, 2010).</w:t>
      </w:r>
    </w:p>
    <w:p>
      <w:pPr>
        <w:spacing w:after="0" w:line="122" w:lineRule="exact"/>
        <w:rPr>
          <w:color w:val="auto"/>
          <w:sz w:val="20"/>
          <w:szCs w:val="20"/>
        </w:rPr>
      </w:pPr>
    </w:p>
    <w:p>
      <w:pPr>
        <w:spacing w:after="0" w:line="526" w:lineRule="auto"/>
        <w:ind w:left="360" w:right="360" w:firstLine="720"/>
        <w:jc w:val="both"/>
        <w:rPr>
          <w:color w:val="auto"/>
          <w:sz w:val="20"/>
          <w:szCs w:val="20"/>
        </w:rPr>
      </w:pPr>
      <w:r>
        <w:rPr>
          <w:rFonts w:ascii="Times New Roman" w:hAnsi="Times New Roman" w:eastAsia="Times New Roman" w:cs="Times New Roman"/>
          <w:color w:val="auto"/>
          <w:sz w:val="21"/>
          <w:szCs w:val="21"/>
        </w:rPr>
        <w:t>More recently, vitamin D</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1"/>
          <w:szCs w:val="21"/>
        </w:rPr>
        <w:t xml:space="preserve"> encapsulated oil-in-water nanoemulsion was prepared to evaluate the influence of droplet size </w:t>
      </w:r>
      <w:r>
        <w:rPr>
          <w:rFonts w:ascii="Times New Roman" w:hAnsi="Times New Roman" w:eastAsia="Times New Roman" w:cs="Times New Roman"/>
          <w:i/>
          <w:iCs/>
          <w:color w:val="auto"/>
          <w:sz w:val="21"/>
          <w:szCs w:val="21"/>
        </w:rPr>
        <w:t>in vitro</w:t>
      </w:r>
      <w:r>
        <w:rPr>
          <w:rFonts w:ascii="Times New Roman" w:hAnsi="Times New Roman" w:eastAsia="Times New Roman" w:cs="Times New Roman"/>
          <w:color w:val="auto"/>
          <w:sz w:val="21"/>
          <w:szCs w:val="21"/>
        </w:rPr>
        <w:t xml:space="preserve"> (using simulated GIT model) bioaccessibility study and </w:t>
      </w:r>
      <w:r>
        <w:rPr>
          <w:rFonts w:ascii="Times New Roman" w:hAnsi="Times New Roman" w:eastAsia="Times New Roman" w:cs="Times New Roman"/>
          <w:i/>
          <w:iCs/>
          <w:color w:val="auto"/>
          <w:sz w:val="21"/>
          <w:szCs w:val="21"/>
        </w:rPr>
        <w:t>in vivo</w:t>
      </w:r>
      <w:r>
        <w:rPr>
          <w:rFonts w:ascii="Times New Roman" w:hAnsi="Times New Roman" w:eastAsia="Times New Roman" w:cs="Times New Roman"/>
          <w:color w:val="auto"/>
          <w:sz w:val="21"/>
          <w:szCs w:val="21"/>
        </w:rPr>
        <w:t xml:space="preserve"> oral bioavailability (rat feeding study) study. </w:t>
      </w:r>
      <w:r>
        <w:rPr>
          <w:rFonts w:ascii="Times New Roman" w:hAnsi="Times New Roman" w:eastAsia="Times New Roman" w:cs="Times New Roman"/>
          <w:i/>
          <w:iCs/>
          <w:color w:val="auto"/>
          <w:sz w:val="21"/>
          <w:szCs w:val="21"/>
        </w:rPr>
        <w:t>In vitro</w:t>
      </w:r>
      <w:r>
        <w:rPr>
          <w:rFonts w:ascii="Times New Roman" w:hAnsi="Times New Roman" w:eastAsia="Times New Roman" w:cs="Times New Roman"/>
          <w:color w:val="auto"/>
          <w:sz w:val="21"/>
          <w:szCs w:val="21"/>
        </w:rPr>
        <w:t xml:space="preserve"> studies indicated that smaller lipid</w:t>
      </w:r>
    </w:p>
    <w:p>
      <w:pPr>
        <w:sectPr>
          <w:pgSz w:w="12240" w:h="15840"/>
          <w:pgMar w:top="1415" w:right="1440" w:bottom="181" w:left="1440" w:header="0" w:footer="0" w:gutter="0"/>
          <w:cols w:equalWidth="0" w:num="1">
            <w:col w:w="9360"/>
          </w:cols>
        </w:sectPr>
      </w:pPr>
    </w:p>
    <w:p>
      <w:pPr>
        <w:spacing w:after="0" w:line="37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24</w:t>
      </w:r>
    </w:p>
    <w:p>
      <w:pPr>
        <w:sectPr>
          <w:type w:val="continuous"/>
          <w:pgSz w:w="12240" w:h="15840"/>
          <w:pgMar w:top="1415" w:right="1440" w:bottom="181" w:left="1440" w:header="0" w:footer="0" w:gutter="0"/>
          <w:cols w:equalWidth="0" w:num="1">
            <w:col w:w="9360"/>
          </w:cols>
        </w:sectPr>
      </w:pPr>
    </w:p>
    <w:p>
      <w:pPr>
        <w:spacing w:after="0" w:line="485" w:lineRule="auto"/>
        <w:ind w:left="360" w:right="360"/>
        <w:jc w:val="both"/>
        <w:rPr>
          <w:color w:val="auto"/>
          <w:sz w:val="20"/>
          <w:szCs w:val="20"/>
        </w:rPr>
      </w:pPr>
      <w:bookmarkStart w:id="31" w:name="page38"/>
      <w:bookmarkEnd w:id="31"/>
      <w:r>
        <w:rPr>
          <w:rFonts w:ascii="Times New Roman" w:hAnsi="Times New Roman" w:eastAsia="Times New Roman" w:cs="Times New Roman"/>
          <w:color w:val="auto"/>
          <w:sz w:val="22"/>
          <w:szCs w:val="22"/>
        </w:rPr>
        <w:t>droplets have shown improved vitamin D</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 xml:space="preserve"> bioaccessibility when compared to larger ones. Smaller lipid droplets have better solubility, rapid digestibility and thereby it leads to rapid formation of mixed micelles. Whereas </w:t>
      </w:r>
      <w:r>
        <w:rPr>
          <w:rFonts w:ascii="Times New Roman" w:hAnsi="Times New Roman" w:eastAsia="Times New Roman" w:cs="Times New Roman"/>
          <w:i/>
          <w:iCs/>
          <w:color w:val="auto"/>
          <w:sz w:val="22"/>
          <w:szCs w:val="22"/>
        </w:rPr>
        <w:t>in vivo</w:t>
      </w:r>
      <w:r>
        <w:rPr>
          <w:rFonts w:ascii="Times New Roman" w:hAnsi="Times New Roman" w:eastAsia="Times New Roman" w:cs="Times New Roman"/>
          <w:color w:val="auto"/>
          <w:sz w:val="22"/>
          <w:szCs w:val="22"/>
        </w:rPr>
        <w:t xml:space="preserve"> study reported contrasting results. This suggests that larger droplets have increased oral bioavailability when compared to smaller droplets. The author noted that even though there was a poor correlation between </w:t>
      </w:r>
      <w:r>
        <w:rPr>
          <w:rFonts w:ascii="Times New Roman" w:hAnsi="Times New Roman" w:eastAsia="Times New Roman" w:cs="Times New Roman"/>
          <w:i/>
          <w:iCs/>
          <w:color w:val="auto"/>
          <w:sz w:val="22"/>
          <w:szCs w:val="22"/>
        </w:rPr>
        <w:t>in vitro</w:t>
      </w:r>
      <w:r>
        <w:rPr>
          <w:rFonts w:ascii="Times New Roman" w:hAnsi="Times New Roman" w:eastAsia="Times New Roman" w:cs="Times New Roman"/>
          <w:color w:val="auto"/>
          <w:sz w:val="22"/>
          <w:szCs w:val="22"/>
        </w:rPr>
        <w:t xml:space="preserve"> and </w:t>
      </w:r>
      <w:r>
        <w:rPr>
          <w:rFonts w:ascii="Times New Roman" w:hAnsi="Times New Roman" w:eastAsia="Times New Roman" w:cs="Times New Roman"/>
          <w:i/>
          <w:iCs/>
          <w:color w:val="auto"/>
          <w:sz w:val="22"/>
          <w:szCs w:val="22"/>
        </w:rPr>
        <w:t>in vivo</w:t>
      </w:r>
      <w:r>
        <w:rPr>
          <w:rFonts w:ascii="Times New Roman" w:hAnsi="Times New Roman" w:eastAsia="Times New Roman" w:cs="Times New Roman"/>
          <w:color w:val="auto"/>
          <w:sz w:val="22"/>
          <w:szCs w:val="22"/>
        </w:rPr>
        <w:t xml:space="preserve"> study results, the particle size of encapsulated lipophilic components had greater influence on GIT absorption (Salvia-Trujillo, et al., 2017).</w:t>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25</w:t>
      </w:r>
    </w:p>
    <w:p>
      <w:pPr>
        <w:sectPr>
          <w:type w:val="continuous"/>
          <w:pgSz w:w="12240" w:h="15840"/>
          <w:pgMar w:top="1419" w:right="1440" w:bottom="181" w:left="1440" w:header="0" w:footer="0" w:gutter="0"/>
          <w:cols w:equalWidth="0" w:num="1">
            <w:col w:w="9360"/>
          </w:cols>
        </w:sectPr>
      </w:pPr>
    </w:p>
    <w:p>
      <w:pPr>
        <w:spacing w:after="0" w:line="200" w:lineRule="exact"/>
        <w:rPr>
          <w:color w:val="auto"/>
          <w:sz w:val="20"/>
          <w:szCs w:val="20"/>
        </w:rPr>
      </w:pPr>
      <w:bookmarkStart w:id="32" w:name="page39"/>
      <w:bookmarkEnd w:id="3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CHAPTER 3</w:t>
      </w:r>
    </w:p>
    <w:p>
      <w:pPr>
        <w:spacing w:after="0" w:line="200" w:lineRule="exact"/>
        <w:rPr>
          <w:color w:val="auto"/>
          <w:sz w:val="20"/>
          <w:szCs w:val="20"/>
        </w:rPr>
      </w:pPr>
    </w:p>
    <w:p>
      <w:pPr>
        <w:spacing w:after="0" w:line="21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PURPOSE OF THE STUDY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2" w:lineRule="exact"/>
        <w:rPr>
          <w:color w:val="auto"/>
          <w:sz w:val="20"/>
          <w:szCs w:val="20"/>
        </w:rPr>
      </w:pPr>
    </w:p>
    <w:p>
      <w:pPr>
        <w:spacing w:after="0" w:line="512" w:lineRule="auto"/>
        <w:ind w:left="360" w:right="360" w:firstLine="720"/>
        <w:jc w:val="both"/>
        <w:rPr>
          <w:color w:val="auto"/>
          <w:sz w:val="20"/>
          <w:szCs w:val="20"/>
        </w:rPr>
      </w:pPr>
      <w:r>
        <w:rPr>
          <w:rFonts w:ascii="Times New Roman" w:hAnsi="Times New Roman" w:eastAsia="Times New Roman" w:cs="Times New Roman"/>
          <w:color w:val="auto"/>
          <w:sz w:val="21"/>
          <w:szCs w:val="21"/>
        </w:rPr>
        <w:t xml:space="preserve">Although people can get vitamin D through sunlight exposure and from vitamin D fortified foods </w:t>
      </w:r>
      <w:r>
        <w:rPr>
          <w:rFonts w:ascii="Times New Roman" w:hAnsi="Times New Roman" w:eastAsia="Times New Roman" w:cs="Times New Roman"/>
          <w:i/>
          <w:iCs/>
          <w:color w:val="auto"/>
          <w:sz w:val="21"/>
          <w:szCs w:val="21"/>
        </w:rPr>
        <w:t>e.g.</w:t>
      </w:r>
      <w:r>
        <w:rPr>
          <w:rFonts w:ascii="Times New Roman" w:hAnsi="Times New Roman" w:eastAsia="Times New Roman" w:cs="Times New Roman"/>
          <w:color w:val="auto"/>
          <w:sz w:val="21"/>
          <w:szCs w:val="21"/>
        </w:rPr>
        <w:t xml:space="preserve"> milk, in the United States as well as in other parts of the world there was a dramatic decrease in vitamin D sufficiency (Adams and Hewison, 2010) &amp; (Looker et al., 2011). Worldwide, around 1 billion people and about 1/4 of the U.S population have vitamin D insufficiency (Serum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level between (30 to &lt;50 nmol/L or 12 to &lt;20 ng/mL). Around 8% of U.S population have vitamin D deficiency (&lt;30 nmol/L or &lt;12ng/mL) (Looker et al., 2011) &amp; (Holick, 2007).</w:t>
      </w:r>
    </w:p>
    <w:p>
      <w:pPr>
        <w:spacing w:after="0" w:line="65" w:lineRule="exact"/>
        <w:rPr>
          <w:color w:val="auto"/>
          <w:sz w:val="20"/>
          <w:szCs w:val="20"/>
        </w:rPr>
      </w:pPr>
    </w:p>
    <w:p>
      <w:pPr>
        <w:spacing w:after="0" w:line="491" w:lineRule="auto"/>
        <w:ind w:left="360" w:right="360" w:firstLine="720"/>
        <w:jc w:val="both"/>
        <w:rPr>
          <w:color w:val="auto"/>
          <w:sz w:val="20"/>
          <w:szCs w:val="20"/>
        </w:rPr>
      </w:pPr>
      <w:r>
        <w:rPr>
          <w:rFonts w:ascii="Times New Roman" w:hAnsi="Times New Roman" w:eastAsia="Times New Roman" w:cs="Times New Roman"/>
          <w:color w:val="auto"/>
          <w:sz w:val="22"/>
          <w:szCs w:val="22"/>
        </w:rPr>
        <w:t>In addition to vitamin D’s importance in bone health, its deficiency has been associated with increased risk of a wide range of diseases, including common cancers, cardiovascular diseases, immune and inflammatory diseases (Holick, 2007). Therefore, it is important to develop new strategies to improve the vitamin D level for better public health.</w:t>
      </w:r>
    </w:p>
    <w:p>
      <w:pPr>
        <w:spacing w:after="0" w:line="75" w:lineRule="exact"/>
        <w:rPr>
          <w:color w:val="auto"/>
          <w:sz w:val="20"/>
          <w:szCs w:val="20"/>
        </w:rPr>
      </w:pPr>
    </w:p>
    <w:p>
      <w:pPr>
        <w:spacing w:after="0" w:line="484" w:lineRule="auto"/>
        <w:ind w:left="360" w:right="360" w:firstLine="720"/>
        <w:jc w:val="both"/>
        <w:rPr>
          <w:color w:val="auto"/>
          <w:sz w:val="20"/>
          <w:szCs w:val="20"/>
        </w:rPr>
      </w:pPr>
      <w:r>
        <w:rPr>
          <w:rFonts w:ascii="Times New Roman" w:hAnsi="Times New Roman" w:eastAsia="Times New Roman" w:cs="Times New Roman"/>
          <w:color w:val="auto"/>
          <w:sz w:val="22"/>
          <w:szCs w:val="22"/>
        </w:rPr>
        <w:t>Following the emergence of nanotechnology and nanomedicine (Riehemann et al., 2009), there is increasing interest in their application in nutrition and the food industry because of the unique physicochemical characteristics and biological functions associated with nanoparticles (diameter &lt;200nm) (Huang, Yu, &amp; Ru, 2010), (McClements and Rao, 2011) &amp; (Srinivas et al., 2010). In this study, we will be utilizing lipid-based delivery since various studies indicated that this delivery system improves solubility, stability, water dispersibility and bioaccessibility of lipophilic dietary compounds (Guttoff, et al., 2015), (Gupta, et al., 2016) &amp; (McClements, 2011). In the present study, we propose to evaluate to what extent the nanoemulsion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can</w:t>
      </w: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26</w:t>
      </w:r>
    </w:p>
    <w:p>
      <w:pPr>
        <w:sectPr>
          <w:pgSz w:w="12240" w:h="15840"/>
          <w:pgMar w:top="1440" w:right="1440" w:bottom="181" w:left="1440" w:header="0" w:footer="0" w:gutter="0"/>
          <w:cols w:equalWidth="0" w:num="1">
            <w:col w:w="9360"/>
          </w:cols>
        </w:sectPr>
      </w:pPr>
    </w:p>
    <w:p>
      <w:pPr>
        <w:spacing w:after="0" w:line="515" w:lineRule="auto"/>
        <w:ind w:left="360" w:right="360"/>
        <w:rPr>
          <w:color w:val="auto"/>
          <w:sz w:val="20"/>
          <w:szCs w:val="20"/>
        </w:rPr>
      </w:pPr>
      <w:bookmarkStart w:id="33" w:name="page40"/>
      <w:bookmarkEnd w:id="33"/>
      <w:r>
        <w:rPr>
          <w:rFonts w:ascii="Times New Roman" w:hAnsi="Times New Roman" w:eastAsia="Times New Roman" w:cs="Times New Roman"/>
          <w:color w:val="auto"/>
          <w:sz w:val="22"/>
          <w:szCs w:val="22"/>
        </w:rPr>
        <w:t xml:space="preserve">improve vitamin D level in the in </w:t>
      </w:r>
      <w:r>
        <w:rPr>
          <w:rFonts w:ascii="Times New Roman" w:hAnsi="Times New Roman" w:eastAsia="Times New Roman" w:cs="Times New Roman"/>
          <w:i/>
          <w:iCs/>
          <w:color w:val="auto"/>
          <w:sz w:val="22"/>
          <w:szCs w:val="22"/>
        </w:rPr>
        <w:t>vitro</w:t>
      </w:r>
      <w:r>
        <w:rPr>
          <w:rFonts w:ascii="Times New Roman" w:hAnsi="Times New Roman" w:eastAsia="Times New Roman" w:cs="Times New Roman"/>
          <w:color w:val="auto"/>
          <w:sz w:val="22"/>
          <w:szCs w:val="22"/>
        </w:rPr>
        <w:t xml:space="preserve"> bioaccessibility and </w:t>
      </w:r>
      <w:r>
        <w:rPr>
          <w:rFonts w:ascii="Times New Roman" w:hAnsi="Times New Roman" w:eastAsia="Times New Roman" w:cs="Times New Roman"/>
          <w:i/>
          <w:iCs/>
          <w:color w:val="auto"/>
          <w:sz w:val="22"/>
          <w:szCs w:val="22"/>
        </w:rPr>
        <w:t>in vivo</w:t>
      </w:r>
      <w:r>
        <w:rPr>
          <w:rFonts w:ascii="Times New Roman" w:hAnsi="Times New Roman" w:eastAsia="Times New Roman" w:cs="Times New Roman"/>
          <w:color w:val="auto"/>
          <w:sz w:val="22"/>
          <w:szCs w:val="22"/>
        </w:rPr>
        <w:t xml:space="preserve"> bioavailability when compared to the coarse emulsion (diameter &gt;200nm).</w:t>
      </w:r>
    </w:p>
    <w:p>
      <w:pPr>
        <w:spacing w:after="0" w:line="100" w:lineRule="exact"/>
        <w:rPr>
          <w:color w:val="auto"/>
          <w:sz w:val="20"/>
          <w:szCs w:val="20"/>
        </w:rPr>
      </w:pPr>
    </w:p>
    <w:p>
      <w:pPr>
        <w:numPr>
          <w:ilvl w:val="0"/>
          <w:numId w:val="8"/>
        </w:numPr>
        <w:tabs>
          <w:tab w:val="left" w:pos="1080"/>
        </w:tabs>
        <w:spacing w:after="0" w:line="483" w:lineRule="auto"/>
        <w:ind w:left="1080" w:right="360" w:hanging="360"/>
        <w:jc w:val="both"/>
        <w:rPr>
          <w:rFonts w:ascii="Arial" w:hAnsi="Arial" w:eastAsia="Arial" w:cs="Arial"/>
          <w:color w:val="auto"/>
          <w:sz w:val="22"/>
          <w:szCs w:val="22"/>
        </w:rPr>
      </w:pPr>
      <w:r>
        <w:rPr>
          <w:rFonts w:ascii="Times New Roman" w:hAnsi="Times New Roman" w:eastAsia="Times New Roman" w:cs="Times New Roman"/>
          <w:color w:val="auto"/>
          <w:sz w:val="22"/>
          <w:szCs w:val="22"/>
          <w:u w:val="single" w:color="auto"/>
        </w:rPr>
        <w:t>Specific Aim 1:</w:t>
      </w:r>
      <w:r>
        <w:rPr>
          <w:rFonts w:ascii="Times New Roman" w:hAnsi="Times New Roman" w:eastAsia="Times New Roman" w:cs="Times New Roman"/>
          <w:color w:val="auto"/>
          <w:sz w:val="22"/>
          <w:szCs w:val="22"/>
        </w:rPr>
        <w:t xml:space="preserve"> To determine the in </w:t>
      </w:r>
      <w:r>
        <w:rPr>
          <w:rFonts w:ascii="Times New Roman" w:hAnsi="Times New Roman" w:eastAsia="Times New Roman" w:cs="Times New Roman"/>
          <w:i/>
          <w:iCs/>
          <w:color w:val="auto"/>
          <w:sz w:val="22"/>
          <w:szCs w:val="22"/>
        </w:rPr>
        <w:t>vitro</w:t>
      </w:r>
      <w:r>
        <w:rPr>
          <w:rFonts w:ascii="Times New Roman" w:hAnsi="Times New Roman" w:eastAsia="Times New Roman" w:cs="Times New Roman"/>
          <w:color w:val="auto"/>
          <w:sz w:val="22"/>
          <w:szCs w:val="22"/>
        </w:rPr>
        <w:t xml:space="preserve"> bioaccessibility of nanoemulsion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using </w:t>
      </w:r>
      <w:r>
        <w:rPr>
          <w:rFonts w:ascii="Times New Roman" w:hAnsi="Times New Roman" w:eastAsia="Times New Roman" w:cs="Times New Roman"/>
          <w:i/>
          <w:iCs/>
          <w:color w:val="auto"/>
          <w:sz w:val="22"/>
          <w:szCs w:val="22"/>
        </w:rPr>
        <w:t>in vitro</w:t>
      </w:r>
      <w:r>
        <w:rPr>
          <w:rFonts w:ascii="Times New Roman" w:hAnsi="Times New Roman" w:eastAsia="Times New Roman" w:cs="Times New Roman"/>
          <w:color w:val="auto"/>
          <w:sz w:val="22"/>
          <w:szCs w:val="22"/>
        </w:rPr>
        <w:t xml:space="preserve"> simulated gastrointestinal system. We hypothesize that a nanoemulsion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will improve the in </w:t>
      </w:r>
      <w:r>
        <w:rPr>
          <w:rFonts w:ascii="Times New Roman" w:hAnsi="Times New Roman" w:eastAsia="Times New Roman" w:cs="Times New Roman"/>
          <w:i/>
          <w:iCs/>
          <w:color w:val="auto"/>
          <w:sz w:val="22"/>
          <w:szCs w:val="22"/>
        </w:rPr>
        <w:t>vitro</w:t>
      </w:r>
      <w:r>
        <w:rPr>
          <w:rFonts w:ascii="Times New Roman" w:hAnsi="Times New Roman" w:eastAsia="Times New Roman" w:cs="Times New Roman"/>
          <w:color w:val="auto"/>
          <w:sz w:val="22"/>
          <w:szCs w:val="22"/>
        </w:rPr>
        <w:t xml:space="preserve"> bioaccessibility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when compared to the coarse emulsion.</w:t>
      </w:r>
    </w:p>
    <w:p>
      <w:pPr>
        <w:spacing w:after="0" w:line="1" w:lineRule="exact"/>
        <w:rPr>
          <w:rFonts w:ascii="Arial" w:hAnsi="Arial" w:eastAsia="Arial" w:cs="Arial"/>
          <w:color w:val="auto"/>
          <w:sz w:val="22"/>
          <w:szCs w:val="22"/>
        </w:rPr>
      </w:pPr>
    </w:p>
    <w:p>
      <w:pPr>
        <w:numPr>
          <w:ilvl w:val="0"/>
          <w:numId w:val="8"/>
        </w:numPr>
        <w:tabs>
          <w:tab w:val="left" w:pos="1080"/>
        </w:tabs>
        <w:spacing w:after="0" w:line="492" w:lineRule="auto"/>
        <w:ind w:left="1080" w:right="360" w:hanging="360"/>
        <w:jc w:val="both"/>
        <w:rPr>
          <w:rFonts w:ascii="Arial" w:hAnsi="Arial" w:eastAsia="Arial" w:cs="Arial"/>
          <w:color w:val="auto"/>
          <w:sz w:val="22"/>
          <w:szCs w:val="22"/>
        </w:rPr>
      </w:pPr>
      <w:r>
        <w:rPr>
          <w:rFonts w:ascii="Times New Roman" w:hAnsi="Times New Roman" w:eastAsia="Times New Roman" w:cs="Times New Roman"/>
          <w:color w:val="auto"/>
          <w:sz w:val="22"/>
          <w:szCs w:val="22"/>
          <w:u w:val="single" w:color="auto"/>
        </w:rPr>
        <w:t>Specific Aim 2:</w:t>
      </w:r>
      <w:r>
        <w:rPr>
          <w:rFonts w:ascii="Times New Roman" w:hAnsi="Times New Roman" w:eastAsia="Times New Roman" w:cs="Times New Roman"/>
          <w:color w:val="auto"/>
          <w:sz w:val="22"/>
          <w:szCs w:val="22"/>
        </w:rPr>
        <w:t xml:space="preserve"> To determine the in </w:t>
      </w:r>
      <w:r>
        <w:rPr>
          <w:rFonts w:ascii="Times New Roman" w:hAnsi="Times New Roman" w:eastAsia="Times New Roman" w:cs="Times New Roman"/>
          <w:i/>
          <w:iCs/>
          <w:color w:val="auto"/>
          <w:sz w:val="22"/>
          <w:szCs w:val="22"/>
        </w:rPr>
        <w:t>vivo</w:t>
      </w:r>
      <w:r>
        <w:rPr>
          <w:rFonts w:ascii="Times New Roman" w:hAnsi="Times New Roman" w:eastAsia="Times New Roman" w:cs="Times New Roman"/>
          <w:color w:val="auto"/>
          <w:sz w:val="22"/>
          <w:szCs w:val="22"/>
        </w:rPr>
        <w:t xml:space="preserve"> bioavailability of nanoemulsion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by measuring serum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using animal models. We hypothesize that the in </w:t>
      </w:r>
      <w:r>
        <w:rPr>
          <w:rFonts w:ascii="Times New Roman" w:hAnsi="Times New Roman" w:eastAsia="Times New Roman" w:cs="Times New Roman"/>
          <w:i/>
          <w:iCs/>
          <w:color w:val="auto"/>
          <w:sz w:val="22"/>
          <w:szCs w:val="22"/>
        </w:rPr>
        <w:t>vivo</w:t>
      </w:r>
      <w:r>
        <w:rPr>
          <w:rFonts w:ascii="Times New Roman" w:hAnsi="Times New Roman" w:eastAsia="Times New Roman" w:cs="Times New Roman"/>
          <w:color w:val="auto"/>
          <w:sz w:val="22"/>
          <w:szCs w:val="22"/>
        </w:rPr>
        <w:t xml:space="preserve"> bioavailability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in nanoemulsion treated animals will be enhanced when compared to the coarse emulsion.</w:t>
      </w:r>
    </w:p>
    <w:p>
      <w:pPr>
        <w:sectPr>
          <w:pgSz w:w="12240" w:h="15840"/>
          <w:pgMar w:top="1415"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27</w:t>
      </w:r>
    </w:p>
    <w:p>
      <w:pPr>
        <w:sectPr>
          <w:type w:val="continuous"/>
          <w:pgSz w:w="12240" w:h="15840"/>
          <w:pgMar w:top="1415" w:right="1440" w:bottom="181" w:left="1440" w:header="0" w:footer="0" w:gutter="0"/>
          <w:cols w:equalWidth="0" w:num="1">
            <w:col w:w="9360"/>
          </w:cols>
        </w:sectPr>
      </w:pPr>
    </w:p>
    <w:p>
      <w:pPr>
        <w:spacing w:after="0" w:line="200" w:lineRule="exact"/>
        <w:rPr>
          <w:color w:val="auto"/>
          <w:sz w:val="20"/>
          <w:szCs w:val="20"/>
        </w:rPr>
      </w:pPr>
      <w:bookmarkStart w:id="34" w:name="page41"/>
      <w:bookmarkEnd w:id="3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CHAPTER 4</w:t>
      </w:r>
    </w:p>
    <w:p>
      <w:pPr>
        <w:spacing w:after="0" w:line="200" w:lineRule="exact"/>
        <w:rPr>
          <w:color w:val="auto"/>
          <w:sz w:val="20"/>
          <w:szCs w:val="20"/>
        </w:rPr>
      </w:pPr>
    </w:p>
    <w:p>
      <w:pPr>
        <w:spacing w:after="0" w:line="23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METHODS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2"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2"/>
          <w:szCs w:val="22"/>
        </w:rPr>
        <w:t>4.1. Nanoemulsion fabrication and characterization</w:t>
      </w:r>
    </w:p>
    <w:p>
      <w:pPr>
        <w:spacing w:after="0" w:line="200" w:lineRule="exact"/>
        <w:rPr>
          <w:color w:val="auto"/>
          <w:sz w:val="20"/>
          <w:szCs w:val="20"/>
        </w:rPr>
      </w:pPr>
    </w:p>
    <w:p>
      <w:pPr>
        <w:spacing w:after="0" w:line="21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4.1.1. Nanoemulsion preparation</w:t>
      </w:r>
    </w:p>
    <w:p>
      <w:pPr>
        <w:spacing w:after="0" w:line="200" w:lineRule="exact"/>
        <w:rPr>
          <w:color w:val="auto"/>
          <w:sz w:val="20"/>
          <w:szCs w:val="20"/>
        </w:rPr>
      </w:pPr>
    </w:p>
    <w:p>
      <w:pPr>
        <w:spacing w:after="0" w:line="217" w:lineRule="exact"/>
        <w:rPr>
          <w:color w:val="auto"/>
          <w:sz w:val="20"/>
          <w:szCs w:val="20"/>
        </w:rPr>
      </w:pPr>
    </w:p>
    <w:p>
      <w:pPr>
        <w:spacing w:after="0" w:line="484" w:lineRule="auto"/>
        <w:ind w:left="360" w:right="360" w:firstLine="720"/>
        <w:jc w:val="both"/>
        <w:rPr>
          <w:color w:val="auto"/>
          <w:sz w:val="20"/>
          <w:szCs w:val="20"/>
        </w:rPr>
      </w:pPr>
      <w:r>
        <w:rPr>
          <w:rFonts w:ascii="Times New Roman" w:hAnsi="Times New Roman" w:eastAsia="Times New Roman" w:cs="Times New Roman"/>
          <w:color w:val="auto"/>
          <w:sz w:val="22"/>
          <w:szCs w:val="22"/>
        </w:rPr>
        <w:t>To prepare oil-in-water nanoemulsion of vitamin D, Quillaja saponin (Q-Naturale 200V) was kindly donated by Ingredion Inc. (Westchester, IL).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was purchased from Sigma– Aldrich (St. Louis, MO, USA). Corn oil (Mazola, ACH Food Companies, Inc., Memphis, TN) was purchased from a local store. Lipase, bile salts, mucin, pepsin, sodium phosphate mono and dibasic were purchased from Sigma-Aldrich (St. Louis MO, USA). All chemicals used were of analytical grade. Double distilled water was used to prepare all solutions and emulsions. High-speed mixer ((M133/1281-0, Biospec Products, Inc. Bartlesville, OK, USA)) and high-pressure homogenizer (Microfluidics M110L, Newton, MA, USA) were used to make emulsions.</w:t>
      </w:r>
    </w:p>
    <w:p>
      <w:pPr>
        <w:spacing w:after="0" w:line="125" w:lineRule="exact"/>
        <w:rPr>
          <w:color w:val="auto"/>
          <w:sz w:val="20"/>
          <w:szCs w:val="20"/>
        </w:rPr>
      </w:pPr>
    </w:p>
    <w:p>
      <w:pPr>
        <w:spacing w:after="0" w:line="512" w:lineRule="auto"/>
        <w:ind w:left="360" w:right="360" w:firstLine="720"/>
        <w:jc w:val="both"/>
        <w:rPr>
          <w:color w:val="auto"/>
          <w:sz w:val="20"/>
          <w:szCs w:val="20"/>
        </w:rPr>
      </w:pPr>
      <w:r>
        <w:rPr>
          <w:rFonts w:ascii="Times New Roman" w:hAnsi="Times New Roman" w:eastAsia="Times New Roman" w:cs="Times New Roman"/>
          <w:color w:val="auto"/>
          <w:sz w:val="21"/>
          <w:szCs w:val="21"/>
        </w:rPr>
        <w:t>We prepared oil-in-water nanoemulsion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using the procedure published in (Ozturk et al., 2015). Oil-in-water nanoemulsions were formed with a 10% (w/w) corn oil phase in which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was dissolved at a 0.1% (w/w), resulting in a final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concentration of approximately 100 mg/L (or 0.1mg/ml) of the emulsion. The aqueous phase consisted of 2% (w/w) surfactant (Q-Naturale) dispersed in a buffer solution (10 mM sodium phosphate buffer, pH 7.0). The Q-Naturale 200V was reported by the manufacturer that it contained 14 wt% active saponins</w:t>
      </w:r>
    </w:p>
    <w:p>
      <w:pPr>
        <w:spacing w:after="0" w:line="200" w:lineRule="exact"/>
        <w:rPr>
          <w:color w:val="auto"/>
          <w:sz w:val="20"/>
          <w:szCs w:val="20"/>
        </w:rPr>
      </w:pPr>
    </w:p>
    <w:p>
      <w:pPr>
        <w:spacing w:after="0" w:line="36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28</w:t>
      </w:r>
    </w:p>
    <w:p>
      <w:pPr>
        <w:sectPr>
          <w:pgSz w:w="12240" w:h="15840"/>
          <w:pgMar w:top="1440" w:right="1440" w:bottom="181" w:left="1440" w:header="0" w:footer="0" w:gutter="0"/>
          <w:cols w:equalWidth="0" w:num="1">
            <w:col w:w="9360"/>
          </w:cols>
        </w:sectPr>
      </w:pPr>
    </w:p>
    <w:p>
      <w:pPr>
        <w:spacing w:after="0" w:line="484" w:lineRule="auto"/>
        <w:ind w:left="360" w:right="360"/>
        <w:jc w:val="both"/>
        <w:rPr>
          <w:color w:val="auto"/>
          <w:sz w:val="20"/>
          <w:szCs w:val="20"/>
        </w:rPr>
      </w:pPr>
      <w:bookmarkStart w:id="35" w:name="page42"/>
      <w:bookmarkEnd w:id="35"/>
      <w:r>
        <w:rPr>
          <w:rFonts w:ascii="Times New Roman" w:hAnsi="Times New Roman" w:eastAsia="Times New Roman" w:cs="Times New Roman"/>
          <w:color w:val="auto"/>
          <w:sz w:val="22"/>
          <w:szCs w:val="22"/>
        </w:rPr>
        <w:t>(the remaining amount is water), and so the concentration of this surfactant is reported as an active ingredient. A macroemulsion was prepared by mixing the oil phase and the aqueous phase using a high-speed mixer for 2 min at 10,000 rpm. The macroemulsion was then passed through the high-pressure microfluidizer for three passes at 12,000 psi to make nanoemulsion (diameter &lt;200nm). The vehicle was prepared by following the same procedure to make nanoemulsion but without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which is the control. Finally, the coarse emulsion (diameter &gt;200nm) was prepared by mixing the oil phase and aqueous phase without any external particle reduction. Then, the efficacy of these three emulsions was compared.</w:t>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29</w:t>
      </w:r>
    </w:p>
    <w:p>
      <w:pPr>
        <w:sectPr>
          <w:type w:val="continuous"/>
          <w:pgSz w:w="12240" w:h="15840"/>
          <w:pgMar w:top="1419" w:right="1440" w:bottom="181" w:left="1440" w:header="0" w:footer="0" w:gutter="0"/>
          <w:cols w:equalWidth="0" w:num="1">
            <w:col w:w="9360"/>
          </w:cols>
        </w:sectPr>
      </w:pPr>
    </w:p>
    <w:p>
      <w:pPr>
        <w:spacing w:after="0" w:line="200" w:lineRule="exact"/>
        <w:rPr>
          <w:color w:val="auto"/>
          <w:sz w:val="20"/>
          <w:szCs w:val="20"/>
        </w:rPr>
      </w:pPr>
      <w:bookmarkStart w:id="36" w:name="page43"/>
      <w:bookmarkEnd w:id="36"/>
      <w:r>
        <w:rPr>
          <w:color w:val="auto"/>
          <w:sz w:val="20"/>
          <w:szCs w:val="20"/>
        </w:rPr>
        <w:drawing>
          <wp:anchor distT="0" distB="0" distL="114300" distR="114300" simplePos="0" relativeHeight="251659264" behindDoc="1" locked="0" layoutInCell="0" allowOverlap="1">
            <wp:simplePos x="0" y="0"/>
            <wp:positionH relativeFrom="page">
              <wp:posOffset>1600200</wp:posOffset>
            </wp:positionH>
            <wp:positionV relativeFrom="page">
              <wp:posOffset>914400</wp:posOffset>
            </wp:positionV>
            <wp:extent cx="4791710" cy="544004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a:xfrm>
                      <a:off x="0" y="0"/>
                      <a:ext cx="4791710" cy="544004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4" w:lineRule="exact"/>
        <w:rPr>
          <w:color w:val="auto"/>
          <w:sz w:val="20"/>
          <w:szCs w:val="20"/>
        </w:rPr>
      </w:pPr>
    </w:p>
    <w:p>
      <w:pPr>
        <w:spacing w:after="0"/>
        <w:ind w:left="2520"/>
        <w:rPr>
          <w:color w:val="auto"/>
          <w:sz w:val="20"/>
          <w:szCs w:val="20"/>
        </w:rPr>
      </w:pPr>
      <w:r>
        <w:rPr>
          <w:rFonts w:ascii="Times New Roman" w:hAnsi="Times New Roman" w:eastAsia="Times New Roman" w:cs="Times New Roman"/>
          <w:b/>
          <w:bCs/>
          <w:color w:val="auto"/>
          <w:sz w:val="22"/>
          <w:szCs w:val="22"/>
        </w:rPr>
        <w:t>Figure 4.1.</w:t>
      </w:r>
      <w:r>
        <w:rPr>
          <w:rFonts w:ascii="Times New Roman" w:hAnsi="Times New Roman" w:eastAsia="Times New Roman" w:cs="Times New Roman"/>
          <w:color w:val="auto"/>
          <w:sz w:val="22"/>
          <w:szCs w:val="22"/>
        </w:rPr>
        <w:t xml:space="preserve"> Process of making oil-in-water nanoemulsion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4.1.2. Particle characterization</w:t>
      </w:r>
    </w:p>
    <w:p>
      <w:pPr>
        <w:spacing w:after="0" w:line="181" w:lineRule="exact"/>
        <w:rPr>
          <w:color w:val="auto"/>
          <w:sz w:val="20"/>
          <w:szCs w:val="20"/>
        </w:rPr>
      </w:pPr>
    </w:p>
    <w:p>
      <w:pPr>
        <w:spacing w:after="0" w:line="518" w:lineRule="auto"/>
        <w:ind w:left="360" w:right="360" w:firstLine="720"/>
        <w:jc w:val="both"/>
        <w:rPr>
          <w:color w:val="auto"/>
          <w:sz w:val="20"/>
          <w:szCs w:val="20"/>
        </w:rPr>
      </w:pPr>
      <w:r>
        <w:rPr>
          <w:rFonts w:ascii="Times New Roman" w:hAnsi="Times New Roman" w:eastAsia="Times New Roman" w:cs="Times New Roman"/>
          <w:color w:val="auto"/>
          <w:sz w:val="21"/>
          <w:szCs w:val="21"/>
        </w:rPr>
        <w:t>The mean droplet diameters of the samples were measured using a laser diffraction particle size analyzer (LS 13 320, Beckman Coulter, Brea, CA, USA). The droplets charge (ζ-potentials) were measured using a dynamic light scattering instrument (Zetasizer Nano ZS, Malvern Instruments, Malvern, England). Samples were diluted in 10 mM phosphate buffer solution at the</w:t>
      </w: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30</w:t>
      </w:r>
    </w:p>
    <w:p>
      <w:pPr>
        <w:sectPr>
          <w:pgSz w:w="12240" w:h="15840"/>
          <w:pgMar w:top="1440" w:right="1440" w:bottom="181" w:left="1440" w:header="0" w:footer="0" w:gutter="0"/>
          <w:cols w:equalWidth="0" w:num="1">
            <w:col w:w="9360"/>
          </w:cols>
        </w:sectPr>
      </w:pPr>
    </w:p>
    <w:p>
      <w:pPr>
        <w:spacing w:after="0" w:line="511" w:lineRule="auto"/>
        <w:ind w:left="360" w:right="360"/>
        <w:jc w:val="both"/>
        <w:rPr>
          <w:color w:val="auto"/>
          <w:sz w:val="20"/>
          <w:szCs w:val="20"/>
        </w:rPr>
      </w:pPr>
      <w:bookmarkStart w:id="37" w:name="page44"/>
      <w:bookmarkEnd w:id="37"/>
      <w:r>
        <w:rPr>
          <w:rFonts w:ascii="Times New Roman" w:hAnsi="Times New Roman" w:eastAsia="Times New Roman" w:cs="Times New Roman"/>
          <w:color w:val="auto"/>
          <w:sz w:val="22"/>
          <w:szCs w:val="22"/>
        </w:rPr>
        <w:t>proper pH to avoid multiple scattering. The particle size of each sample was represented as the surface-weighted mean diameter (d</w:t>
      </w:r>
      <w:r>
        <w:rPr>
          <w:rFonts w:ascii="Times New Roman" w:hAnsi="Times New Roman" w:eastAsia="Times New Roman" w:cs="Times New Roman"/>
          <w:color w:val="auto"/>
          <w:sz w:val="13"/>
          <w:szCs w:val="13"/>
        </w:rPr>
        <w:t>32</w:t>
      </w:r>
      <w:r>
        <w:rPr>
          <w:rFonts w:ascii="Times New Roman" w:hAnsi="Times New Roman" w:eastAsia="Times New Roman" w:cs="Times New Roman"/>
          <w:color w:val="auto"/>
          <w:sz w:val="22"/>
          <w:szCs w:val="22"/>
        </w:rPr>
        <w:t>).</w:t>
      </w: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2"/>
          <w:szCs w:val="22"/>
        </w:rPr>
        <w:t>4.2. In vitro Bioaccessibility</w:t>
      </w:r>
    </w:p>
    <w:p>
      <w:pPr>
        <w:spacing w:after="0" w:line="200" w:lineRule="exact"/>
        <w:rPr>
          <w:color w:val="auto"/>
          <w:sz w:val="20"/>
          <w:szCs w:val="20"/>
        </w:rPr>
      </w:pPr>
    </w:p>
    <w:p>
      <w:pPr>
        <w:spacing w:after="0" w:line="21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4.2.1. Simulated gastrointestinal model</w:t>
      </w:r>
    </w:p>
    <w:p>
      <w:pPr>
        <w:spacing w:after="0" w:line="200" w:lineRule="exact"/>
        <w:rPr>
          <w:color w:val="auto"/>
          <w:sz w:val="20"/>
          <w:szCs w:val="20"/>
        </w:rPr>
      </w:pPr>
    </w:p>
    <w:p>
      <w:pPr>
        <w:spacing w:after="0" w:line="213" w:lineRule="exact"/>
        <w:rPr>
          <w:color w:val="auto"/>
          <w:sz w:val="20"/>
          <w:szCs w:val="20"/>
        </w:rPr>
      </w:pPr>
    </w:p>
    <w:p>
      <w:pPr>
        <w:spacing w:after="0" w:line="488" w:lineRule="auto"/>
        <w:ind w:left="360" w:right="360" w:firstLine="720"/>
        <w:jc w:val="both"/>
        <w:rPr>
          <w:color w:val="auto"/>
          <w:sz w:val="20"/>
          <w:szCs w:val="20"/>
        </w:rPr>
      </w:pPr>
      <w:r>
        <w:rPr>
          <w:rFonts w:ascii="Times New Roman" w:hAnsi="Times New Roman" w:eastAsia="Times New Roman" w:cs="Times New Roman"/>
          <w:color w:val="auto"/>
          <w:sz w:val="22"/>
          <w:szCs w:val="22"/>
        </w:rPr>
        <w:t xml:space="preserve">A simulated in </w:t>
      </w:r>
      <w:r>
        <w:rPr>
          <w:rFonts w:ascii="Times New Roman" w:hAnsi="Times New Roman" w:eastAsia="Times New Roman" w:cs="Times New Roman"/>
          <w:i/>
          <w:iCs/>
          <w:color w:val="auto"/>
          <w:sz w:val="22"/>
          <w:szCs w:val="22"/>
        </w:rPr>
        <w:t>vitro</w:t>
      </w:r>
      <w:r>
        <w:rPr>
          <w:rFonts w:ascii="Times New Roman" w:hAnsi="Times New Roman" w:eastAsia="Times New Roman" w:cs="Times New Roman"/>
          <w:color w:val="auto"/>
          <w:sz w:val="22"/>
          <w:szCs w:val="22"/>
        </w:rPr>
        <w:t xml:space="preserve"> gastrointestinal model was used to study the influence of the nanoemulsions on the bioaccessibility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The samples were diluted 5 times in sodium phosphate buffer, leading to 2% oil and 0.002%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The diluted samples were subjected to digestion through in </w:t>
      </w:r>
      <w:r>
        <w:rPr>
          <w:rFonts w:ascii="Times New Roman" w:hAnsi="Times New Roman" w:eastAsia="Times New Roman" w:cs="Times New Roman"/>
          <w:i/>
          <w:iCs/>
          <w:color w:val="auto"/>
          <w:sz w:val="22"/>
          <w:szCs w:val="22"/>
        </w:rPr>
        <w:t>vitro</w:t>
      </w:r>
      <w:r>
        <w:rPr>
          <w:rFonts w:ascii="Times New Roman" w:hAnsi="Times New Roman" w:eastAsia="Times New Roman" w:cs="Times New Roman"/>
          <w:color w:val="auto"/>
          <w:sz w:val="22"/>
          <w:szCs w:val="22"/>
        </w:rPr>
        <w:t xml:space="preserve"> gastrointestinal model based on the procedure published in Ozturk et al., 2015.</w:t>
      </w: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4.2.1.1. Mouth phase</w:t>
      </w:r>
    </w:p>
    <w:p>
      <w:pPr>
        <w:spacing w:after="0" w:line="200" w:lineRule="exact"/>
        <w:rPr>
          <w:color w:val="auto"/>
          <w:sz w:val="20"/>
          <w:szCs w:val="20"/>
        </w:rPr>
      </w:pPr>
    </w:p>
    <w:p>
      <w:pPr>
        <w:spacing w:after="0" w:line="214" w:lineRule="exact"/>
        <w:rPr>
          <w:color w:val="auto"/>
          <w:sz w:val="20"/>
          <w:szCs w:val="20"/>
        </w:rPr>
      </w:pPr>
    </w:p>
    <w:p>
      <w:pPr>
        <w:spacing w:after="0" w:line="486" w:lineRule="auto"/>
        <w:ind w:left="360" w:right="360" w:firstLine="720"/>
        <w:jc w:val="both"/>
        <w:rPr>
          <w:color w:val="auto"/>
          <w:sz w:val="20"/>
          <w:szCs w:val="20"/>
        </w:rPr>
      </w:pPr>
      <w:r>
        <w:rPr>
          <w:rFonts w:ascii="Times New Roman" w:hAnsi="Times New Roman" w:eastAsia="Times New Roman" w:cs="Times New Roman"/>
          <w:color w:val="auto"/>
          <w:sz w:val="22"/>
          <w:szCs w:val="22"/>
        </w:rPr>
        <w:t>Artificial saliva work solution (ASWS) was prepared based on previous studies (Sarkar, Goh &amp; Singh, 2009) &amp; (McClements &amp; Li, 2010). A 20 ml aliquot of the diluted sample was placed in a 125 ml flask and 20 ml of ASWS containing 0.6 g mucin was added to the flask. The pH of this mixture was adjusted to 6.8 and then shaken continuously at a rate of 100 rpm in a temperature-controlled incubator (Innova Incubator Shaker, Model 4080, New Brunswick Scientific, New Jersey, USA) at 37 °C for 10 min.</w:t>
      </w:r>
    </w:p>
    <w:p>
      <w:pPr>
        <w:spacing w:after="0" w:line="120"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4.2.1.2. Gastric phase</w:t>
      </w:r>
    </w:p>
    <w:p>
      <w:pPr>
        <w:spacing w:after="0" w:line="200" w:lineRule="exact"/>
        <w:rPr>
          <w:color w:val="auto"/>
          <w:sz w:val="20"/>
          <w:szCs w:val="20"/>
        </w:rPr>
      </w:pPr>
    </w:p>
    <w:p>
      <w:pPr>
        <w:spacing w:after="0" w:line="214" w:lineRule="exact"/>
        <w:rPr>
          <w:color w:val="auto"/>
          <w:sz w:val="20"/>
          <w:szCs w:val="20"/>
        </w:rPr>
      </w:pPr>
    </w:p>
    <w:p>
      <w:pPr>
        <w:spacing w:after="0" w:line="518" w:lineRule="auto"/>
        <w:ind w:left="360" w:right="360" w:firstLine="720"/>
        <w:jc w:val="both"/>
        <w:rPr>
          <w:color w:val="auto"/>
          <w:sz w:val="20"/>
          <w:szCs w:val="20"/>
        </w:rPr>
      </w:pPr>
      <w:r>
        <w:rPr>
          <w:rFonts w:ascii="Times New Roman" w:hAnsi="Times New Roman" w:eastAsia="Times New Roman" w:cs="Times New Roman"/>
          <w:color w:val="auto"/>
          <w:sz w:val="21"/>
          <w:szCs w:val="21"/>
        </w:rPr>
        <w:t>The simulated gastric fluid stock solution (SGFSS) was prepared by dissolving 2 g of NaCl and 7 mL of hydrochloric acid (HCl) in 1 L of double distilled water. The simulated gastric fluid work solution (SGFWS) was prepared by mixing 20 mL of SGFSS and 0.064 g of pepsin per sample 45 min before running the gastric phase. 20 mL of the mouth sample was mixed with SGFWS at a</w:t>
      </w:r>
    </w:p>
    <w:p>
      <w:pPr>
        <w:sectPr>
          <w:pgSz w:w="12240" w:h="15840"/>
          <w:pgMar w:top="1419" w:right="1440" w:bottom="181" w:left="1440" w:header="0" w:footer="0" w:gutter="0"/>
          <w:cols w:equalWidth="0" w:num="1">
            <w:col w:w="9360"/>
          </w:cols>
        </w:sectPr>
      </w:pPr>
    </w:p>
    <w:p>
      <w:pPr>
        <w:spacing w:after="0" w:line="28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31</w:t>
      </w:r>
    </w:p>
    <w:p>
      <w:pPr>
        <w:sectPr>
          <w:type w:val="continuous"/>
          <w:pgSz w:w="12240" w:h="15840"/>
          <w:pgMar w:top="1419" w:right="1440" w:bottom="181" w:left="1440" w:header="0" w:footer="0" w:gutter="0"/>
          <w:cols w:equalWidth="0" w:num="1">
            <w:col w:w="9360"/>
          </w:cols>
        </w:sectPr>
      </w:pPr>
    </w:p>
    <w:p>
      <w:pPr>
        <w:spacing w:after="0" w:line="511" w:lineRule="auto"/>
        <w:ind w:left="360" w:right="360"/>
        <w:jc w:val="both"/>
        <w:rPr>
          <w:color w:val="auto"/>
          <w:sz w:val="20"/>
          <w:szCs w:val="20"/>
        </w:rPr>
      </w:pPr>
      <w:bookmarkStart w:id="38" w:name="page45"/>
      <w:bookmarkEnd w:id="38"/>
      <w:r>
        <w:rPr>
          <w:rFonts w:ascii="Times New Roman" w:hAnsi="Times New Roman" w:eastAsia="Times New Roman" w:cs="Times New Roman"/>
          <w:color w:val="auto"/>
          <w:sz w:val="22"/>
          <w:szCs w:val="22"/>
        </w:rPr>
        <w:t>1:1 volume ratio so that the final mixture contained 0.5% (w/w) oil. The pH of the sample was adjusted to 2.5. Then the mixture was kept in the shaker at 37°C and 100 rpm for 2 hours.</w:t>
      </w: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4.2.1.3. Small intestine phase</w:t>
      </w:r>
    </w:p>
    <w:p>
      <w:pPr>
        <w:spacing w:after="0" w:line="200" w:lineRule="exact"/>
        <w:rPr>
          <w:color w:val="auto"/>
          <w:sz w:val="20"/>
          <w:szCs w:val="20"/>
        </w:rPr>
      </w:pPr>
    </w:p>
    <w:p>
      <w:pPr>
        <w:spacing w:after="0" w:line="214" w:lineRule="exact"/>
        <w:rPr>
          <w:color w:val="auto"/>
          <w:sz w:val="20"/>
          <w:szCs w:val="20"/>
        </w:rPr>
      </w:pPr>
    </w:p>
    <w:p>
      <w:pPr>
        <w:spacing w:after="0" w:line="483" w:lineRule="auto"/>
        <w:ind w:left="360" w:right="360" w:firstLine="720"/>
        <w:jc w:val="both"/>
        <w:rPr>
          <w:color w:val="auto"/>
          <w:sz w:val="20"/>
          <w:szCs w:val="20"/>
        </w:rPr>
      </w:pPr>
      <w:r>
        <w:rPr>
          <w:rFonts w:ascii="Times New Roman" w:hAnsi="Times New Roman" w:eastAsia="Times New Roman" w:cs="Times New Roman"/>
          <w:color w:val="auto"/>
          <w:sz w:val="22"/>
          <w:szCs w:val="22"/>
        </w:rPr>
        <w:t>A pH-STAT instrument (835 Titrando, Metrohm USA Inc., Riverview, FL) was used to simulate the conditions of the small intestinal phase. 30 mL of the digesta from the gastric phase was placed in a 100 mL beaker in a water bath at 37°C and the pH was set to 7.0 using NaOH solution. 1.5 mL of salt solutions (calcium chloride - 36.7 mg/mL and sodium chloride 219.1 mg/mL) was added. Then, 3.5 mL of bile extract (53.6 mg/mL) dissolved in 10 mM sodium phosphate buffer solution was added to the sample and the pH was re-adjusted to 7.0. Afterwards, 2.5 mL of freshly prepared lipase suspension (24 mg/mL) dissolved in 10 mM sodium phosphate buffer was incorporated into the mixture and the automatic titration unit was started. The pH of the mixture was monitored and the volume of 0.1 N NaOH necessary to neutralize the FFA has released from the lipid digestion and recorded for 2 hours. The amount of FFA released was calculated using the following equation:</w:t>
      </w:r>
    </w:p>
    <w:p>
      <w:pPr>
        <w:spacing w:after="0" w:line="187" w:lineRule="auto"/>
        <w:jc w:val="center"/>
        <w:rPr>
          <w:color w:val="auto"/>
          <w:sz w:val="20"/>
          <w:szCs w:val="20"/>
        </w:rPr>
      </w:pPr>
      <w:r>
        <w:rPr>
          <w:rFonts w:ascii="Cambria Math" w:hAnsi="Cambria Math" w:eastAsia="Cambria Math" w:cs="Cambria Math"/>
          <w:color w:val="auto"/>
          <w:sz w:val="11"/>
          <w:szCs w:val="11"/>
          <w:vertAlign w:val="subscript"/>
        </w:rPr>
        <w:t xml:space="preserve">%FFA = 100 × </w:t>
      </w:r>
      <w:r>
        <w:rPr>
          <w:rFonts w:ascii="Cambria Math" w:hAnsi="Cambria Math" w:eastAsia="Cambria Math" w:cs="Cambria Math"/>
          <w:color w:val="auto"/>
          <w:sz w:val="11"/>
          <w:szCs w:val="11"/>
          <w:vertAlign w:val="superscript"/>
        </w:rPr>
        <w:t>V</w:t>
      </w:r>
      <w:r>
        <w:rPr>
          <w:rFonts w:ascii="Cambria Math" w:hAnsi="Cambria Math" w:eastAsia="Cambria Math" w:cs="Cambria Math"/>
          <w:color w:val="auto"/>
          <w:sz w:val="10"/>
          <w:szCs w:val="10"/>
        </w:rPr>
        <w:t>NaOH</w:t>
      </w:r>
      <w:r>
        <w:rPr>
          <w:rFonts w:ascii="Cambria Math" w:hAnsi="Cambria Math" w:eastAsia="Cambria Math" w:cs="Cambria Math"/>
          <w:color w:val="auto"/>
          <w:sz w:val="11"/>
          <w:szCs w:val="11"/>
        </w:rPr>
        <w:t xml:space="preserve"> </w:t>
      </w:r>
      <w:r>
        <w:rPr>
          <w:rFonts w:ascii="Cambria Math" w:hAnsi="Cambria Math" w:eastAsia="Cambria Math" w:cs="Cambria Math"/>
          <w:color w:val="auto"/>
          <w:sz w:val="11"/>
          <w:szCs w:val="11"/>
          <w:vertAlign w:val="superscript"/>
        </w:rPr>
        <w:t>× m</w:t>
      </w:r>
      <w:r>
        <w:rPr>
          <w:rFonts w:ascii="Cambria Math" w:hAnsi="Cambria Math" w:eastAsia="Cambria Math" w:cs="Cambria Math"/>
          <w:color w:val="auto"/>
          <w:sz w:val="10"/>
          <w:szCs w:val="10"/>
        </w:rPr>
        <w:t>NaOH</w:t>
      </w:r>
      <w:r>
        <w:rPr>
          <w:rFonts w:ascii="Cambria Math" w:hAnsi="Cambria Math" w:eastAsia="Cambria Math" w:cs="Cambria Math"/>
          <w:color w:val="auto"/>
          <w:sz w:val="11"/>
          <w:szCs w:val="11"/>
        </w:rPr>
        <w:t xml:space="preserve"> </w:t>
      </w:r>
      <w:r>
        <w:rPr>
          <w:rFonts w:ascii="Cambria Math" w:hAnsi="Cambria Math" w:eastAsia="Cambria Math" w:cs="Cambria Math"/>
          <w:color w:val="auto"/>
          <w:sz w:val="11"/>
          <w:szCs w:val="11"/>
          <w:vertAlign w:val="superscript"/>
        </w:rPr>
        <w:t>× m</w:t>
      </w:r>
      <w:r>
        <w:rPr>
          <w:rFonts w:ascii="Cambria Math" w:hAnsi="Cambria Math" w:eastAsia="Cambria Math" w:cs="Cambria Math"/>
          <w:color w:val="auto"/>
          <w:sz w:val="10"/>
          <w:szCs w:val="10"/>
        </w:rPr>
        <w:t>lipid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2720340</wp:posOffset>
                </wp:positionH>
                <wp:positionV relativeFrom="paragraph">
                  <wp:posOffset>-24130</wp:posOffset>
                </wp:positionV>
                <wp:extent cx="1438275" cy="0"/>
                <wp:effectExtent l="0" t="0" r="0" b="0"/>
                <wp:wrapNone/>
                <wp:docPr id="12" name="Shape 12"/>
                <wp:cNvGraphicFramePr/>
                <a:graphic xmlns:a="http://schemas.openxmlformats.org/drawingml/2006/main">
                  <a:graphicData uri="http://schemas.microsoft.com/office/word/2010/wordprocessingShape">
                    <wps:wsp>
                      <wps:cNvCnPr/>
                      <wps:spPr>
                        <a:xfrm>
                          <a:off x="0" y="0"/>
                          <a:ext cx="1438275" cy="4763"/>
                        </a:xfrm>
                        <a:prstGeom prst="line">
                          <a:avLst/>
                        </a:prstGeom>
                        <a:solidFill>
                          <a:srgbClr val="FFFFFF"/>
                        </a:solidFill>
                        <a:ln w="9144">
                          <a:solidFill>
                            <a:srgbClr val="000000"/>
                          </a:solidFill>
                          <a:miter lim="800000"/>
                        </a:ln>
                      </wps:spPr>
                      <wps:bodyPr/>
                    </wps:wsp>
                  </a:graphicData>
                </a:graphic>
              </wp:anchor>
            </w:drawing>
          </mc:Choice>
          <mc:Fallback>
            <w:pict>
              <v:line id="Shape 12" o:spid="_x0000_s1026" o:spt="20" style="position:absolute;left:0pt;margin-left:214.2pt;margin-top:-1.9pt;height:0pt;width:113.25pt;z-index:-251657216;mso-width-relative:page;mso-height-relative:page;" fillcolor="#FFFFFF" filled="t" stroked="t" coordsize="21600,21600" o:allowincell="f" o:gfxdata="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yzi&#10;WdYAAAAJAQAADwAAAAAAAAABACAAAAAiAAAAZHJzL2Rvd25yZXYueG1sUEsBAhQAFAAAAAgAh07i&#10;QAUqT2iyAQAAmwMAAA4AAAAAAAAAAQAgAAAAJQEAAGRycy9lMm9Eb2MueG1sUEsFBgAAAAAGAAYA&#10;WQEAAEkFAAAAAA==&#10;">
                <v:fill on="t" focussize="0,0"/>
                <v:stroke weight="0.72pt" color="#000000" miterlimit="8" joinstyle="miter"/>
                <v:imagedata o:title=""/>
                <o:lock v:ext="edit" aspectratio="f"/>
              </v:line>
            </w:pict>
          </mc:Fallback>
        </mc:AlternateContent>
      </w:r>
    </w:p>
    <w:p>
      <w:pPr>
        <w:spacing w:after="0" w:line="187" w:lineRule="auto"/>
        <w:ind w:left="4960"/>
        <w:rPr>
          <w:color w:val="auto"/>
          <w:sz w:val="20"/>
          <w:szCs w:val="20"/>
        </w:rPr>
      </w:pPr>
      <w:r>
        <w:rPr>
          <w:rFonts w:ascii="Cambria Math" w:hAnsi="Cambria Math" w:eastAsia="Cambria Math" w:cs="Cambria Math"/>
          <w:color w:val="auto"/>
          <w:sz w:val="11"/>
          <w:szCs w:val="11"/>
          <w:vertAlign w:val="superscript"/>
        </w:rPr>
        <w:t>w</w:t>
      </w:r>
      <w:r>
        <w:rPr>
          <w:rFonts w:ascii="Cambria Math" w:hAnsi="Cambria Math" w:eastAsia="Cambria Math" w:cs="Cambria Math"/>
          <w:color w:val="auto"/>
          <w:sz w:val="10"/>
          <w:szCs w:val="10"/>
        </w:rPr>
        <w:t>lipid</w:t>
      </w:r>
      <w:r>
        <w:rPr>
          <w:rFonts w:ascii="Cambria Math" w:hAnsi="Cambria Math" w:eastAsia="Cambria Math" w:cs="Cambria Math"/>
          <w:color w:val="auto"/>
          <w:sz w:val="11"/>
          <w:szCs w:val="11"/>
        </w:rPr>
        <w:t xml:space="preserve"> </w:t>
      </w:r>
      <w:r>
        <w:rPr>
          <w:rFonts w:ascii="Cambria Math" w:hAnsi="Cambria Math" w:eastAsia="Cambria Math" w:cs="Cambria Math"/>
          <w:color w:val="auto"/>
          <w:sz w:val="11"/>
          <w:szCs w:val="11"/>
          <w:vertAlign w:val="superscript"/>
        </w:rPr>
        <w:t>× 2</w:t>
      </w:r>
    </w:p>
    <w:p>
      <w:pPr>
        <w:spacing w:after="0" w:line="168" w:lineRule="exact"/>
        <w:rPr>
          <w:color w:val="auto"/>
          <w:sz w:val="20"/>
          <w:szCs w:val="20"/>
        </w:rPr>
      </w:pPr>
    </w:p>
    <w:p>
      <w:pPr>
        <w:spacing w:after="0" w:line="496" w:lineRule="auto"/>
        <w:ind w:left="360" w:right="360"/>
        <w:jc w:val="both"/>
        <w:rPr>
          <w:color w:val="auto"/>
          <w:sz w:val="20"/>
          <w:szCs w:val="20"/>
        </w:rPr>
      </w:pPr>
      <w:r>
        <w:rPr>
          <w:rFonts w:ascii="Times New Roman" w:hAnsi="Times New Roman" w:eastAsia="Times New Roman" w:cs="Times New Roman"/>
          <w:color w:val="auto"/>
          <w:sz w:val="22"/>
          <w:szCs w:val="22"/>
        </w:rPr>
        <w:t>where V</w:t>
      </w:r>
      <w:r>
        <w:rPr>
          <w:rFonts w:ascii="Times New Roman" w:hAnsi="Times New Roman" w:eastAsia="Times New Roman" w:cs="Times New Roman"/>
          <w:color w:val="auto"/>
          <w:sz w:val="13"/>
          <w:szCs w:val="13"/>
        </w:rPr>
        <w:t>NaOH</w:t>
      </w:r>
      <w:r>
        <w:rPr>
          <w:rFonts w:ascii="Times New Roman" w:hAnsi="Times New Roman" w:eastAsia="Times New Roman" w:cs="Times New Roman"/>
          <w:color w:val="auto"/>
          <w:sz w:val="22"/>
          <w:szCs w:val="22"/>
        </w:rPr>
        <w:t xml:space="preserve"> is the volume of NaOH used (in L), m</w:t>
      </w:r>
      <w:r>
        <w:rPr>
          <w:rFonts w:ascii="Times New Roman" w:hAnsi="Times New Roman" w:eastAsia="Times New Roman" w:cs="Times New Roman"/>
          <w:color w:val="auto"/>
          <w:sz w:val="13"/>
          <w:szCs w:val="13"/>
        </w:rPr>
        <w:t>NaOH</w:t>
      </w:r>
      <w:r>
        <w:rPr>
          <w:rFonts w:ascii="Times New Roman" w:hAnsi="Times New Roman" w:eastAsia="Times New Roman" w:cs="Times New Roman"/>
          <w:color w:val="auto"/>
          <w:sz w:val="22"/>
          <w:szCs w:val="22"/>
        </w:rPr>
        <w:t xml:space="preserve"> is the molarity of the NaOH (0.1 N), m</w:t>
      </w:r>
      <w:r>
        <w:rPr>
          <w:rFonts w:ascii="Times New Roman" w:hAnsi="Times New Roman" w:eastAsia="Times New Roman" w:cs="Times New Roman"/>
          <w:color w:val="auto"/>
          <w:sz w:val="13"/>
          <w:szCs w:val="13"/>
        </w:rPr>
        <w:t>lipid</w:t>
      </w:r>
      <w:r>
        <w:rPr>
          <w:rFonts w:ascii="Times New Roman" w:hAnsi="Times New Roman" w:eastAsia="Times New Roman" w:cs="Times New Roman"/>
          <w:color w:val="auto"/>
          <w:sz w:val="22"/>
          <w:szCs w:val="22"/>
        </w:rPr>
        <w:t xml:space="preserve"> is the molecular weight of corn oil (872 g/mol), w</w:t>
      </w:r>
      <w:r>
        <w:rPr>
          <w:rFonts w:ascii="Times New Roman" w:hAnsi="Times New Roman" w:eastAsia="Times New Roman" w:cs="Times New Roman"/>
          <w:color w:val="auto"/>
          <w:sz w:val="13"/>
          <w:szCs w:val="13"/>
        </w:rPr>
        <w:t>lipid</w:t>
      </w:r>
      <w:r>
        <w:rPr>
          <w:rFonts w:ascii="Times New Roman" w:hAnsi="Times New Roman" w:eastAsia="Times New Roman" w:cs="Times New Roman"/>
          <w:color w:val="auto"/>
          <w:sz w:val="22"/>
          <w:szCs w:val="22"/>
        </w:rPr>
        <w:t xml:space="preserve"> is the total mass of corn oil initially present in the small intestine phase (in grams).</w:t>
      </w:r>
    </w:p>
    <w:p>
      <w:pPr>
        <w:spacing w:after="0" w:line="200" w:lineRule="exact"/>
        <w:rPr>
          <w:color w:val="auto"/>
          <w:sz w:val="20"/>
          <w:szCs w:val="20"/>
        </w:rPr>
      </w:pPr>
    </w:p>
    <w:p>
      <w:pPr>
        <w:spacing w:after="0" w:line="200" w:lineRule="exact"/>
        <w:rPr>
          <w:color w:val="auto"/>
          <w:sz w:val="20"/>
          <w:szCs w:val="20"/>
        </w:rPr>
      </w:pPr>
    </w:p>
    <w:p>
      <w:pPr>
        <w:spacing w:after="0" w:line="37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4.2.2. Relative Bioaccessibility</w:t>
      </w:r>
    </w:p>
    <w:p>
      <w:pPr>
        <w:spacing w:after="0" w:line="200" w:lineRule="exact"/>
        <w:rPr>
          <w:color w:val="auto"/>
          <w:sz w:val="20"/>
          <w:szCs w:val="20"/>
        </w:rPr>
      </w:pPr>
    </w:p>
    <w:p>
      <w:pPr>
        <w:spacing w:after="0" w:line="214"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2"/>
          <w:szCs w:val="22"/>
        </w:rPr>
        <w:t>From digested samples, 10 ml was taken and centrifuged (4000 rpm for 40 min at room</w:t>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32</w:t>
      </w:r>
    </w:p>
    <w:p>
      <w:pPr>
        <w:sectPr>
          <w:type w:val="continuous"/>
          <w:pgSz w:w="12240" w:h="15840"/>
          <w:pgMar w:top="1419" w:right="1440" w:bottom="181" w:left="1440" w:header="0" w:footer="0" w:gutter="0"/>
          <w:cols w:equalWidth="0" w:num="1">
            <w:col w:w="9360"/>
          </w:cols>
        </w:sectPr>
      </w:pPr>
    </w:p>
    <w:p>
      <w:pPr>
        <w:spacing w:after="0" w:line="484" w:lineRule="auto"/>
        <w:ind w:left="360" w:right="360"/>
        <w:jc w:val="both"/>
        <w:rPr>
          <w:color w:val="auto"/>
          <w:sz w:val="20"/>
          <w:szCs w:val="20"/>
        </w:rPr>
      </w:pPr>
      <w:bookmarkStart w:id="39" w:name="page46"/>
      <w:bookmarkEnd w:id="39"/>
      <w:r>
        <w:rPr>
          <w:rFonts w:ascii="Times New Roman" w:hAnsi="Times New Roman" w:eastAsia="Times New Roman" w:cs="Times New Roman"/>
          <w:color w:val="auto"/>
          <w:sz w:val="22"/>
          <w:szCs w:val="22"/>
        </w:rPr>
        <w:t>temperature) using a bench top centrifuge (Sorvall ST8, Thermo Scientific, Tewksbury, MA). After centrifugation, the samples separated into two phases: the undigested material as the bottom layer and a clear micelle phase as a top layer. The concentration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was determined based on the method used by Ozturk et al., 2015. To extract the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for the spectrophotometric measurements, 1 mL of the intestinal or micelle phase was diluted in 5 mL of isooctane: ethyl alcohol (1:3) and vortex it. Then, this solution was centrifuged for 10 minutes at 1750 rpm. The supernatants were used for the absorbance measurements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concentrations made at 265nm wavelength using a UV–visible spectrophotometer (Ultraspec 3000 Pro Pharmacia Biotech, Biochrom Ltd., Cambridge, UK).</w:t>
      </w:r>
    </w:p>
    <w:p>
      <w:pPr>
        <w:spacing w:after="0" w:line="122" w:lineRule="exact"/>
        <w:rPr>
          <w:color w:val="auto"/>
          <w:sz w:val="20"/>
          <w:szCs w:val="20"/>
        </w:rPr>
      </w:pPr>
    </w:p>
    <w:p>
      <w:pPr>
        <w:spacing w:after="0" w:line="497" w:lineRule="auto"/>
        <w:ind w:left="360" w:right="360" w:firstLine="720"/>
        <w:jc w:val="both"/>
        <w:rPr>
          <w:color w:val="auto"/>
          <w:sz w:val="20"/>
          <w:szCs w:val="20"/>
        </w:rPr>
      </w:pPr>
      <w:r>
        <w:rPr>
          <w:rFonts w:ascii="Times New Roman" w:hAnsi="Times New Roman" w:eastAsia="Times New Roman" w:cs="Times New Roman"/>
          <w:color w:val="auto"/>
          <w:sz w:val="22"/>
          <w:szCs w:val="22"/>
        </w:rPr>
        <w:t>The standard curve was obtained by measuring the absorbance at the 265nm wavelength for various concentration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dissolved in isooctane: ethyl alcohol (r</w:t>
      </w:r>
      <w:r>
        <w:rPr>
          <w:rFonts w:ascii="Times New Roman" w:hAnsi="Times New Roman" w:eastAsia="Times New Roman" w:cs="Times New Roman"/>
          <w:color w:val="auto"/>
          <w:sz w:val="27"/>
          <w:szCs w:val="27"/>
          <w:vertAlign w:val="superscript"/>
        </w:rPr>
        <w:t>2</w:t>
      </w:r>
      <w:r>
        <w:rPr>
          <w:rFonts w:ascii="Times New Roman" w:hAnsi="Times New Roman" w:eastAsia="Times New Roman" w:cs="Times New Roman"/>
          <w:color w:val="auto"/>
          <w:sz w:val="22"/>
          <w:szCs w:val="22"/>
        </w:rPr>
        <w:t>=0.9996).</w:t>
      </w:r>
    </w:p>
    <w:p>
      <w:pPr>
        <w:spacing w:after="0" w:line="2"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2"/>
          <w:szCs w:val="22"/>
        </w:rPr>
        <w:t>The relative bioaccessibility (RBA) was determined using the following equation:</w:t>
      </w:r>
    </w:p>
    <w:p>
      <w:pPr>
        <w:tabs>
          <w:tab w:val="left" w:pos="5880"/>
        </w:tabs>
        <w:spacing w:after="0" w:line="188" w:lineRule="auto"/>
        <w:ind w:left="3100"/>
        <w:rPr>
          <w:color w:val="auto"/>
          <w:sz w:val="20"/>
          <w:szCs w:val="20"/>
        </w:rPr>
      </w:pPr>
      <w:r>
        <w:rPr>
          <w:rFonts w:ascii="Cambria Math" w:hAnsi="Cambria Math" w:eastAsia="Cambria Math" w:cs="Cambria Math"/>
          <w:color w:val="auto"/>
          <w:sz w:val="13"/>
          <w:szCs w:val="13"/>
        </w:rPr>
        <w:t>RBA(%) =</w:t>
      </w:r>
      <w:r>
        <w:rPr>
          <w:rFonts w:ascii="Cambria Math" w:hAnsi="Cambria Math" w:eastAsia="Cambria Math" w:cs="Cambria Math"/>
          <w:color w:val="auto"/>
          <w:sz w:val="18"/>
          <w:szCs w:val="18"/>
        </w:rPr>
        <w:t xml:space="preserve"> </w:t>
      </w:r>
      <w:r>
        <w:rPr>
          <w:rFonts w:ascii="Cambria Math" w:hAnsi="Cambria Math" w:eastAsia="Cambria Math" w:cs="Cambria Math"/>
          <w:color w:val="auto"/>
          <w:sz w:val="18"/>
          <w:szCs w:val="18"/>
          <w:vertAlign w:val="superscript"/>
        </w:rPr>
        <w:t>C</w:t>
      </w:r>
      <w:r>
        <w:rPr>
          <w:rFonts w:ascii="Cambria Math" w:hAnsi="Cambria Math" w:eastAsia="Cambria Math" w:cs="Cambria Math"/>
          <w:color w:val="auto"/>
          <w:sz w:val="15"/>
          <w:szCs w:val="15"/>
          <w:vertAlign w:val="superscript"/>
        </w:rPr>
        <w:t>nanoemulsion</w:t>
      </w:r>
      <w:r>
        <w:rPr>
          <w:color w:val="auto"/>
          <w:sz w:val="20"/>
          <w:szCs w:val="20"/>
        </w:rPr>
        <w:tab/>
      </w:r>
      <w:r>
        <w:rPr>
          <w:rFonts w:ascii="Cambria Math" w:hAnsi="Cambria Math" w:eastAsia="Cambria Math" w:cs="Cambria Math"/>
          <w:color w:val="auto"/>
          <w:sz w:val="14"/>
          <w:szCs w:val="14"/>
        </w:rPr>
        <w:t>100</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2651760</wp:posOffset>
                </wp:positionH>
                <wp:positionV relativeFrom="paragraph">
                  <wp:posOffset>-38100</wp:posOffset>
                </wp:positionV>
                <wp:extent cx="911225" cy="0"/>
                <wp:effectExtent l="0" t="0" r="0" b="0"/>
                <wp:wrapNone/>
                <wp:docPr id="13" name="Shape 13"/>
                <wp:cNvGraphicFramePr/>
                <a:graphic xmlns:a="http://schemas.openxmlformats.org/drawingml/2006/main">
                  <a:graphicData uri="http://schemas.microsoft.com/office/word/2010/wordprocessingShape">
                    <wps:wsp>
                      <wps:cNvCnPr/>
                      <wps:spPr>
                        <a:xfrm>
                          <a:off x="0" y="0"/>
                          <a:ext cx="911225" cy="4763"/>
                        </a:xfrm>
                        <a:prstGeom prst="line">
                          <a:avLst/>
                        </a:prstGeom>
                        <a:solidFill>
                          <a:srgbClr val="FFFFFF"/>
                        </a:solidFill>
                        <a:ln w="9144">
                          <a:solidFill>
                            <a:srgbClr val="000000"/>
                          </a:solidFill>
                          <a:miter lim="800000"/>
                        </a:ln>
                      </wps:spPr>
                      <wps:bodyPr/>
                    </wps:wsp>
                  </a:graphicData>
                </a:graphic>
              </wp:anchor>
            </w:drawing>
          </mc:Choice>
          <mc:Fallback>
            <w:pict>
              <v:line id="Shape 13" o:spid="_x0000_s1026" o:spt="20" style="position:absolute;left:0pt;margin-left:208.8pt;margin-top:-3pt;height:0pt;width:71.75pt;z-index:-251657216;mso-width-relative:page;mso-height-relative:page;" fillcolor="#FFFFFF" filled="t" stroked="t" coordsize="21600,21600" o:allowincell="f" o:gfxdata="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Y2G/V&#10;1QAAAAkBAAAPAAAAAAAAAAEAIAAAACIAAABkcnMvZG93bnJldi54bWxQSwECFAAUAAAACACHTuJA&#10;cm0PvbIBAACaAwAADgAAAAAAAAABACAAAAAkAQAAZHJzL2Uyb0RvYy54bWxQSwUGAAAAAAYABgBZ&#10;AQAASAUAAAAA&#10;">
                <v:fill on="t" focussize="0,0"/>
                <v:stroke weight="0.72pt" color="#000000" miterlimit="8" joinstyle="miter"/>
                <v:imagedata o:title=""/>
                <o:lock v:ext="edit" aspectratio="f"/>
              </v:line>
            </w:pict>
          </mc:Fallback>
        </mc:AlternateContent>
      </w:r>
    </w:p>
    <w:p>
      <w:pPr>
        <w:spacing w:after="0" w:line="181" w:lineRule="auto"/>
        <w:ind w:left="4220"/>
        <w:rPr>
          <w:color w:val="auto"/>
          <w:sz w:val="20"/>
          <w:szCs w:val="20"/>
        </w:rPr>
      </w:pPr>
      <w:r>
        <w:rPr>
          <w:rFonts w:ascii="Cambria Math" w:hAnsi="Cambria Math" w:eastAsia="Cambria Math" w:cs="Cambria Math"/>
          <w:color w:val="auto"/>
          <w:sz w:val="10"/>
          <w:szCs w:val="10"/>
          <w:vertAlign w:val="superscript"/>
        </w:rPr>
        <w:t>C</w:t>
      </w:r>
      <w:r>
        <w:rPr>
          <w:rFonts w:ascii="Cambria Math" w:hAnsi="Cambria Math" w:eastAsia="Cambria Math" w:cs="Cambria Math"/>
          <w:color w:val="auto"/>
          <w:sz w:val="3"/>
          <w:szCs w:val="3"/>
        </w:rPr>
        <w:t>coarse emulsion</w:t>
      </w:r>
    </w:p>
    <w:p>
      <w:pPr>
        <w:spacing w:after="0" w:line="36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where C</w:t>
      </w:r>
      <w:r>
        <w:rPr>
          <w:rFonts w:ascii="Times New Roman" w:hAnsi="Times New Roman" w:eastAsia="Times New Roman" w:cs="Times New Roman"/>
          <w:color w:val="auto"/>
          <w:sz w:val="13"/>
          <w:szCs w:val="13"/>
        </w:rPr>
        <w:t>nanoemulsion</w:t>
      </w:r>
      <w:r>
        <w:rPr>
          <w:rFonts w:ascii="Times New Roman" w:hAnsi="Times New Roman" w:eastAsia="Times New Roman" w:cs="Times New Roman"/>
          <w:color w:val="auto"/>
          <w:sz w:val="22"/>
          <w:szCs w:val="22"/>
        </w:rPr>
        <w:t xml:space="preserve"> is the concentration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in miceller phase of nanoemulsion and</w:t>
      </w:r>
    </w:p>
    <w:p>
      <w:pPr>
        <w:spacing w:after="0" w:line="200" w:lineRule="exact"/>
        <w:rPr>
          <w:color w:val="auto"/>
          <w:sz w:val="20"/>
          <w:szCs w:val="20"/>
        </w:rPr>
      </w:pPr>
    </w:p>
    <w:p>
      <w:pPr>
        <w:spacing w:after="0" w:line="21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C</w:t>
      </w:r>
      <w:r>
        <w:rPr>
          <w:rFonts w:ascii="Times New Roman" w:hAnsi="Times New Roman" w:eastAsia="Times New Roman" w:cs="Times New Roman"/>
          <w:color w:val="auto"/>
          <w:sz w:val="13"/>
          <w:szCs w:val="13"/>
        </w:rPr>
        <w:t>coarse emulsion</w:t>
      </w:r>
      <w:r>
        <w:rPr>
          <w:rFonts w:ascii="Times New Roman" w:hAnsi="Times New Roman" w:eastAsia="Times New Roman" w:cs="Times New Roman"/>
          <w:color w:val="auto"/>
          <w:sz w:val="22"/>
          <w:szCs w:val="22"/>
        </w:rPr>
        <w:t xml:space="preserve"> is the concentration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in miceller phase of coarse emulsion.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0"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2"/>
          <w:szCs w:val="22"/>
        </w:rPr>
        <w:t>4.3. Animal study</w:t>
      </w:r>
    </w:p>
    <w:p>
      <w:pPr>
        <w:spacing w:after="0" w:line="200" w:lineRule="exact"/>
        <w:rPr>
          <w:color w:val="auto"/>
          <w:sz w:val="20"/>
          <w:szCs w:val="20"/>
        </w:rPr>
      </w:pPr>
    </w:p>
    <w:p>
      <w:pPr>
        <w:spacing w:after="0" w:line="21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4.3.1. Measurement of serum 25(OH)D</w:t>
      </w:r>
      <w:r>
        <w:rPr>
          <w:rFonts w:ascii="Times New Roman" w:hAnsi="Times New Roman" w:eastAsia="Times New Roman" w:cs="Times New Roman"/>
          <w:color w:val="auto"/>
          <w:sz w:val="13"/>
          <w:szCs w:val="13"/>
        </w:rPr>
        <w:t>3</w:t>
      </w:r>
    </w:p>
    <w:p>
      <w:pPr>
        <w:spacing w:after="0" w:line="200" w:lineRule="exact"/>
        <w:rPr>
          <w:color w:val="auto"/>
          <w:sz w:val="20"/>
          <w:szCs w:val="20"/>
        </w:rPr>
      </w:pPr>
    </w:p>
    <w:p>
      <w:pPr>
        <w:spacing w:after="0" w:line="211" w:lineRule="exact"/>
        <w:rPr>
          <w:color w:val="auto"/>
          <w:sz w:val="20"/>
          <w:szCs w:val="20"/>
        </w:rPr>
      </w:pPr>
    </w:p>
    <w:p>
      <w:pPr>
        <w:spacing w:after="0" w:line="519" w:lineRule="auto"/>
        <w:ind w:left="360" w:right="360" w:firstLine="720"/>
        <w:jc w:val="both"/>
        <w:rPr>
          <w:color w:val="auto"/>
          <w:sz w:val="20"/>
          <w:szCs w:val="20"/>
        </w:rPr>
      </w:pPr>
      <w:r>
        <w:rPr>
          <w:rFonts w:ascii="Times New Roman" w:hAnsi="Times New Roman" w:eastAsia="Times New Roman" w:cs="Times New Roman"/>
          <w:i/>
          <w:iCs/>
          <w:color w:val="auto"/>
          <w:sz w:val="21"/>
          <w:szCs w:val="21"/>
        </w:rPr>
        <w:t>In vivo</w:t>
      </w:r>
      <w:r>
        <w:rPr>
          <w:rFonts w:ascii="Times New Roman" w:hAnsi="Times New Roman" w:eastAsia="Times New Roman" w:cs="Times New Roman"/>
          <w:color w:val="auto"/>
          <w:sz w:val="21"/>
          <w:szCs w:val="21"/>
        </w:rPr>
        <w:t xml:space="preserve"> study was conducted to investigate the bioavailability of nanoemulsion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The protocol was approved by the Institutional Animal Care and Use Committee of the University of Massachusetts, Amherst. The C57BL/6 mice were purchased from Jackson Laboratory, Bar Harbor, ME. 15 mice were randomly assigned to three groups: 6 mice, 6 mice and</w:t>
      </w:r>
    </w:p>
    <w:p>
      <w:pPr>
        <w:sectPr>
          <w:pgSz w:w="12240" w:h="15840"/>
          <w:pgMar w:top="1419" w:right="1440" w:bottom="181" w:left="1440" w:header="0" w:footer="0" w:gutter="0"/>
          <w:cols w:equalWidth="0" w:num="1">
            <w:col w:w="9360"/>
          </w:cols>
        </w:sectPr>
      </w:pPr>
    </w:p>
    <w:p>
      <w:pPr>
        <w:spacing w:after="0" w:line="30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33</w:t>
      </w:r>
    </w:p>
    <w:p>
      <w:pPr>
        <w:sectPr>
          <w:type w:val="continuous"/>
          <w:pgSz w:w="12240" w:h="15840"/>
          <w:pgMar w:top="1419" w:right="1440" w:bottom="181" w:left="1440" w:header="0" w:footer="0" w:gutter="0"/>
          <w:cols w:equalWidth="0" w:num="1">
            <w:col w:w="9360"/>
          </w:cols>
        </w:sectPr>
      </w:pPr>
    </w:p>
    <w:p>
      <w:pPr>
        <w:spacing w:after="0" w:line="511" w:lineRule="auto"/>
        <w:ind w:left="360" w:right="360"/>
        <w:jc w:val="both"/>
        <w:rPr>
          <w:color w:val="auto"/>
          <w:sz w:val="20"/>
          <w:szCs w:val="20"/>
        </w:rPr>
      </w:pPr>
      <w:bookmarkStart w:id="40" w:name="page47"/>
      <w:bookmarkEnd w:id="40"/>
      <w:r>
        <w:rPr>
          <w:rFonts w:ascii="Times New Roman" w:hAnsi="Times New Roman" w:eastAsia="Times New Roman" w:cs="Times New Roman"/>
          <w:color w:val="auto"/>
          <w:sz w:val="22"/>
          <w:szCs w:val="22"/>
        </w:rPr>
        <w:t>3 mice were assigned to nanoemulsion group, coarse emulsion group and vehicle group, respectively.</w:t>
      </w:r>
    </w:p>
    <w:p>
      <w:pPr>
        <w:spacing w:after="0" w:line="94" w:lineRule="exact"/>
        <w:rPr>
          <w:color w:val="auto"/>
          <w:sz w:val="20"/>
          <w:szCs w:val="20"/>
        </w:rPr>
      </w:pPr>
    </w:p>
    <w:p>
      <w:pPr>
        <w:spacing w:after="0" w:line="507" w:lineRule="auto"/>
        <w:ind w:left="360" w:right="360" w:firstLine="720"/>
        <w:jc w:val="both"/>
        <w:rPr>
          <w:color w:val="auto"/>
          <w:sz w:val="20"/>
          <w:szCs w:val="20"/>
        </w:rPr>
      </w:pPr>
      <w:r>
        <w:rPr>
          <w:rFonts w:ascii="Times New Roman" w:hAnsi="Times New Roman" w:eastAsia="Times New Roman" w:cs="Times New Roman"/>
          <w:color w:val="auto"/>
          <w:sz w:val="21"/>
          <w:szCs w:val="21"/>
        </w:rPr>
        <w:t>The final concentration of 0.1mg/ml of an oil-in-water nanoemulsion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was diluted to 1000 times to reach our target of 0.1ug of vitamin D /ml. [Target: Mice need to feed with 5000IU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/kg of diet; chow diet contains 1000 IU/kg so the remaining 4000 IU/kg should be from treatment. Mice consume 5g of diet/day, hence 20IU (0.5 ug) should be given in the treatment. Mice consume 5ml of water per day, so 0.5ug/5ml i.e 0.1ug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/ml of water is the target treatment]. The treatment was given by mixing the emulsion in their drinking water and they were allowed to have free access to it. After 3 days, the mice were sacrificed and the blood was drawn to measure serum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(calcidiol) by the Radioactive immune assay Double antibody method using manufacturer’s protocol (DiaSorin The diagnostic Specialist, USA). Various body parts such as liver, small intestinal cells and kidneys were harvested to analyze the various levels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related gene expressions using quantitative real-time PCR.</w:t>
      </w:r>
    </w:p>
    <w:p>
      <w:pPr>
        <w:spacing w:after="0" w:line="200" w:lineRule="exact"/>
        <w:rPr>
          <w:color w:val="auto"/>
          <w:sz w:val="20"/>
          <w:szCs w:val="20"/>
        </w:rPr>
      </w:pPr>
    </w:p>
    <w:p>
      <w:pPr>
        <w:spacing w:after="0" w:line="200" w:lineRule="exact"/>
        <w:rPr>
          <w:color w:val="auto"/>
          <w:sz w:val="20"/>
          <w:szCs w:val="20"/>
        </w:rPr>
      </w:pPr>
    </w:p>
    <w:p>
      <w:pPr>
        <w:spacing w:after="0" w:line="37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4.3.2. Quantitative real-time PCR</w:t>
      </w:r>
    </w:p>
    <w:p>
      <w:pPr>
        <w:spacing w:after="0" w:line="200" w:lineRule="exact"/>
        <w:rPr>
          <w:color w:val="auto"/>
          <w:sz w:val="20"/>
          <w:szCs w:val="20"/>
        </w:rPr>
      </w:pPr>
    </w:p>
    <w:p>
      <w:pPr>
        <w:spacing w:after="0" w:line="217" w:lineRule="exact"/>
        <w:rPr>
          <w:color w:val="auto"/>
          <w:sz w:val="20"/>
          <w:szCs w:val="20"/>
        </w:rPr>
      </w:pPr>
    </w:p>
    <w:p>
      <w:pPr>
        <w:spacing w:after="0" w:line="470" w:lineRule="auto"/>
        <w:ind w:left="360" w:right="360" w:firstLine="360"/>
        <w:jc w:val="both"/>
        <w:rPr>
          <w:color w:val="auto"/>
          <w:sz w:val="20"/>
          <w:szCs w:val="20"/>
        </w:rPr>
      </w:pPr>
      <w:r>
        <w:rPr>
          <w:rFonts w:ascii="Times New Roman" w:hAnsi="Times New Roman" w:eastAsia="Times New Roman" w:cs="Times New Roman"/>
          <w:color w:val="auto"/>
          <w:sz w:val="22"/>
          <w:szCs w:val="22"/>
        </w:rPr>
        <w:t>From the harvested tissue samples, total RNA was isolated with TRIzol® using the manufacturer’s protocol (Life Technologies, Grand Island, NY). The concentrations of total RNA were determined spectrophotometrically (NanoDrop Lite, ThermoFisher Scientific, Waltham, MA). cDNA was synthesized from 1 µg of total RNA using the protocol from Takara’s PrimeScript</w:t>
      </w:r>
      <w:r>
        <w:rPr>
          <w:rFonts w:ascii="Times New Roman" w:hAnsi="Times New Roman" w:eastAsia="Times New Roman" w:cs="Times New Roman"/>
          <w:color w:val="auto"/>
          <w:sz w:val="27"/>
          <w:szCs w:val="27"/>
          <w:vertAlign w:val="superscript"/>
        </w:rPr>
        <w:t>TM</w:t>
      </w:r>
      <w:r>
        <w:rPr>
          <w:rFonts w:ascii="Times New Roman" w:hAnsi="Times New Roman" w:eastAsia="Times New Roman" w:cs="Times New Roman"/>
          <w:color w:val="auto"/>
          <w:sz w:val="22"/>
          <w:szCs w:val="22"/>
        </w:rPr>
        <w:t xml:space="preserve"> RT reagent kit (Takara Bio USA, Inc, CA, USA). Real-time PCR was performed on the ViiA™ 7 Real-Time PCR System (Applied Biosystems, Foster City, CA) utilizing the following thermal cycling conditions: 95ºC for 10 min, followed by 40 cycles of 95ºC for 15 s and 60ºC for 60 s. Primer sequences were designed by qPrimerDepot (NCI/NIH) and listed in Table 4.1.</w:t>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34</w:t>
      </w:r>
    </w:p>
    <w:p>
      <w:pPr>
        <w:sectPr>
          <w:type w:val="continuous"/>
          <w:pgSz w:w="12240" w:h="15840"/>
          <w:pgMar w:top="1419" w:right="1440" w:bottom="181" w:left="1440" w:header="0" w:footer="0" w:gutter="0"/>
          <w:cols w:equalWidth="0" w:num="1">
            <w:col w:w="9360"/>
          </w:cols>
        </w:sectPr>
      </w:pPr>
    </w:p>
    <w:p>
      <w:pPr>
        <w:spacing w:after="0"/>
        <w:ind w:left="360"/>
        <w:rPr>
          <w:color w:val="auto"/>
          <w:sz w:val="20"/>
          <w:szCs w:val="20"/>
        </w:rPr>
      </w:pPr>
      <w:bookmarkStart w:id="41" w:name="page48"/>
      <w:bookmarkEnd w:id="41"/>
      <w:r>
        <w:rPr>
          <w:rFonts w:ascii="Times New Roman" w:hAnsi="Times New Roman" w:eastAsia="Times New Roman" w:cs="Times New Roman"/>
          <w:b/>
          <w:bCs/>
          <w:color w:val="auto"/>
          <w:sz w:val="22"/>
          <w:szCs w:val="22"/>
        </w:rPr>
        <w:t>Table 4.1. PCR primer sequences for real-time PCR analysis</w:t>
      </w:r>
    </w:p>
    <w:p>
      <w:pPr>
        <w:spacing w:after="0" w:line="200" w:lineRule="exact"/>
        <w:rPr>
          <w:color w:val="auto"/>
          <w:sz w:val="20"/>
          <w:szCs w:val="20"/>
        </w:rPr>
      </w:pPr>
    </w:p>
    <w:p>
      <w:pPr>
        <w:spacing w:after="0" w:line="230" w:lineRule="exact"/>
        <w:rPr>
          <w:color w:val="auto"/>
          <w:sz w:val="20"/>
          <w:szCs w:val="20"/>
        </w:rPr>
      </w:pPr>
    </w:p>
    <w:tbl>
      <w:tblPr>
        <w:tblStyle w:val="3"/>
        <w:tblW w:w="0" w:type="auto"/>
        <w:tblInd w:w="460" w:type="dxa"/>
        <w:tblLayout w:type="fixed"/>
        <w:tblCellMar>
          <w:top w:w="0" w:type="dxa"/>
          <w:left w:w="0" w:type="dxa"/>
          <w:bottom w:w="0" w:type="dxa"/>
          <w:right w:w="0" w:type="dxa"/>
        </w:tblCellMar>
      </w:tblPr>
      <w:tblGrid>
        <w:gridCol w:w="20"/>
        <w:gridCol w:w="100"/>
        <w:gridCol w:w="940"/>
        <w:gridCol w:w="120"/>
        <w:gridCol w:w="410"/>
        <w:gridCol w:w="2550"/>
        <w:gridCol w:w="20"/>
        <w:gridCol w:w="20"/>
        <w:gridCol w:w="340"/>
        <w:gridCol w:w="20"/>
      </w:tblGrid>
      <w:tr>
        <w:tblPrEx>
          <w:tblCellMar>
            <w:top w:w="0" w:type="dxa"/>
            <w:left w:w="0" w:type="dxa"/>
            <w:bottom w:w="0" w:type="dxa"/>
            <w:right w:w="0" w:type="dxa"/>
          </w:tblCellMar>
        </w:tblPrEx>
        <w:trPr>
          <w:gridAfter w:val="1"/>
          <w:trHeight w:val="208" w:hRule="atLeast"/>
        </w:trPr>
        <w:tc>
          <w:tcPr>
            <w:tcW w:w="20" w:type="dxa"/>
            <w:vAlign w:val="bottom"/>
          </w:tcPr>
          <w:p>
            <w:pPr>
              <w:spacing w:after="0"/>
              <w:rPr>
                <w:color w:val="auto"/>
                <w:sz w:val="18"/>
                <w:szCs w:val="18"/>
              </w:rPr>
            </w:pPr>
          </w:p>
        </w:tc>
        <w:tc>
          <w:tcPr>
            <w:tcW w:w="100" w:type="dxa"/>
            <w:vAlign w:val="bottom"/>
          </w:tcPr>
          <w:p>
            <w:pPr>
              <w:spacing w:after="0"/>
              <w:rPr>
                <w:color w:val="auto"/>
                <w:sz w:val="18"/>
                <w:szCs w:val="18"/>
              </w:rPr>
            </w:pPr>
          </w:p>
        </w:tc>
        <w:tc>
          <w:tcPr>
            <w:tcW w:w="940" w:type="dxa"/>
            <w:vAlign w:val="bottom"/>
          </w:tcPr>
          <w:p>
            <w:pPr>
              <w:spacing w:after="0"/>
              <w:rPr>
                <w:color w:val="auto"/>
                <w:sz w:val="18"/>
                <w:szCs w:val="18"/>
              </w:rPr>
            </w:pPr>
          </w:p>
        </w:tc>
        <w:tc>
          <w:tcPr>
            <w:tcW w:w="120" w:type="dxa"/>
            <w:vAlign w:val="bottom"/>
          </w:tcPr>
          <w:p>
            <w:pPr>
              <w:spacing w:after="0"/>
              <w:rPr>
                <w:color w:val="auto"/>
                <w:sz w:val="18"/>
                <w:szCs w:val="18"/>
              </w:rPr>
            </w:pPr>
          </w:p>
        </w:tc>
        <w:tc>
          <w:tcPr>
            <w:tcW w:w="410" w:type="dxa"/>
            <w:vAlign w:val="bottom"/>
          </w:tcPr>
          <w:p>
            <w:pPr>
              <w:spacing w:after="0"/>
              <w:ind w:left="100"/>
              <w:rPr>
                <w:color w:val="auto"/>
                <w:sz w:val="20"/>
                <w:szCs w:val="20"/>
              </w:rPr>
            </w:pPr>
            <w:r>
              <w:rPr>
                <w:rFonts w:ascii="Times New Roman" w:hAnsi="Times New Roman" w:eastAsia="Times New Roman" w:cs="Times New Roman"/>
                <w:color w:val="auto"/>
                <w:sz w:val="16"/>
                <w:szCs w:val="16"/>
              </w:rPr>
              <w:t>F</w:t>
            </w:r>
          </w:p>
        </w:tc>
        <w:tc>
          <w:tcPr>
            <w:tcW w:w="2570" w:type="dxa"/>
            <w:gridSpan w:val="2"/>
            <w:vAlign w:val="bottom"/>
          </w:tcPr>
          <w:p>
            <w:pPr>
              <w:spacing w:after="0"/>
              <w:ind w:left="50"/>
              <w:rPr>
                <w:color w:val="auto"/>
                <w:sz w:val="20"/>
                <w:szCs w:val="20"/>
              </w:rPr>
            </w:pPr>
            <w:r>
              <w:rPr>
                <w:rFonts w:ascii="Times New Roman" w:hAnsi="Times New Roman" w:eastAsia="Times New Roman" w:cs="Times New Roman"/>
                <w:color w:val="auto"/>
                <w:sz w:val="16"/>
                <w:szCs w:val="16"/>
              </w:rPr>
              <w:t>AGCCCTAAGCACGGGAAG</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36" w:hRule="atLeast"/>
        </w:trPr>
        <w:tc>
          <w:tcPr>
            <w:tcW w:w="20" w:type="dxa"/>
            <w:vAlign w:val="bottom"/>
          </w:tcPr>
          <w:p>
            <w:pPr>
              <w:spacing w:after="0"/>
              <w:rPr>
                <w:color w:val="auto"/>
                <w:sz w:val="24"/>
                <w:szCs w:val="24"/>
              </w:rPr>
            </w:pPr>
          </w:p>
        </w:tc>
        <w:tc>
          <w:tcPr>
            <w:tcW w:w="100" w:type="dxa"/>
            <w:vMerge w:val="restart"/>
            <w:vAlign w:val="bottom"/>
          </w:tcPr>
          <w:p>
            <w:pPr>
              <w:spacing w:after="0"/>
              <w:rPr>
                <w:color w:val="auto"/>
                <w:sz w:val="24"/>
                <w:szCs w:val="24"/>
              </w:rPr>
            </w:pPr>
          </w:p>
        </w:tc>
        <w:tc>
          <w:tcPr>
            <w:tcW w:w="1060" w:type="dxa"/>
            <w:gridSpan w:val="2"/>
            <w:vMerge w:val="restart"/>
            <w:vAlign w:val="bottom"/>
          </w:tcPr>
          <w:p>
            <w:pPr>
              <w:spacing w:after="0"/>
              <w:rPr>
                <w:color w:val="auto"/>
                <w:sz w:val="20"/>
                <w:szCs w:val="20"/>
              </w:rPr>
            </w:pPr>
            <w:r>
              <w:rPr>
                <w:rFonts w:ascii="Times New Roman" w:hAnsi="Times New Roman" w:eastAsia="Times New Roman" w:cs="Times New Roman"/>
                <w:b/>
                <w:bCs/>
                <w:color w:val="auto"/>
                <w:sz w:val="16"/>
                <w:szCs w:val="16"/>
              </w:rPr>
              <w:t>VDR</w:t>
            </w:r>
          </w:p>
        </w:tc>
        <w:tc>
          <w:tcPr>
            <w:tcW w:w="410" w:type="dxa"/>
            <w:tcBorders>
              <w:bottom w:val="single" w:color="auto" w:sz="8" w:space="0"/>
            </w:tcBorders>
            <w:vAlign w:val="bottom"/>
          </w:tcPr>
          <w:p>
            <w:pPr>
              <w:spacing w:after="0"/>
              <w:rPr>
                <w:color w:val="auto"/>
                <w:sz w:val="24"/>
                <w:szCs w:val="24"/>
              </w:rPr>
            </w:pPr>
          </w:p>
        </w:tc>
        <w:tc>
          <w:tcPr>
            <w:tcW w:w="2550" w:type="dxa"/>
            <w:tcBorders>
              <w:bottom w:val="single" w:color="auto" w:sz="8" w:space="0"/>
            </w:tcBorders>
            <w:vAlign w:val="bottom"/>
          </w:tcPr>
          <w:p>
            <w:pPr>
              <w:spacing w:after="0"/>
              <w:rPr>
                <w:color w:val="auto"/>
                <w:sz w:val="24"/>
                <w:szCs w:val="24"/>
              </w:rPr>
            </w:pPr>
          </w:p>
        </w:tc>
        <w:tc>
          <w:tcPr>
            <w:tcW w:w="40" w:type="dxa"/>
            <w:gridSpan w:val="2"/>
            <w:tcBorders>
              <w:bottom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98" w:hRule="atLeast"/>
        </w:trPr>
        <w:tc>
          <w:tcPr>
            <w:tcW w:w="20" w:type="dxa"/>
            <w:vAlign w:val="bottom"/>
          </w:tcPr>
          <w:p>
            <w:pPr>
              <w:spacing w:after="0"/>
              <w:rPr>
                <w:color w:val="auto"/>
                <w:sz w:val="17"/>
                <w:szCs w:val="17"/>
              </w:rPr>
            </w:pPr>
          </w:p>
        </w:tc>
        <w:tc>
          <w:tcPr>
            <w:tcW w:w="100" w:type="dxa"/>
            <w:vMerge w:val="continue"/>
            <w:vAlign w:val="bottom"/>
          </w:tcPr>
          <w:p>
            <w:pPr>
              <w:spacing w:after="0"/>
              <w:rPr>
                <w:color w:val="auto"/>
                <w:sz w:val="17"/>
                <w:szCs w:val="17"/>
              </w:rPr>
            </w:pPr>
          </w:p>
        </w:tc>
        <w:tc>
          <w:tcPr>
            <w:tcW w:w="1060" w:type="dxa"/>
            <w:gridSpan w:val="2"/>
            <w:vMerge w:val="continue"/>
            <w:vAlign w:val="bottom"/>
          </w:tcPr>
          <w:p>
            <w:pPr>
              <w:spacing w:after="0"/>
              <w:rPr>
                <w:color w:val="auto"/>
                <w:sz w:val="17"/>
                <w:szCs w:val="17"/>
              </w:rPr>
            </w:pPr>
          </w:p>
        </w:tc>
        <w:tc>
          <w:tcPr>
            <w:tcW w:w="410" w:type="dxa"/>
            <w:vAlign w:val="bottom"/>
          </w:tcPr>
          <w:p>
            <w:pPr>
              <w:spacing w:after="0"/>
              <w:ind w:left="100"/>
              <w:rPr>
                <w:color w:val="auto"/>
                <w:sz w:val="20"/>
                <w:szCs w:val="20"/>
              </w:rPr>
            </w:pPr>
            <w:r>
              <w:rPr>
                <w:rFonts w:ascii="Times New Roman" w:hAnsi="Times New Roman" w:eastAsia="Times New Roman" w:cs="Times New Roman"/>
                <w:color w:val="auto"/>
                <w:sz w:val="16"/>
                <w:szCs w:val="16"/>
              </w:rPr>
              <w:t>R</w:t>
            </w:r>
          </w:p>
        </w:tc>
        <w:tc>
          <w:tcPr>
            <w:tcW w:w="2570" w:type="dxa"/>
            <w:gridSpan w:val="2"/>
            <w:vAlign w:val="bottom"/>
          </w:tcPr>
          <w:p>
            <w:pPr>
              <w:spacing w:after="0"/>
              <w:ind w:left="50"/>
              <w:rPr>
                <w:color w:val="auto"/>
                <w:sz w:val="20"/>
                <w:szCs w:val="20"/>
              </w:rPr>
            </w:pPr>
            <w:r>
              <w:rPr>
                <w:rFonts w:ascii="Times New Roman" w:hAnsi="Times New Roman" w:eastAsia="Times New Roman" w:cs="Times New Roman"/>
                <w:color w:val="auto"/>
                <w:sz w:val="16"/>
                <w:szCs w:val="16"/>
              </w:rPr>
              <w:t>GCTCTCCTGGGAAGACTCAC</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20" w:hRule="atLeast"/>
        </w:trPr>
        <w:tc>
          <w:tcPr>
            <w:tcW w:w="2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410" w:type="dxa"/>
            <w:tcBorders>
              <w:bottom w:val="single" w:color="auto" w:sz="8" w:space="0"/>
            </w:tcBorders>
            <w:vAlign w:val="bottom"/>
          </w:tcPr>
          <w:p>
            <w:pPr>
              <w:spacing w:after="0"/>
              <w:rPr>
                <w:color w:val="auto"/>
                <w:sz w:val="24"/>
                <w:szCs w:val="24"/>
              </w:rPr>
            </w:pPr>
          </w:p>
        </w:tc>
        <w:tc>
          <w:tcPr>
            <w:tcW w:w="2550" w:type="dxa"/>
            <w:tcBorders>
              <w:bottom w:val="single" w:color="auto" w:sz="8" w:space="0"/>
            </w:tcBorders>
            <w:vAlign w:val="bottom"/>
          </w:tcPr>
          <w:p>
            <w:pPr>
              <w:spacing w:after="0"/>
              <w:rPr>
                <w:color w:val="auto"/>
                <w:sz w:val="24"/>
                <w:szCs w:val="24"/>
              </w:rPr>
            </w:pPr>
          </w:p>
        </w:tc>
        <w:tc>
          <w:tcPr>
            <w:tcW w:w="40" w:type="dxa"/>
            <w:gridSpan w:val="2"/>
            <w:tcBorders>
              <w:bottom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98" w:hRule="atLeast"/>
        </w:trPr>
        <w:tc>
          <w:tcPr>
            <w:tcW w:w="20" w:type="dxa"/>
            <w:vAlign w:val="bottom"/>
          </w:tcPr>
          <w:p>
            <w:pPr>
              <w:spacing w:after="0"/>
              <w:rPr>
                <w:color w:val="auto"/>
                <w:sz w:val="17"/>
                <w:szCs w:val="17"/>
              </w:rPr>
            </w:pPr>
          </w:p>
        </w:tc>
        <w:tc>
          <w:tcPr>
            <w:tcW w:w="100" w:type="dxa"/>
            <w:shd w:val="clear" w:color="auto" w:fill="D9D9D9"/>
            <w:vAlign w:val="bottom"/>
          </w:tcPr>
          <w:p>
            <w:pPr>
              <w:spacing w:after="0"/>
              <w:rPr>
                <w:color w:val="auto"/>
                <w:sz w:val="17"/>
                <w:szCs w:val="17"/>
              </w:rPr>
            </w:pPr>
          </w:p>
        </w:tc>
        <w:tc>
          <w:tcPr>
            <w:tcW w:w="940" w:type="dxa"/>
            <w:shd w:val="clear" w:color="auto" w:fill="D9D9D9"/>
            <w:vAlign w:val="bottom"/>
          </w:tcPr>
          <w:p>
            <w:pPr>
              <w:spacing w:after="0"/>
              <w:rPr>
                <w:color w:val="auto"/>
                <w:sz w:val="17"/>
                <w:szCs w:val="17"/>
              </w:rPr>
            </w:pPr>
          </w:p>
        </w:tc>
        <w:tc>
          <w:tcPr>
            <w:tcW w:w="120" w:type="dxa"/>
            <w:shd w:val="clear" w:color="auto" w:fill="D9D9D9"/>
            <w:vAlign w:val="bottom"/>
          </w:tcPr>
          <w:p>
            <w:pPr>
              <w:spacing w:after="0"/>
              <w:rPr>
                <w:color w:val="auto"/>
                <w:sz w:val="17"/>
                <w:szCs w:val="17"/>
              </w:rPr>
            </w:pPr>
          </w:p>
        </w:tc>
        <w:tc>
          <w:tcPr>
            <w:tcW w:w="410" w:type="dxa"/>
            <w:shd w:val="clear" w:color="auto" w:fill="D9D9D9"/>
            <w:vAlign w:val="bottom"/>
          </w:tcPr>
          <w:p>
            <w:pPr>
              <w:spacing w:after="0"/>
              <w:ind w:left="100"/>
              <w:rPr>
                <w:color w:val="auto"/>
                <w:sz w:val="20"/>
                <w:szCs w:val="20"/>
              </w:rPr>
            </w:pPr>
            <w:r>
              <w:rPr>
                <w:rFonts w:ascii="Times New Roman" w:hAnsi="Times New Roman" w:eastAsia="Times New Roman" w:cs="Times New Roman"/>
                <w:color w:val="auto"/>
                <w:sz w:val="16"/>
                <w:szCs w:val="16"/>
              </w:rPr>
              <w:t>F</w:t>
            </w:r>
          </w:p>
        </w:tc>
        <w:tc>
          <w:tcPr>
            <w:tcW w:w="2550" w:type="dxa"/>
            <w:shd w:val="clear" w:color="auto" w:fill="D9D9D9"/>
            <w:vAlign w:val="bottom"/>
          </w:tcPr>
          <w:p>
            <w:pPr>
              <w:spacing w:after="0"/>
              <w:ind w:left="50"/>
              <w:rPr>
                <w:color w:val="auto"/>
                <w:sz w:val="20"/>
                <w:szCs w:val="20"/>
              </w:rPr>
            </w:pPr>
            <w:r>
              <w:rPr>
                <w:rFonts w:ascii="Times New Roman" w:hAnsi="Times New Roman" w:eastAsia="Times New Roman" w:cs="Times New Roman"/>
                <w:color w:val="auto"/>
                <w:sz w:val="16"/>
                <w:szCs w:val="16"/>
              </w:rPr>
              <w:t>GAAGCAGAGCCGGGTGTAT</w:t>
            </w:r>
          </w:p>
        </w:tc>
        <w:tc>
          <w:tcPr>
            <w:tcW w:w="40" w:type="dxa"/>
            <w:gridSpan w:val="2"/>
            <w:vAlign w:val="bottom"/>
          </w:tcPr>
          <w:p>
            <w:pPr>
              <w:spacing w:after="0"/>
              <w:rPr>
                <w:color w:val="auto"/>
                <w:sz w:val="17"/>
                <w:szCs w:val="1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20" w:hRule="atLeast"/>
        </w:trPr>
        <w:tc>
          <w:tcPr>
            <w:tcW w:w="20" w:type="dxa"/>
            <w:vAlign w:val="bottom"/>
          </w:tcPr>
          <w:p>
            <w:pPr>
              <w:spacing w:after="0"/>
              <w:rPr>
                <w:color w:val="auto"/>
                <w:sz w:val="24"/>
                <w:szCs w:val="24"/>
              </w:rPr>
            </w:pPr>
          </w:p>
        </w:tc>
        <w:tc>
          <w:tcPr>
            <w:tcW w:w="100" w:type="dxa"/>
            <w:tcBorders>
              <w:bottom w:val="single" w:color="D9D9D9" w:sz="8" w:space="0"/>
            </w:tcBorders>
            <w:shd w:val="clear" w:color="auto" w:fill="D9D9D9"/>
            <w:vAlign w:val="bottom"/>
          </w:tcPr>
          <w:p>
            <w:pPr>
              <w:spacing w:after="0"/>
              <w:rPr>
                <w:color w:val="auto"/>
                <w:sz w:val="24"/>
                <w:szCs w:val="24"/>
              </w:rPr>
            </w:pPr>
          </w:p>
        </w:tc>
        <w:tc>
          <w:tcPr>
            <w:tcW w:w="940" w:type="dxa"/>
            <w:vMerge w:val="restart"/>
            <w:tcBorders>
              <w:bottom w:val="single" w:color="D9D9D9" w:sz="8" w:space="0"/>
            </w:tcBorders>
            <w:shd w:val="clear" w:color="auto" w:fill="D9D9D9"/>
            <w:vAlign w:val="bottom"/>
          </w:tcPr>
          <w:p>
            <w:pPr>
              <w:spacing w:after="0"/>
              <w:rPr>
                <w:color w:val="auto"/>
                <w:sz w:val="20"/>
                <w:szCs w:val="20"/>
              </w:rPr>
            </w:pPr>
            <w:r>
              <w:rPr>
                <w:rFonts w:ascii="Times New Roman" w:hAnsi="Times New Roman" w:eastAsia="Times New Roman" w:cs="Times New Roman"/>
                <w:b/>
                <w:bCs/>
                <w:color w:val="auto"/>
                <w:sz w:val="16"/>
                <w:szCs w:val="16"/>
              </w:rPr>
              <w:t>Cyp2R1</w:t>
            </w:r>
          </w:p>
        </w:tc>
        <w:tc>
          <w:tcPr>
            <w:tcW w:w="120" w:type="dxa"/>
            <w:tcBorders>
              <w:bottom w:val="single" w:color="D9D9D9" w:sz="8" w:space="0"/>
            </w:tcBorders>
            <w:shd w:val="clear" w:color="auto" w:fill="D9D9D9"/>
            <w:vAlign w:val="bottom"/>
          </w:tcPr>
          <w:p>
            <w:pPr>
              <w:spacing w:after="0"/>
              <w:rPr>
                <w:color w:val="auto"/>
                <w:sz w:val="24"/>
                <w:szCs w:val="24"/>
              </w:rPr>
            </w:pPr>
          </w:p>
        </w:tc>
        <w:tc>
          <w:tcPr>
            <w:tcW w:w="410" w:type="dxa"/>
            <w:tcBorders>
              <w:bottom w:val="single" w:color="auto" w:sz="8" w:space="0"/>
            </w:tcBorders>
            <w:shd w:val="clear" w:color="auto" w:fill="D9D9D9"/>
            <w:vAlign w:val="bottom"/>
          </w:tcPr>
          <w:p>
            <w:pPr>
              <w:spacing w:after="0"/>
              <w:rPr>
                <w:color w:val="auto"/>
                <w:sz w:val="24"/>
                <w:szCs w:val="24"/>
              </w:rPr>
            </w:pPr>
          </w:p>
        </w:tc>
        <w:tc>
          <w:tcPr>
            <w:tcW w:w="2550" w:type="dxa"/>
            <w:tcBorders>
              <w:bottom w:val="single" w:color="auto" w:sz="8" w:space="0"/>
            </w:tcBorders>
            <w:shd w:val="clear" w:color="auto" w:fill="D9D9D9"/>
            <w:vAlign w:val="bottom"/>
          </w:tcPr>
          <w:p>
            <w:pPr>
              <w:spacing w:after="0"/>
              <w:rPr>
                <w:color w:val="auto"/>
                <w:sz w:val="24"/>
                <w:szCs w:val="24"/>
              </w:rPr>
            </w:pPr>
          </w:p>
        </w:tc>
        <w:tc>
          <w:tcPr>
            <w:tcW w:w="40" w:type="dxa"/>
            <w:gridSpan w:val="2"/>
            <w:tcBorders>
              <w:bottom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98" w:hRule="atLeast"/>
        </w:trPr>
        <w:tc>
          <w:tcPr>
            <w:tcW w:w="20" w:type="dxa"/>
            <w:vAlign w:val="bottom"/>
          </w:tcPr>
          <w:p>
            <w:pPr>
              <w:spacing w:after="0"/>
              <w:rPr>
                <w:color w:val="auto"/>
                <w:sz w:val="17"/>
                <w:szCs w:val="17"/>
              </w:rPr>
            </w:pPr>
          </w:p>
        </w:tc>
        <w:tc>
          <w:tcPr>
            <w:tcW w:w="100" w:type="dxa"/>
            <w:shd w:val="clear" w:color="auto" w:fill="D9D9D9"/>
            <w:vAlign w:val="bottom"/>
          </w:tcPr>
          <w:p>
            <w:pPr>
              <w:spacing w:after="0"/>
              <w:rPr>
                <w:color w:val="auto"/>
                <w:sz w:val="17"/>
                <w:szCs w:val="17"/>
              </w:rPr>
            </w:pPr>
          </w:p>
        </w:tc>
        <w:tc>
          <w:tcPr>
            <w:tcW w:w="940" w:type="dxa"/>
            <w:vMerge w:val="continue"/>
            <w:shd w:val="clear" w:color="auto" w:fill="D9D9D9"/>
            <w:vAlign w:val="bottom"/>
          </w:tcPr>
          <w:p>
            <w:pPr>
              <w:spacing w:after="0"/>
              <w:rPr>
                <w:color w:val="auto"/>
                <w:sz w:val="17"/>
                <w:szCs w:val="17"/>
              </w:rPr>
            </w:pPr>
          </w:p>
        </w:tc>
        <w:tc>
          <w:tcPr>
            <w:tcW w:w="120" w:type="dxa"/>
            <w:shd w:val="clear" w:color="auto" w:fill="D9D9D9"/>
            <w:vAlign w:val="bottom"/>
          </w:tcPr>
          <w:p>
            <w:pPr>
              <w:spacing w:after="0"/>
              <w:rPr>
                <w:color w:val="auto"/>
                <w:sz w:val="17"/>
                <w:szCs w:val="17"/>
              </w:rPr>
            </w:pPr>
          </w:p>
        </w:tc>
        <w:tc>
          <w:tcPr>
            <w:tcW w:w="410" w:type="dxa"/>
            <w:shd w:val="clear" w:color="auto" w:fill="D9D9D9"/>
            <w:vAlign w:val="bottom"/>
          </w:tcPr>
          <w:p>
            <w:pPr>
              <w:spacing w:after="0"/>
              <w:ind w:left="100"/>
              <w:rPr>
                <w:color w:val="auto"/>
                <w:sz w:val="20"/>
                <w:szCs w:val="20"/>
              </w:rPr>
            </w:pPr>
            <w:r>
              <w:rPr>
                <w:rFonts w:ascii="Times New Roman" w:hAnsi="Times New Roman" w:eastAsia="Times New Roman" w:cs="Times New Roman"/>
                <w:color w:val="auto"/>
                <w:sz w:val="16"/>
                <w:szCs w:val="16"/>
              </w:rPr>
              <w:t>R</w:t>
            </w:r>
          </w:p>
        </w:tc>
        <w:tc>
          <w:tcPr>
            <w:tcW w:w="2550" w:type="dxa"/>
            <w:shd w:val="clear" w:color="auto" w:fill="D9D9D9"/>
            <w:vAlign w:val="bottom"/>
          </w:tcPr>
          <w:p>
            <w:pPr>
              <w:spacing w:after="0"/>
              <w:ind w:left="50"/>
              <w:rPr>
                <w:color w:val="auto"/>
                <w:sz w:val="20"/>
                <w:szCs w:val="20"/>
              </w:rPr>
            </w:pPr>
            <w:r>
              <w:rPr>
                <w:rFonts w:ascii="Times New Roman" w:hAnsi="Times New Roman" w:eastAsia="Times New Roman" w:cs="Times New Roman"/>
                <w:color w:val="auto"/>
                <w:sz w:val="16"/>
                <w:szCs w:val="16"/>
              </w:rPr>
              <w:t>CACTTTGATGAACAAGGCATTC</w:t>
            </w:r>
          </w:p>
        </w:tc>
        <w:tc>
          <w:tcPr>
            <w:tcW w:w="40" w:type="dxa"/>
            <w:gridSpan w:val="2"/>
            <w:vAlign w:val="bottom"/>
          </w:tcPr>
          <w:p>
            <w:pPr>
              <w:spacing w:after="0"/>
              <w:rPr>
                <w:color w:val="auto"/>
                <w:sz w:val="17"/>
                <w:szCs w:val="1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20" w:hRule="atLeast"/>
        </w:trPr>
        <w:tc>
          <w:tcPr>
            <w:tcW w:w="2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shd w:val="clear" w:color="auto" w:fill="D9D9D9"/>
            <w:vAlign w:val="bottom"/>
          </w:tcPr>
          <w:p>
            <w:pPr>
              <w:spacing w:after="0"/>
              <w:rPr>
                <w:color w:val="auto"/>
                <w:sz w:val="24"/>
                <w:szCs w:val="24"/>
              </w:rPr>
            </w:pPr>
          </w:p>
        </w:tc>
        <w:tc>
          <w:tcPr>
            <w:tcW w:w="940" w:type="dxa"/>
            <w:tcBorders>
              <w:bottom w:val="single" w:color="auto" w:sz="8" w:space="0"/>
            </w:tcBorders>
            <w:shd w:val="clear" w:color="auto" w:fill="D9D9D9"/>
            <w:vAlign w:val="bottom"/>
          </w:tcPr>
          <w:p>
            <w:pPr>
              <w:spacing w:after="0"/>
              <w:rPr>
                <w:color w:val="auto"/>
                <w:sz w:val="24"/>
                <w:szCs w:val="24"/>
              </w:rPr>
            </w:pPr>
          </w:p>
        </w:tc>
        <w:tc>
          <w:tcPr>
            <w:tcW w:w="120" w:type="dxa"/>
            <w:tcBorders>
              <w:bottom w:val="single" w:color="auto" w:sz="8" w:space="0"/>
            </w:tcBorders>
            <w:shd w:val="clear" w:color="auto" w:fill="D9D9D9"/>
            <w:vAlign w:val="bottom"/>
          </w:tcPr>
          <w:p>
            <w:pPr>
              <w:spacing w:after="0"/>
              <w:rPr>
                <w:color w:val="auto"/>
                <w:sz w:val="24"/>
                <w:szCs w:val="24"/>
              </w:rPr>
            </w:pPr>
          </w:p>
        </w:tc>
        <w:tc>
          <w:tcPr>
            <w:tcW w:w="410" w:type="dxa"/>
            <w:tcBorders>
              <w:bottom w:val="single" w:color="auto" w:sz="8" w:space="0"/>
            </w:tcBorders>
            <w:shd w:val="clear" w:color="auto" w:fill="D9D9D9"/>
            <w:vAlign w:val="bottom"/>
          </w:tcPr>
          <w:p>
            <w:pPr>
              <w:spacing w:after="0"/>
              <w:rPr>
                <w:color w:val="auto"/>
                <w:sz w:val="24"/>
                <w:szCs w:val="24"/>
              </w:rPr>
            </w:pPr>
          </w:p>
        </w:tc>
        <w:tc>
          <w:tcPr>
            <w:tcW w:w="2550" w:type="dxa"/>
            <w:tcBorders>
              <w:bottom w:val="single" w:color="auto" w:sz="8" w:space="0"/>
            </w:tcBorders>
            <w:shd w:val="clear" w:color="auto" w:fill="D9D9D9"/>
            <w:vAlign w:val="bottom"/>
          </w:tcPr>
          <w:p>
            <w:pPr>
              <w:spacing w:after="0"/>
              <w:rPr>
                <w:color w:val="auto"/>
                <w:sz w:val="24"/>
                <w:szCs w:val="24"/>
              </w:rPr>
            </w:pPr>
          </w:p>
        </w:tc>
        <w:tc>
          <w:tcPr>
            <w:tcW w:w="40" w:type="dxa"/>
            <w:gridSpan w:val="2"/>
            <w:tcBorders>
              <w:bottom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98" w:hRule="atLeast"/>
        </w:trPr>
        <w:tc>
          <w:tcPr>
            <w:tcW w:w="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940" w:type="dxa"/>
            <w:vAlign w:val="bottom"/>
          </w:tcPr>
          <w:p>
            <w:pPr>
              <w:spacing w:after="0"/>
              <w:rPr>
                <w:color w:val="auto"/>
                <w:sz w:val="17"/>
                <w:szCs w:val="17"/>
              </w:rPr>
            </w:pPr>
          </w:p>
        </w:tc>
        <w:tc>
          <w:tcPr>
            <w:tcW w:w="120" w:type="dxa"/>
            <w:vAlign w:val="bottom"/>
          </w:tcPr>
          <w:p>
            <w:pPr>
              <w:spacing w:after="0"/>
              <w:rPr>
                <w:color w:val="auto"/>
                <w:sz w:val="17"/>
                <w:szCs w:val="17"/>
              </w:rPr>
            </w:pPr>
          </w:p>
        </w:tc>
        <w:tc>
          <w:tcPr>
            <w:tcW w:w="410" w:type="dxa"/>
            <w:vAlign w:val="bottom"/>
          </w:tcPr>
          <w:p>
            <w:pPr>
              <w:spacing w:after="0"/>
              <w:ind w:left="100"/>
              <w:rPr>
                <w:color w:val="auto"/>
                <w:sz w:val="20"/>
                <w:szCs w:val="20"/>
              </w:rPr>
            </w:pPr>
            <w:r>
              <w:rPr>
                <w:rFonts w:ascii="Times New Roman" w:hAnsi="Times New Roman" w:eastAsia="Times New Roman" w:cs="Times New Roman"/>
                <w:color w:val="auto"/>
                <w:sz w:val="16"/>
                <w:szCs w:val="16"/>
              </w:rPr>
              <w:t>F</w:t>
            </w:r>
          </w:p>
        </w:tc>
        <w:tc>
          <w:tcPr>
            <w:tcW w:w="2550" w:type="dxa"/>
            <w:vAlign w:val="bottom"/>
          </w:tcPr>
          <w:p>
            <w:pPr>
              <w:spacing w:after="0"/>
              <w:ind w:left="50"/>
              <w:rPr>
                <w:color w:val="auto"/>
                <w:sz w:val="20"/>
                <w:szCs w:val="20"/>
              </w:rPr>
            </w:pPr>
            <w:r>
              <w:rPr>
                <w:rFonts w:ascii="Times New Roman" w:hAnsi="Times New Roman" w:eastAsia="Times New Roman" w:cs="Times New Roman"/>
                <w:color w:val="auto"/>
                <w:sz w:val="16"/>
                <w:szCs w:val="16"/>
              </w:rPr>
              <w:t>CTATGTGCTGCACTTGCCC</w:t>
            </w:r>
          </w:p>
        </w:tc>
        <w:tc>
          <w:tcPr>
            <w:tcW w:w="40" w:type="dxa"/>
            <w:gridSpan w:val="2"/>
            <w:vAlign w:val="bottom"/>
          </w:tcPr>
          <w:p>
            <w:pPr>
              <w:spacing w:after="0"/>
              <w:rPr>
                <w:color w:val="auto"/>
                <w:sz w:val="17"/>
                <w:szCs w:val="1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320" w:hRule="atLeast"/>
        </w:trPr>
        <w:tc>
          <w:tcPr>
            <w:tcW w:w="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60" w:type="dxa"/>
            <w:gridSpan w:val="2"/>
            <w:vMerge w:val="restart"/>
            <w:vAlign w:val="bottom"/>
          </w:tcPr>
          <w:p>
            <w:pPr>
              <w:spacing w:after="0"/>
              <w:rPr>
                <w:color w:val="auto"/>
                <w:sz w:val="20"/>
                <w:szCs w:val="20"/>
              </w:rPr>
            </w:pPr>
            <w:r>
              <w:rPr>
                <w:rFonts w:ascii="Times New Roman" w:hAnsi="Times New Roman" w:eastAsia="Times New Roman" w:cs="Times New Roman"/>
                <w:b/>
                <w:bCs/>
                <w:color w:val="auto"/>
                <w:sz w:val="16"/>
                <w:szCs w:val="16"/>
              </w:rPr>
              <w:t>Cyp27A1</w:t>
            </w:r>
          </w:p>
        </w:tc>
        <w:tc>
          <w:tcPr>
            <w:tcW w:w="410" w:type="dxa"/>
            <w:tcBorders>
              <w:bottom w:val="single" w:color="auto" w:sz="8" w:space="0"/>
            </w:tcBorders>
            <w:vAlign w:val="bottom"/>
          </w:tcPr>
          <w:p>
            <w:pPr>
              <w:spacing w:after="0"/>
              <w:rPr>
                <w:color w:val="auto"/>
                <w:sz w:val="24"/>
                <w:szCs w:val="24"/>
              </w:rPr>
            </w:pPr>
          </w:p>
        </w:tc>
        <w:tc>
          <w:tcPr>
            <w:tcW w:w="2570" w:type="dxa"/>
            <w:gridSpan w:val="2"/>
            <w:tcBorders>
              <w:bottom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98" w:hRule="atLeast"/>
        </w:trPr>
        <w:tc>
          <w:tcPr>
            <w:tcW w:w="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1060" w:type="dxa"/>
            <w:gridSpan w:val="2"/>
            <w:vMerge w:val="continue"/>
            <w:vAlign w:val="bottom"/>
          </w:tcPr>
          <w:p>
            <w:pPr>
              <w:spacing w:after="0"/>
              <w:rPr>
                <w:color w:val="auto"/>
                <w:sz w:val="17"/>
                <w:szCs w:val="17"/>
              </w:rPr>
            </w:pPr>
          </w:p>
        </w:tc>
        <w:tc>
          <w:tcPr>
            <w:tcW w:w="410" w:type="dxa"/>
            <w:vAlign w:val="bottom"/>
          </w:tcPr>
          <w:p>
            <w:pPr>
              <w:spacing w:after="0"/>
              <w:ind w:left="100"/>
              <w:rPr>
                <w:color w:val="auto"/>
                <w:sz w:val="20"/>
                <w:szCs w:val="20"/>
              </w:rPr>
            </w:pPr>
            <w:r>
              <w:rPr>
                <w:rFonts w:ascii="Times New Roman" w:hAnsi="Times New Roman" w:eastAsia="Times New Roman" w:cs="Times New Roman"/>
                <w:color w:val="auto"/>
                <w:sz w:val="16"/>
                <w:szCs w:val="16"/>
              </w:rPr>
              <w:t>R</w:t>
            </w:r>
          </w:p>
        </w:tc>
        <w:tc>
          <w:tcPr>
            <w:tcW w:w="2570" w:type="dxa"/>
            <w:gridSpan w:val="2"/>
            <w:vAlign w:val="bottom"/>
          </w:tcPr>
          <w:p>
            <w:pPr>
              <w:spacing w:after="0"/>
              <w:ind w:left="50"/>
              <w:rPr>
                <w:color w:val="auto"/>
                <w:sz w:val="20"/>
                <w:szCs w:val="20"/>
              </w:rPr>
            </w:pPr>
            <w:r>
              <w:rPr>
                <w:rFonts w:ascii="Times New Roman" w:hAnsi="Times New Roman" w:eastAsia="Times New Roman" w:cs="Times New Roman"/>
                <w:color w:val="auto"/>
                <w:sz w:val="16"/>
                <w:szCs w:val="16"/>
              </w:rPr>
              <w:t>GCCATGCACCTGAGAGAATC</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20" w:hRule="atLeast"/>
        </w:trPr>
        <w:tc>
          <w:tcPr>
            <w:tcW w:w="2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410" w:type="dxa"/>
            <w:tcBorders>
              <w:bottom w:val="single" w:color="auto" w:sz="8" w:space="0"/>
            </w:tcBorders>
            <w:vAlign w:val="bottom"/>
          </w:tcPr>
          <w:p>
            <w:pPr>
              <w:spacing w:after="0"/>
              <w:rPr>
                <w:color w:val="auto"/>
                <w:sz w:val="24"/>
                <w:szCs w:val="24"/>
              </w:rPr>
            </w:pPr>
          </w:p>
        </w:tc>
        <w:tc>
          <w:tcPr>
            <w:tcW w:w="2550" w:type="dxa"/>
            <w:tcBorders>
              <w:bottom w:val="single" w:color="auto" w:sz="8" w:space="0"/>
            </w:tcBorders>
            <w:vAlign w:val="bottom"/>
          </w:tcPr>
          <w:p>
            <w:pPr>
              <w:spacing w:after="0"/>
              <w:rPr>
                <w:color w:val="auto"/>
                <w:sz w:val="24"/>
                <w:szCs w:val="24"/>
              </w:rPr>
            </w:pPr>
          </w:p>
        </w:tc>
        <w:tc>
          <w:tcPr>
            <w:tcW w:w="40" w:type="dxa"/>
            <w:gridSpan w:val="2"/>
            <w:tcBorders>
              <w:bottom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00" w:hRule="atLeast"/>
        </w:trPr>
        <w:tc>
          <w:tcPr>
            <w:tcW w:w="20" w:type="dxa"/>
            <w:vAlign w:val="bottom"/>
          </w:tcPr>
          <w:p>
            <w:pPr>
              <w:spacing w:after="0"/>
              <w:rPr>
                <w:color w:val="auto"/>
                <w:sz w:val="17"/>
                <w:szCs w:val="17"/>
              </w:rPr>
            </w:pPr>
          </w:p>
        </w:tc>
        <w:tc>
          <w:tcPr>
            <w:tcW w:w="100" w:type="dxa"/>
            <w:shd w:val="clear" w:color="auto" w:fill="D9D9D9"/>
            <w:vAlign w:val="bottom"/>
          </w:tcPr>
          <w:p>
            <w:pPr>
              <w:spacing w:after="0"/>
              <w:rPr>
                <w:color w:val="auto"/>
                <w:sz w:val="17"/>
                <w:szCs w:val="17"/>
              </w:rPr>
            </w:pPr>
          </w:p>
        </w:tc>
        <w:tc>
          <w:tcPr>
            <w:tcW w:w="940" w:type="dxa"/>
            <w:shd w:val="clear" w:color="auto" w:fill="D9D9D9"/>
            <w:vAlign w:val="bottom"/>
          </w:tcPr>
          <w:p>
            <w:pPr>
              <w:spacing w:after="0"/>
              <w:rPr>
                <w:color w:val="auto"/>
                <w:sz w:val="17"/>
                <w:szCs w:val="17"/>
              </w:rPr>
            </w:pPr>
          </w:p>
        </w:tc>
        <w:tc>
          <w:tcPr>
            <w:tcW w:w="120" w:type="dxa"/>
            <w:shd w:val="clear" w:color="auto" w:fill="D9D9D9"/>
            <w:vAlign w:val="bottom"/>
          </w:tcPr>
          <w:p>
            <w:pPr>
              <w:spacing w:after="0"/>
              <w:rPr>
                <w:color w:val="auto"/>
                <w:sz w:val="17"/>
                <w:szCs w:val="17"/>
              </w:rPr>
            </w:pPr>
          </w:p>
        </w:tc>
        <w:tc>
          <w:tcPr>
            <w:tcW w:w="410" w:type="dxa"/>
            <w:shd w:val="clear" w:color="auto" w:fill="D9D9D9"/>
            <w:vAlign w:val="bottom"/>
          </w:tcPr>
          <w:p>
            <w:pPr>
              <w:spacing w:after="0"/>
              <w:ind w:left="100"/>
              <w:rPr>
                <w:color w:val="auto"/>
                <w:sz w:val="20"/>
                <w:szCs w:val="20"/>
              </w:rPr>
            </w:pPr>
            <w:r>
              <w:rPr>
                <w:rFonts w:ascii="Times New Roman" w:hAnsi="Times New Roman" w:eastAsia="Times New Roman" w:cs="Times New Roman"/>
                <w:color w:val="auto"/>
                <w:sz w:val="16"/>
                <w:szCs w:val="16"/>
              </w:rPr>
              <w:t>F</w:t>
            </w:r>
          </w:p>
        </w:tc>
        <w:tc>
          <w:tcPr>
            <w:tcW w:w="2550" w:type="dxa"/>
            <w:shd w:val="clear" w:color="auto" w:fill="D9D9D9"/>
            <w:vAlign w:val="bottom"/>
          </w:tcPr>
          <w:p>
            <w:pPr>
              <w:spacing w:after="0"/>
              <w:ind w:left="50"/>
              <w:rPr>
                <w:color w:val="auto"/>
                <w:sz w:val="20"/>
                <w:szCs w:val="20"/>
              </w:rPr>
            </w:pPr>
            <w:r>
              <w:rPr>
                <w:rFonts w:ascii="Times New Roman" w:hAnsi="Times New Roman" w:eastAsia="Times New Roman" w:cs="Times New Roman"/>
                <w:color w:val="auto"/>
                <w:sz w:val="16"/>
                <w:szCs w:val="16"/>
              </w:rPr>
              <w:t>CTCAGCTTCCTGGCTGAACT</w:t>
            </w:r>
          </w:p>
        </w:tc>
        <w:tc>
          <w:tcPr>
            <w:tcW w:w="40" w:type="dxa"/>
            <w:gridSpan w:val="2"/>
            <w:vAlign w:val="bottom"/>
          </w:tcPr>
          <w:p>
            <w:pPr>
              <w:spacing w:after="0"/>
              <w:rPr>
                <w:color w:val="auto"/>
                <w:sz w:val="17"/>
                <w:szCs w:val="1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20" w:hRule="atLeast"/>
        </w:trPr>
        <w:tc>
          <w:tcPr>
            <w:tcW w:w="20" w:type="dxa"/>
            <w:vAlign w:val="bottom"/>
          </w:tcPr>
          <w:p>
            <w:pPr>
              <w:spacing w:after="0"/>
              <w:rPr>
                <w:color w:val="auto"/>
                <w:sz w:val="24"/>
                <w:szCs w:val="24"/>
              </w:rPr>
            </w:pPr>
          </w:p>
        </w:tc>
        <w:tc>
          <w:tcPr>
            <w:tcW w:w="100" w:type="dxa"/>
            <w:tcBorders>
              <w:bottom w:val="single" w:color="D9D9D9" w:sz="8" w:space="0"/>
            </w:tcBorders>
            <w:shd w:val="clear" w:color="auto" w:fill="D9D9D9"/>
            <w:vAlign w:val="bottom"/>
          </w:tcPr>
          <w:p>
            <w:pPr>
              <w:spacing w:after="0"/>
              <w:rPr>
                <w:color w:val="auto"/>
                <w:sz w:val="24"/>
                <w:szCs w:val="24"/>
              </w:rPr>
            </w:pPr>
          </w:p>
        </w:tc>
        <w:tc>
          <w:tcPr>
            <w:tcW w:w="940" w:type="dxa"/>
            <w:vMerge w:val="restart"/>
            <w:tcBorders>
              <w:bottom w:val="single" w:color="D9D9D9" w:sz="8" w:space="0"/>
            </w:tcBorders>
            <w:shd w:val="clear" w:color="auto" w:fill="D9D9D9"/>
            <w:vAlign w:val="bottom"/>
          </w:tcPr>
          <w:p>
            <w:pPr>
              <w:spacing w:after="0"/>
              <w:rPr>
                <w:color w:val="auto"/>
                <w:sz w:val="20"/>
                <w:szCs w:val="20"/>
              </w:rPr>
            </w:pPr>
            <w:r>
              <w:rPr>
                <w:rFonts w:ascii="Times New Roman" w:hAnsi="Times New Roman" w:eastAsia="Times New Roman" w:cs="Times New Roman"/>
                <w:b/>
                <w:bCs/>
                <w:color w:val="auto"/>
                <w:sz w:val="16"/>
                <w:szCs w:val="16"/>
              </w:rPr>
              <w:t>Cyp27B1</w:t>
            </w:r>
          </w:p>
        </w:tc>
        <w:tc>
          <w:tcPr>
            <w:tcW w:w="120" w:type="dxa"/>
            <w:tcBorders>
              <w:bottom w:val="single" w:color="D9D9D9" w:sz="8" w:space="0"/>
            </w:tcBorders>
            <w:shd w:val="clear" w:color="auto" w:fill="D9D9D9"/>
            <w:vAlign w:val="bottom"/>
          </w:tcPr>
          <w:p>
            <w:pPr>
              <w:spacing w:after="0"/>
              <w:rPr>
                <w:color w:val="auto"/>
                <w:sz w:val="24"/>
                <w:szCs w:val="24"/>
              </w:rPr>
            </w:pPr>
          </w:p>
        </w:tc>
        <w:tc>
          <w:tcPr>
            <w:tcW w:w="410" w:type="dxa"/>
            <w:tcBorders>
              <w:bottom w:val="single" w:color="auto" w:sz="8" w:space="0"/>
            </w:tcBorders>
            <w:shd w:val="clear" w:color="auto" w:fill="D9D9D9"/>
            <w:vAlign w:val="bottom"/>
          </w:tcPr>
          <w:p>
            <w:pPr>
              <w:spacing w:after="0"/>
              <w:rPr>
                <w:color w:val="auto"/>
                <w:sz w:val="24"/>
                <w:szCs w:val="24"/>
              </w:rPr>
            </w:pPr>
          </w:p>
        </w:tc>
        <w:tc>
          <w:tcPr>
            <w:tcW w:w="2550" w:type="dxa"/>
            <w:tcBorders>
              <w:bottom w:val="single" w:color="auto" w:sz="8" w:space="0"/>
            </w:tcBorders>
            <w:shd w:val="clear" w:color="auto" w:fill="D9D9D9"/>
            <w:vAlign w:val="bottom"/>
          </w:tcPr>
          <w:p>
            <w:pPr>
              <w:spacing w:after="0"/>
              <w:rPr>
                <w:color w:val="auto"/>
                <w:sz w:val="24"/>
                <w:szCs w:val="24"/>
              </w:rPr>
            </w:pPr>
          </w:p>
        </w:tc>
        <w:tc>
          <w:tcPr>
            <w:tcW w:w="40" w:type="dxa"/>
            <w:gridSpan w:val="2"/>
            <w:tcBorders>
              <w:bottom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98" w:hRule="atLeast"/>
        </w:trPr>
        <w:tc>
          <w:tcPr>
            <w:tcW w:w="20" w:type="dxa"/>
            <w:vAlign w:val="bottom"/>
          </w:tcPr>
          <w:p>
            <w:pPr>
              <w:spacing w:after="0"/>
              <w:rPr>
                <w:color w:val="auto"/>
                <w:sz w:val="17"/>
                <w:szCs w:val="17"/>
              </w:rPr>
            </w:pPr>
          </w:p>
        </w:tc>
        <w:tc>
          <w:tcPr>
            <w:tcW w:w="100" w:type="dxa"/>
            <w:shd w:val="clear" w:color="auto" w:fill="D9D9D9"/>
            <w:vAlign w:val="bottom"/>
          </w:tcPr>
          <w:p>
            <w:pPr>
              <w:spacing w:after="0"/>
              <w:rPr>
                <w:color w:val="auto"/>
                <w:sz w:val="17"/>
                <w:szCs w:val="17"/>
              </w:rPr>
            </w:pPr>
          </w:p>
        </w:tc>
        <w:tc>
          <w:tcPr>
            <w:tcW w:w="940" w:type="dxa"/>
            <w:vMerge w:val="continue"/>
            <w:shd w:val="clear" w:color="auto" w:fill="D9D9D9"/>
            <w:vAlign w:val="bottom"/>
          </w:tcPr>
          <w:p>
            <w:pPr>
              <w:spacing w:after="0"/>
              <w:rPr>
                <w:color w:val="auto"/>
                <w:sz w:val="17"/>
                <w:szCs w:val="17"/>
              </w:rPr>
            </w:pPr>
          </w:p>
        </w:tc>
        <w:tc>
          <w:tcPr>
            <w:tcW w:w="120" w:type="dxa"/>
            <w:shd w:val="clear" w:color="auto" w:fill="D9D9D9"/>
            <w:vAlign w:val="bottom"/>
          </w:tcPr>
          <w:p>
            <w:pPr>
              <w:spacing w:after="0"/>
              <w:rPr>
                <w:color w:val="auto"/>
                <w:sz w:val="17"/>
                <w:szCs w:val="17"/>
              </w:rPr>
            </w:pPr>
          </w:p>
        </w:tc>
        <w:tc>
          <w:tcPr>
            <w:tcW w:w="410" w:type="dxa"/>
            <w:shd w:val="clear" w:color="auto" w:fill="D9D9D9"/>
            <w:vAlign w:val="bottom"/>
          </w:tcPr>
          <w:p>
            <w:pPr>
              <w:spacing w:after="0"/>
              <w:ind w:left="100"/>
              <w:rPr>
                <w:color w:val="auto"/>
                <w:sz w:val="20"/>
                <w:szCs w:val="20"/>
              </w:rPr>
            </w:pPr>
            <w:r>
              <w:rPr>
                <w:rFonts w:ascii="Times New Roman" w:hAnsi="Times New Roman" w:eastAsia="Times New Roman" w:cs="Times New Roman"/>
                <w:color w:val="auto"/>
                <w:sz w:val="16"/>
                <w:szCs w:val="16"/>
              </w:rPr>
              <w:t>R</w:t>
            </w:r>
          </w:p>
        </w:tc>
        <w:tc>
          <w:tcPr>
            <w:tcW w:w="2550" w:type="dxa"/>
            <w:shd w:val="clear" w:color="auto" w:fill="D9D9D9"/>
            <w:vAlign w:val="bottom"/>
          </w:tcPr>
          <w:p>
            <w:pPr>
              <w:spacing w:after="0"/>
              <w:ind w:left="50"/>
              <w:rPr>
                <w:color w:val="auto"/>
                <w:sz w:val="20"/>
                <w:szCs w:val="20"/>
              </w:rPr>
            </w:pPr>
            <w:r>
              <w:rPr>
                <w:rFonts w:ascii="Times New Roman" w:hAnsi="Times New Roman" w:eastAsia="Times New Roman" w:cs="Times New Roman"/>
                <w:color w:val="auto"/>
                <w:sz w:val="16"/>
                <w:szCs w:val="16"/>
              </w:rPr>
              <w:t>GCCATGCACCTGAGAGAATC</w:t>
            </w:r>
          </w:p>
        </w:tc>
        <w:tc>
          <w:tcPr>
            <w:tcW w:w="40" w:type="dxa"/>
            <w:gridSpan w:val="2"/>
            <w:vAlign w:val="bottom"/>
          </w:tcPr>
          <w:p>
            <w:pPr>
              <w:spacing w:after="0"/>
              <w:rPr>
                <w:color w:val="auto"/>
                <w:sz w:val="17"/>
                <w:szCs w:val="1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20" w:hRule="atLeast"/>
        </w:trPr>
        <w:tc>
          <w:tcPr>
            <w:tcW w:w="2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shd w:val="clear" w:color="auto" w:fill="D9D9D9"/>
            <w:vAlign w:val="bottom"/>
          </w:tcPr>
          <w:p>
            <w:pPr>
              <w:spacing w:after="0"/>
              <w:rPr>
                <w:color w:val="auto"/>
                <w:sz w:val="24"/>
                <w:szCs w:val="24"/>
              </w:rPr>
            </w:pPr>
          </w:p>
        </w:tc>
        <w:tc>
          <w:tcPr>
            <w:tcW w:w="940" w:type="dxa"/>
            <w:tcBorders>
              <w:bottom w:val="single" w:color="auto" w:sz="8" w:space="0"/>
            </w:tcBorders>
            <w:shd w:val="clear" w:color="auto" w:fill="D9D9D9"/>
            <w:vAlign w:val="bottom"/>
          </w:tcPr>
          <w:p>
            <w:pPr>
              <w:spacing w:after="0"/>
              <w:rPr>
                <w:color w:val="auto"/>
                <w:sz w:val="24"/>
                <w:szCs w:val="24"/>
              </w:rPr>
            </w:pPr>
          </w:p>
        </w:tc>
        <w:tc>
          <w:tcPr>
            <w:tcW w:w="120" w:type="dxa"/>
            <w:tcBorders>
              <w:bottom w:val="single" w:color="auto" w:sz="8" w:space="0"/>
            </w:tcBorders>
            <w:shd w:val="clear" w:color="auto" w:fill="D9D9D9"/>
            <w:vAlign w:val="bottom"/>
          </w:tcPr>
          <w:p>
            <w:pPr>
              <w:spacing w:after="0"/>
              <w:rPr>
                <w:color w:val="auto"/>
                <w:sz w:val="24"/>
                <w:szCs w:val="24"/>
              </w:rPr>
            </w:pPr>
          </w:p>
        </w:tc>
        <w:tc>
          <w:tcPr>
            <w:tcW w:w="410" w:type="dxa"/>
            <w:tcBorders>
              <w:bottom w:val="single" w:color="auto" w:sz="8" w:space="0"/>
            </w:tcBorders>
            <w:shd w:val="clear" w:color="auto" w:fill="D9D9D9"/>
            <w:vAlign w:val="bottom"/>
          </w:tcPr>
          <w:p>
            <w:pPr>
              <w:spacing w:after="0"/>
              <w:rPr>
                <w:color w:val="auto"/>
                <w:sz w:val="24"/>
                <w:szCs w:val="24"/>
              </w:rPr>
            </w:pPr>
          </w:p>
        </w:tc>
        <w:tc>
          <w:tcPr>
            <w:tcW w:w="2550" w:type="dxa"/>
            <w:tcBorders>
              <w:bottom w:val="single" w:color="auto" w:sz="8" w:space="0"/>
            </w:tcBorders>
            <w:shd w:val="clear" w:color="auto" w:fill="D9D9D9"/>
            <w:vAlign w:val="bottom"/>
          </w:tcPr>
          <w:p>
            <w:pPr>
              <w:spacing w:after="0"/>
              <w:rPr>
                <w:color w:val="auto"/>
                <w:sz w:val="24"/>
                <w:szCs w:val="24"/>
              </w:rPr>
            </w:pPr>
          </w:p>
        </w:tc>
        <w:tc>
          <w:tcPr>
            <w:tcW w:w="40" w:type="dxa"/>
            <w:gridSpan w:val="2"/>
            <w:tcBorders>
              <w:bottom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98" w:hRule="atLeast"/>
        </w:trPr>
        <w:tc>
          <w:tcPr>
            <w:tcW w:w="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940" w:type="dxa"/>
            <w:vAlign w:val="bottom"/>
          </w:tcPr>
          <w:p>
            <w:pPr>
              <w:spacing w:after="0"/>
              <w:rPr>
                <w:color w:val="auto"/>
                <w:sz w:val="17"/>
                <w:szCs w:val="17"/>
              </w:rPr>
            </w:pPr>
          </w:p>
        </w:tc>
        <w:tc>
          <w:tcPr>
            <w:tcW w:w="120" w:type="dxa"/>
            <w:vAlign w:val="bottom"/>
          </w:tcPr>
          <w:p>
            <w:pPr>
              <w:spacing w:after="0"/>
              <w:rPr>
                <w:color w:val="auto"/>
                <w:sz w:val="17"/>
                <w:szCs w:val="17"/>
              </w:rPr>
            </w:pPr>
          </w:p>
        </w:tc>
        <w:tc>
          <w:tcPr>
            <w:tcW w:w="410" w:type="dxa"/>
            <w:vAlign w:val="bottom"/>
          </w:tcPr>
          <w:p>
            <w:pPr>
              <w:spacing w:after="0"/>
              <w:ind w:left="100"/>
              <w:rPr>
                <w:color w:val="auto"/>
                <w:sz w:val="20"/>
                <w:szCs w:val="20"/>
              </w:rPr>
            </w:pPr>
            <w:r>
              <w:rPr>
                <w:rFonts w:ascii="Times New Roman" w:hAnsi="Times New Roman" w:eastAsia="Times New Roman" w:cs="Times New Roman"/>
                <w:color w:val="auto"/>
                <w:sz w:val="16"/>
                <w:szCs w:val="16"/>
              </w:rPr>
              <w:t>F</w:t>
            </w:r>
          </w:p>
        </w:tc>
        <w:tc>
          <w:tcPr>
            <w:tcW w:w="2550" w:type="dxa"/>
            <w:vAlign w:val="bottom"/>
          </w:tcPr>
          <w:p>
            <w:pPr>
              <w:spacing w:after="0"/>
              <w:ind w:left="50"/>
              <w:rPr>
                <w:color w:val="auto"/>
                <w:sz w:val="20"/>
                <w:szCs w:val="20"/>
              </w:rPr>
            </w:pPr>
            <w:r>
              <w:rPr>
                <w:rFonts w:ascii="Times New Roman" w:hAnsi="Times New Roman" w:eastAsia="Times New Roman" w:cs="Times New Roman"/>
                <w:color w:val="auto"/>
                <w:sz w:val="16"/>
                <w:szCs w:val="16"/>
              </w:rPr>
              <w:t>AACTGTACGCTGCTGTCACG</w:t>
            </w:r>
          </w:p>
        </w:tc>
        <w:tc>
          <w:tcPr>
            <w:tcW w:w="40" w:type="dxa"/>
            <w:gridSpan w:val="2"/>
            <w:vAlign w:val="bottom"/>
          </w:tcPr>
          <w:p>
            <w:pPr>
              <w:spacing w:after="0"/>
              <w:rPr>
                <w:color w:val="auto"/>
                <w:sz w:val="17"/>
                <w:szCs w:val="1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320" w:hRule="atLeast"/>
        </w:trPr>
        <w:tc>
          <w:tcPr>
            <w:tcW w:w="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60" w:type="dxa"/>
            <w:gridSpan w:val="2"/>
            <w:vMerge w:val="restart"/>
            <w:vAlign w:val="bottom"/>
          </w:tcPr>
          <w:p>
            <w:pPr>
              <w:spacing w:after="0"/>
              <w:rPr>
                <w:color w:val="auto"/>
                <w:sz w:val="20"/>
                <w:szCs w:val="20"/>
              </w:rPr>
            </w:pPr>
            <w:r>
              <w:rPr>
                <w:rFonts w:ascii="Times New Roman" w:hAnsi="Times New Roman" w:eastAsia="Times New Roman" w:cs="Times New Roman"/>
                <w:b/>
                <w:bCs/>
                <w:color w:val="auto"/>
                <w:sz w:val="16"/>
                <w:szCs w:val="16"/>
              </w:rPr>
              <w:t>Cyp24A1</w:t>
            </w:r>
          </w:p>
        </w:tc>
        <w:tc>
          <w:tcPr>
            <w:tcW w:w="410" w:type="dxa"/>
            <w:tcBorders>
              <w:bottom w:val="single" w:color="auto" w:sz="8" w:space="0"/>
            </w:tcBorders>
            <w:vAlign w:val="bottom"/>
          </w:tcPr>
          <w:p>
            <w:pPr>
              <w:spacing w:after="0"/>
              <w:rPr>
                <w:color w:val="auto"/>
                <w:sz w:val="24"/>
                <w:szCs w:val="24"/>
              </w:rPr>
            </w:pPr>
          </w:p>
        </w:tc>
        <w:tc>
          <w:tcPr>
            <w:tcW w:w="2570" w:type="dxa"/>
            <w:gridSpan w:val="2"/>
            <w:tcBorders>
              <w:bottom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98" w:hRule="atLeast"/>
        </w:trPr>
        <w:tc>
          <w:tcPr>
            <w:tcW w:w="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1060" w:type="dxa"/>
            <w:gridSpan w:val="2"/>
            <w:vMerge w:val="continue"/>
            <w:vAlign w:val="bottom"/>
          </w:tcPr>
          <w:p>
            <w:pPr>
              <w:spacing w:after="0"/>
              <w:rPr>
                <w:color w:val="auto"/>
                <w:sz w:val="17"/>
                <w:szCs w:val="17"/>
              </w:rPr>
            </w:pPr>
          </w:p>
        </w:tc>
        <w:tc>
          <w:tcPr>
            <w:tcW w:w="410" w:type="dxa"/>
            <w:vAlign w:val="bottom"/>
          </w:tcPr>
          <w:p>
            <w:pPr>
              <w:spacing w:after="0"/>
              <w:ind w:left="100"/>
              <w:rPr>
                <w:color w:val="auto"/>
                <w:sz w:val="20"/>
                <w:szCs w:val="20"/>
              </w:rPr>
            </w:pPr>
            <w:r>
              <w:rPr>
                <w:rFonts w:ascii="Times New Roman" w:hAnsi="Times New Roman" w:eastAsia="Times New Roman" w:cs="Times New Roman"/>
                <w:color w:val="auto"/>
                <w:sz w:val="16"/>
                <w:szCs w:val="16"/>
              </w:rPr>
              <w:t>R</w:t>
            </w:r>
          </w:p>
        </w:tc>
        <w:tc>
          <w:tcPr>
            <w:tcW w:w="2570" w:type="dxa"/>
            <w:gridSpan w:val="2"/>
            <w:vAlign w:val="bottom"/>
          </w:tcPr>
          <w:p>
            <w:pPr>
              <w:spacing w:after="0"/>
              <w:ind w:left="50"/>
              <w:rPr>
                <w:color w:val="auto"/>
                <w:sz w:val="20"/>
                <w:szCs w:val="20"/>
              </w:rPr>
            </w:pPr>
            <w:r>
              <w:rPr>
                <w:rFonts w:ascii="Times New Roman" w:hAnsi="Times New Roman" w:eastAsia="Times New Roman" w:cs="Times New Roman"/>
                <w:color w:val="auto"/>
                <w:sz w:val="16"/>
                <w:szCs w:val="16"/>
              </w:rPr>
              <w:t>CTCTGTTGCACTTGGGGATT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20" w:hRule="atLeast"/>
        </w:trPr>
        <w:tc>
          <w:tcPr>
            <w:tcW w:w="2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vAlign w:val="bottom"/>
          </w:tcPr>
          <w:p>
            <w:pPr>
              <w:spacing w:after="0"/>
              <w:rPr>
                <w:color w:val="auto"/>
                <w:sz w:val="24"/>
                <w:szCs w:val="24"/>
              </w:rPr>
            </w:pPr>
          </w:p>
        </w:tc>
        <w:tc>
          <w:tcPr>
            <w:tcW w:w="940" w:type="dxa"/>
            <w:tcBorders>
              <w:bottom w:val="single" w:color="auto" w:sz="8" w:space="0"/>
            </w:tcBorders>
            <w:vAlign w:val="bottom"/>
          </w:tcPr>
          <w:p>
            <w:pPr>
              <w:spacing w:after="0"/>
              <w:rPr>
                <w:color w:val="auto"/>
                <w:sz w:val="24"/>
                <w:szCs w:val="24"/>
              </w:rPr>
            </w:pPr>
          </w:p>
        </w:tc>
        <w:tc>
          <w:tcPr>
            <w:tcW w:w="120" w:type="dxa"/>
            <w:tcBorders>
              <w:bottom w:val="single" w:color="auto" w:sz="8" w:space="0"/>
            </w:tcBorders>
            <w:vAlign w:val="bottom"/>
          </w:tcPr>
          <w:p>
            <w:pPr>
              <w:spacing w:after="0"/>
              <w:rPr>
                <w:color w:val="auto"/>
                <w:sz w:val="24"/>
                <w:szCs w:val="24"/>
              </w:rPr>
            </w:pPr>
          </w:p>
        </w:tc>
        <w:tc>
          <w:tcPr>
            <w:tcW w:w="410" w:type="dxa"/>
            <w:tcBorders>
              <w:bottom w:val="single" w:color="auto" w:sz="8" w:space="0"/>
            </w:tcBorders>
            <w:vAlign w:val="bottom"/>
          </w:tcPr>
          <w:p>
            <w:pPr>
              <w:spacing w:after="0"/>
              <w:rPr>
                <w:color w:val="auto"/>
                <w:sz w:val="24"/>
                <w:szCs w:val="24"/>
              </w:rPr>
            </w:pPr>
          </w:p>
        </w:tc>
        <w:tc>
          <w:tcPr>
            <w:tcW w:w="2550" w:type="dxa"/>
            <w:tcBorders>
              <w:bottom w:val="single" w:color="auto" w:sz="8" w:space="0"/>
            </w:tcBorders>
            <w:vAlign w:val="bottom"/>
          </w:tcPr>
          <w:p>
            <w:pPr>
              <w:spacing w:after="0"/>
              <w:rPr>
                <w:color w:val="auto"/>
                <w:sz w:val="24"/>
                <w:szCs w:val="24"/>
              </w:rPr>
            </w:pPr>
          </w:p>
        </w:tc>
        <w:tc>
          <w:tcPr>
            <w:tcW w:w="40" w:type="dxa"/>
            <w:gridSpan w:val="2"/>
            <w:tcBorders>
              <w:bottom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98" w:hRule="atLeast"/>
        </w:trPr>
        <w:tc>
          <w:tcPr>
            <w:tcW w:w="20" w:type="dxa"/>
            <w:vAlign w:val="bottom"/>
          </w:tcPr>
          <w:p>
            <w:pPr>
              <w:spacing w:after="0"/>
              <w:rPr>
                <w:color w:val="auto"/>
                <w:sz w:val="17"/>
                <w:szCs w:val="17"/>
              </w:rPr>
            </w:pPr>
          </w:p>
        </w:tc>
        <w:tc>
          <w:tcPr>
            <w:tcW w:w="100" w:type="dxa"/>
            <w:shd w:val="clear" w:color="auto" w:fill="D9D9D9"/>
            <w:vAlign w:val="bottom"/>
          </w:tcPr>
          <w:p>
            <w:pPr>
              <w:spacing w:after="0"/>
              <w:rPr>
                <w:color w:val="auto"/>
                <w:sz w:val="17"/>
                <w:szCs w:val="17"/>
              </w:rPr>
            </w:pPr>
          </w:p>
        </w:tc>
        <w:tc>
          <w:tcPr>
            <w:tcW w:w="940" w:type="dxa"/>
            <w:shd w:val="clear" w:color="auto" w:fill="D9D9D9"/>
            <w:vAlign w:val="bottom"/>
          </w:tcPr>
          <w:p>
            <w:pPr>
              <w:spacing w:after="0"/>
              <w:rPr>
                <w:color w:val="auto"/>
                <w:sz w:val="17"/>
                <w:szCs w:val="17"/>
              </w:rPr>
            </w:pPr>
          </w:p>
        </w:tc>
        <w:tc>
          <w:tcPr>
            <w:tcW w:w="120" w:type="dxa"/>
            <w:shd w:val="clear" w:color="auto" w:fill="D9D9D9"/>
            <w:vAlign w:val="bottom"/>
          </w:tcPr>
          <w:p>
            <w:pPr>
              <w:spacing w:after="0"/>
              <w:rPr>
                <w:color w:val="auto"/>
                <w:sz w:val="17"/>
                <w:szCs w:val="17"/>
              </w:rPr>
            </w:pPr>
          </w:p>
        </w:tc>
        <w:tc>
          <w:tcPr>
            <w:tcW w:w="410" w:type="dxa"/>
            <w:shd w:val="clear" w:color="auto" w:fill="D9D9D9"/>
            <w:vAlign w:val="bottom"/>
          </w:tcPr>
          <w:p>
            <w:pPr>
              <w:spacing w:after="0"/>
              <w:ind w:left="100"/>
              <w:rPr>
                <w:color w:val="auto"/>
                <w:sz w:val="20"/>
                <w:szCs w:val="20"/>
              </w:rPr>
            </w:pPr>
            <w:r>
              <w:rPr>
                <w:rFonts w:ascii="Times New Roman" w:hAnsi="Times New Roman" w:eastAsia="Times New Roman" w:cs="Times New Roman"/>
                <w:color w:val="auto"/>
                <w:sz w:val="16"/>
                <w:szCs w:val="16"/>
              </w:rPr>
              <w:t>F</w:t>
            </w:r>
          </w:p>
        </w:tc>
        <w:tc>
          <w:tcPr>
            <w:tcW w:w="2550" w:type="dxa"/>
            <w:shd w:val="clear" w:color="auto" w:fill="D9D9D9"/>
            <w:vAlign w:val="bottom"/>
          </w:tcPr>
          <w:p>
            <w:pPr>
              <w:spacing w:after="0"/>
              <w:ind w:left="50"/>
              <w:rPr>
                <w:color w:val="auto"/>
                <w:sz w:val="20"/>
                <w:szCs w:val="20"/>
              </w:rPr>
            </w:pPr>
            <w:r>
              <w:rPr>
                <w:rFonts w:ascii="Times New Roman" w:hAnsi="Times New Roman" w:eastAsia="Times New Roman" w:cs="Times New Roman"/>
                <w:color w:val="auto"/>
                <w:sz w:val="16"/>
                <w:szCs w:val="16"/>
              </w:rPr>
              <w:t>TTGATGGCAACAATCTCCAC</w:t>
            </w:r>
          </w:p>
        </w:tc>
        <w:tc>
          <w:tcPr>
            <w:tcW w:w="40" w:type="dxa"/>
            <w:gridSpan w:val="2"/>
            <w:vAlign w:val="bottom"/>
          </w:tcPr>
          <w:p>
            <w:pPr>
              <w:spacing w:after="0"/>
              <w:rPr>
                <w:color w:val="auto"/>
                <w:sz w:val="17"/>
                <w:szCs w:val="1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20" w:hRule="atLeast"/>
        </w:trPr>
        <w:tc>
          <w:tcPr>
            <w:tcW w:w="20" w:type="dxa"/>
            <w:vAlign w:val="bottom"/>
          </w:tcPr>
          <w:p>
            <w:pPr>
              <w:spacing w:after="0"/>
              <w:rPr>
                <w:color w:val="auto"/>
                <w:sz w:val="24"/>
                <w:szCs w:val="24"/>
              </w:rPr>
            </w:pPr>
          </w:p>
        </w:tc>
        <w:tc>
          <w:tcPr>
            <w:tcW w:w="100" w:type="dxa"/>
            <w:tcBorders>
              <w:bottom w:val="single" w:color="D9D9D9" w:sz="8" w:space="0"/>
            </w:tcBorders>
            <w:shd w:val="clear" w:color="auto" w:fill="D9D9D9"/>
            <w:vAlign w:val="bottom"/>
          </w:tcPr>
          <w:p>
            <w:pPr>
              <w:spacing w:after="0"/>
              <w:rPr>
                <w:color w:val="auto"/>
                <w:sz w:val="24"/>
                <w:szCs w:val="24"/>
              </w:rPr>
            </w:pPr>
          </w:p>
        </w:tc>
        <w:tc>
          <w:tcPr>
            <w:tcW w:w="940" w:type="dxa"/>
            <w:vMerge w:val="restart"/>
            <w:tcBorders>
              <w:bottom w:val="single" w:color="D9D9D9" w:sz="8" w:space="0"/>
            </w:tcBorders>
            <w:shd w:val="clear" w:color="auto" w:fill="D9D9D9"/>
            <w:vAlign w:val="bottom"/>
          </w:tcPr>
          <w:p>
            <w:pPr>
              <w:spacing w:after="0"/>
              <w:rPr>
                <w:color w:val="auto"/>
                <w:sz w:val="20"/>
                <w:szCs w:val="20"/>
              </w:rPr>
            </w:pPr>
            <w:r>
              <w:rPr>
                <w:rFonts w:ascii="Times New Roman" w:hAnsi="Times New Roman" w:eastAsia="Times New Roman" w:cs="Times New Roman"/>
                <w:b/>
                <w:bCs/>
                <w:color w:val="auto"/>
                <w:sz w:val="16"/>
                <w:szCs w:val="16"/>
              </w:rPr>
              <w:t>GAPDH</w:t>
            </w:r>
          </w:p>
        </w:tc>
        <w:tc>
          <w:tcPr>
            <w:tcW w:w="120" w:type="dxa"/>
            <w:tcBorders>
              <w:bottom w:val="single" w:color="D9D9D9" w:sz="8" w:space="0"/>
            </w:tcBorders>
            <w:shd w:val="clear" w:color="auto" w:fill="D9D9D9"/>
            <w:vAlign w:val="bottom"/>
          </w:tcPr>
          <w:p>
            <w:pPr>
              <w:spacing w:after="0"/>
              <w:rPr>
                <w:color w:val="auto"/>
                <w:sz w:val="24"/>
                <w:szCs w:val="24"/>
              </w:rPr>
            </w:pPr>
          </w:p>
        </w:tc>
        <w:tc>
          <w:tcPr>
            <w:tcW w:w="410" w:type="dxa"/>
            <w:tcBorders>
              <w:bottom w:val="single" w:color="auto" w:sz="8" w:space="0"/>
            </w:tcBorders>
            <w:shd w:val="clear" w:color="auto" w:fill="D9D9D9"/>
            <w:vAlign w:val="bottom"/>
          </w:tcPr>
          <w:p>
            <w:pPr>
              <w:spacing w:after="0"/>
              <w:rPr>
                <w:color w:val="auto"/>
                <w:sz w:val="24"/>
                <w:szCs w:val="24"/>
              </w:rPr>
            </w:pPr>
          </w:p>
        </w:tc>
        <w:tc>
          <w:tcPr>
            <w:tcW w:w="2550" w:type="dxa"/>
            <w:tcBorders>
              <w:bottom w:val="single" w:color="auto" w:sz="8" w:space="0"/>
            </w:tcBorders>
            <w:shd w:val="clear" w:color="auto" w:fill="D9D9D9"/>
            <w:vAlign w:val="bottom"/>
          </w:tcPr>
          <w:p>
            <w:pPr>
              <w:spacing w:after="0"/>
              <w:rPr>
                <w:color w:val="auto"/>
                <w:sz w:val="24"/>
                <w:szCs w:val="24"/>
              </w:rPr>
            </w:pPr>
          </w:p>
        </w:tc>
        <w:tc>
          <w:tcPr>
            <w:tcW w:w="40" w:type="dxa"/>
            <w:gridSpan w:val="2"/>
            <w:tcBorders>
              <w:bottom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98" w:hRule="atLeast"/>
        </w:trPr>
        <w:tc>
          <w:tcPr>
            <w:tcW w:w="20" w:type="dxa"/>
            <w:vAlign w:val="bottom"/>
          </w:tcPr>
          <w:p>
            <w:pPr>
              <w:spacing w:after="0"/>
              <w:rPr>
                <w:color w:val="auto"/>
                <w:sz w:val="17"/>
                <w:szCs w:val="17"/>
              </w:rPr>
            </w:pPr>
          </w:p>
        </w:tc>
        <w:tc>
          <w:tcPr>
            <w:tcW w:w="100" w:type="dxa"/>
            <w:shd w:val="clear" w:color="auto" w:fill="D9D9D9"/>
            <w:vAlign w:val="bottom"/>
          </w:tcPr>
          <w:p>
            <w:pPr>
              <w:spacing w:after="0"/>
              <w:rPr>
                <w:color w:val="auto"/>
                <w:sz w:val="17"/>
                <w:szCs w:val="17"/>
              </w:rPr>
            </w:pPr>
          </w:p>
        </w:tc>
        <w:tc>
          <w:tcPr>
            <w:tcW w:w="940" w:type="dxa"/>
            <w:vMerge w:val="continue"/>
            <w:shd w:val="clear" w:color="auto" w:fill="D9D9D9"/>
            <w:vAlign w:val="bottom"/>
          </w:tcPr>
          <w:p>
            <w:pPr>
              <w:spacing w:after="0"/>
              <w:rPr>
                <w:color w:val="auto"/>
                <w:sz w:val="17"/>
                <w:szCs w:val="17"/>
              </w:rPr>
            </w:pPr>
          </w:p>
        </w:tc>
        <w:tc>
          <w:tcPr>
            <w:tcW w:w="120" w:type="dxa"/>
            <w:shd w:val="clear" w:color="auto" w:fill="D9D9D9"/>
            <w:vAlign w:val="bottom"/>
          </w:tcPr>
          <w:p>
            <w:pPr>
              <w:spacing w:after="0"/>
              <w:rPr>
                <w:color w:val="auto"/>
                <w:sz w:val="17"/>
                <w:szCs w:val="17"/>
              </w:rPr>
            </w:pPr>
          </w:p>
        </w:tc>
        <w:tc>
          <w:tcPr>
            <w:tcW w:w="410" w:type="dxa"/>
            <w:shd w:val="clear" w:color="auto" w:fill="D9D9D9"/>
            <w:vAlign w:val="bottom"/>
          </w:tcPr>
          <w:p>
            <w:pPr>
              <w:spacing w:after="0"/>
              <w:ind w:left="100"/>
              <w:rPr>
                <w:color w:val="auto"/>
                <w:sz w:val="20"/>
                <w:szCs w:val="20"/>
              </w:rPr>
            </w:pPr>
            <w:r>
              <w:rPr>
                <w:rFonts w:ascii="Times New Roman" w:hAnsi="Times New Roman" w:eastAsia="Times New Roman" w:cs="Times New Roman"/>
                <w:color w:val="auto"/>
                <w:sz w:val="16"/>
                <w:szCs w:val="16"/>
              </w:rPr>
              <w:t>R</w:t>
            </w:r>
          </w:p>
        </w:tc>
        <w:tc>
          <w:tcPr>
            <w:tcW w:w="2550" w:type="dxa"/>
            <w:shd w:val="clear" w:color="auto" w:fill="D9D9D9"/>
            <w:vAlign w:val="bottom"/>
          </w:tcPr>
          <w:p>
            <w:pPr>
              <w:spacing w:after="0"/>
              <w:ind w:left="50"/>
              <w:rPr>
                <w:color w:val="auto"/>
                <w:sz w:val="20"/>
                <w:szCs w:val="20"/>
              </w:rPr>
            </w:pPr>
            <w:r>
              <w:rPr>
                <w:rFonts w:ascii="Times New Roman" w:hAnsi="Times New Roman" w:eastAsia="Times New Roman" w:cs="Times New Roman"/>
                <w:color w:val="auto"/>
                <w:sz w:val="16"/>
                <w:szCs w:val="16"/>
              </w:rPr>
              <w:t>CGTCCCGTAGACAAAATGGT</w:t>
            </w:r>
          </w:p>
        </w:tc>
        <w:tc>
          <w:tcPr>
            <w:tcW w:w="40" w:type="dxa"/>
            <w:gridSpan w:val="2"/>
            <w:vAlign w:val="bottom"/>
          </w:tcPr>
          <w:p>
            <w:pPr>
              <w:spacing w:after="0"/>
              <w:rPr>
                <w:color w:val="auto"/>
                <w:sz w:val="17"/>
                <w:szCs w:val="1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20" w:hRule="atLeast"/>
        </w:trPr>
        <w:tc>
          <w:tcPr>
            <w:tcW w:w="20" w:type="dxa"/>
            <w:tcBorders>
              <w:bottom w:val="single" w:color="auto" w:sz="8" w:space="0"/>
            </w:tcBorders>
            <w:vAlign w:val="bottom"/>
          </w:tcPr>
          <w:p>
            <w:pPr>
              <w:spacing w:after="0"/>
              <w:rPr>
                <w:color w:val="auto"/>
                <w:sz w:val="24"/>
                <w:szCs w:val="24"/>
              </w:rPr>
            </w:pPr>
          </w:p>
        </w:tc>
        <w:tc>
          <w:tcPr>
            <w:tcW w:w="100" w:type="dxa"/>
            <w:tcBorders>
              <w:bottom w:val="single" w:color="auto" w:sz="8" w:space="0"/>
            </w:tcBorders>
            <w:shd w:val="clear" w:color="auto" w:fill="D9D9D9"/>
            <w:vAlign w:val="bottom"/>
          </w:tcPr>
          <w:p>
            <w:pPr>
              <w:spacing w:after="0"/>
              <w:rPr>
                <w:color w:val="auto"/>
                <w:sz w:val="24"/>
                <w:szCs w:val="24"/>
              </w:rPr>
            </w:pPr>
          </w:p>
        </w:tc>
        <w:tc>
          <w:tcPr>
            <w:tcW w:w="940" w:type="dxa"/>
            <w:tcBorders>
              <w:bottom w:val="single" w:color="auto" w:sz="8" w:space="0"/>
            </w:tcBorders>
            <w:shd w:val="clear" w:color="auto" w:fill="D9D9D9"/>
            <w:vAlign w:val="bottom"/>
          </w:tcPr>
          <w:p>
            <w:pPr>
              <w:spacing w:after="0"/>
              <w:rPr>
                <w:color w:val="auto"/>
                <w:sz w:val="24"/>
                <w:szCs w:val="24"/>
              </w:rPr>
            </w:pPr>
          </w:p>
        </w:tc>
        <w:tc>
          <w:tcPr>
            <w:tcW w:w="120" w:type="dxa"/>
            <w:tcBorders>
              <w:bottom w:val="single" w:color="auto" w:sz="8" w:space="0"/>
            </w:tcBorders>
            <w:shd w:val="clear" w:color="auto" w:fill="D9D9D9"/>
            <w:vAlign w:val="bottom"/>
          </w:tcPr>
          <w:p>
            <w:pPr>
              <w:spacing w:after="0"/>
              <w:rPr>
                <w:color w:val="auto"/>
                <w:sz w:val="24"/>
                <w:szCs w:val="24"/>
              </w:rPr>
            </w:pPr>
          </w:p>
        </w:tc>
        <w:tc>
          <w:tcPr>
            <w:tcW w:w="410" w:type="dxa"/>
            <w:tcBorders>
              <w:bottom w:val="single" w:color="auto" w:sz="8" w:space="0"/>
            </w:tcBorders>
            <w:shd w:val="clear" w:color="auto" w:fill="D9D9D9"/>
            <w:vAlign w:val="bottom"/>
          </w:tcPr>
          <w:p>
            <w:pPr>
              <w:spacing w:after="0"/>
              <w:rPr>
                <w:color w:val="auto"/>
                <w:sz w:val="24"/>
                <w:szCs w:val="24"/>
              </w:rPr>
            </w:pPr>
          </w:p>
        </w:tc>
        <w:tc>
          <w:tcPr>
            <w:tcW w:w="2550" w:type="dxa"/>
            <w:tcBorders>
              <w:bottom w:val="single" w:color="auto" w:sz="8" w:space="0"/>
            </w:tcBorders>
            <w:shd w:val="clear" w:color="auto" w:fill="D9D9D9"/>
            <w:vAlign w:val="bottom"/>
          </w:tcPr>
          <w:p>
            <w:pPr>
              <w:spacing w:after="0"/>
              <w:rPr>
                <w:color w:val="auto"/>
                <w:sz w:val="24"/>
                <w:szCs w:val="24"/>
              </w:rPr>
            </w:pPr>
          </w:p>
        </w:tc>
        <w:tc>
          <w:tcPr>
            <w:tcW w:w="40" w:type="dxa"/>
            <w:gridSpan w:val="2"/>
            <w:tcBorders>
              <w:bottom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98" w:hRule="atLeast"/>
        </w:trPr>
        <w:tc>
          <w:tcPr>
            <w:tcW w:w="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940" w:type="dxa"/>
            <w:vAlign w:val="bottom"/>
          </w:tcPr>
          <w:p>
            <w:pPr>
              <w:spacing w:after="0"/>
              <w:rPr>
                <w:color w:val="auto"/>
                <w:sz w:val="17"/>
                <w:szCs w:val="17"/>
              </w:rPr>
            </w:pPr>
          </w:p>
        </w:tc>
        <w:tc>
          <w:tcPr>
            <w:tcW w:w="120" w:type="dxa"/>
            <w:vAlign w:val="bottom"/>
          </w:tcPr>
          <w:p>
            <w:pPr>
              <w:spacing w:after="0"/>
              <w:rPr>
                <w:color w:val="auto"/>
                <w:sz w:val="17"/>
                <w:szCs w:val="17"/>
              </w:rPr>
            </w:pPr>
          </w:p>
        </w:tc>
        <w:tc>
          <w:tcPr>
            <w:tcW w:w="410" w:type="dxa"/>
            <w:vAlign w:val="bottom"/>
          </w:tcPr>
          <w:p>
            <w:pPr>
              <w:spacing w:after="0"/>
              <w:ind w:left="100"/>
              <w:rPr>
                <w:color w:val="auto"/>
                <w:sz w:val="20"/>
                <w:szCs w:val="20"/>
              </w:rPr>
            </w:pPr>
            <w:r>
              <w:rPr>
                <w:rFonts w:ascii="Times New Roman" w:hAnsi="Times New Roman" w:eastAsia="Times New Roman" w:cs="Times New Roman"/>
                <w:color w:val="auto"/>
                <w:sz w:val="16"/>
                <w:szCs w:val="16"/>
              </w:rPr>
              <w:t>F</w:t>
            </w:r>
          </w:p>
        </w:tc>
        <w:tc>
          <w:tcPr>
            <w:tcW w:w="2550" w:type="dxa"/>
            <w:vAlign w:val="bottom"/>
          </w:tcPr>
          <w:p>
            <w:pPr>
              <w:spacing w:after="0"/>
              <w:ind w:left="50"/>
              <w:rPr>
                <w:color w:val="auto"/>
                <w:sz w:val="20"/>
                <w:szCs w:val="20"/>
              </w:rPr>
            </w:pPr>
            <w:r>
              <w:rPr>
                <w:rFonts w:ascii="Times New Roman" w:hAnsi="Times New Roman" w:eastAsia="Times New Roman" w:cs="Times New Roman"/>
                <w:color w:val="auto"/>
                <w:sz w:val="16"/>
                <w:szCs w:val="16"/>
              </w:rPr>
              <w:t>CACAGACAAGAGTCCTGGGC</w:t>
            </w:r>
          </w:p>
        </w:tc>
        <w:tc>
          <w:tcPr>
            <w:tcW w:w="40" w:type="dxa"/>
            <w:gridSpan w:val="2"/>
            <w:vAlign w:val="bottom"/>
          </w:tcPr>
          <w:p>
            <w:pPr>
              <w:spacing w:after="0"/>
              <w:rPr>
                <w:color w:val="auto"/>
                <w:sz w:val="17"/>
                <w:szCs w:val="17"/>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320" w:hRule="atLeast"/>
        </w:trPr>
        <w:tc>
          <w:tcPr>
            <w:tcW w:w="20"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1060" w:type="dxa"/>
            <w:gridSpan w:val="2"/>
            <w:vMerge w:val="restart"/>
            <w:vAlign w:val="bottom"/>
          </w:tcPr>
          <w:p>
            <w:pPr>
              <w:spacing w:after="0"/>
              <w:rPr>
                <w:color w:val="auto"/>
                <w:sz w:val="20"/>
                <w:szCs w:val="20"/>
              </w:rPr>
            </w:pPr>
            <w:r>
              <w:rPr>
                <w:rFonts w:ascii="Times New Roman" w:hAnsi="Times New Roman" w:eastAsia="Times New Roman" w:cs="Times New Roman"/>
                <w:b/>
                <w:bCs/>
                <w:color w:val="auto"/>
                <w:sz w:val="16"/>
                <w:szCs w:val="16"/>
              </w:rPr>
              <w:t>TRPV6</w:t>
            </w:r>
          </w:p>
        </w:tc>
        <w:tc>
          <w:tcPr>
            <w:tcW w:w="410" w:type="dxa"/>
            <w:tcBorders>
              <w:bottom w:val="single" w:color="auto" w:sz="8" w:space="0"/>
            </w:tcBorders>
            <w:vAlign w:val="bottom"/>
          </w:tcPr>
          <w:p>
            <w:pPr>
              <w:spacing w:after="0"/>
              <w:rPr>
                <w:color w:val="auto"/>
                <w:sz w:val="24"/>
                <w:szCs w:val="24"/>
              </w:rPr>
            </w:pPr>
          </w:p>
        </w:tc>
        <w:tc>
          <w:tcPr>
            <w:tcW w:w="2570" w:type="dxa"/>
            <w:gridSpan w:val="2"/>
            <w:tcBorders>
              <w:bottom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98" w:hRule="atLeast"/>
        </w:trPr>
        <w:tc>
          <w:tcPr>
            <w:tcW w:w="20" w:type="dxa"/>
            <w:vAlign w:val="bottom"/>
          </w:tcPr>
          <w:p>
            <w:pPr>
              <w:spacing w:after="0"/>
              <w:rPr>
                <w:color w:val="auto"/>
                <w:sz w:val="17"/>
                <w:szCs w:val="17"/>
              </w:rPr>
            </w:pPr>
          </w:p>
        </w:tc>
        <w:tc>
          <w:tcPr>
            <w:tcW w:w="100" w:type="dxa"/>
            <w:vAlign w:val="bottom"/>
          </w:tcPr>
          <w:p>
            <w:pPr>
              <w:spacing w:after="0"/>
              <w:rPr>
                <w:color w:val="auto"/>
                <w:sz w:val="17"/>
                <w:szCs w:val="17"/>
              </w:rPr>
            </w:pPr>
          </w:p>
        </w:tc>
        <w:tc>
          <w:tcPr>
            <w:tcW w:w="1060" w:type="dxa"/>
            <w:gridSpan w:val="2"/>
            <w:vMerge w:val="continue"/>
            <w:vAlign w:val="bottom"/>
          </w:tcPr>
          <w:p>
            <w:pPr>
              <w:spacing w:after="0"/>
              <w:rPr>
                <w:color w:val="auto"/>
                <w:sz w:val="17"/>
                <w:szCs w:val="17"/>
              </w:rPr>
            </w:pPr>
          </w:p>
        </w:tc>
        <w:tc>
          <w:tcPr>
            <w:tcW w:w="410" w:type="dxa"/>
            <w:vAlign w:val="bottom"/>
          </w:tcPr>
          <w:p>
            <w:pPr>
              <w:spacing w:after="0"/>
              <w:ind w:left="100"/>
              <w:rPr>
                <w:color w:val="auto"/>
                <w:sz w:val="20"/>
                <w:szCs w:val="20"/>
              </w:rPr>
            </w:pPr>
            <w:r>
              <w:rPr>
                <w:rFonts w:ascii="Times New Roman" w:hAnsi="Times New Roman" w:eastAsia="Times New Roman" w:cs="Times New Roman"/>
                <w:color w:val="auto"/>
                <w:sz w:val="16"/>
                <w:szCs w:val="16"/>
              </w:rPr>
              <w:t>R</w:t>
            </w:r>
          </w:p>
        </w:tc>
        <w:tc>
          <w:tcPr>
            <w:tcW w:w="2570" w:type="dxa"/>
            <w:gridSpan w:val="2"/>
            <w:vAlign w:val="bottom"/>
          </w:tcPr>
          <w:p>
            <w:pPr>
              <w:spacing w:after="0"/>
              <w:ind w:left="50"/>
              <w:rPr>
                <w:color w:val="auto"/>
                <w:sz w:val="20"/>
                <w:szCs w:val="20"/>
              </w:rPr>
            </w:pPr>
            <w:r>
              <w:rPr>
                <w:rFonts w:ascii="Times New Roman" w:hAnsi="Times New Roman" w:eastAsia="Times New Roman" w:cs="Times New Roman"/>
                <w:color w:val="auto"/>
                <w:sz w:val="16"/>
                <w:szCs w:val="16"/>
              </w:rPr>
              <w:t>ACATCGTTTTCTTTGGCAGC</w:t>
            </w:r>
          </w:p>
        </w:tc>
        <w:tc>
          <w:tcPr>
            <w:tcW w:w="0" w:type="dxa"/>
            <w:gridSpan w:val="2"/>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297180</wp:posOffset>
                </wp:positionH>
                <wp:positionV relativeFrom="paragraph">
                  <wp:posOffset>-4575810</wp:posOffset>
                </wp:positionV>
                <wp:extent cx="2631440" cy="0"/>
                <wp:effectExtent l="0" t="0" r="0" b="0"/>
                <wp:wrapNone/>
                <wp:docPr id="14" name="Shape 14"/>
                <wp:cNvGraphicFramePr/>
                <a:graphic xmlns:a="http://schemas.openxmlformats.org/drawingml/2006/main">
                  <a:graphicData uri="http://schemas.microsoft.com/office/word/2010/wordprocessingShape">
                    <wps:wsp>
                      <wps:cNvCnPr/>
                      <wps:spPr>
                        <a:xfrm>
                          <a:off x="0" y="0"/>
                          <a:ext cx="2631440" cy="4763"/>
                        </a:xfrm>
                        <a:prstGeom prst="line">
                          <a:avLst/>
                        </a:prstGeom>
                        <a:solidFill>
                          <a:srgbClr val="FFFFFF"/>
                        </a:solidFill>
                        <a:ln w="6108">
                          <a:solidFill>
                            <a:srgbClr val="000000"/>
                          </a:solidFill>
                          <a:miter lim="800000"/>
                        </a:ln>
                      </wps:spPr>
                      <wps:bodyPr/>
                    </wps:wsp>
                  </a:graphicData>
                </a:graphic>
              </wp:anchor>
            </w:drawing>
          </mc:Choice>
          <mc:Fallback>
            <w:pict>
              <v:line id="Shape 14" o:spid="_x0000_s1026" o:spt="20" style="position:absolute;left:0pt;margin-left:23.4pt;margin-top:-360.3pt;height:0pt;width:207.2pt;z-index:-251657216;mso-width-relative:page;mso-height-relative:page;" fillcolor="#FFFFFF" filled="t" stroked="t" coordsize="21600,21600" o:allowincell="f" o:gfxdata="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jg2XT&#10;1gAAAAwBAAAPAAAAAAAAAAEAIAAAACIAAABkcnMvZG93bnJldi54bWxQSwECFAAUAAAACACHTuJA&#10;BXs/bLEBAACbAwAADgAAAAAAAAABACAAAAAlAQAAZHJzL2Uyb0RvYy54bWxQSwUGAAAAAAYABgBZ&#10;AQAASAUAAAAA&#10;">
                <v:fill on="t" focussize="0,0"/>
                <v:stroke weight="0.48094488188976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299720</wp:posOffset>
                </wp:positionH>
                <wp:positionV relativeFrom="paragraph">
                  <wp:posOffset>-4578985</wp:posOffset>
                </wp:positionV>
                <wp:extent cx="0" cy="4789170"/>
                <wp:effectExtent l="4445" t="0" r="14605" b="11430"/>
                <wp:wrapNone/>
                <wp:docPr id="15" name="Shape 15"/>
                <wp:cNvGraphicFramePr/>
                <a:graphic xmlns:a="http://schemas.openxmlformats.org/drawingml/2006/main">
                  <a:graphicData uri="http://schemas.microsoft.com/office/word/2010/wordprocessingShape">
                    <wps:wsp>
                      <wps:cNvCnPr/>
                      <wps:spPr>
                        <a:xfrm>
                          <a:off x="0" y="0"/>
                          <a:ext cx="4763" cy="4789170"/>
                        </a:xfrm>
                        <a:prstGeom prst="line">
                          <a:avLst/>
                        </a:prstGeom>
                        <a:solidFill>
                          <a:srgbClr val="FFFFFF"/>
                        </a:solidFill>
                        <a:ln w="6095">
                          <a:solidFill>
                            <a:srgbClr val="000000"/>
                          </a:solidFill>
                          <a:miter lim="800000"/>
                        </a:ln>
                      </wps:spPr>
                      <wps:bodyPr/>
                    </wps:wsp>
                  </a:graphicData>
                </a:graphic>
              </wp:anchor>
            </w:drawing>
          </mc:Choice>
          <mc:Fallback>
            <w:pict>
              <v:line id="Shape 15" o:spid="_x0000_s1026" o:spt="20" style="position:absolute;left:0pt;margin-left:23.6pt;margin-top:-360.55pt;height:377.1pt;width:0pt;z-index:-251657216;mso-width-relative:page;mso-height-relative:page;" fillcolor="#FFFFFF" filled="t" stroked="t" coordsize="21600,21600" o:allowincell="f" o:gfxdata="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u&#10;O9QX1gAAAAkBAAAPAAAAAAAAAAEAIAAAACIAAABkcnMvZG93bnJldi54bWxQSwECFAAUAAAACACH&#10;TuJAx9/WcrQBAACbAwAADgAAAAAAAAABACAAAAAlAQAAZHJzL2Uyb0RvYy54bWxQSwUGAAAAAAYA&#10;BgBZAQAASwU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1040765</wp:posOffset>
                </wp:positionH>
                <wp:positionV relativeFrom="paragraph">
                  <wp:posOffset>-4578985</wp:posOffset>
                </wp:positionV>
                <wp:extent cx="0" cy="4789170"/>
                <wp:effectExtent l="4445" t="0" r="14605" b="11430"/>
                <wp:wrapNone/>
                <wp:docPr id="16" name="Shape 16"/>
                <wp:cNvGraphicFramePr/>
                <a:graphic xmlns:a="http://schemas.openxmlformats.org/drawingml/2006/main">
                  <a:graphicData uri="http://schemas.microsoft.com/office/word/2010/wordprocessingShape">
                    <wps:wsp>
                      <wps:cNvCnPr/>
                      <wps:spPr>
                        <a:xfrm>
                          <a:off x="0" y="0"/>
                          <a:ext cx="4763" cy="4789170"/>
                        </a:xfrm>
                        <a:prstGeom prst="line">
                          <a:avLst/>
                        </a:prstGeom>
                        <a:solidFill>
                          <a:srgbClr val="FFFFFF"/>
                        </a:solidFill>
                        <a:ln w="6095">
                          <a:solidFill>
                            <a:srgbClr val="000000"/>
                          </a:solidFill>
                          <a:miter lim="800000"/>
                        </a:ln>
                      </wps:spPr>
                      <wps:bodyPr/>
                    </wps:wsp>
                  </a:graphicData>
                </a:graphic>
              </wp:anchor>
            </w:drawing>
          </mc:Choice>
          <mc:Fallback>
            <w:pict>
              <v:line id="Shape 16" o:spid="_x0000_s1026" o:spt="20" style="position:absolute;left:0pt;margin-left:81.95pt;margin-top:-360.55pt;height:377.1pt;width:0pt;z-index:-251657216;mso-width-relative:page;mso-height-relative:page;" fillcolor="#FFFFFF" filled="t" stroked="t" coordsize="21600,21600" o:allowincell="f" o:gfxdata="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EG8TrdcAAAALAQAADwAAAAAAAAABACAAAAAiAAAAZHJzL2Rvd25yZXYueG1sUEsBAhQAFAAAAAgA&#10;h07iQGOFT1K0AQAAmwMAAA4AAAAAAAAAAQAgAAAAJgEAAGRycy9lMm9Eb2MueG1sUEsFBgAAAAAG&#10;AAYAWQEAAEw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1269365</wp:posOffset>
                </wp:positionH>
                <wp:positionV relativeFrom="paragraph">
                  <wp:posOffset>-4578985</wp:posOffset>
                </wp:positionV>
                <wp:extent cx="0" cy="4789170"/>
                <wp:effectExtent l="4445" t="0" r="14605" b="11430"/>
                <wp:wrapNone/>
                <wp:docPr id="17" name="Shape 17"/>
                <wp:cNvGraphicFramePr/>
                <a:graphic xmlns:a="http://schemas.openxmlformats.org/drawingml/2006/main">
                  <a:graphicData uri="http://schemas.microsoft.com/office/word/2010/wordprocessingShape">
                    <wps:wsp>
                      <wps:cNvCnPr/>
                      <wps:spPr>
                        <a:xfrm>
                          <a:off x="0" y="0"/>
                          <a:ext cx="4763" cy="4789170"/>
                        </a:xfrm>
                        <a:prstGeom prst="line">
                          <a:avLst/>
                        </a:prstGeom>
                        <a:solidFill>
                          <a:srgbClr val="FFFFFF"/>
                        </a:solidFill>
                        <a:ln w="6095">
                          <a:solidFill>
                            <a:srgbClr val="000000"/>
                          </a:solidFill>
                          <a:miter lim="800000"/>
                        </a:ln>
                      </wps:spPr>
                      <wps:bodyPr/>
                    </wps:wsp>
                  </a:graphicData>
                </a:graphic>
              </wp:anchor>
            </w:drawing>
          </mc:Choice>
          <mc:Fallback>
            <w:pict>
              <v:line id="Shape 17" o:spid="_x0000_s1026" o:spt="20" style="position:absolute;left:0pt;margin-left:99.95pt;margin-top:-360.55pt;height:377.1pt;width:0pt;z-index:-251657216;mso-width-relative:page;mso-height-relative:page;" fillcolor="#FFFFFF" filled="t" stroked="t" coordsize="21600,21600" o:allowincell="f" o:gfxdata="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BZeVtcAAAALAQAADwAAAAAAAAABACAAAAAiAAAAZHJzL2Rvd25yZXYueG1sUEsBAhQAFAAAAAgA&#10;h07iQP9Mx020AQAAmwMAAA4AAAAAAAAAAQAgAAAAJgEAAGRycy9lMm9Eb2MueG1sUEsFBgAAAAAG&#10;AAYAWQEAAEw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2926080</wp:posOffset>
                </wp:positionH>
                <wp:positionV relativeFrom="paragraph">
                  <wp:posOffset>-4578985</wp:posOffset>
                </wp:positionV>
                <wp:extent cx="0" cy="4789170"/>
                <wp:effectExtent l="4445" t="0" r="14605" b="11430"/>
                <wp:wrapNone/>
                <wp:docPr id="18" name="Shape 18"/>
                <wp:cNvGraphicFramePr/>
                <a:graphic xmlns:a="http://schemas.openxmlformats.org/drawingml/2006/main">
                  <a:graphicData uri="http://schemas.microsoft.com/office/word/2010/wordprocessingShape">
                    <wps:wsp>
                      <wps:cNvCnPr/>
                      <wps:spPr>
                        <a:xfrm>
                          <a:off x="0" y="0"/>
                          <a:ext cx="4763" cy="4789170"/>
                        </a:xfrm>
                        <a:prstGeom prst="line">
                          <a:avLst/>
                        </a:prstGeom>
                        <a:solidFill>
                          <a:srgbClr val="FFFFFF"/>
                        </a:solidFill>
                        <a:ln w="6108">
                          <a:solidFill>
                            <a:srgbClr val="000000"/>
                          </a:solidFill>
                          <a:miter lim="800000"/>
                        </a:ln>
                      </wps:spPr>
                      <wps:bodyPr/>
                    </wps:wsp>
                  </a:graphicData>
                </a:graphic>
              </wp:anchor>
            </w:drawing>
          </mc:Choice>
          <mc:Fallback>
            <w:pict>
              <v:line id="Shape 18" o:spid="_x0000_s1026" o:spt="20" style="position:absolute;left:0pt;margin-left:230.4pt;margin-top:-360.55pt;height:377.1pt;width:0pt;z-index:-251657216;mso-width-relative:page;mso-height-relative:page;" fillcolor="#FFFFFF" filled="t" stroked="t" coordsize="21600,21600" o:allowincell="f" o:gfxdata="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AZPpNcAAAALAQAADwAAAAAAAAABACAAAAAiAAAAZHJzL2Rvd25yZXYueG1sUEsBAhQAFAAAAAgA&#10;h07iQLg9olq0AQAAmwMAAA4AAAAAAAAAAQAgAAAAJgEAAGRycy9lMm9Eb2MueG1sUEsFBgAAAAAG&#10;AAYAWQEAAEwFAAAAAA==&#10;">
                <v:fill on="t" focussize="0,0"/>
                <v:stroke weight="0.480944881889764pt" color="#000000" miterlimit="8" joinstyle="miter"/>
                <v:imagedata o:title=""/>
                <o:lock v:ext="edit" aspectratio="f"/>
              </v:line>
            </w:pict>
          </mc:Fallback>
        </mc:AlternateContent>
      </w:r>
    </w:p>
    <w:p>
      <w:pPr>
        <w:spacing w:after="0" w:line="28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F – Forward ; R – Reverse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297180</wp:posOffset>
                </wp:positionH>
                <wp:positionV relativeFrom="paragraph">
                  <wp:posOffset>-148590</wp:posOffset>
                </wp:positionV>
                <wp:extent cx="2631440" cy="0"/>
                <wp:effectExtent l="0" t="0" r="0" b="0"/>
                <wp:wrapNone/>
                <wp:docPr id="19" name="Shape 19"/>
                <wp:cNvGraphicFramePr/>
                <a:graphic xmlns:a="http://schemas.openxmlformats.org/drawingml/2006/main">
                  <a:graphicData uri="http://schemas.microsoft.com/office/word/2010/wordprocessingShape">
                    <wps:wsp>
                      <wps:cNvCnPr/>
                      <wps:spPr>
                        <a:xfrm>
                          <a:off x="0" y="0"/>
                          <a:ext cx="2631440" cy="4763"/>
                        </a:xfrm>
                        <a:prstGeom prst="line">
                          <a:avLst/>
                        </a:prstGeom>
                        <a:solidFill>
                          <a:srgbClr val="FFFFFF"/>
                        </a:solidFill>
                        <a:ln w="6095">
                          <a:solidFill>
                            <a:srgbClr val="000000"/>
                          </a:solidFill>
                          <a:miter lim="800000"/>
                        </a:ln>
                      </wps:spPr>
                      <wps:bodyPr/>
                    </wps:wsp>
                  </a:graphicData>
                </a:graphic>
              </wp:anchor>
            </w:drawing>
          </mc:Choice>
          <mc:Fallback>
            <w:pict>
              <v:line id="Shape 19" o:spid="_x0000_s1026" o:spt="20" style="position:absolute;left:0pt;margin-left:23.4pt;margin-top:-11.7pt;height:0pt;width:207.2pt;z-index:-251657216;mso-width-relative:page;mso-height-relative:page;" fillcolor="#FFFFFF" filled="t" stroked="t" coordsize="21600,21600" o:allowincell="f" o:gfxdata="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0o&#10;ioTXAAAACgEAAA8AAAAAAAAAAQAgAAAAIgAAAGRycy9kb3ducmV2LnhtbFBLAQIUABQAAAAIAIdO&#10;4kB6mUtEsgEAAJsDAAAOAAAAAAAAAAEAIAAAACYBAABkcnMvZTJvRG9jLnhtbFBLBQYAAAAABgAG&#10;AFkBAABK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2"/>
          <w:szCs w:val="22"/>
        </w:rPr>
        <w:t>4.4. Statistical analysis</w:t>
      </w:r>
    </w:p>
    <w:p>
      <w:pPr>
        <w:spacing w:after="0" w:line="183" w:lineRule="exact"/>
        <w:rPr>
          <w:color w:val="auto"/>
          <w:sz w:val="20"/>
          <w:szCs w:val="20"/>
        </w:rPr>
      </w:pPr>
    </w:p>
    <w:p>
      <w:pPr>
        <w:spacing w:after="0" w:line="462" w:lineRule="auto"/>
        <w:ind w:left="360" w:right="360" w:firstLine="422"/>
        <w:jc w:val="both"/>
        <w:rPr>
          <w:color w:val="auto"/>
          <w:sz w:val="20"/>
          <w:szCs w:val="20"/>
        </w:rPr>
      </w:pPr>
      <w:r>
        <w:rPr>
          <w:rFonts w:ascii="Times New Roman" w:hAnsi="Times New Roman" w:eastAsia="Times New Roman" w:cs="Times New Roman"/>
          <w:color w:val="auto"/>
          <w:sz w:val="22"/>
          <w:szCs w:val="22"/>
        </w:rPr>
        <w:t>Data are expressed as means ± SEM. Data analysis was performed using SAS (Version 9.4, SAS Institute, Cary, NC). Comparisons between groups were made using ANOVA. For the gene expression data analysis, the expression of each gene was normalized to the housekeeping gene GAPDH (Ct</w:t>
      </w:r>
      <w:r>
        <w:rPr>
          <w:rFonts w:ascii="Times New Roman" w:hAnsi="Times New Roman" w:eastAsia="Times New Roman" w:cs="Times New Roman"/>
          <w:color w:val="auto"/>
          <w:sz w:val="13"/>
          <w:szCs w:val="13"/>
        </w:rPr>
        <w:t>target gene</w:t>
      </w:r>
      <w:r>
        <w:rPr>
          <w:rFonts w:ascii="Times New Roman" w:hAnsi="Times New Roman" w:eastAsia="Times New Roman" w:cs="Times New Roman"/>
          <w:color w:val="auto"/>
          <w:sz w:val="22"/>
          <w:szCs w:val="22"/>
        </w:rPr>
        <w:t>-Ct</w:t>
      </w:r>
      <w:r>
        <w:rPr>
          <w:rFonts w:ascii="Times New Roman" w:hAnsi="Times New Roman" w:eastAsia="Times New Roman" w:cs="Times New Roman"/>
          <w:color w:val="auto"/>
          <w:sz w:val="13"/>
          <w:szCs w:val="13"/>
        </w:rPr>
        <w:t>GAPDH</w:t>
      </w:r>
      <w:r>
        <w:rPr>
          <w:rFonts w:ascii="Times New Roman" w:hAnsi="Times New Roman" w:eastAsia="Times New Roman" w:cs="Times New Roman"/>
          <w:color w:val="auto"/>
          <w:sz w:val="22"/>
          <w:szCs w:val="22"/>
        </w:rPr>
        <w:t>). Statistical analyses were performed based on ΔCt. The relative abundance of specific bacterial taxa or relative gene expression were reported as 2</w:t>
      </w:r>
      <w:r>
        <w:rPr>
          <w:rFonts w:ascii="Times New Roman" w:hAnsi="Times New Roman" w:eastAsia="Times New Roman" w:cs="Times New Roman"/>
          <w:color w:val="auto"/>
          <w:sz w:val="27"/>
          <w:szCs w:val="27"/>
          <w:vertAlign w:val="superscript"/>
        </w:rPr>
        <w:t>−ΔΔCt</w:t>
      </w:r>
      <w:r>
        <w:rPr>
          <w:rFonts w:ascii="Times New Roman" w:hAnsi="Times New Roman" w:eastAsia="Times New Roman" w:cs="Times New Roman"/>
          <w:color w:val="auto"/>
          <w:sz w:val="22"/>
          <w:szCs w:val="22"/>
        </w:rPr>
        <w:t>, where</w:t>
      </w:r>
    </w:p>
    <w:p>
      <w:pPr>
        <w:spacing w:after="0" w:line="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ΔΔCt=</w:t>
      </w:r>
      <w:r>
        <w:rPr>
          <w:rFonts w:ascii="Arial" w:hAnsi="Arial" w:eastAsia="Arial" w:cs="Arial"/>
          <w:color w:val="auto"/>
          <w:sz w:val="22"/>
          <w:szCs w:val="22"/>
        </w:rPr>
        <w:t>∆</w:t>
      </w:r>
      <w:r>
        <w:rPr>
          <w:rFonts w:ascii="Times New Roman" w:hAnsi="Times New Roman" w:eastAsia="Times New Roman" w:cs="Times New Roman"/>
          <w:color w:val="auto"/>
          <w:sz w:val="22"/>
          <w:szCs w:val="22"/>
        </w:rPr>
        <w:t>Ct</w:t>
      </w:r>
      <w:r>
        <w:rPr>
          <w:rFonts w:ascii="Times New Roman" w:hAnsi="Times New Roman" w:eastAsia="Times New Roman" w:cs="Times New Roman"/>
          <w:color w:val="auto"/>
          <w:sz w:val="13"/>
          <w:szCs w:val="13"/>
        </w:rPr>
        <w:t>Experiment</w:t>
      </w:r>
      <w:r>
        <w:rPr>
          <w:rFonts w:ascii="Times New Roman" w:hAnsi="Times New Roman" w:eastAsia="Times New Roman" w:cs="Times New Roman"/>
          <w:color w:val="auto"/>
          <w:sz w:val="22"/>
          <w:szCs w:val="22"/>
        </w:rPr>
        <w:t>-</w:t>
      </w:r>
      <w:r>
        <w:rPr>
          <w:rFonts w:ascii="Arial" w:hAnsi="Arial" w:eastAsia="Arial" w:cs="Arial"/>
          <w:color w:val="auto"/>
          <w:sz w:val="22"/>
          <w:szCs w:val="22"/>
        </w:rPr>
        <w:t>∆</w:t>
      </w:r>
      <w:r>
        <w:rPr>
          <w:rFonts w:ascii="Times New Roman" w:hAnsi="Times New Roman" w:eastAsia="Times New Roman" w:cs="Times New Roman"/>
          <w:color w:val="auto"/>
          <w:sz w:val="22"/>
          <w:szCs w:val="22"/>
        </w:rPr>
        <w:t>Ct</w:t>
      </w:r>
      <w:r>
        <w:rPr>
          <w:rFonts w:ascii="Times New Roman" w:hAnsi="Times New Roman" w:eastAsia="Times New Roman" w:cs="Times New Roman"/>
          <w:color w:val="auto"/>
          <w:sz w:val="13"/>
          <w:szCs w:val="13"/>
        </w:rPr>
        <w:t>Control</w:t>
      </w:r>
      <w:r>
        <w:rPr>
          <w:rFonts w:ascii="Times New Roman" w:hAnsi="Times New Roman" w:eastAsia="Times New Roman" w:cs="Times New Roman"/>
          <w:color w:val="auto"/>
          <w:sz w:val="22"/>
          <w:szCs w:val="22"/>
        </w:rPr>
        <w:t>.</w:t>
      </w:r>
    </w:p>
    <w:p>
      <w:pPr>
        <w:sectPr>
          <w:pgSz w:w="12240" w:h="15840"/>
          <w:pgMar w:top="1417" w:right="1440" w:bottom="181" w:left="1440" w:header="0" w:footer="0" w:gutter="0"/>
          <w:cols w:equalWidth="0" w:num="1">
            <w:col w:w="9360"/>
          </w:cols>
        </w:sectPr>
      </w:pPr>
    </w:p>
    <w:p>
      <w:pPr>
        <w:spacing w:after="0" w:line="200" w:lineRule="exact"/>
        <w:rPr>
          <w:color w:val="auto"/>
          <w:sz w:val="20"/>
          <w:szCs w:val="20"/>
        </w:rPr>
      </w:pPr>
    </w:p>
    <w:p>
      <w:pPr>
        <w:spacing w:after="0" w:line="37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35</w:t>
      </w:r>
    </w:p>
    <w:p>
      <w:pPr>
        <w:sectPr>
          <w:type w:val="continuous"/>
          <w:pgSz w:w="12240" w:h="15840"/>
          <w:pgMar w:top="1417" w:right="1440" w:bottom="181" w:left="1440" w:header="0" w:footer="0" w:gutter="0"/>
          <w:cols w:equalWidth="0" w:num="1">
            <w:col w:w="9360"/>
          </w:cols>
        </w:sectPr>
      </w:pPr>
    </w:p>
    <w:p>
      <w:pPr>
        <w:spacing w:after="0" w:line="200" w:lineRule="exact"/>
        <w:rPr>
          <w:color w:val="auto"/>
          <w:sz w:val="20"/>
          <w:szCs w:val="20"/>
        </w:rPr>
      </w:pPr>
      <w:bookmarkStart w:id="42" w:name="page49"/>
      <w:bookmarkEnd w:id="4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CHAPTER 5</w:t>
      </w:r>
    </w:p>
    <w:p>
      <w:pPr>
        <w:spacing w:after="0" w:line="200" w:lineRule="exact"/>
        <w:rPr>
          <w:color w:val="auto"/>
          <w:sz w:val="20"/>
          <w:szCs w:val="20"/>
        </w:rPr>
      </w:pPr>
    </w:p>
    <w:p>
      <w:pPr>
        <w:spacing w:after="0" w:line="23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RESULTS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0"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2"/>
          <w:szCs w:val="22"/>
        </w:rPr>
        <w:t>5.1 Particle characteristics of the emulsion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36</w:t>
      </w:r>
    </w:p>
    <w:p>
      <w:pPr>
        <w:sectPr>
          <w:pgSz w:w="12240" w:h="15840"/>
          <w:pgMar w:top="1440" w:right="1440" w:bottom="181" w:left="1440" w:header="0" w:footer="0" w:gutter="0"/>
          <w:cols w:equalWidth="0" w:num="1">
            <w:col w:w="9360"/>
          </w:cols>
        </w:sectPr>
      </w:pPr>
    </w:p>
    <w:p>
      <w:pPr>
        <w:spacing w:after="0" w:line="502" w:lineRule="auto"/>
        <w:ind w:left="360" w:right="360" w:firstLine="720"/>
        <w:jc w:val="both"/>
        <w:rPr>
          <w:color w:val="auto"/>
          <w:sz w:val="20"/>
          <w:szCs w:val="20"/>
        </w:rPr>
      </w:pPr>
      <w:bookmarkStart w:id="43" w:name="page50"/>
      <w:bookmarkEnd w:id="43"/>
      <w:r>
        <w:rPr>
          <w:rFonts w:ascii="Times New Roman" w:hAnsi="Times New Roman" w:eastAsia="Times New Roman" w:cs="Times New Roman"/>
          <w:color w:val="auto"/>
          <w:sz w:val="21"/>
          <w:szCs w:val="21"/>
        </w:rPr>
        <w:t>The physicochemical characteristics of the initial emulsion as well as at various phases (mouth, stomach and small intestine) in the simulated gastrointestinal tract (GIT) were determined in terms of mean particle diameter (d</w:t>
      </w:r>
      <w:r>
        <w:rPr>
          <w:rFonts w:ascii="Times New Roman" w:hAnsi="Times New Roman" w:eastAsia="Times New Roman" w:cs="Times New Roman"/>
          <w:color w:val="auto"/>
          <w:sz w:val="13"/>
          <w:szCs w:val="13"/>
        </w:rPr>
        <w:t>32</w:t>
      </w:r>
      <w:r>
        <w:rPr>
          <w:rFonts w:ascii="Times New Roman" w:hAnsi="Times New Roman" w:eastAsia="Times New Roman" w:cs="Times New Roman"/>
          <w:color w:val="auto"/>
          <w:sz w:val="21"/>
          <w:szCs w:val="21"/>
        </w:rPr>
        <w:t>) and ζ-potential. As expected, the initial mean particle diameter of the coarse emulsion was ≈20-fold higher than the nanoemulsion groups i.e nanoemulsion with and without cholecalciferol (Figure 5.1). No particle size difference noted between nanoemulsion with and without cholecalciferol (vehicle) which indicates that incorporation of cholecalciferol did not interfere with the formation of nanoparticles. The homogeneity of the particle size in the initial phases was significantly higher for nanoemulsion than the coarse emulsion (p&lt;0.01), as indicated by the smaller coefficient of variation (Figure 3A).</w:t>
      </w:r>
    </w:p>
    <w:p>
      <w:pPr>
        <w:spacing w:after="0" w:line="7" w:lineRule="exact"/>
        <w:rPr>
          <w:color w:val="auto"/>
          <w:sz w:val="20"/>
          <w:szCs w:val="20"/>
        </w:rPr>
      </w:pPr>
    </w:p>
    <w:p>
      <w:pPr>
        <w:spacing w:after="0" w:line="483" w:lineRule="auto"/>
        <w:ind w:left="360" w:right="360" w:firstLine="720"/>
        <w:jc w:val="both"/>
        <w:rPr>
          <w:color w:val="auto"/>
          <w:sz w:val="20"/>
          <w:szCs w:val="20"/>
        </w:rPr>
      </w:pPr>
      <w:r>
        <w:rPr>
          <w:rFonts w:ascii="Times New Roman" w:hAnsi="Times New Roman" w:eastAsia="Times New Roman" w:cs="Times New Roman"/>
          <w:color w:val="auto"/>
          <w:sz w:val="22"/>
          <w:szCs w:val="22"/>
        </w:rPr>
        <w:t>The stability of nanoemulsions can be attributed to the effect of natural surfactant (Q-Naturale) used in this study. This highly effective emulsifier rapidly adsorbs to the surface of oil droplets during homogenization, thereby leading to small initial droplets. It forms a protective coating around the droplet surface that inhibits coalescence and flocculation through a combination of steric and electrostatic repulsion. In the previous study, this surfactant coated lipid droplets were stable against droplet aggregation in a wide range of pH conditions i.e pH 3-8 (Ozturk et al., 2014). In mouth phase and in gastric phase, there was only a slight increase in particle size of nanoemulsion groups (Figure 5.1) and the same result was reported in the previous study (Ozturk et al., 2015). The mucin present in simulated saliva may promote bridging but in the gastric phase the low pH and high ionic strength may alter the colloidal interactions between the oil droplets (Van Aken et al., 2011)</w:t>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37</w:t>
      </w:r>
    </w:p>
    <w:p>
      <w:pPr>
        <w:sectPr>
          <w:type w:val="continuous"/>
          <w:pgSz w:w="12240" w:h="15840"/>
          <w:pgMar w:top="1419" w:right="1440" w:bottom="181" w:left="1440" w:header="0" w:footer="0" w:gutter="0"/>
          <w:cols w:equalWidth="0" w:num="1">
            <w:col w:w="9360"/>
          </w:cols>
        </w:sectPr>
      </w:pPr>
    </w:p>
    <w:p>
      <w:pPr>
        <w:spacing w:after="0" w:line="200" w:lineRule="exact"/>
        <w:rPr>
          <w:color w:val="auto"/>
          <w:sz w:val="20"/>
          <w:szCs w:val="20"/>
        </w:rPr>
      </w:pPr>
      <w:bookmarkStart w:id="44" w:name="page51"/>
      <w:bookmarkEnd w:id="44"/>
      <w:r>
        <w:rPr>
          <w:color w:val="auto"/>
          <w:sz w:val="20"/>
          <w:szCs w:val="20"/>
        </w:rPr>
        <w:drawing>
          <wp:anchor distT="0" distB="0" distL="114300" distR="114300" simplePos="0" relativeHeight="251659264" behindDoc="1" locked="0" layoutInCell="0" allowOverlap="1">
            <wp:simplePos x="0" y="0"/>
            <wp:positionH relativeFrom="page">
              <wp:posOffset>1143000</wp:posOffset>
            </wp:positionH>
            <wp:positionV relativeFrom="page">
              <wp:posOffset>914400</wp:posOffset>
            </wp:positionV>
            <wp:extent cx="4114165" cy="283083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a:xfrm>
                      <a:off x="0" y="0"/>
                      <a:ext cx="4114165" cy="283083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6" w:lineRule="exact"/>
        <w:rPr>
          <w:color w:val="auto"/>
          <w:sz w:val="20"/>
          <w:szCs w:val="20"/>
        </w:rPr>
      </w:pPr>
    </w:p>
    <w:p>
      <w:pPr>
        <w:spacing w:after="0" w:line="378" w:lineRule="auto"/>
        <w:ind w:left="360" w:right="360"/>
        <w:jc w:val="both"/>
        <w:rPr>
          <w:color w:val="auto"/>
          <w:sz w:val="20"/>
          <w:szCs w:val="20"/>
        </w:rPr>
      </w:pPr>
      <w:r>
        <w:rPr>
          <w:rFonts w:ascii="Times New Roman" w:hAnsi="Times New Roman" w:eastAsia="Times New Roman" w:cs="Times New Roman"/>
          <w:b/>
          <w:bCs/>
          <w:color w:val="auto"/>
          <w:sz w:val="22"/>
          <w:szCs w:val="22"/>
        </w:rPr>
        <w:t>Figure 5.1.</w:t>
      </w:r>
      <w:r>
        <w:rPr>
          <w:rFonts w:ascii="Times New Roman" w:hAnsi="Times New Roman" w:eastAsia="Times New Roman" w:cs="Times New Roman"/>
          <w:color w:val="auto"/>
          <w:sz w:val="22"/>
          <w:szCs w:val="22"/>
        </w:rPr>
        <w:t xml:space="preserve"> Influence of gastrointestinal tract (GIT) phases and emusion types on the mean particle diameter (d32) of cholecalciferol-enriched oil-in water emulsions determined by an in </w:t>
      </w:r>
      <w:r>
        <w:rPr>
          <w:rFonts w:ascii="Times New Roman" w:hAnsi="Times New Roman" w:eastAsia="Times New Roman" w:cs="Times New Roman"/>
          <w:i/>
          <w:iCs/>
          <w:color w:val="auto"/>
          <w:sz w:val="22"/>
          <w:szCs w:val="22"/>
        </w:rPr>
        <w:t>vitro</w:t>
      </w:r>
      <w:r>
        <w:rPr>
          <w:rFonts w:ascii="Times New Roman" w:hAnsi="Times New Roman" w:eastAsia="Times New Roman" w:cs="Times New Roman"/>
          <w:color w:val="auto"/>
          <w:sz w:val="22"/>
          <w:szCs w:val="22"/>
        </w:rPr>
        <w:t xml:space="preserve"> simulated GIT</w:t>
      </w:r>
    </w:p>
    <w:p>
      <w:pPr>
        <w:spacing w:after="0" w:line="364" w:lineRule="exact"/>
        <w:rPr>
          <w:color w:val="auto"/>
          <w:sz w:val="20"/>
          <w:szCs w:val="20"/>
        </w:rPr>
      </w:pPr>
    </w:p>
    <w:p>
      <w:pPr>
        <w:spacing w:after="0" w:line="484" w:lineRule="auto"/>
        <w:ind w:left="360" w:right="360" w:firstLine="720"/>
        <w:jc w:val="both"/>
        <w:rPr>
          <w:color w:val="auto"/>
          <w:sz w:val="20"/>
          <w:szCs w:val="20"/>
        </w:rPr>
      </w:pPr>
      <w:r>
        <w:rPr>
          <w:rFonts w:ascii="Times New Roman" w:hAnsi="Times New Roman" w:eastAsia="Times New Roman" w:cs="Times New Roman"/>
          <w:color w:val="auto"/>
          <w:sz w:val="22"/>
          <w:szCs w:val="22"/>
        </w:rPr>
        <w:t>After the gastric phase, once the particles incubated in small intestine phase, there was an appreciable reduction in the particle size (Figure 5.1). This reduction in mean particle diameter may be due to various reasons such as lipid digestion; thereby forming mixed micelles and generation of insoluble sediments (Ozturk et al., 2015). In the micelle phase, the particle size in all three emulsion types are relatively smaller, which may be due to creaming or sedimentation of larger particles during the centrifugation process. The variation of particle sizes in the mixed micelle phase for the coarse emulsion remained higher when comparing to the nanoemulsion groups though it did not reach statistical significance (Figure 5.3A).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38</w:t>
      </w:r>
    </w:p>
    <w:p>
      <w:pPr>
        <w:sectPr>
          <w:pgSz w:w="12240" w:h="15840"/>
          <w:pgMar w:top="1440" w:right="1440" w:bottom="181" w:left="1440" w:header="0" w:footer="0" w:gutter="0"/>
          <w:cols w:equalWidth="0" w:num="1">
            <w:col w:w="9360"/>
          </w:cols>
        </w:sectPr>
      </w:pPr>
    </w:p>
    <w:p>
      <w:pPr>
        <w:spacing w:after="0" w:line="200" w:lineRule="exact"/>
        <w:rPr>
          <w:color w:val="auto"/>
          <w:sz w:val="20"/>
          <w:szCs w:val="20"/>
        </w:rPr>
      </w:pPr>
      <w:bookmarkStart w:id="45" w:name="page52"/>
      <w:bookmarkEnd w:id="45"/>
      <w:r>
        <w:rPr>
          <w:color w:val="auto"/>
          <w:sz w:val="20"/>
          <w:szCs w:val="20"/>
        </w:rPr>
        <w:drawing>
          <wp:anchor distT="0" distB="0" distL="114300" distR="114300" simplePos="0" relativeHeight="251659264" behindDoc="1" locked="0" layoutInCell="0" allowOverlap="1">
            <wp:simplePos x="0" y="0"/>
            <wp:positionH relativeFrom="page">
              <wp:posOffset>1143000</wp:posOffset>
            </wp:positionH>
            <wp:positionV relativeFrom="page">
              <wp:posOffset>914400</wp:posOffset>
            </wp:positionV>
            <wp:extent cx="4114800" cy="2834640"/>
            <wp:effectExtent l="0" t="0" r="0"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a:xfrm>
                      <a:off x="0" y="0"/>
                      <a:ext cx="4114800" cy="283464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line="295" w:lineRule="auto"/>
        <w:ind w:left="360" w:right="360"/>
        <w:jc w:val="both"/>
        <w:rPr>
          <w:color w:val="auto"/>
          <w:sz w:val="20"/>
          <w:szCs w:val="20"/>
        </w:rPr>
      </w:pPr>
      <w:r>
        <w:rPr>
          <w:rFonts w:ascii="Times New Roman" w:hAnsi="Times New Roman" w:eastAsia="Times New Roman" w:cs="Times New Roman"/>
          <w:b/>
          <w:bCs/>
          <w:color w:val="auto"/>
          <w:sz w:val="22"/>
          <w:szCs w:val="22"/>
        </w:rPr>
        <w:t>Figure 5.2</w:t>
      </w:r>
      <w:r>
        <w:rPr>
          <w:rFonts w:ascii="Times New Roman" w:hAnsi="Times New Roman" w:eastAsia="Times New Roman" w:cs="Times New Roman"/>
          <w:color w:val="auto"/>
          <w:sz w:val="22"/>
          <w:szCs w:val="22"/>
        </w:rPr>
        <w:t xml:space="preserve">. Influence of gastrointestinal tract (GIT) phases and emusion types on particle charge (ζ-potential) of cholecalciferol-enriched oil-in water emulsions determined by an in </w:t>
      </w:r>
      <w:r>
        <w:rPr>
          <w:rFonts w:ascii="Times New Roman" w:hAnsi="Times New Roman" w:eastAsia="Times New Roman" w:cs="Times New Roman"/>
          <w:i/>
          <w:iCs/>
          <w:color w:val="auto"/>
          <w:sz w:val="22"/>
          <w:szCs w:val="22"/>
        </w:rPr>
        <w:t>vitro</w:t>
      </w:r>
      <w:r>
        <w:rPr>
          <w:rFonts w:ascii="Times New Roman" w:hAnsi="Times New Roman" w:eastAsia="Times New Roman" w:cs="Times New Roman"/>
          <w:color w:val="auto"/>
          <w:sz w:val="22"/>
          <w:szCs w:val="22"/>
        </w:rPr>
        <w:t xml:space="preserve"> simulated GIT</w:t>
      </w:r>
    </w:p>
    <w:p>
      <w:pPr>
        <w:spacing w:after="0" w:line="200" w:lineRule="exact"/>
        <w:rPr>
          <w:color w:val="auto"/>
          <w:sz w:val="20"/>
          <w:szCs w:val="20"/>
        </w:rPr>
      </w:pPr>
    </w:p>
    <w:p>
      <w:pPr>
        <w:spacing w:after="0" w:line="359" w:lineRule="exact"/>
        <w:rPr>
          <w:color w:val="auto"/>
          <w:sz w:val="20"/>
          <w:szCs w:val="20"/>
        </w:rPr>
      </w:pPr>
    </w:p>
    <w:p>
      <w:pPr>
        <w:spacing w:after="0" w:line="486" w:lineRule="auto"/>
        <w:ind w:left="360" w:right="360" w:firstLine="720"/>
        <w:jc w:val="both"/>
        <w:rPr>
          <w:color w:val="auto"/>
          <w:sz w:val="20"/>
          <w:szCs w:val="20"/>
        </w:rPr>
      </w:pPr>
      <w:r>
        <w:rPr>
          <w:rFonts w:ascii="Times New Roman" w:hAnsi="Times New Roman" w:eastAsia="Times New Roman" w:cs="Times New Roman"/>
          <w:color w:val="auto"/>
          <w:sz w:val="22"/>
          <w:szCs w:val="22"/>
        </w:rPr>
        <w:t>The electrical charge on the particles was measured at various phases of simulated GIT to provide information on interfacial characteristics (Figure 5.2). In all phases (initial, mouth, stomach, small intestine &amp; micelle) the magnitude of negative charges for the particles in the coarse emulsion was significantly less than those particles in nanoemulsions with or without cholecalciferol (p&lt;0.005). The pattern of the negative charge changes across all the phases was similar for all 3 groups, which is in agreement with previous studies (Ozturk et al., 2015).</w:t>
      </w:r>
    </w:p>
    <w:p>
      <w:pPr>
        <w:spacing w:after="0" w:line="121" w:lineRule="exact"/>
        <w:rPr>
          <w:color w:val="auto"/>
          <w:sz w:val="20"/>
          <w:szCs w:val="20"/>
        </w:rPr>
      </w:pPr>
    </w:p>
    <w:p>
      <w:pPr>
        <w:spacing w:after="0" w:line="510" w:lineRule="auto"/>
        <w:ind w:left="360" w:right="360" w:firstLine="720"/>
        <w:jc w:val="both"/>
        <w:rPr>
          <w:color w:val="auto"/>
          <w:sz w:val="20"/>
          <w:szCs w:val="20"/>
        </w:rPr>
      </w:pPr>
      <w:r>
        <w:rPr>
          <w:rFonts w:ascii="Times New Roman" w:hAnsi="Times New Roman" w:eastAsia="Times New Roman" w:cs="Times New Roman"/>
          <w:color w:val="auto"/>
          <w:sz w:val="21"/>
          <w:szCs w:val="21"/>
        </w:rPr>
        <w:t>The magnitude in negative electrical charge has decreased in droplets for all emulsion types after subjected to mouth phase. This may be due to salts in simulated saliva or adsorption of mucin to the surface of the lipid droplets. Moreover, after subjected to the stomach phase, the magnitude of the negative charge decreased further which may be due to the electrical characterisitics of Q-Naturale in acidic condition. After exposure to the simulated small intestinal solution, the magnitudes of the negative charge for all emulsions types increased appreciably which may be due to various reasons such as increase in pH, adsorption of anionic phospholipids &amp; bile salts to the</w:t>
      </w:r>
    </w:p>
    <w:p>
      <w:pPr>
        <w:spacing w:after="0" w:line="23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39</w:t>
      </w:r>
    </w:p>
    <w:p>
      <w:pPr>
        <w:sectPr>
          <w:pgSz w:w="12240" w:h="15840"/>
          <w:pgMar w:top="1440" w:right="1440" w:bottom="181" w:left="1440" w:header="0" w:footer="0" w:gutter="0"/>
          <w:cols w:equalWidth="0" w:num="1">
            <w:col w:w="9360"/>
          </w:cols>
        </w:sectPr>
      </w:pPr>
    </w:p>
    <w:p>
      <w:pPr>
        <w:spacing w:after="0" w:line="502" w:lineRule="auto"/>
        <w:ind w:left="360" w:right="360"/>
        <w:jc w:val="both"/>
        <w:rPr>
          <w:color w:val="auto"/>
          <w:sz w:val="20"/>
          <w:szCs w:val="20"/>
        </w:rPr>
      </w:pPr>
      <w:bookmarkStart w:id="46" w:name="page53"/>
      <w:bookmarkEnd w:id="46"/>
      <w:r>
        <w:rPr>
          <w:rFonts w:ascii="Times New Roman" w:hAnsi="Times New Roman" w:eastAsia="Times New Roman" w:cs="Times New Roman"/>
          <w:color w:val="auto"/>
          <w:sz w:val="21"/>
          <w:szCs w:val="21"/>
        </w:rPr>
        <w:t>droplets surface and synthesis of anionic FFA during digestion of triglycerides which was reported in previous study also (Ozturk et al., 2015). Unlike the particle size, the coefficient of variation for the electronic charge was not statistically different among the three groups (Figure 5.3B).</w:t>
      </w:r>
    </w:p>
    <w:p>
      <w:pPr>
        <w:spacing w:after="0" w:line="1" w:lineRule="exact"/>
        <w:rPr>
          <w:color w:val="auto"/>
          <w:sz w:val="20"/>
          <w:szCs w:val="20"/>
        </w:rPr>
      </w:pPr>
    </w:p>
    <w:p>
      <w:pPr>
        <w:spacing w:after="0" w:line="487" w:lineRule="auto"/>
        <w:ind w:left="360" w:right="360" w:firstLine="720"/>
        <w:jc w:val="both"/>
        <w:rPr>
          <w:color w:val="auto"/>
          <w:sz w:val="20"/>
          <w:szCs w:val="20"/>
        </w:rPr>
      </w:pPr>
      <w:r>
        <w:rPr>
          <w:rFonts w:ascii="Times New Roman" w:hAnsi="Times New Roman" w:eastAsia="Times New Roman" w:cs="Times New Roman"/>
          <w:color w:val="auto"/>
          <w:sz w:val="22"/>
          <w:szCs w:val="22"/>
        </w:rPr>
        <w:t>The digital photographs of the three groups across all phases are shown in Figure 5.3C, with a minimal difference for the coarse emulsion. Particularly, the coarse emulsions appeared less opaque than the nanoemulsions, which was due to the lower degree of light scattering for the larger droplets. In addition, there was evidence of a thin layer of droplets at the top of the coarse emulsions, which can be attributed to the increase in the creaming velocity with increasing droplet size.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228600</wp:posOffset>
            </wp:positionH>
            <wp:positionV relativeFrom="paragraph">
              <wp:posOffset>438785</wp:posOffset>
            </wp:positionV>
            <wp:extent cx="5362575" cy="4144645"/>
            <wp:effectExtent l="0" t="0" r="9525" b="825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9"/>
                    <a:srcRect/>
                    <a:stretch>
                      <a:fillRect/>
                    </a:stretch>
                  </pic:blipFill>
                  <pic:spPr>
                    <a:xfrm>
                      <a:off x="0" y="0"/>
                      <a:ext cx="5362575" cy="414464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3" w:lineRule="exact"/>
        <w:rPr>
          <w:color w:val="auto"/>
          <w:sz w:val="20"/>
          <w:szCs w:val="20"/>
        </w:rPr>
      </w:pPr>
    </w:p>
    <w:p>
      <w:pPr>
        <w:spacing w:after="0" w:line="429" w:lineRule="auto"/>
        <w:ind w:left="360" w:right="360"/>
        <w:jc w:val="both"/>
        <w:rPr>
          <w:color w:val="auto"/>
          <w:sz w:val="20"/>
          <w:szCs w:val="20"/>
        </w:rPr>
      </w:pPr>
      <w:r>
        <w:rPr>
          <w:rFonts w:ascii="Times New Roman" w:hAnsi="Times New Roman" w:eastAsia="Times New Roman" w:cs="Times New Roman"/>
          <w:b/>
          <w:bCs/>
          <w:color w:val="auto"/>
          <w:sz w:val="21"/>
          <w:szCs w:val="21"/>
        </w:rPr>
        <w:t>Figure 5.3.</w:t>
      </w:r>
      <w:r>
        <w:rPr>
          <w:rFonts w:ascii="Times New Roman" w:hAnsi="Times New Roman" w:eastAsia="Times New Roman" w:cs="Times New Roman"/>
          <w:color w:val="auto"/>
          <w:sz w:val="21"/>
          <w:szCs w:val="21"/>
        </w:rPr>
        <w:t xml:space="preserve"> Impact of emuslion types on physical homogeneity of cholecalciferol-enriched oil-in-water emulsion. The percentage on the figure are coefficient of variation for physical chracteristics</w:t>
      </w:r>
    </w:p>
    <w:p>
      <w:pPr>
        <w:sectPr>
          <w:pgSz w:w="12240" w:h="15840"/>
          <w:pgMar w:top="1419" w:right="1440" w:bottom="181" w:left="1440" w:header="0" w:footer="0" w:gutter="0"/>
          <w:cols w:equalWidth="0" w:num="1">
            <w:col w:w="9360"/>
          </w:cols>
        </w:sectPr>
      </w:pPr>
    </w:p>
    <w:p>
      <w:pPr>
        <w:spacing w:after="0" w:line="35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40</w:t>
      </w:r>
    </w:p>
    <w:p>
      <w:pPr>
        <w:sectPr>
          <w:type w:val="continuous"/>
          <w:pgSz w:w="12240" w:h="15840"/>
          <w:pgMar w:top="1419" w:right="1440" w:bottom="181" w:left="1440" w:header="0" w:footer="0" w:gutter="0"/>
          <w:cols w:equalWidth="0" w:num="1">
            <w:col w:w="9360"/>
          </w:cols>
        </w:sectPr>
      </w:pPr>
    </w:p>
    <w:p>
      <w:pPr>
        <w:spacing w:after="0" w:line="376" w:lineRule="auto"/>
        <w:ind w:left="360" w:right="360"/>
        <w:jc w:val="both"/>
        <w:rPr>
          <w:color w:val="auto"/>
          <w:sz w:val="20"/>
          <w:szCs w:val="20"/>
        </w:rPr>
      </w:pPr>
      <w:bookmarkStart w:id="47" w:name="page54"/>
      <w:bookmarkEnd w:id="47"/>
      <w:r>
        <w:rPr>
          <w:rFonts w:ascii="Times New Roman" w:hAnsi="Times New Roman" w:eastAsia="Times New Roman" w:cs="Times New Roman"/>
          <w:color w:val="auto"/>
          <w:sz w:val="22"/>
          <w:szCs w:val="22"/>
        </w:rPr>
        <w:t>in each group. A) Homogeneity of particle size. Due to significantly high particle size for the coarse emulsion, the particle size was normalized to the mean for comparison on the figure. B) Homogeneity of particle charge. C) Digital photographs at different stages of the GIT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9"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2"/>
          <w:szCs w:val="22"/>
        </w:rPr>
        <w:t xml:space="preserve">5.2. In </w:t>
      </w:r>
      <w:r>
        <w:rPr>
          <w:rFonts w:ascii="Times New Roman" w:hAnsi="Times New Roman" w:eastAsia="Times New Roman" w:cs="Times New Roman"/>
          <w:b/>
          <w:bCs/>
          <w:i/>
          <w:iCs/>
          <w:color w:val="auto"/>
          <w:sz w:val="22"/>
          <w:szCs w:val="22"/>
        </w:rPr>
        <w:t>vitro</w:t>
      </w:r>
      <w:r>
        <w:rPr>
          <w:rFonts w:ascii="Times New Roman" w:hAnsi="Times New Roman" w:eastAsia="Times New Roman" w:cs="Times New Roman"/>
          <w:b/>
          <w:bCs/>
          <w:color w:val="auto"/>
          <w:sz w:val="22"/>
          <w:szCs w:val="22"/>
        </w:rPr>
        <w:t xml:space="preserve"> lipid digestion and vitamin D Bioaccessibility</w:t>
      </w:r>
    </w:p>
    <w:p>
      <w:pPr>
        <w:spacing w:after="0" w:line="200" w:lineRule="exact"/>
        <w:rPr>
          <w:color w:val="auto"/>
          <w:sz w:val="20"/>
          <w:szCs w:val="20"/>
        </w:rPr>
      </w:pPr>
    </w:p>
    <w:p>
      <w:pPr>
        <w:spacing w:after="0" w:line="215" w:lineRule="exact"/>
        <w:rPr>
          <w:color w:val="auto"/>
          <w:sz w:val="20"/>
          <w:szCs w:val="20"/>
        </w:rPr>
      </w:pPr>
    </w:p>
    <w:p>
      <w:pPr>
        <w:spacing w:after="0" w:line="482" w:lineRule="auto"/>
        <w:ind w:left="360" w:right="360" w:firstLine="720"/>
        <w:jc w:val="both"/>
        <w:rPr>
          <w:color w:val="auto"/>
          <w:sz w:val="20"/>
          <w:szCs w:val="20"/>
        </w:rPr>
      </w:pPr>
      <w:r>
        <w:rPr>
          <w:rFonts w:ascii="Times New Roman" w:hAnsi="Times New Roman" w:eastAsia="Times New Roman" w:cs="Times New Roman"/>
          <w:color w:val="auto"/>
          <w:sz w:val="22"/>
          <w:szCs w:val="22"/>
        </w:rPr>
        <w:t>The rate and extent of lipid digestion under simulated small intestine was continuously monitored and recorded using the pH-stat method (Figure 5.4). There was a rapid FFA release for the nanoemulsion groups (nanoemulsion with and without cholecalciferol) throughout the first 10 minutes after adding lipase, which helps in breaking down triglycerides to monoglycerides and FFA. Between 10 to 120 minutes, there was a slow release of FFA or the rate of FFA release remained constant which indicates the completion of lipid digestion. The extent of release of FFA was significantly (p&lt;0.01) higher for nanoemulsion groups than the coarse emulsion. At the end of 120 min incubation, there were only 69% of the lipids were digested for the coarse emulsion. The observed difference in the rate of and extent of lipid digestion can be attributed to differences in surface area of the systems. Nanoemulsion has a much higher surface area per unit amount of lipid than coarse emulsions, and so it assists more lipase molecules to adsorb to the surface of the droplets and thereby it increases the lipid hydrolysis.</w:t>
      </w:r>
    </w:p>
    <w:p>
      <w:pPr>
        <w:sectPr>
          <w:pgSz w:w="12240" w:h="15840"/>
          <w:pgMar w:top="1416"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41</w:t>
      </w:r>
    </w:p>
    <w:p>
      <w:pPr>
        <w:sectPr>
          <w:type w:val="continuous"/>
          <w:pgSz w:w="12240" w:h="15840"/>
          <w:pgMar w:top="1416" w:right="1440" w:bottom="181" w:left="1440" w:header="0" w:footer="0" w:gutter="0"/>
          <w:cols w:equalWidth="0" w:num="1">
            <w:col w:w="9360"/>
          </w:cols>
        </w:sectPr>
      </w:pPr>
    </w:p>
    <w:p>
      <w:pPr>
        <w:spacing w:after="0" w:line="200" w:lineRule="exact"/>
        <w:rPr>
          <w:color w:val="auto"/>
          <w:sz w:val="20"/>
          <w:szCs w:val="20"/>
        </w:rPr>
      </w:pPr>
      <w:bookmarkStart w:id="48" w:name="page55"/>
      <w:bookmarkEnd w:id="48"/>
      <w:r>
        <w:rPr>
          <w:color w:val="auto"/>
          <w:sz w:val="20"/>
          <w:szCs w:val="20"/>
        </w:rPr>
        <w:drawing>
          <wp:anchor distT="0" distB="0" distL="114300" distR="114300" simplePos="0" relativeHeight="251659264" behindDoc="1" locked="0" layoutInCell="0" allowOverlap="1">
            <wp:simplePos x="0" y="0"/>
            <wp:positionH relativeFrom="page">
              <wp:posOffset>1143000</wp:posOffset>
            </wp:positionH>
            <wp:positionV relativeFrom="page">
              <wp:posOffset>914400</wp:posOffset>
            </wp:positionV>
            <wp:extent cx="4572000" cy="275209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a:xfrm>
                      <a:off x="0" y="0"/>
                      <a:ext cx="4572000" cy="27520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0"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2"/>
          <w:szCs w:val="22"/>
        </w:rPr>
        <w:t>Figure 5.4.</w:t>
      </w:r>
      <w:r>
        <w:rPr>
          <w:rFonts w:ascii="Times New Roman" w:hAnsi="Times New Roman" w:eastAsia="Times New Roman" w:cs="Times New Roman"/>
          <w:color w:val="auto"/>
          <w:sz w:val="22"/>
          <w:szCs w:val="22"/>
        </w:rPr>
        <w:t xml:space="preserve"> Release of FFA from emulsions under simulated small intestine conditions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1" w:lineRule="exact"/>
        <w:rPr>
          <w:color w:val="auto"/>
          <w:sz w:val="20"/>
          <w:szCs w:val="20"/>
        </w:rPr>
      </w:pPr>
    </w:p>
    <w:p>
      <w:pPr>
        <w:spacing w:after="0" w:line="480" w:lineRule="auto"/>
        <w:ind w:left="360" w:right="360" w:firstLine="720"/>
        <w:jc w:val="both"/>
        <w:rPr>
          <w:color w:val="auto"/>
          <w:sz w:val="20"/>
          <w:szCs w:val="20"/>
        </w:rPr>
      </w:pPr>
      <w:r>
        <w:rPr>
          <w:rFonts w:ascii="Times New Roman" w:hAnsi="Times New Roman" w:eastAsia="Times New Roman" w:cs="Times New Roman"/>
          <w:color w:val="auto"/>
          <w:sz w:val="22"/>
          <w:szCs w:val="22"/>
        </w:rPr>
        <w:t>After full digestion by simulated GIT, the bioaccessibility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was determined in the total digesta and in micelle phase using solvent extraction and UV–Vis spectrophotometry. The relative viatmin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bioaccessibility was calculated by dividing the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concentration in the nanoemulsion by the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concentration in the coarse emulsion. The absorbance measurements were normalized to the empty vehicle control group. In intestinal total digesta, the bioaccessibility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was 2.58-fold higher (p &lt;0.01) in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nanoemulsion group when compared to the coarse emulsion group (Figure 5.5A). The higher bioaccessibility for encapsulated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nanoemulsion group was attributed to complete digestion and better solubilizing capacity due to smaller droplet size, less degradation of cholecalciferol or other losses in GIT.</w:t>
      </w:r>
    </w:p>
    <w:p>
      <w:pPr>
        <w:spacing w:after="0" w:line="2" w:lineRule="exact"/>
        <w:rPr>
          <w:color w:val="auto"/>
          <w:sz w:val="20"/>
          <w:szCs w:val="20"/>
        </w:rPr>
      </w:pPr>
    </w:p>
    <w:p>
      <w:pPr>
        <w:spacing w:after="0" w:line="490" w:lineRule="auto"/>
        <w:ind w:left="360" w:right="360" w:firstLine="720"/>
        <w:jc w:val="both"/>
        <w:rPr>
          <w:color w:val="auto"/>
          <w:sz w:val="20"/>
          <w:szCs w:val="20"/>
        </w:rPr>
      </w:pPr>
      <w:r>
        <w:rPr>
          <w:rFonts w:ascii="Times New Roman" w:hAnsi="Times New Roman" w:eastAsia="Times New Roman" w:cs="Times New Roman"/>
          <w:color w:val="auto"/>
          <w:sz w:val="22"/>
          <w:szCs w:val="22"/>
        </w:rPr>
        <w:t>In a mixed micelle, the bioaccessibility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was 3.94-fold higher (p &lt;0.01) in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nanoemulsion group when compared to the coarse emulsion group (Figure 5.5B), suggesting that nanoemulsification improved the incorporation of cholecalciferol into the mixed micelles. As a result, there would be a higher level of vitamin D available for intestinal epithelial</w:t>
      </w:r>
    </w:p>
    <w:p>
      <w:pPr>
        <w:spacing w:after="0" w:line="200" w:lineRule="exact"/>
        <w:rPr>
          <w:color w:val="auto"/>
          <w:sz w:val="20"/>
          <w:szCs w:val="20"/>
        </w:rPr>
      </w:pPr>
    </w:p>
    <w:p>
      <w:pPr>
        <w:spacing w:after="0" w:line="27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42</w:t>
      </w:r>
    </w:p>
    <w:p>
      <w:pPr>
        <w:sectPr>
          <w:pgSz w:w="12240" w:h="15840"/>
          <w:pgMar w:top="1440" w:right="1440" w:bottom="181" w:left="1440" w:header="0" w:footer="0" w:gutter="0"/>
          <w:cols w:equalWidth="0" w:num="1">
            <w:col w:w="9360"/>
          </w:cols>
        </w:sectPr>
      </w:pPr>
    </w:p>
    <w:p>
      <w:pPr>
        <w:spacing w:after="0" w:line="490" w:lineRule="auto"/>
        <w:ind w:left="360" w:right="360"/>
        <w:jc w:val="both"/>
        <w:rPr>
          <w:color w:val="auto"/>
          <w:sz w:val="20"/>
          <w:szCs w:val="20"/>
        </w:rPr>
      </w:pPr>
      <w:bookmarkStart w:id="49" w:name="page56"/>
      <w:bookmarkEnd w:id="49"/>
      <w:r>
        <w:rPr>
          <w:rFonts w:ascii="Times New Roman" w:hAnsi="Times New Roman" w:eastAsia="Times New Roman" w:cs="Times New Roman"/>
          <w:color w:val="auto"/>
          <w:sz w:val="22"/>
          <w:szCs w:val="22"/>
        </w:rPr>
        <w:t>cell absorption. The homogeneity test showed that the coefficients of variation for the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concentration in the intestinal raw digesta (16.89 vs 9.21%, p=0.064) and mixed micelle (25.26 vs 9.95%, p=0.045) of the vitamin D coarse emulsion group were higher than that of the nanoemulsion group (Figure 5.5C).</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228600</wp:posOffset>
            </wp:positionH>
            <wp:positionV relativeFrom="paragraph">
              <wp:posOffset>629285</wp:posOffset>
            </wp:positionV>
            <wp:extent cx="5477510" cy="5204460"/>
            <wp:effectExtent l="0" t="0" r="8890" b="1524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11"/>
                    <a:srcRect/>
                    <a:stretch>
                      <a:fillRect/>
                    </a:stretch>
                  </pic:blipFill>
                  <pic:spPr>
                    <a:xfrm>
                      <a:off x="0" y="0"/>
                      <a:ext cx="5477510" cy="5204460"/>
                    </a:xfrm>
                    <a:prstGeom prst="rect">
                      <a:avLst/>
                    </a:prstGeom>
                    <a:noFill/>
                  </pic:spPr>
                </pic:pic>
              </a:graphicData>
            </a:graphic>
          </wp:anchor>
        </w:drawing>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43</w:t>
      </w:r>
    </w:p>
    <w:p>
      <w:pPr>
        <w:sectPr>
          <w:type w:val="continuous"/>
          <w:pgSz w:w="12240" w:h="15840"/>
          <w:pgMar w:top="1419" w:right="1440" w:bottom="181" w:left="1440" w:header="0" w:footer="0" w:gutter="0"/>
          <w:cols w:equalWidth="0" w:num="1">
            <w:col w:w="9360"/>
          </w:cols>
        </w:sectPr>
      </w:pPr>
    </w:p>
    <w:p>
      <w:pPr>
        <w:spacing w:after="0" w:line="372" w:lineRule="auto"/>
        <w:ind w:left="360" w:right="360"/>
        <w:jc w:val="both"/>
        <w:rPr>
          <w:color w:val="auto"/>
          <w:sz w:val="20"/>
          <w:szCs w:val="20"/>
        </w:rPr>
      </w:pPr>
      <w:bookmarkStart w:id="50" w:name="page57"/>
      <w:bookmarkEnd w:id="50"/>
      <w:r>
        <w:rPr>
          <w:rFonts w:ascii="Times New Roman" w:hAnsi="Times New Roman" w:eastAsia="Times New Roman" w:cs="Times New Roman"/>
          <w:b/>
          <w:bCs/>
          <w:color w:val="auto"/>
          <w:sz w:val="22"/>
          <w:szCs w:val="22"/>
        </w:rPr>
        <w:t>Figure 5.5.</w:t>
      </w:r>
      <w:r>
        <w:rPr>
          <w:rFonts w:ascii="Times New Roman" w:hAnsi="Times New Roman" w:eastAsia="Times New Roman" w:cs="Times New Roman"/>
          <w:color w:val="auto"/>
          <w:sz w:val="22"/>
          <w:szCs w:val="22"/>
        </w:rPr>
        <w:t xml:space="preserve">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concentration in raw digesta and the mixed micelles of the simulated GIT system. A) The concentartion of vitamin D in the raw digesta and B) The concentartion of vitamin D in the mixed micelle C) Coefficient of varaiation of vitamin D concentration in various emulsion groups</w:t>
      </w: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2"/>
          <w:szCs w:val="22"/>
        </w:rPr>
        <w:t xml:space="preserve">5.3. In </w:t>
      </w:r>
      <w:r>
        <w:rPr>
          <w:rFonts w:ascii="Times New Roman" w:hAnsi="Times New Roman" w:eastAsia="Times New Roman" w:cs="Times New Roman"/>
          <w:b/>
          <w:bCs/>
          <w:i/>
          <w:iCs/>
          <w:color w:val="auto"/>
          <w:sz w:val="22"/>
          <w:szCs w:val="22"/>
        </w:rPr>
        <w:t>vivo</w:t>
      </w:r>
      <w:r>
        <w:rPr>
          <w:rFonts w:ascii="Times New Roman" w:hAnsi="Times New Roman" w:eastAsia="Times New Roman" w:cs="Times New Roman"/>
          <w:b/>
          <w:bCs/>
          <w:color w:val="auto"/>
          <w:sz w:val="22"/>
          <w:szCs w:val="22"/>
        </w:rPr>
        <w:t xml:space="preserve"> vitamin D Bioavailability</w:t>
      </w:r>
    </w:p>
    <w:p>
      <w:pPr>
        <w:spacing w:after="0" w:line="200" w:lineRule="exact"/>
        <w:rPr>
          <w:color w:val="auto"/>
          <w:sz w:val="20"/>
          <w:szCs w:val="20"/>
        </w:rPr>
      </w:pPr>
    </w:p>
    <w:p>
      <w:pPr>
        <w:spacing w:after="0" w:line="211" w:lineRule="exact"/>
        <w:rPr>
          <w:color w:val="auto"/>
          <w:sz w:val="20"/>
          <w:szCs w:val="20"/>
        </w:rPr>
      </w:pPr>
    </w:p>
    <w:p>
      <w:pPr>
        <w:spacing w:after="0" w:line="502" w:lineRule="exact"/>
        <w:ind w:left="360" w:right="360"/>
        <w:jc w:val="both"/>
        <w:rPr>
          <w:color w:val="auto"/>
          <w:sz w:val="20"/>
          <w:szCs w:val="20"/>
        </w:rPr>
      </w:pPr>
      <w:r>
        <w:rPr>
          <w:rFonts w:ascii="Times New Roman" w:hAnsi="Times New Roman" w:eastAsia="Times New Roman" w:cs="Times New Roman"/>
          <w:color w:val="auto"/>
          <w:sz w:val="21"/>
          <w:szCs w:val="21"/>
        </w:rPr>
        <w:t xml:space="preserve">After observing the improvement of in </w:t>
      </w:r>
      <w:r>
        <w:rPr>
          <w:rFonts w:ascii="Times New Roman" w:hAnsi="Times New Roman" w:eastAsia="Times New Roman" w:cs="Times New Roman"/>
          <w:i/>
          <w:iCs/>
          <w:color w:val="auto"/>
          <w:sz w:val="21"/>
          <w:szCs w:val="21"/>
        </w:rPr>
        <w:t>vitro</w:t>
      </w:r>
      <w:r>
        <w:rPr>
          <w:rFonts w:ascii="Times New Roman" w:hAnsi="Times New Roman" w:eastAsia="Times New Roman" w:cs="Times New Roman"/>
          <w:color w:val="auto"/>
          <w:sz w:val="21"/>
          <w:szCs w:val="21"/>
        </w:rPr>
        <w:t xml:space="preserve"> bioaccessibility, we further examined the in </w:t>
      </w:r>
      <w:r>
        <w:rPr>
          <w:rFonts w:ascii="Times New Roman" w:hAnsi="Times New Roman" w:eastAsia="Times New Roman" w:cs="Times New Roman"/>
          <w:i/>
          <w:iCs/>
          <w:color w:val="auto"/>
          <w:sz w:val="21"/>
          <w:szCs w:val="21"/>
        </w:rPr>
        <w:t>vivo</w:t>
      </w:r>
      <w:r>
        <w:rPr>
          <w:rFonts w:ascii="Times New Roman" w:hAnsi="Times New Roman" w:eastAsia="Times New Roman" w:cs="Times New Roman"/>
          <w:color w:val="auto"/>
          <w:sz w:val="21"/>
          <w:szCs w:val="21"/>
        </w:rPr>
        <w:t xml:space="preserve"> bioavailability of vitamin D in nanoemulsion or coarse emulsion using an animal study. When compared to the vehicle group (nanoemulsion without vitamin D) that has a baseline of 1000 IU/kg of vitamin D in the diet, the coarse emulsion group with the oral supplementation of cholecalciferol (4000 IU/kg equivalent) showed increase in serum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level by 36.04% but it was not statistically significant (13.1</w:t>
      </w:r>
      <w:r>
        <w:rPr>
          <w:rFonts w:ascii="MS Gothic" w:hAnsi="MS Gothic" w:eastAsia="MS Gothic" w:cs="MS Gothic"/>
          <w:color w:val="auto"/>
          <w:sz w:val="21"/>
          <w:szCs w:val="21"/>
        </w:rPr>
        <w:t xml:space="preserve"> ±</w:t>
      </w:r>
      <w:r>
        <w:rPr>
          <w:rFonts w:ascii="Times New Roman" w:hAnsi="Times New Roman" w:eastAsia="Times New Roman" w:cs="Times New Roman"/>
          <w:color w:val="auto"/>
          <w:sz w:val="21"/>
          <w:szCs w:val="21"/>
        </w:rPr>
        <w:t>0.09 vs 17.9</w:t>
      </w:r>
      <w:r>
        <w:rPr>
          <w:rFonts w:ascii="MS Gothic" w:hAnsi="MS Gothic" w:eastAsia="MS Gothic" w:cs="MS Gothic"/>
          <w:color w:val="auto"/>
          <w:sz w:val="21"/>
          <w:szCs w:val="21"/>
        </w:rPr>
        <w:t>±</w:t>
      </w:r>
      <w:r>
        <w:rPr>
          <w:rFonts w:ascii="Times New Roman" w:hAnsi="Times New Roman" w:eastAsia="Times New Roman" w:cs="Times New Roman"/>
          <w:color w:val="auto"/>
          <w:sz w:val="21"/>
          <w:szCs w:val="21"/>
        </w:rPr>
        <w:t xml:space="preserve"> 2.82 ng/mL, p&gt;0.05) (Figure 6A). Whereas, in nanoemulsion group, the oral supplementation of cholecalciferol (4000 IU/kg equivalent) showed a statistically significant increase in serum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level by 73.10% (13.1</w:t>
      </w:r>
      <w:r>
        <w:rPr>
          <w:rFonts w:ascii="MS Gothic" w:hAnsi="MS Gothic" w:eastAsia="MS Gothic" w:cs="MS Gothic"/>
          <w:color w:val="auto"/>
          <w:sz w:val="21"/>
          <w:szCs w:val="21"/>
        </w:rPr>
        <w:t xml:space="preserve"> ±</w:t>
      </w:r>
      <w:r>
        <w:rPr>
          <w:rFonts w:ascii="Times New Roman" w:hAnsi="Times New Roman" w:eastAsia="Times New Roman" w:cs="Times New Roman"/>
          <w:color w:val="auto"/>
          <w:sz w:val="21"/>
          <w:szCs w:val="21"/>
        </w:rPr>
        <w:t>0.09 vs 22.7</w:t>
      </w:r>
      <w:r>
        <w:rPr>
          <w:rFonts w:ascii="MS Gothic" w:hAnsi="MS Gothic" w:eastAsia="MS Gothic" w:cs="MS Gothic"/>
          <w:color w:val="auto"/>
          <w:sz w:val="21"/>
          <w:szCs w:val="21"/>
        </w:rPr>
        <w:t>±</w:t>
      </w:r>
      <w:r>
        <w:rPr>
          <w:rFonts w:ascii="Times New Roman" w:hAnsi="Times New Roman" w:eastAsia="Times New Roman" w:cs="Times New Roman"/>
          <w:color w:val="auto"/>
          <w:sz w:val="21"/>
          <w:szCs w:val="21"/>
        </w:rPr>
        <w:t xml:space="preserve"> 1.10 ng/mL, p&lt;0.01). Serum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1"/>
          <w:szCs w:val="21"/>
        </w:rPr>
        <w:t xml:space="preserve"> which is considered as a standard single best biomarker to measure the vitamin D status (Zerwekh, 2008), this study established the correlation between in </w:t>
      </w:r>
      <w:r>
        <w:rPr>
          <w:rFonts w:ascii="Times New Roman" w:hAnsi="Times New Roman" w:eastAsia="Times New Roman" w:cs="Times New Roman"/>
          <w:i/>
          <w:iCs/>
          <w:color w:val="auto"/>
          <w:sz w:val="21"/>
          <w:szCs w:val="21"/>
        </w:rPr>
        <w:t>vitro</w:t>
      </w:r>
      <w:r>
        <w:rPr>
          <w:rFonts w:ascii="Times New Roman" w:hAnsi="Times New Roman" w:eastAsia="Times New Roman" w:cs="Times New Roman"/>
          <w:color w:val="auto"/>
          <w:sz w:val="21"/>
          <w:szCs w:val="21"/>
        </w:rPr>
        <w:t xml:space="preserve"> and in </w:t>
      </w:r>
      <w:r>
        <w:rPr>
          <w:rFonts w:ascii="Times New Roman" w:hAnsi="Times New Roman" w:eastAsia="Times New Roman" w:cs="Times New Roman"/>
          <w:i/>
          <w:iCs/>
          <w:color w:val="auto"/>
          <w:sz w:val="21"/>
          <w:szCs w:val="21"/>
        </w:rPr>
        <w:t>vivo</w:t>
      </w:r>
      <w:r>
        <w:rPr>
          <w:rFonts w:ascii="Times New Roman" w:hAnsi="Times New Roman" w:eastAsia="Times New Roman" w:cs="Times New Roman"/>
          <w:color w:val="auto"/>
          <w:sz w:val="21"/>
          <w:szCs w:val="21"/>
        </w:rPr>
        <w:t xml:space="preserve"> methods, which was not observed in our previous study where vitamin D</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1"/>
          <w:szCs w:val="21"/>
        </w:rPr>
        <w:t xml:space="preserve"> was</w:t>
      </w:r>
      <w:r>
        <w:rPr>
          <w:rFonts w:ascii="Times New Roman" w:hAnsi="Times New Roman" w:eastAsia="Times New Roman" w:cs="Times New Roman"/>
          <w:i/>
          <w:iCs/>
          <w:color w:val="auto"/>
          <w:sz w:val="21"/>
          <w:szCs w:val="21"/>
        </w:rPr>
        <w:t xml:space="preserve"> </w:t>
      </w:r>
      <w:r>
        <w:rPr>
          <w:rFonts w:ascii="Times New Roman" w:hAnsi="Times New Roman" w:eastAsia="Times New Roman" w:cs="Times New Roman"/>
          <w:color w:val="auto"/>
          <w:sz w:val="21"/>
          <w:szCs w:val="21"/>
        </w:rPr>
        <w:t xml:space="preserve">used as the biomarker (Salvia-Trujillo, et al., 2017). The results from our study is consistent with the previous study which showed that the nanotechnology-based oral administration of dietary bioactive components (curcumin) or commonly used drugs (ibuprofen) were able to improve their biological functions (pancreatic cancer prevention up to tenfolds) (Grandhi et al., 2013) &amp; (Thakkar et al., 2015). However, further studies are necessary to determine the biological consequence of improved vitamin D bioavailability by nanoemulsion. A higher coefficient of variation of the in </w:t>
      </w:r>
      <w:r>
        <w:rPr>
          <w:rFonts w:ascii="Times New Roman" w:hAnsi="Times New Roman" w:eastAsia="Times New Roman" w:cs="Times New Roman"/>
          <w:i/>
          <w:iCs/>
          <w:color w:val="auto"/>
          <w:sz w:val="21"/>
          <w:szCs w:val="21"/>
        </w:rPr>
        <w:t>vivo</w:t>
      </w:r>
      <w:r>
        <w:rPr>
          <w:rFonts w:ascii="Times New Roman" w:hAnsi="Times New Roman" w:eastAsia="Times New Roman" w:cs="Times New Roman"/>
          <w:color w:val="auto"/>
          <w:sz w:val="21"/>
          <w:szCs w:val="21"/>
        </w:rPr>
        <w:t xml:space="preserve"> bioavailability (Figure 5.6B) for the coarse emulsion group was consistent with in </w:t>
      </w:r>
      <w:r>
        <w:rPr>
          <w:rFonts w:ascii="Times New Roman" w:hAnsi="Times New Roman" w:eastAsia="Times New Roman" w:cs="Times New Roman"/>
          <w:i/>
          <w:iCs/>
          <w:color w:val="auto"/>
          <w:sz w:val="21"/>
          <w:szCs w:val="21"/>
        </w:rPr>
        <w:t>vitro</w:t>
      </w:r>
      <w:r>
        <w:rPr>
          <w:rFonts w:ascii="Times New Roman" w:hAnsi="Times New Roman" w:eastAsia="Times New Roman" w:cs="Times New Roman"/>
          <w:color w:val="auto"/>
          <w:sz w:val="21"/>
          <w:szCs w:val="21"/>
        </w:rPr>
        <w:t xml:space="preserve"> bioaccessibility (Figure 5.5C) and particle size (Figure 5.3A), indicating that the nanoemulsification can help to decrease the heterogeneity of vitamin D absorption.</w:t>
      </w:r>
    </w:p>
    <w:p>
      <w:pPr>
        <w:sectPr>
          <w:pgSz w:w="12240" w:h="15840"/>
          <w:pgMar w:top="1412" w:right="1440" w:bottom="181" w:left="1440" w:header="0" w:footer="0" w:gutter="0"/>
          <w:cols w:equalWidth="0" w:num="1">
            <w:col w:w="9360"/>
          </w:cols>
        </w:sectPr>
      </w:pPr>
    </w:p>
    <w:p>
      <w:pPr>
        <w:spacing w:after="0" w:line="200" w:lineRule="exact"/>
        <w:rPr>
          <w:color w:val="auto"/>
          <w:sz w:val="20"/>
          <w:szCs w:val="20"/>
        </w:rPr>
      </w:pPr>
    </w:p>
    <w:p>
      <w:pPr>
        <w:spacing w:after="0" w:line="32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44</w:t>
      </w:r>
    </w:p>
    <w:p>
      <w:pPr>
        <w:sectPr>
          <w:type w:val="continuous"/>
          <w:pgSz w:w="12240" w:h="15840"/>
          <w:pgMar w:top="1412" w:right="1440" w:bottom="181" w:left="1440" w:header="0" w:footer="0" w:gutter="0"/>
          <w:cols w:equalWidth="0" w:num="1">
            <w:col w:w="9360"/>
          </w:cols>
        </w:sectPr>
      </w:pPr>
    </w:p>
    <w:p>
      <w:pPr>
        <w:spacing w:after="0" w:line="200" w:lineRule="exact"/>
        <w:rPr>
          <w:color w:val="auto"/>
          <w:sz w:val="20"/>
          <w:szCs w:val="20"/>
        </w:rPr>
      </w:pPr>
      <w:bookmarkStart w:id="51" w:name="page58"/>
      <w:bookmarkEnd w:id="51"/>
      <w:r>
        <w:rPr>
          <w:color w:val="auto"/>
          <w:sz w:val="20"/>
          <w:szCs w:val="20"/>
        </w:rPr>
        <w:drawing>
          <wp:anchor distT="0" distB="0" distL="114300" distR="114300" simplePos="0" relativeHeight="251659264" behindDoc="1" locked="0" layoutInCell="0" allowOverlap="1">
            <wp:simplePos x="0" y="0"/>
            <wp:positionH relativeFrom="page">
              <wp:posOffset>1143000</wp:posOffset>
            </wp:positionH>
            <wp:positionV relativeFrom="page">
              <wp:posOffset>1235710</wp:posOffset>
            </wp:positionV>
            <wp:extent cx="5029200" cy="32175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a:xfrm>
                      <a:off x="0" y="0"/>
                      <a:ext cx="5029200" cy="321754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3" w:lineRule="exact"/>
        <w:rPr>
          <w:color w:val="auto"/>
          <w:sz w:val="20"/>
          <w:szCs w:val="20"/>
        </w:rPr>
      </w:pPr>
    </w:p>
    <w:p>
      <w:pPr>
        <w:spacing w:after="0" w:line="397" w:lineRule="auto"/>
        <w:ind w:left="360" w:right="360"/>
        <w:jc w:val="both"/>
        <w:rPr>
          <w:color w:val="auto"/>
          <w:sz w:val="20"/>
          <w:szCs w:val="20"/>
        </w:rPr>
      </w:pPr>
      <w:r>
        <w:rPr>
          <w:rFonts w:ascii="Times New Roman" w:hAnsi="Times New Roman" w:eastAsia="Times New Roman" w:cs="Times New Roman"/>
          <w:b/>
          <w:bCs/>
          <w:color w:val="auto"/>
          <w:sz w:val="22"/>
          <w:szCs w:val="22"/>
        </w:rPr>
        <w:t>Figure 5.6.</w:t>
      </w:r>
      <w:r>
        <w:rPr>
          <w:rFonts w:ascii="Times New Roman" w:hAnsi="Times New Roman" w:eastAsia="Times New Roman" w:cs="Times New Roman"/>
          <w:color w:val="auto"/>
          <w:sz w:val="22"/>
          <w:szCs w:val="22"/>
        </w:rPr>
        <w:t xml:space="preserve"> The in </w:t>
      </w:r>
      <w:r>
        <w:rPr>
          <w:rFonts w:ascii="Times New Roman" w:hAnsi="Times New Roman" w:eastAsia="Times New Roman" w:cs="Times New Roman"/>
          <w:i/>
          <w:iCs/>
          <w:color w:val="auto"/>
          <w:sz w:val="22"/>
          <w:szCs w:val="22"/>
        </w:rPr>
        <w:t>vivo</w:t>
      </w:r>
      <w:r>
        <w:rPr>
          <w:rFonts w:ascii="Times New Roman" w:hAnsi="Times New Roman" w:eastAsia="Times New Roman" w:cs="Times New Roman"/>
          <w:color w:val="auto"/>
          <w:sz w:val="22"/>
          <w:szCs w:val="22"/>
        </w:rPr>
        <w:t xml:space="preserve"> bioavailability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A) The concentration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in plasma and B) The coefficient of variation of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in plasma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2"/>
          <w:szCs w:val="22"/>
        </w:rPr>
        <w:t>5.4 The expression of vitamin D metabolically-realted genes</w:t>
      </w:r>
    </w:p>
    <w:p>
      <w:pPr>
        <w:spacing w:after="0" w:line="200" w:lineRule="exact"/>
        <w:rPr>
          <w:color w:val="auto"/>
          <w:sz w:val="20"/>
          <w:szCs w:val="20"/>
        </w:rPr>
      </w:pPr>
    </w:p>
    <w:p>
      <w:pPr>
        <w:spacing w:after="0" w:line="214" w:lineRule="exact"/>
        <w:rPr>
          <w:color w:val="auto"/>
          <w:sz w:val="20"/>
          <w:szCs w:val="20"/>
        </w:rPr>
      </w:pPr>
    </w:p>
    <w:p>
      <w:pPr>
        <w:spacing w:after="0" w:line="508" w:lineRule="auto"/>
        <w:ind w:left="360" w:right="360"/>
        <w:jc w:val="both"/>
        <w:rPr>
          <w:color w:val="auto"/>
          <w:sz w:val="20"/>
          <w:szCs w:val="20"/>
        </w:rPr>
      </w:pPr>
      <w:r>
        <w:rPr>
          <w:rFonts w:ascii="Times New Roman" w:hAnsi="Times New Roman" w:eastAsia="Times New Roman" w:cs="Times New Roman"/>
          <w:color w:val="auto"/>
          <w:sz w:val="21"/>
          <w:szCs w:val="21"/>
        </w:rPr>
        <w:t>Multiple genes such as VDR, CYP27A1, CYP2R1, TRPV6, CYP27B1 etc that are involved in vitamin D metabolism and their expression is potentially inducible by vitamin D intake. The expression of these genes was analysed using real-time PCR. We examined the expression of VDR, Cyp27A1, Cyp2R1, and Trpv6 in intestinal epithelial mucosa, VDR, Cyp27A1, and Cyp2R1 in the liver, and VDR, Cyp27B1, and Cyp24A1 in the kidney. In intestinal cells, we observed a significant increase in expression of Cyp27A1 in vitamin D nanoemulsion group when compared to the vehicle and coarse emulsion group, a significant increase in Cyp2R1 expression in the vitamin D nanoemulsion and coarse emulsion groups when compared to the vehicle group (Figure 5.7A, p &lt; 0.05). In liver tissue, we observed a significant increase in Cyp2R1 expression in the vitamin D</w:t>
      </w:r>
    </w:p>
    <w:p>
      <w:pPr>
        <w:spacing w:after="0" w:line="28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45</w:t>
      </w:r>
    </w:p>
    <w:p>
      <w:pPr>
        <w:sectPr>
          <w:pgSz w:w="12240" w:h="15840"/>
          <w:pgMar w:top="1440" w:right="1440" w:bottom="181" w:left="1440" w:header="0" w:footer="0" w:gutter="0"/>
          <w:cols w:equalWidth="0" w:num="1">
            <w:col w:w="9360"/>
          </w:cols>
        </w:sectPr>
      </w:pPr>
    </w:p>
    <w:p>
      <w:pPr>
        <w:spacing w:after="0" w:line="480" w:lineRule="auto"/>
        <w:ind w:left="360" w:right="360" w:firstLine="1"/>
        <w:jc w:val="both"/>
        <w:rPr>
          <w:color w:val="auto"/>
          <w:sz w:val="20"/>
          <w:szCs w:val="20"/>
        </w:rPr>
      </w:pPr>
      <w:bookmarkStart w:id="52" w:name="page59"/>
      <w:bookmarkEnd w:id="52"/>
      <w:r>
        <w:rPr>
          <w:rFonts w:ascii="Times New Roman" w:hAnsi="Times New Roman" w:eastAsia="Times New Roman" w:cs="Times New Roman"/>
          <w:color w:val="auto"/>
          <w:sz w:val="22"/>
          <w:szCs w:val="22"/>
        </w:rPr>
        <w:t>nanoemulsion group when compared to the vehicle and coarse emulsion group (Figure 5.7B, p &lt; 0.05). No differences were noted for the genes examined in the kidney. The expression of intestinal Cyp27A1 (p = 0.04) and liver Cyp2R1 (p = 0.057) was correlated with the serum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level (Figure 7C). In Fleet’s study, a steady decrease for the Cyp27B1 expression was observed in the kidney (Fleet at al., 2008). The non-significance for Cyp27B1 expression across the groups observed in this study might be attributed to the short feeding period in our study (3 days) compared to the rat (4 weeks) and mouse study (7 weeks) in Fleet’s studies.</w:t>
      </w:r>
    </w:p>
    <w:p>
      <w:pPr>
        <w:spacing w:after="0" w:line="485" w:lineRule="auto"/>
        <w:ind w:left="360" w:right="360"/>
        <w:jc w:val="both"/>
        <w:rPr>
          <w:color w:val="auto"/>
          <w:sz w:val="20"/>
          <w:szCs w:val="20"/>
        </w:rPr>
      </w:pPr>
      <w:r>
        <w:rPr>
          <w:rFonts w:ascii="Times New Roman" w:hAnsi="Times New Roman" w:eastAsia="Times New Roman" w:cs="Times New Roman"/>
          <w:color w:val="auto"/>
          <w:sz w:val="22"/>
          <w:szCs w:val="22"/>
        </w:rPr>
        <w:t>Nevertheless, the increase of Cyp27A1 and Cyp2R1 in the intestine or liver samples for the vitamin D nanoemulsion or coarse emulsion groups, and correlations of their expressions with serum 25(OH)VD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level demonstrated the response of these vitamin D metabolically-related genes with the vitamin D supplementation via nano or coarse emulsion. Particularly, the statistically significant increases of intestinal Cyp27A1 expression and liver Cyp2R1 expression in the VD nanoemulsion group compared to the coarse emulsion group indicated an improvement of VD absorption by nanoemulsion.</w:t>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46</w:t>
      </w:r>
    </w:p>
    <w:p>
      <w:pPr>
        <w:sectPr>
          <w:type w:val="continuous"/>
          <w:pgSz w:w="12240" w:h="15840"/>
          <w:pgMar w:top="1419" w:right="1440" w:bottom="181" w:left="1440" w:header="0" w:footer="0" w:gutter="0"/>
          <w:cols w:equalWidth="0" w:num="1">
            <w:col w:w="9360"/>
          </w:cols>
        </w:sectPr>
      </w:pPr>
    </w:p>
    <w:p>
      <w:pPr>
        <w:spacing w:after="0" w:line="200" w:lineRule="exact"/>
        <w:rPr>
          <w:color w:val="auto"/>
          <w:sz w:val="20"/>
          <w:szCs w:val="20"/>
        </w:rPr>
      </w:pPr>
      <w:bookmarkStart w:id="53" w:name="page60"/>
      <w:bookmarkEnd w:id="53"/>
      <w:r>
        <w:rPr>
          <w:color w:val="auto"/>
          <w:sz w:val="20"/>
          <w:szCs w:val="20"/>
        </w:rPr>
        <w:drawing>
          <wp:anchor distT="0" distB="0" distL="114300" distR="114300" simplePos="0" relativeHeight="251659264" behindDoc="1" locked="0" layoutInCell="0" allowOverlap="1">
            <wp:simplePos x="0" y="0"/>
            <wp:positionH relativeFrom="page">
              <wp:posOffset>1600200</wp:posOffset>
            </wp:positionH>
            <wp:positionV relativeFrom="page">
              <wp:posOffset>914400</wp:posOffset>
            </wp:positionV>
            <wp:extent cx="5020310" cy="6971665"/>
            <wp:effectExtent l="0" t="0" r="8890" b="63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a:xfrm>
                      <a:off x="0" y="0"/>
                      <a:ext cx="5020310" cy="69716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6" w:lineRule="exact"/>
        <w:rPr>
          <w:color w:val="auto"/>
          <w:sz w:val="20"/>
          <w:szCs w:val="20"/>
        </w:rPr>
      </w:pPr>
    </w:p>
    <w:p>
      <w:pPr>
        <w:spacing w:after="0" w:line="372" w:lineRule="auto"/>
        <w:ind w:left="360" w:right="360"/>
        <w:jc w:val="both"/>
        <w:rPr>
          <w:color w:val="auto"/>
          <w:sz w:val="20"/>
          <w:szCs w:val="20"/>
        </w:rPr>
      </w:pPr>
      <w:r>
        <w:rPr>
          <w:rFonts w:ascii="Times New Roman" w:hAnsi="Times New Roman" w:eastAsia="Times New Roman" w:cs="Times New Roman"/>
          <w:b/>
          <w:bCs/>
          <w:color w:val="auto"/>
          <w:sz w:val="22"/>
          <w:szCs w:val="22"/>
        </w:rPr>
        <w:t>Figure 5.7.</w:t>
      </w:r>
      <w:r>
        <w:rPr>
          <w:rFonts w:ascii="Times New Roman" w:hAnsi="Times New Roman" w:eastAsia="Times New Roman" w:cs="Times New Roman"/>
          <w:color w:val="auto"/>
          <w:sz w:val="22"/>
          <w:szCs w:val="22"/>
        </w:rPr>
        <w:t xml:space="preserve"> Influence of different emulsion types on the expression of vitamin D metabolically related genes. A) The impact on expression of genes in intestinal mucosa B) The impact on expression of genes in liver tissue C) The correlation between the serum vitamin D concentration and gene expression</w:t>
      </w:r>
    </w:p>
    <w:p>
      <w:pPr>
        <w:spacing w:after="0" w:line="200" w:lineRule="exact"/>
        <w:rPr>
          <w:color w:val="auto"/>
          <w:sz w:val="20"/>
          <w:szCs w:val="20"/>
        </w:rPr>
      </w:pPr>
    </w:p>
    <w:p>
      <w:pPr>
        <w:spacing w:after="0" w:line="26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47</w:t>
      </w:r>
    </w:p>
    <w:p>
      <w:pPr>
        <w:sectPr>
          <w:pgSz w:w="12240" w:h="15840"/>
          <w:pgMar w:top="1440" w:right="1440" w:bottom="181" w:left="1440" w:header="0" w:footer="0" w:gutter="0"/>
          <w:cols w:equalWidth="0" w:num="1">
            <w:col w:w="9360"/>
          </w:cols>
        </w:sectPr>
      </w:pPr>
    </w:p>
    <w:p>
      <w:pPr>
        <w:spacing w:after="0"/>
        <w:jc w:val="center"/>
        <w:rPr>
          <w:color w:val="auto"/>
          <w:sz w:val="20"/>
          <w:szCs w:val="20"/>
        </w:rPr>
      </w:pPr>
      <w:bookmarkStart w:id="54" w:name="page61"/>
      <w:bookmarkEnd w:id="54"/>
      <w:r>
        <w:rPr>
          <w:rFonts w:ascii="Times New Roman" w:hAnsi="Times New Roman" w:eastAsia="Times New Roman" w:cs="Times New Roman"/>
          <w:color w:val="auto"/>
          <w:sz w:val="24"/>
          <w:szCs w:val="24"/>
        </w:rPr>
        <w:t>CHAPTER 6</w:t>
      </w:r>
    </w:p>
    <w:p>
      <w:pPr>
        <w:spacing w:after="0" w:line="200" w:lineRule="exact"/>
        <w:rPr>
          <w:color w:val="auto"/>
          <w:sz w:val="20"/>
          <w:szCs w:val="20"/>
        </w:rPr>
      </w:pPr>
    </w:p>
    <w:p>
      <w:pPr>
        <w:spacing w:after="0" w:line="23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DISCUSSION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spacing w:after="0" w:line="480" w:lineRule="auto"/>
        <w:ind w:left="360" w:right="360" w:firstLine="720"/>
        <w:jc w:val="both"/>
        <w:rPr>
          <w:color w:val="auto"/>
          <w:sz w:val="20"/>
          <w:szCs w:val="20"/>
        </w:rPr>
      </w:pPr>
      <w:r>
        <w:rPr>
          <w:rFonts w:ascii="Times New Roman" w:hAnsi="Times New Roman" w:eastAsia="Times New Roman" w:cs="Times New Roman"/>
          <w:color w:val="auto"/>
          <w:sz w:val="22"/>
          <w:szCs w:val="22"/>
        </w:rPr>
        <w:t xml:space="preserve">Vitamin D is most commonly being synthesized through sun exposure or is obtained from fortified foods. Recently, it has been reported that vitamin D sufficiency is decreasing in the United States as well as in other parts of the world (Looker et al., 2011). Therefore, innovative strategies are necessary for improving vitamin D absorption. In this thesis, a lipid-based delivery through oil-in-water nanoemulsion was utilized to improve vitamin D bioaccessibility. We demonstrated that we can improve absorption by improving vitamin D’s solubility. Also, there is number of physiochemical advantages associated with dietary nanoparticles such as greater stability, lesser aggregation, rapid digestion in GIT which can be attributed to its smaller dimension and large surface area. Our study has shown that reducing lipid nanoparticle size increases the bioaccessibility of vitamin D which is consistent with previous studies (Ozturk et al., 2015) &amp; (Salvia-Trujillo et al., 2017). We further investigated the in </w:t>
      </w:r>
      <w:r>
        <w:rPr>
          <w:rFonts w:ascii="Times New Roman" w:hAnsi="Times New Roman" w:eastAsia="Times New Roman" w:cs="Times New Roman"/>
          <w:i/>
          <w:iCs/>
          <w:color w:val="auto"/>
          <w:sz w:val="22"/>
          <w:szCs w:val="22"/>
        </w:rPr>
        <w:t>vivo</w:t>
      </w:r>
      <w:r>
        <w:rPr>
          <w:rFonts w:ascii="Times New Roman" w:hAnsi="Times New Roman" w:eastAsia="Times New Roman" w:cs="Times New Roman"/>
          <w:color w:val="auto"/>
          <w:sz w:val="22"/>
          <w:szCs w:val="22"/>
        </w:rPr>
        <w:t xml:space="preserve"> bioavailability of vitamin D in an animal study. Our results showed a significant increase in serum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through nanoemulsion-based delivery when compared to the coarse emulsion. Through these results, we established the correlation between in </w:t>
      </w:r>
      <w:r>
        <w:rPr>
          <w:rFonts w:ascii="Times New Roman" w:hAnsi="Times New Roman" w:eastAsia="Times New Roman" w:cs="Times New Roman"/>
          <w:i/>
          <w:iCs/>
          <w:color w:val="auto"/>
          <w:sz w:val="22"/>
          <w:szCs w:val="22"/>
        </w:rPr>
        <w:t>vitro</w:t>
      </w:r>
      <w:r>
        <w:rPr>
          <w:rFonts w:ascii="Times New Roman" w:hAnsi="Times New Roman" w:eastAsia="Times New Roman" w:cs="Times New Roman"/>
          <w:color w:val="auto"/>
          <w:sz w:val="22"/>
          <w:szCs w:val="22"/>
        </w:rPr>
        <w:t xml:space="preserve"> and in </w:t>
      </w:r>
      <w:r>
        <w:rPr>
          <w:rFonts w:ascii="Times New Roman" w:hAnsi="Times New Roman" w:eastAsia="Times New Roman" w:cs="Times New Roman"/>
          <w:i/>
          <w:iCs/>
          <w:color w:val="auto"/>
          <w:sz w:val="22"/>
          <w:szCs w:val="22"/>
        </w:rPr>
        <w:t>vivo</w:t>
      </w:r>
      <w:r>
        <w:rPr>
          <w:rFonts w:ascii="Times New Roman" w:hAnsi="Times New Roman" w:eastAsia="Times New Roman" w:cs="Times New Roman"/>
          <w:color w:val="auto"/>
          <w:sz w:val="22"/>
          <w:szCs w:val="22"/>
        </w:rPr>
        <w:t xml:space="preserve"> methods, which was not observed in a closely related previous study where vitamin D</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 xml:space="preserve"> was used as the biomarker (Salvia-Trujillo et al., 2017). Therefore, our study results showed that nano-based oral administration of vitamin D improves both vitamin D bioaccessibility and bioavailability.</w:t>
      </w:r>
    </w:p>
    <w:p>
      <w:pPr>
        <w:spacing w:after="0" w:line="514" w:lineRule="auto"/>
        <w:ind w:left="360" w:right="360" w:firstLine="720"/>
        <w:jc w:val="both"/>
        <w:rPr>
          <w:color w:val="auto"/>
          <w:sz w:val="20"/>
          <w:szCs w:val="20"/>
        </w:rPr>
      </w:pPr>
      <w:r>
        <w:rPr>
          <w:rFonts w:ascii="Times New Roman" w:hAnsi="Times New Roman" w:eastAsia="Times New Roman" w:cs="Times New Roman"/>
          <w:color w:val="auto"/>
          <w:sz w:val="21"/>
          <w:szCs w:val="21"/>
        </w:rPr>
        <w:t>However, our study has several limitations that can be considered in future studies. First, this study demonstrated that the coarse emulsion solution was not as homogeneous as nanoemulsion. Also, in the coarse emulsion, a thin layer of creaming was formed during the course of study. The creaming made it difficult to ensure the consumption of vitamin D completely and uniformly by the animals. The relative high heterogeneity of the coarse emulsion, compared to</w:t>
      </w:r>
    </w:p>
    <w:p>
      <w:pPr>
        <w:sectPr>
          <w:pgSz w:w="12240" w:h="15840"/>
          <w:pgMar w:top="1416" w:right="1440" w:bottom="181" w:left="1440" w:header="0" w:footer="0" w:gutter="0"/>
          <w:cols w:equalWidth="0" w:num="1">
            <w:col w:w="9360"/>
          </w:cols>
        </w:sectPr>
      </w:pPr>
    </w:p>
    <w:p>
      <w:pPr>
        <w:spacing w:after="0" w:line="30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48</w:t>
      </w:r>
    </w:p>
    <w:p>
      <w:pPr>
        <w:sectPr>
          <w:type w:val="continuous"/>
          <w:pgSz w:w="12240" w:h="15840"/>
          <w:pgMar w:top="1416" w:right="1440" w:bottom="181" w:left="1440" w:header="0" w:footer="0" w:gutter="0"/>
          <w:cols w:equalWidth="0" w:num="1">
            <w:col w:w="9360"/>
          </w:cols>
        </w:sectPr>
      </w:pPr>
    </w:p>
    <w:p>
      <w:pPr>
        <w:spacing w:after="0" w:line="483" w:lineRule="auto"/>
        <w:ind w:left="360" w:right="360"/>
        <w:jc w:val="both"/>
        <w:rPr>
          <w:color w:val="auto"/>
          <w:sz w:val="20"/>
          <w:szCs w:val="20"/>
        </w:rPr>
      </w:pPr>
      <w:bookmarkStart w:id="55" w:name="page62"/>
      <w:bookmarkEnd w:id="55"/>
      <w:r>
        <w:rPr>
          <w:rFonts w:ascii="Times New Roman" w:hAnsi="Times New Roman" w:eastAsia="Times New Roman" w:cs="Times New Roman"/>
          <w:color w:val="auto"/>
          <w:sz w:val="22"/>
          <w:szCs w:val="22"/>
        </w:rPr>
        <w:t xml:space="preserve">nanoemulsion, was reflected in the significantly larger coefficients of variations of the initial particle size, the in </w:t>
      </w:r>
      <w:r>
        <w:rPr>
          <w:rFonts w:ascii="Times New Roman" w:hAnsi="Times New Roman" w:eastAsia="Times New Roman" w:cs="Times New Roman"/>
          <w:i/>
          <w:iCs/>
          <w:color w:val="auto"/>
          <w:sz w:val="22"/>
          <w:szCs w:val="22"/>
        </w:rPr>
        <w:t>vitro</w:t>
      </w:r>
      <w:r>
        <w:rPr>
          <w:rFonts w:ascii="Times New Roman" w:hAnsi="Times New Roman" w:eastAsia="Times New Roman" w:cs="Times New Roman"/>
          <w:color w:val="auto"/>
          <w:sz w:val="22"/>
          <w:szCs w:val="22"/>
        </w:rPr>
        <w:t xml:space="preserve"> bioaccessibility, and in </w:t>
      </w:r>
      <w:r>
        <w:rPr>
          <w:rFonts w:ascii="Times New Roman" w:hAnsi="Times New Roman" w:eastAsia="Times New Roman" w:cs="Times New Roman"/>
          <w:i/>
          <w:iCs/>
          <w:color w:val="auto"/>
          <w:sz w:val="22"/>
          <w:szCs w:val="22"/>
        </w:rPr>
        <w:t>vivo</w:t>
      </w:r>
      <w:r>
        <w:rPr>
          <w:rFonts w:ascii="Times New Roman" w:hAnsi="Times New Roman" w:eastAsia="Times New Roman" w:cs="Times New Roman"/>
          <w:color w:val="auto"/>
          <w:sz w:val="22"/>
          <w:szCs w:val="22"/>
        </w:rPr>
        <w:t xml:space="preserve"> bioavailability. Future studies are required to uncover this problem, e.g., by converting the sample into powders or adding a thickening agent to inhibit creaming. Second, although the serum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is responsive to a high vitamin D supplementation level up to 20,000 IU/kg (Fleet et al., 2008), the magnitude of change in serum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at 5000 IU/kg supplementation might not reflect that at other dosage e.g., 1000 IU/kg for rodent diet. Therefore, a series of dosages of vitamin D supplementation study will be necessary for the future. Third, in our study, the feeding period of the animals lasted for three days only. Even though the peak serum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level was reached after 12 to 24 hours following the feeding, it might require more time to establish the steady serum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level in the body and to establish the expression of vitamin D related genes. Therefore, longer feeding time is recommended in future studies.</w:t>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49</w:t>
      </w:r>
    </w:p>
    <w:p>
      <w:pPr>
        <w:sectPr>
          <w:type w:val="continuous"/>
          <w:pgSz w:w="12240" w:h="15840"/>
          <w:pgMar w:top="1419" w:right="1440" w:bottom="181" w:left="1440" w:header="0" w:footer="0" w:gutter="0"/>
          <w:cols w:equalWidth="0" w:num="1">
            <w:col w:w="9360"/>
          </w:cols>
        </w:sectPr>
      </w:pPr>
    </w:p>
    <w:p>
      <w:pPr>
        <w:spacing w:after="0"/>
        <w:jc w:val="center"/>
        <w:rPr>
          <w:color w:val="auto"/>
          <w:sz w:val="20"/>
          <w:szCs w:val="20"/>
        </w:rPr>
      </w:pPr>
      <w:bookmarkStart w:id="56" w:name="page63"/>
      <w:bookmarkEnd w:id="56"/>
      <w:r>
        <w:rPr>
          <w:rFonts w:ascii="Times New Roman" w:hAnsi="Times New Roman" w:eastAsia="Times New Roman" w:cs="Times New Roman"/>
          <w:color w:val="auto"/>
          <w:sz w:val="24"/>
          <w:szCs w:val="24"/>
        </w:rPr>
        <w:t>CHAPTER 7</w:t>
      </w:r>
    </w:p>
    <w:p>
      <w:pPr>
        <w:spacing w:after="0" w:line="200" w:lineRule="exact"/>
        <w:rPr>
          <w:color w:val="auto"/>
          <w:sz w:val="20"/>
          <w:szCs w:val="20"/>
        </w:rPr>
      </w:pPr>
    </w:p>
    <w:p>
      <w:pPr>
        <w:spacing w:after="0" w:line="23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SUMMARY &amp; CONCLUSIONS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0" w:lineRule="exact"/>
        <w:rPr>
          <w:color w:val="auto"/>
          <w:sz w:val="20"/>
          <w:szCs w:val="20"/>
        </w:rPr>
      </w:pPr>
    </w:p>
    <w:p>
      <w:pPr>
        <w:spacing w:after="0" w:line="485" w:lineRule="auto"/>
        <w:ind w:left="360" w:right="360" w:firstLine="720"/>
        <w:jc w:val="both"/>
        <w:rPr>
          <w:color w:val="auto"/>
          <w:sz w:val="20"/>
          <w:szCs w:val="20"/>
        </w:rPr>
      </w:pPr>
      <w:r>
        <w:rPr>
          <w:rFonts w:ascii="Times New Roman" w:hAnsi="Times New Roman" w:eastAsia="Times New Roman" w:cs="Times New Roman"/>
          <w:color w:val="auto"/>
          <w:sz w:val="22"/>
          <w:szCs w:val="22"/>
        </w:rPr>
        <w:t>Vitamin D deficiency is increasing even with the wide use of vitamin D fortified foods. Lower vitamin D status is particularly prevalent in populations with more pigmented skin, urban residences and people live in areas with latitudes above 37 degrees in the US (Yetley, 2008). With the concept that the health benefit of vitamin D intake, similar to other fat-soluble nutrients, follows a “U” shape – with risks at both low and high levels, more practicable strategies, rather than unlimited increases of the supplemental level of vitamin D, are necessary to improve vitamin D status.</w:t>
      </w:r>
    </w:p>
    <w:p>
      <w:pPr>
        <w:spacing w:after="0" w:line="122" w:lineRule="exact"/>
        <w:rPr>
          <w:color w:val="auto"/>
          <w:sz w:val="20"/>
          <w:szCs w:val="20"/>
        </w:rPr>
      </w:pPr>
    </w:p>
    <w:p>
      <w:pPr>
        <w:spacing w:after="0" w:line="490" w:lineRule="auto"/>
        <w:ind w:left="360" w:right="360" w:firstLine="720"/>
        <w:jc w:val="both"/>
        <w:rPr>
          <w:color w:val="auto"/>
          <w:sz w:val="20"/>
          <w:szCs w:val="20"/>
        </w:rPr>
      </w:pPr>
      <w:r>
        <w:rPr>
          <w:rFonts w:ascii="Times New Roman" w:hAnsi="Times New Roman" w:eastAsia="Times New Roman" w:cs="Times New Roman"/>
          <w:color w:val="auto"/>
          <w:sz w:val="22"/>
          <w:szCs w:val="22"/>
        </w:rPr>
        <w:t xml:space="preserve">Vitamin D being hydrophobic in nature, has poor solubility and hence the lipid-based delivery of oil-in-water nanoemulsion was utilized to improve its absorption rate. In this study, we examined the influence of lipid droplet size on the in </w:t>
      </w:r>
      <w:r>
        <w:rPr>
          <w:rFonts w:ascii="Times New Roman" w:hAnsi="Times New Roman" w:eastAsia="Times New Roman" w:cs="Times New Roman"/>
          <w:i/>
          <w:iCs/>
          <w:color w:val="auto"/>
          <w:sz w:val="22"/>
          <w:szCs w:val="22"/>
        </w:rPr>
        <w:t>vitro</w:t>
      </w:r>
      <w:r>
        <w:rPr>
          <w:rFonts w:ascii="Times New Roman" w:hAnsi="Times New Roman" w:eastAsia="Times New Roman" w:cs="Times New Roman"/>
          <w:color w:val="auto"/>
          <w:sz w:val="22"/>
          <w:szCs w:val="22"/>
        </w:rPr>
        <w:t xml:space="preserve"> bioaccessibility and in </w:t>
      </w:r>
      <w:r>
        <w:rPr>
          <w:rFonts w:ascii="Times New Roman" w:hAnsi="Times New Roman" w:eastAsia="Times New Roman" w:cs="Times New Roman"/>
          <w:i/>
          <w:iCs/>
          <w:color w:val="auto"/>
          <w:sz w:val="22"/>
          <w:szCs w:val="22"/>
        </w:rPr>
        <w:t>vivo</w:t>
      </w:r>
      <w:r>
        <w:rPr>
          <w:rFonts w:ascii="Times New Roman" w:hAnsi="Times New Roman" w:eastAsia="Times New Roman" w:cs="Times New Roman"/>
          <w:color w:val="auto"/>
          <w:sz w:val="22"/>
          <w:szCs w:val="22"/>
        </w:rPr>
        <w:t xml:space="preserve"> bioavailability of cholecalciferol encapsulated in oil-in-water nanoemulsion.</w:t>
      </w:r>
    </w:p>
    <w:p>
      <w:pPr>
        <w:spacing w:after="0" w:line="118" w:lineRule="exact"/>
        <w:rPr>
          <w:color w:val="auto"/>
          <w:sz w:val="20"/>
          <w:szCs w:val="20"/>
        </w:rPr>
      </w:pPr>
    </w:p>
    <w:p>
      <w:pPr>
        <w:spacing w:after="0" w:line="485" w:lineRule="auto"/>
        <w:ind w:left="360" w:right="360" w:firstLine="720"/>
        <w:jc w:val="both"/>
        <w:rPr>
          <w:color w:val="auto"/>
          <w:sz w:val="20"/>
          <w:szCs w:val="20"/>
        </w:rPr>
      </w:pPr>
      <w:r>
        <w:rPr>
          <w:rFonts w:ascii="Times New Roman" w:hAnsi="Times New Roman" w:eastAsia="Times New Roman" w:cs="Times New Roman"/>
          <w:color w:val="auto"/>
          <w:sz w:val="22"/>
          <w:szCs w:val="22"/>
        </w:rPr>
        <w:t xml:space="preserve">Overall, our study demonstrated that nanoemulsification significantly improved vitamin D absorption in both in </w:t>
      </w:r>
      <w:r>
        <w:rPr>
          <w:rFonts w:ascii="Times New Roman" w:hAnsi="Times New Roman" w:eastAsia="Times New Roman" w:cs="Times New Roman"/>
          <w:i/>
          <w:iCs/>
          <w:color w:val="auto"/>
          <w:sz w:val="22"/>
          <w:szCs w:val="22"/>
        </w:rPr>
        <w:t>vitro</w:t>
      </w:r>
      <w:r>
        <w:rPr>
          <w:rFonts w:ascii="Times New Roman" w:hAnsi="Times New Roman" w:eastAsia="Times New Roman" w:cs="Times New Roman"/>
          <w:color w:val="auto"/>
          <w:sz w:val="22"/>
          <w:szCs w:val="22"/>
        </w:rPr>
        <w:t xml:space="preserve"> (3.94 fold) using a simulated GIT model and in </w:t>
      </w:r>
      <w:r>
        <w:rPr>
          <w:rFonts w:ascii="Times New Roman" w:hAnsi="Times New Roman" w:eastAsia="Times New Roman" w:cs="Times New Roman"/>
          <w:i/>
          <w:iCs/>
          <w:color w:val="auto"/>
          <w:sz w:val="22"/>
          <w:szCs w:val="22"/>
        </w:rPr>
        <w:t>vivo</w:t>
      </w:r>
      <w:r>
        <w:rPr>
          <w:rFonts w:ascii="Times New Roman" w:hAnsi="Times New Roman" w:eastAsia="Times New Roman" w:cs="Times New Roman"/>
          <w:color w:val="auto"/>
          <w:sz w:val="22"/>
          <w:szCs w:val="22"/>
        </w:rPr>
        <w:t xml:space="preserve"> studies as indicated by the increased serum 25(OH)D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Also, the vitamin D nanoemulsion has significantly reduced coefficient of variation when compared to coarse emulsion, which reduced the variation in absorption of vitamin D. Even though there are several limitations in the study as described above, the results showed that nanoemulsion has the potential to be utilized in delivering the vitamin D thereby improving the vitamin D level.</w:t>
      </w:r>
    </w:p>
    <w:p>
      <w:pPr>
        <w:sectPr>
          <w:pgSz w:w="12240" w:h="15840"/>
          <w:pgMar w:top="1416"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50</w:t>
      </w:r>
    </w:p>
    <w:p>
      <w:pPr>
        <w:sectPr>
          <w:type w:val="continuous"/>
          <w:pgSz w:w="12240" w:h="15840"/>
          <w:pgMar w:top="1416" w:right="1440" w:bottom="181" w:left="1440" w:header="0" w:footer="0" w:gutter="0"/>
          <w:cols w:equalWidth="0" w:num="1">
            <w:col w:w="9360"/>
          </w:cols>
        </w:sectPr>
      </w:pPr>
    </w:p>
    <w:p>
      <w:pPr>
        <w:spacing w:after="0"/>
        <w:ind w:left="4220"/>
        <w:rPr>
          <w:color w:val="auto"/>
          <w:sz w:val="20"/>
          <w:szCs w:val="20"/>
        </w:rPr>
      </w:pPr>
      <w:bookmarkStart w:id="57" w:name="page64"/>
      <w:bookmarkEnd w:id="57"/>
      <w:r>
        <w:rPr>
          <w:rFonts w:ascii="Times New Roman" w:hAnsi="Times New Roman" w:eastAsia="Times New Roman" w:cs="Times New Roman"/>
          <w:color w:val="auto"/>
          <w:sz w:val="22"/>
          <w:szCs w:val="22"/>
        </w:rPr>
        <w:t>BIBLIOGRAPHY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2" w:lineRule="exact"/>
        <w:rPr>
          <w:color w:val="auto"/>
          <w:sz w:val="20"/>
          <w:szCs w:val="20"/>
        </w:rPr>
      </w:pPr>
    </w:p>
    <w:p>
      <w:pPr>
        <w:spacing w:after="0" w:line="511" w:lineRule="auto"/>
        <w:ind w:left="840" w:right="480" w:hanging="479"/>
        <w:rPr>
          <w:color w:val="auto"/>
          <w:sz w:val="20"/>
          <w:szCs w:val="20"/>
        </w:rPr>
      </w:pPr>
      <w:r>
        <w:rPr>
          <w:rFonts w:ascii="Times New Roman" w:hAnsi="Times New Roman" w:eastAsia="Times New Roman" w:cs="Times New Roman"/>
          <w:color w:val="auto"/>
          <w:sz w:val="22"/>
          <w:szCs w:val="22"/>
        </w:rPr>
        <w:t>Acosta, E. (2009). Bioavailability of nanoparticles in nutrient and nutraceutical delivery. Current Opinion in Colloid &amp; Interface Science, 14(1), 3–15.</w:t>
      </w:r>
    </w:p>
    <w:p>
      <w:pPr>
        <w:spacing w:after="0" w:line="94" w:lineRule="exact"/>
        <w:rPr>
          <w:color w:val="auto"/>
          <w:sz w:val="20"/>
          <w:szCs w:val="20"/>
        </w:rPr>
      </w:pPr>
    </w:p>
    <w:p>
      <w:pPr>
        <w:spacing w:after="0" w:line="511" w:lineRule="auto"/>
        <w:ind w:left="840" w:right="380" w:hanging="479"/>
        <w:rPr>
          <w:color w:val="auto"/>
          <w:sz w:val="20"/>
          <w:szCs w:val="20"/>
        </w:rPr>
      </w:pPr>
      <w:r>
        <w:rPr>
          <w:rFonts w:ascii="Times New Roman" w:hAnsi="Times New Roman" w:eastAsia="Times New Roman" w:cs="Times New Roman"/>
          <w:color w:val="auto"/>
          <w:sz w:val="22"/>
          <w:szCs w:val="22"/>
        </w:rPr>
        <w:t>Adams, J. S., &amp; Hewison, M. (2010). Update in vitamin D. Journal of Clinical Endocrinology and Metabolism, 95(2), 471–478. http://doi.org/10.1210/jc.2009-1773</w:t>
      </w:r>
    </w:p>
    <w:p>
      <w:pPr>
        <w:spacing w:after="0" w:line="9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Armand, M., Pasquier, B., André, M., Borel, P., Senft, M., Peyrot, J., ... &amp; Lairon, D. (1999).</w:t>
      </w:r>
    </w:p>
    <w:p>
      <w:pPr>
        <w:spacing w:after="0" w:line="200" w:lineRule="exact"/>
        <w:rPr>
          <w:color w:val="auto"/>
          <w:sz w:val="20"/>
          <w:szCs w:val="20"/>
        </w:rPr>
      </w:pPr>
    </w:p>
    <w:p>
      <w:pPr>
        <w:spacing w:after="0" w:line="212"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2"/>
          <w:szCs w:val="22"/>
        </w:rPr>
        <w:t>Digestion and absorption of 2 fat emulsions with different droplet sizes in the human</w:t>
      </w:r>
    </w:p>
    <w:p>
      <w:pPr>
        <w:spacing w:after="0" w:line="200" w:lineRule="exact"/>
        <w:rPr>
          <w:color w:val="auto"/>
          <w:sz w:val="20"/>
          <w:szCs w:val="20"/>
        </w:rPr>
      </w:pPr>
    </w:p>
    <w:p>
      <w:pPr>
        <w:spacing w:after="0" w:line="214"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2"/>
          <w:szCs w:val="22"/>
        </w:rPr>
        <w:t>digestive tract–. The American journal of clinical nutrition, 70(6), 1096-1106.</w:t>
      </w:r>
    </w:p>
    <w:p>
      <w:pPr>
        <w:spacing w:after="0" w:line="200" w:lineRule="exact"/>
        <w:rPr>
          <w:color w:val="auto"/>
          <w:sz w:val="20"/>
          <w:szCs w:val="20"/>
        </w:rPr>
      </w:pPr>
    </w:p>
    <w:p>
      <w:pPr>
        <w:spacing w:after="0" w:line="21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Berger, U., Wilson, P., McClelland, R., Colston, K., Haussler, M. R., Pike, J., &amp; Coombes, R.</w:t>
      </w:r>
    </w:p>
    <w:p>
      <w:pPr>
        <w:spacing w:after="0" w:line="251"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2"/>
          <w:szCs w:val="22"/>
        </w:rPr>
        <w:t>(2016). Tissues , 67(3), 607–613.</w:t>
      </w:r>
    </w:p>
    <w:p>
      <w:pPr>
        <w:spacing w:after="0" w:line="200" w:lineRule="exact"/>
        <w:rPr>
          <w:color w:val="auto"/>
          <w:sz w:val="20"/>
          <w:szCs w:val="20"/>
        </w:rPr>
      </w:pPr>
    </w:p>
    <w:p>
      <w:pPr>
        <w:spacing w:after="0" w:line="214" w:lineRule="exact"/>
        <w:rPr>
          <w:color w:val="auto"/>
          <w:sz w:val="20"/>
          <w:szCs w:val="20"/>
        </w:rPr>
      </w:pPr>
    </w:p>
    <w:p>
      <w:pPr>
        <w:spacing w:after="0" w:line="525" w:lineRule="auto"/>
        <w:ind w:left="840" w:right="600" w:hanging="479"/>
        <w:rPr>
          <w:color w:val="auto"/>
          <w:sz w:val="20"/>
          <w:szCs w:val="20"/>
        </w:rPr>
      </w:pPr>
      <w:r>
        <w:rPr>
          <w:rFonts w:ascii="Times New Roman" w:hAnsi="Times New Roman" w:eastAsia="Times New Roman" w:cs="Times New Roman"/>
          <w:color w:val="auto"/>
          <w:sz w:val="21"/>
          <w:szCs w:val="21"/>
        </w:rPr>
        <w:t>Borel, P. (2003). Factors affecting intestinal absorption of highly lipophilic food microconstituents (fat-soluble vitamins, carotenoids and phytosterols). Clinical Chemistry and Laboratory Medicine, 41(8), 979–994. http://doi.org/10.1515/CCLM.2003.151</w:t>
      </w:r>
    </w:p>
    <w:p>
      <w:pPr>
        <w:spacing w:after="0" w:line="93" w:lineRule="exact"/>
        <w:rPr>
          <w:color w:val="auto"/>
          <w:sz w:val="20"/>
          <w:szCs w:val="20"/>
        </w:rPr>
      </w:pPr>
    </w:p>
    <w:p>
      <w:pPr>
        <w:spacing w:after="0" w:line="511" w:lineRule="auto"/>
        <w:ind w:left="840" w:right="540" w:hanging="479"/>
        <w:rPr>
          <w:color w:val="auto"/>
          <w:sz w:val="20"/>
          <w:szCs w:val="20"/>
        </w:rPr>
      </w:pPr>
      <w:r>
        <w:rPr>
          <w:rFonts w:ascii="Times New Roman" w:hAnsi="Times New Roman" w:eastAsia="Times New Roman" w:cs="Times New Roman"/>
          <w:color w:val="auto"/>
          <w:sz w:val="22"/>
          <w:szCs w:val="22"/>
        </w:rPr>
        <w:t>Borel, P., Caillaud, D., &amp; Cano, N. J. (2015). Vitamin D bioavailability: State of the art. Critical Reviews in Food Science and Nutrition, 55(9), 1193–1205.</w:t>
      </w:r>
    </w:p>
    <w:p>
      <w:pPr>
        <w:spacing w:after="0" w:line="96" w:lineRule="exact"/>
        <w:rPr>
          <w:color w:val="auto"/>
          <w:sz w:val="20"/>
          <w:szCs w:val="20"/>
        </w:rPr>
      </w:pPr>
    </w:p>
    <w:p>
      <w:pPr>
        <w:spacing w:after="0" w:line="479" w:lineRule="auto"/>
        <w:ind w:left="1080" w:right="440" w:hanging="719"/>
        <w:jc w:val="both"/>
        <w:rPr>
          <w:color w:val="auto"/>
          <w:sz w:val="20"/>
          <w:szCs w:val="20"/>
        </w:rPr>
      </w:pPr>
      <w:r>
        <w:rPr>
          <w:rFonts w:ascii="Times New Roman" w:hAnsi="Times New Roman" w:eastAsia="Times New Roman" w:cs="Times New Roman"/>
          <w:color w:val="auto"/>
          <w:sz w:val="22"/>
          <w:szCs w:val="22"/>
        </w:rPr>
        <w:t>Cerqueira, M. A., Pinheiro, A. C., Silva, H. D., Ramos, P. E., Azevedo, M. A., Flores-López, M. L., ... &amp; Vicente, A. A. (2014). Design of bio-nanosystems for oral delivery of functional compounds. Food Engineering Reviews, 6(1-2), 1-19.</w:t>
      </w:r>
    </w:p>
    <w:p>
      <w:pPr>
        <w:spacing w:after="0" w:line="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Christakos, S., Ajibade, D. V., Dhawan, P., Fechner, A. J., &amp; Mady, L. J. (2012). Vitamin D:</w:t>
      </w:r>
    </w:p>
    <w:p>
      <w:pPr>
        <w:spacing w:after="0" w:line="253"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2"/>
          <w:szCs w:val="22"/>
        </w:rPr>
        <w:t>metabolism. Rheumatic Disease Clinics, 38(1), 1-11.</w:t>
      </w:r>
    </w:p>
    <w:p>
      <w:pPr>
        <w:spacing w:after="0" w:line="25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Compston, J. E., Vedi, S., Ledger, J. E., Webb, A., Gazet, J. C., &amp; Pilkington, T. R. (1981).</w:t>
      </w:r>
    </w:p>
    <w:p>
      <w:pPr>
        <w:sectPr>
          <w:pgSz w:w="12240" w:h="15840"/>
          <w:pgMar w:top="1416"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51</w:t>
      </w:r>
    </w:p>
    <w:p>
      <w:pPr>
        <w:sectPr>
          <w:type w:val="continuous"/>
          <w:pgSz w:w="12240" w:h="15840"/>
          <w:pgMar w:top="1416" w:right="1440" w:bottom="181" w:left="1440" w:header="0" w:footer="0" w:gutter="0"/>
          <w:cols w:equalWidth="0" w:num="1">
            <w:col w:w="9360"/>
          </w:cols>
        </w:sectPr>
      </w:pPr>
    </w:p>
    <w:p>
      <w:pPr>
        <w:spacing w:after="0" w:line="480" w:lineRule="auto"/>
        <w:ind w:left="840" w:right="760"/>
        <w:rPr>
          <w:color w:val="auto"/>
          <w:sz w:val="20"/>
          <w:szCs w:val="20"/>
        </w:rPr>
      </w:pPr>
      <w:bookmarkStart w:id="58" w:name="page65"/>
      <w:bookmarkEnd w:id="58"/>
      <w:r>
        <w:rPr>
          <w:rFonts w:ascii="Times New Roman" w:hAnsi="Times New Roman" w:eastAsia="Times New Roman" w:cs="Times New Roman"/>
          <w:color w:val="auto"/>
          <w:sz w:val="22"/>
          <w:szCs w:val="22"/>
        </w:rPr>
        <w:t>Vitamin D status and bone histomorphometry in gross obesity. The American journal of clinical nutrition, 34(11), 2359-2363.</w:t>
      </w:r>
    </w:p>
    <w:p>
      <w:pPr>
        <w:spacing w:after="0" w:line="1" w:lineRule="exact"/>
        <w:rPr>
          <w:color w:val="auto"/>
          <w:sz w:val="20"/>
          <w:szCs w:val="20"/>
        </w:rPr>
      </w:pPr>
    </w:p>
    <w:p>
      <w:pPr>
        <w:spacing w:after="0" w:line="509" w:lineRule="auto"/>
        <w:ind w:left="840" w:right="820" w:hanging="479"/>
        <w:rPr>
          <w:color w:val="auto"/>
          <w:sz w:val="20"/>
          <w:szCs w:val="20"/>
        </w:rPr>
      </w:pPr>
      <w:r>
        <w:rPr>
          <w:rFonts w:ascii="Times New Roman" w:hAnsi="Times New Roman" w:eastAsia="Times New Roman" w:cs="Times New Roman"/>
          <w:color w:val="auto"/>
          <w:sz w:val="22"/>
          <w:szCs w:val="22"/>
        </w:rPr>
        <w:t>Dawson-hughes, B. (2008). Serum 25-hydroxyvitamin D and functional outcomes in the, 88, 537–540.</w:t>
      </w:r>
    </w:p>
    <w:p>
      <w:pPr>
        <w:spacing w:after="0" w:line="9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Delaurent, C., Siouffi, A. M., &amp; Pepe, G. (1998). Cyclodextrin inclusion complexes with vitamin</w:t>
      </w:r>
    </w:p>
    <w:p>
      <w:pPr>
        <w:spacing w:after="0" w:line="200" w:lineRule="exact"/>
        <w:rPr>
          <w:color w:val="auto"/>
          <w:sz w:val="20"/>
          <w:szCs w:val="20"/>
        </w:rPr>
      </w:pPr>
    </w:p>
    <w:p>
      <w:pPr>
        <w:spacing w:after="0" w:line="214"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2"/>
          <w:szCs w:val="22"/>
        </w:rPr>
        <w:t>D3: investigations of the solid complex characterization. Chemia analityczna, 43(4), 601-</w:t>
      </w:r>
    </w:p>
    <w:p>
      <w:pPr>
        <w:spacing w:after="0" w:line="253"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2"/>
          <w:szCs w:val="22"/>
        </w:rPr>
        <w:t>616.</w:t>
      </w:r>
    </w:p>
    <w:p>
      <w:pPr>
        <w:spacing w:after="0" w:line="253" w:lineRule="exact"/>
        <w:rPr>
          <w:color w:val="auto"/>
          <w:sz w:val="20"/>
          <w:szCs w:val="20"/>
        </w:rPr>
      </w:pPr>
    </w:p>
    <w:p>
      <w:pPr>
        <w:spacing w:after="0" w:line="496" w:lineRule="auto"/>
        <w:ind w:left="840" w:right="400" w:hanging="479"/>
        <w:jc w:val="both"/>
        <w:rPr>
          <w:color w:val="auto"/>
          <w:sz w:val="20"/>
          <w:szCs w:val="20"/>
        </w:rPr>
      </w:pPr>
      <w:r>
        <w:rPr>
          <w:rFonts w:ascii="Times New Roman" w:hAnsi="Times New Roman" w:eastAsia="Times New Roman" w:cs="Times New Roman"/>
          <w:color w:val="auto"/>
          <w:sz w:val="22"/>
          <w:szCs w:val="22"/>
        </w:rPr>
        <w:t>Di Rosa, M., Malaguarnera, M., Zangh, A., Passaniti, A., &amp; Malaguarnera, L. (2013). Vitamin D</w:t>
      </w:r>
      <w:r>
        <w:rPr>
          <w:rFonts w:ascii="Times New Roman" w:hAnsi="Times New Roman" w:eastAsia="Times New Roman" w:cs="Times New Roman"/>
          <w:color w:val="auto"/>
          <w:sz w:val="13"/>
          <w:szCs w:val="13"/>
        </w:rPr>
        <w:t>3</w:t>
      </w:r>
      <w:r>
        <w:rPr>
          <w:rFonts w:ascii="Times New Roman" w:hAnsi="Times New Roman" w:eastAsia="Times New Roman" w:cs="Times New Roman"/>
          <w:color w:val="auto"/>
          <w:sz w:val="22"/>
          <w:szCs w:val="22"/>
        </w:rPr>
        <w:t xml:space="preserve"> insufficiency and colorectal cancer. Critical Reviews in Oncology/Hematology, 88(3), 594– 612. http://doi.org/10.1016/j.critrevonc.2013.07.016</w:t>
      </w:r>
    </w:p>
    <w:p>
      <w:pPr>
        <w:spacing w:after="0" w:line="109" w:lineRule="exact"/>
        <w:rPr>
          <w:color w:val="auto"/>
          <w:sz w:val="20"/>
          <w:szCs w:val="20"/>
        </w:rPr>
      </w:pPr>
    </w:p>
    <w:p>
      <w:pPr>
        <w:spacing w:after="0" w:line="511" w:lineRule="auto"/>
        <w:ind w:left="840" w:right="400" w:hanging="479"/>
        <w:jc w:val="both"/>
        <w:rPr>
          <w:color w:val="auto"/>
          <w:sz w:val="20"/>
          <w:szCs w:val="20"/>
        </w:rPr>
      </w:pPr>
      <w:r>
        <w:rPr>
          <w:rFonts w:ascii="Times New Roman" w:hAnsi="Times New Roman" w:eastAsia="Times New Roman" w:cs="Times New Roman"/>
          <w:color w:val="auto"/>
          <w:sz w:val="22"/>
          <w:szCs w:val="22"/>
        </w:rPr>
        <w:t>Duhem, N., Danhier, F., &amp; Préat, V. (2014). Vitamin E-based nanomedicines for anti-cancer drug delivery. Journal of Controlled Release, 182, 33–44.</w:t>
      </w:r>
    </w:p>
    <w:p>
      <w:pPr>
        <w:spacing w:after="0" w:line="94" w:lineRule="exact"/>
        <w:rPr>
          <w:color w:val="auto"/>
          <w:sz w:val="20"/>
          <w:szCs w:val="20"/>
        </w:rPr>
      </w:pPr>
    </w:p>
    <w:p>
      <w:pPr>
        <w:spacing w:after="0" w:line="490" w:lineRule="auto"/>
        <w:ind w:left="840" w:right="420" w:hanging="479"/>
        <w:rPr>
          <w:color w:val="auto"/>
          <w:sz w:val="20"/>
          <w:szCs w:val="20"/>
        </w:rPr>
      </w:pPr>
      <w:r>
        <w:rPr>
          <w:rFonts w:ascii="Times New Roman" w:hAnsi="Times New Roman" w:eastAsia="Times New Roman" w:cs="Times New Roman"/>
          <w:color w:val="auto"/>
          <w:sz w:val="22"/>
          <w:szCs w:val="22"/>
        </w:rPr>
        <w:t>Etcheverry, P., Grusak, M. A., &amp; Fleige, L. E. (2012). Application of in vitro bioaccessibility and bioavailability methods for calcium, carotenoids, folate, iron, magnesium, polyphenols, zinc, and vitamins B 6, B 12, D, and E. Frontiers in Physiology, 3 AUG(August), 1–22. http://doi.org/10.3389/fphys.2012.00317</w:t>
      </w:r>
    </w:p>
    <w:p>
      <w:pPr>
        <w:spacing w:after="0" w:line="118" w:lineRule="exact"/>
        <w:rPr>
          <w:color w:val="auto"/>
          <w:sz w:val="20"/>
          <w:szCs w:val="20"/>
        </w:rPr>
      </w:pPr>
    </w:p>
    <w:p>
      <w:pPr>
        <w:spacing w:after="0" w:line="511" w:lineRule="auto"/>
        <w:ind w:left="840" w:right="1020" w:hanging="479"/>
        <w:rPr>
          <w:color w:val="auto"/>
          <w:sz w:val="20"/>
          <w:szCs w:val="20"/>
        </w:rPr>
      </w:pPr>
      <w:r>
        <w:rPr>
          <w:rFonts w:ascii="Times New Roman" w:hAnsi="Times New Roman" w:eastAsia="Times New Roman" w:cs="Times New Roman"/>
          <w:color w:val="auto"/>
          <w:sz w:val="22"/>
          <w:szCs w:val="22"/>
        </w:rPr>
        <w:t>Fang, Z., &amp; Bhandari, B. (2010). Encapsulation of polyphenols e a review. Trends in Food Science &amp; Technology, 21(10), 510–523. http://doi.org/10.1016/j.tifs.2010.08.003</w:t>
      </w:r>
    </w:p>
    <w:p>
      <w:pPr>
        <w:spacing w:after="0" w:line="97" w:lineRule="exact"/>
        <w:rPr>
          <w:color w:val="auto"/>
          <w:sz w:val="20"/>
          <w:szCs w:val="20"/>
        </w:rPr>
      </w:pPr>
    </w:p>
    <w:p>
      <w:pPr>
        <w:spacing w:after="0" w:line="495" w:lineRule="auto"/>
        <w:ind w:left="840" w:right="460" w:hanging="479"/>
        <w:rPr>
          <w:color w:val="auto"/>
          <w:sz w:val="20"/>
          <w:szCs w:val="20"/>
        </w:rPr>
      </w:pPr>
      <w:r>
        <w:rPr>
          <w:rFonts w:ascii="Times New Roman" w:hAnsi="Times New Roman" w:eastAsia="Times New Roman" w:cs="Times New Roman"/>
          <w:color w:val="auto"/>
          <w:sz w:val="22"/>
          <w:szCs w:val="22"/>
        </w:rPr>
        <w:t>Fathi, M., Mozafari, M. R., &amp; Mohebbi, M. (2012). Nanoencapsulation of food ingredients using lipid based delivery systems. Trends in Food Science &amp; Technology, 23(1), 13–27. http://doi.org/10.1016/j.tifs.2011.08.003</w:t>
      </w:r>
    </w:p>
    <w:p>
      <w:pPr>
        <w:spacing w:after="0" w:line="112" w:lineRule="exact"/>
        <w:rPr>
          <w:color w:val="auto"/>
          <w:sz w:val="20"/>
          <w:szCs w:val="20"/>
        </w:rPr>
      </w:pPr>
    </w:p>
    <w:p>
      <w:pPr>
        <w:spacing w:after="0" w:line="549" w:lineRule="auto"/>
        <w:ind w:left="1080" w:right="520" w:hanging="719"/>
        <w:rPr>
          <w:color w:val="auto"/>
          <w:sz w:val="20"/>
          <w:szCs w:val="20"/>
        </w:rPr>
      </w:pPr>
      <w:r>
        <w:rPr>
          <w:rFonts w:ascii="Times New Roman" w:hAnsi="Times New Roman" w:eastAsia="Times New Roman" w:cs="Times New Roman"/>
          <w:color w:val="auto"/>
          <w:sz w:val="21"/>
          <w:szCs w:val="21"/>
        </w:rPr>
        <w:t>Feldman, D., Krishnan, A. V., Swami, S., Giovannucci, E., &amp; Feldman, B. J. (2014). The role of vitamin D in reducing cancer risk and progression. Nature reviews cancer, 14(5), 342.</w:t>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37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52</w:t>
      </w:r>
    </w:p>
    <w:p>
      <w:pPr>
        <w:sectPr>
          <w:type w:val="continuous"/>
          <w:pgSz w:w="12240" w:h="15840"/>
          <w:pgMar w:top="1419" w:right="1440" w:bottom="181" w:left="1440" w:header="0" w:footer="0" w:gutter="0"/>
          <w:cols w:equalWidth="0" w:num="1">
            <w:col w:w="9360"/>
          </w:cols>
        </w:sectPr>
      </w:pPr>
    </w:p>
    <w:p>
      <w:pPr>
        <w:spacing w:after="0" w:line="479" w:lineRule="auto"/>
        <w:ind w:left="840" w:right="820" w:hanging="479"/>
        <w:rPr>
          <w:color w:val="auto"/>
          <w:sz w:val="20"/>
          <w:szCs w:val="20"/>
        </w:rPr>
      </w:pPr>
      <w:bookmarkStart w:id="59" w:name="page66"/>
      <w:bookmarkEnd w:id="59"/>
      <w:r>
        <w:rPr>
          <w:rFonts w:ascii="Times New Roman" w:hAnsi="Times New Roman" w:eastAsia="Times New Roman" w:cs="Times New Roman"/>
          <w:color w:val="auto"/>
          <w:sz w:val="22"/>
          <w:szCs w:val="22"/>
        </w:rPr>
        <w:t>Fleet, J. C., Gliniak, C., Zhang, Z., Xue, Y., Smith, K. B., McCreedy, R., &amp; Adedokun, S. A. (2008). Serum metabolite profiles and target tissue gene expression define the effect of cholecalciferol intake on calcium metabolism in rats and mice. The Journal of nutrition, 138(6), 1114-1120.</w:t>
      </w:r>
    </w:p>
    <w:p>
      <w:pPr>
        <w:spacing w:after="0" w:line="4" w:lineRule="exact"/>
        <w:rPr>
          <w:color w:val="auto"/>
          <w:sz w:val="20"/>
          <w:szCs w:val="20"/>
        </w:rPr>
      </w:pPr>
    </w:p>
    <w:p>
      <w:pPr>
        <w:spacing w:after="0" w:line="496" w:lineRule="auto"/>
        <w:ind w:left="840" w:right="580" w:hanging="479"/>
        <w:rPr>
          <w:color w:val="auto"/>
          <w:sz w:val="20"/>
          <w:szCs w:val="20"/>
        </w:rPr>
      </w:pPr>
      <w:r>
        <w:rPr>
          <w:rFonts w:ascii="Times New Roman" w:hAnsi="Times New Roman" w:eastAsia="Times New Roman" w:cs="Times New Roman"/>
          <w:color w:val="auto"/>
          <w:sz w:val="22"/>
          <w:szCs w:val="22"/>
        </w:rPr>
        <w:t>Golding, M., &amp; Wooster, T. J. (2010). The influence of emulsion structure and stability on lipid digestion. Current Opinion in Colloid and Interface Science, 15(1–2), 90–101. http://doi.org/10.1016/j.cocis.2009.11.006</w:t>
      </w:r>
    </w:p>
    <w:p>
      <w:pPr>
        <w:spacing w:after="0" w:line="109" w:lineRule="exact"/>
        <w:rPr>
          <w:color w:val="auto"/>
          <w:sz w:val="20"/>
          <w:szCs w:val="20"/>
        </w:rPr>
      </w:pPr>
    </w:p>
    <w:p>
      <w:pPr>
        <w:spacing w:after="0" w:line="496" w:lineRule="auto"/>
        <w:ind w:left="840" w:right="980" w:hanging="479"/>
        <w:jc w:val="both"/>
        <w:rPr>
          <w:color w:val="auto"/>
          <w:sz w:val="20"/>
          <w:szCs w:val="20"/>
        </w:rPr>
      </w:pPr>
      <w:r>
        <w:rPr>
          <w:rFonts w:ascii="Times New Roman" w:hAnsi="Times New Roman" w:eastAsia="Times New Roman" w:cs="Times New Roman"/>
          <w:color w:val="auto"/>
          <w:sz w:val="22"/>
          <w:szCs w:val="22"/>
        </w:rPr>
        <w:t>Goncalves, A., Roi, S., Nowicki, M., Dhaussy, A., Huertas, A., Amiot, M. J., &amp; Reboul, E. (2015). Fat-soluble vitamin intestinal absorption: Absorption sites in the intestine and interactions for absorption. Food Chemistry, 172, 155–160.</w:t>
      </w:r>
    </w:p>
    <w:p>
      <w:pPr>
        <w:spacing w:after="0" w:line="109" w:lineRule="exact"/>
        <w:rPr>
          <w:color w:val="auto"/>
          <w:sz w:val="20"/>
          <w:szCs w:val="20"/>
        </w:rPr>
      </w:pPr>
    </w:p>
    <w:p>
      <w:pPr>
        <w:spacing w:after="0" w:line="480" w:lineRule="auto"/>
        <w:ind w:left="840" w:right="500" w:hanging="479"/>
        <w:rPr>
          <w:color w:val="auto"/>
          <w:sz w:val="20"/>
          <w:szCs w:val="20"/>
        </w:rPr>
      </w:pPr>
      <w:r>
        <w:rPr>
          <w:rFonts w:ascii="Times New Roman" w:hAnsi="Times New Roman" w:eastAsia="Times New Roman" w:cs="Times New Roman"/>
          <w:color w:val="auto"/>
          <w:sz w:val="22"/>
          <w:szCs w:val="22"/>
        </w:rPr>
        <w:t>Grandhi, B. K., Thakkar, A., Wang, J., &amp; Prabhu, S. (2013). A novel combinatorial nanotechnology-based oral chemopreventive regimen demonstrates significant suppression of pancreatic cancer neoplastic lesions. Cancer prevention research.</w:t>
      </w:r>
    </w:p>
    <w:p>
      <w:pPr>
        <w:spacing w:after="0" w:line="1" w:lineRule="exact"/>
        <w:rPr>
          <w:color w:val="auto"/>
          <w:sz w:val="20"/>
          <w:szCs w:val="20"/>
        </w:rPr>
      </w:pPr>
    </w:p>
    <w:p>
      <w:pPr>
        <w:spacing w:after="0" w:line="496" w:lineRule="auto"/>
        <w:ind w:left="840" w:right="480" w:hanging="479"/>
        <w:rPr>
          <w:color w:val="auto"/>
          <w:sz w:val="20"/>
          <w:szCs w:val="20"/>
        </w:rPr>
      </w:pPr>
      <w:r>
        <w:rPr>
          <w:rFonts w:ascii="Times New Roman" w:hAnsi="Times New Roman" w:eastAsia="Times New Roman" w:cs="Times New Roman"/>
          <w:color w:val="auto"/>
          <w:sz w:val="22"/>
          <w:szCs w:val="22"/>
        </w:rPr>
        <w:t>Grossmann, R. E., &amp; Tangpricha, V. (2010). Evaluation of vehicle substances on vitamin D bioavailability: A systematic review. Molecular Nutrition and Food Research, 54(8), 1055– 1061. http://doi.org/10.1002/mnfr.200900578</w:t>
      </w:r>
    </w:p>
    <w:p>
      <w:pPr>
        <w:spacing w:after="0" w:line="109" w:lineRule="exact"/>
        <w:rPr>
          <w:color w:val="auto"/>
          <w:sz w:val="20"/>
          <w:szCs w:val="20"/>
        </w:rPr>
      </w:pPr>
    </w:p>
    <w:p>
      <w:pPr>
        <w:spacing w:after="0" w:line="511" w:lineRule="auto"/>
        <w:ind w:left="840" w:right="1260" w:hanging="479"/>
        <w:rPr>
          <w:color w:val="auto"/>
          <w:sz w:val="20"/>
          <w:szCs w:val="20"/>
        </w:rPr>
      </w:pPr>
      <w:r>
        <w:rPr>
          <w:rFonts w:ascii="Times New Roman" w:hAnsi="Times New Roman" w:eastAsia="Times New Roman" w:cs="Times New Roman"/>
          <w:color w:val="auto"/>
          <w:sz w:val="22"/>
          <w:szCs w:val="22"/>
        </w:rPr>
        <w:t>Gupta, A., Eral, H. B., Hatton, T. A., &amp; Doyle, P. S. (2016). Nanoemulsions: formation, properties and applications. Soft Matter, 12(11), 2826–2841.</w:t>
      </w:r>
    </w:p>
    <w:p>
      <w:pPr>
        <w:spacing w:after="0" w:line="94" w:lineRule="exact"/>
        <w:rPr>
          <w:color w:val="auto"/>
          <w:sz w:val="20"/>
          <w:szCs w:val="20"/>
        </w:rPr>
      </w:pPr>
    </w:p>
    <w:p>
      <w:pPr>
        <w:spacing w:after="0" w:line="496" w:lineRule="auto"/>
        <w:ind w:left="840" w:right="580" w:hanging="479"/>
        <w:jc w:val="both"/>
        <w:rPr>
          <w:color w:val="auto"/>
          <w:sz w:val="20"/>
          <w:szCs w:val="20"/>
        </w:rPr>
      </w:pPr>
      <w:r>
        <w:rPr>
          <w:rFonts w:ascii="Times New Roman" w:hAnsi="Times New Roman" w:eastAsia="Times New Roman" w:cs="Times New Roman"/>
          <w:color w:val="auto"/>
          <w:sz w:val="22"/>
          <w:szCs w:val="22"/>
        </w:rPr>
        <w:t>Guttoff, M., Saberi, A. H., &amp; Mcclements, D. J. (2015). Formation of vitamin D nanoemulsion-based delivery systems by spontaneous emulsification: Factors affecting particle size and stability. Food Chemistry, 171, 117–122. http://doi.org/10.1016/j.foodchem.2014.08.087</w:t>
      </w:r>
    </w:p>
    <w:p>
      <w:pPr>
        <w:spacing w:after="0" w:line="109" w:lineRule="exact"/>
        <w:rPr>
          <w:color w:val="auto"/>
          <w:sz w:val="20"/>
          <w:szCs w:val="20"/>
        </w:rPr>
      </w:pPr>
    </w:p>
    <w:p>
      <w:pPr>
        <w:spacing w:after="0" w:line="497" w:lineRule="auto"/>
        <w:ind w:left="840" w:right="480" w:hanging="479"/>
        <w:rPr>
          <w:color w:val="auto"/>
          <w:sz w:val="20"/>
          <w:szCs w:val="20"/>
        </w:rPr>
      </w:pPr>
      <w:r>
        <w:rPr>
          <w:rFonts w:ascii="Times New Roman" w:hAnsi="Times New Roman" w:eastAsia="Times New Roman" w:cs="Times New Roman"/>
          <w:color w:val="auto"/>
          <w:sz w:val="22"/>
          <w:szCs w:val="22"/>
        </w:rPr>
        <w:t>Holick, M. F., Siris, E. S., Binkley, N., Beard, M. K., Khan, A., Katzer, J. T., … De Papp, A. E. (2005). Prevalence of vitamin D inadequacy among postmenopausal North American women receiving osteoporosis therapy. Journal of Clinical Endocrinology and Metabolism,</w:t>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22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53</w:t>
      </w:r>
    </w:p>
    <w:p>
      <w:pPr>
        <w:sectPr>
          <w:type w:val="continuous"/>
          <w:pgSz w:w="12240" w:h="15840"/>
          <w:pgMar w:top="1419" w:right="1440" w:bottom="181" w:left="1440" w:header="0" w:footer="0" w:gutter="0"/>
          <w:cols w:equalWidth="0" w:num="1">
            <w:col w:w="9360"/>
          </w:cols>
        </w:sectPr>
      </w:pPr>
    </w:p>
    <w:p>
      <w:pPr>
        <w:spacing w:after="0"/>
        <w:ind w:left="840"/>
        <w:rPr>
          <w:color w:val="auto"/>
          <w:sz w:val="20"/>
          <w:szCs w:val="20"/>
        </w:rPr>
      </w:pPr>
      <w:bookmarkStart w:id="60" w:name="page67"/>
      <w:bookmarkEnd w:id="60"/>
      <w:r>
        <w:rPr>
          <w:rFonts w:ascii="Times New Roman" w:hAnsi="Times New Roman" w:eastAsia="Times New Roman" w:cs="Times New Roman"/>
          <w:color w:val="auto"/>
          <w:sz w:val="22"/>
          <w:szCs w:val="22"/>
        </w:rPr>
        <w:t>90(6), 3215–3224. http://doi.org/10.1210/jc.2004-2364</w:t>
      </w:r>
    </w:p>
    <w:p>
      <w:pPr>
        <w:spacing w:after="0" w:line="200" w:lineRule="exact"/>
        <w:rPr>
          <w:color w:val="auto"/>
          <w:sz w:val="20"/>
          <w:szCs w:val="20"/>
        </w:rPr>
      </w:pPr>
    </w:p>
    <w:p>
      <w:pPr>
        <w:spacing w:after="0" w:line="21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Holick, M. F. (2007). Vitamin D deficiency. New England Journal of Medicine, 357(3), 266-281.</w:t>
      </w:r>
    </w:p>
    <w:p>
      <w:pPr>
        <w:spacing w:after="0" w:line="200" w:lineRule="exact"/>
        <w:rPr>
          <w:color w:val="auto"/>
          <w:sz w:val="20"/>
          <w:szCs w:val="20"/>
        </w:rPr>
      </w:pPr>
    </w:p>
    <w:p>
      <w:pPr>
        <w:spacing w:after="0" w:line="21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Holick, M. F. (2008). The vitamin D deficiency pandemic and consequences for nonskeletal</w:t>
      </w:r>
    </w:p>
    <w:p>
      <w:pPr>
        <w:spacing w:after="0" w:line="200" w:lineRule="exact"/>
        <w:rPr>
          <w:color w:val="auto"/>
          <w:sz w:val="20"/>
          <w:szCs w:val="20"/>
        </w:rPr>
      </w:pPr>
    </w:p>
    <w:p>
      <w:pPr>
        <w:spacing w:after="0" w:line="212"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2"/>
          <w:szCs w:val="22"/>
        </w:rPr>
        <w:t>health: mechanisms of action. Molecular aspects of medicine, 29(6), 361-368.</w:t>
      </w:r>
    </w:p>
    <w:p>
      <w:pPr>
        <w:spacing w:after="0" w:line="200" w:lineRule="exact"/>
        <w:rPr>
          <w:color w:val="auto"/>
          <w:sz w:val="20"/>
          <w:szCs w:val="20"/>
        </w:rPr>
      </w:pPr>
    </w:p>
    <w:p>
      <w:pPr>
        <w:spacing w:after="0" w:line="217" w:lineRule="exact"/>
        <w:rPr>
          <w:color w:val="auto"/>
          <w:sz w:val="20"/>
          <w:szCs w:val="20"/>
        </w:rPr>
      </w:pPr>
    </w:p>
    <w:p>
      <w:pPr>
        <w:spacing w:after="0" w:line="479" w:lineRule="auto"/>
        <w:ind w:left="840" w:right="460" w:hanging="479"/>
        <w:rPr>
          <w:color w:val="auto"/>
          <w:sz w:val="20"/>
          <w:szCs w:val="20"/>
        </w:rPr>
      </w:pPr>
      <w:r>
        <w:rPr>
          <w:rFonts w:ascii="Times New Roman" w:hAnsi="Times New Roman" w:eastAsia="Times New Roman" w:cs="Times New Roman"/>
          <w:color w:val="auto"/>
          <w:sz w:val="22"/>
          <w:szCs w:val="22"/>
        </w:rPr>
        <w:t>Holick, M. F., Binkley, N. C., Bischoff-Ferrari, H. A., Gordon, C. M., Hanley, D. A., Heaney, R. P., ... &amp; Weaver, C. M. (2011). Evaluation, treatment, and prevention of vitamin D deficiency: an Endocrine Society clinical practice guideline. The Journal of Clinical Endocrinology &amp; Metabolism, 96(7), 1911-1930.</w:t>
      </w:r>
    </w:p>
    <w:p>
      <w:pPr>
        <w:spacing w:after="0" w:line="4" w:lineRule="exact"/>
        <w:rPr>
          <w:color w:val="auto"/>
          <w:sz w:val="20"/>
          <w:szCs w:val="20"/>
        </w:rPr>
      </w:pPr>
    </w:p>
    <w:p>
      <w:pPr>
        <w:spacing w:after="0" w:line="496" w:lineRule="auto"/>
        <w:ind w:left="840" w:right="420" w:hanging="479"/>
        <w:rPr>
          <w:color w:val="auto"/>
          <w:sz w:val="20"/>
          <w:szCs w:val="20"/>
        </w:rPr>
      </w:pPr>
      <w:r>
        <w:rPr>
          <w:rFonts w:ascii="Times New Roman" w:hAnsi="Times New Roman" w:eastAsia="Times New Roman" w:cs="Times New Roman"/>
          <w:color w:val="auto"/>
          <w:sz w:val="22"/>
          <w:szCs w:val="22"/>
        </w:rPr>
        <w:t>Hollander, D., Muralidhara, K. S., &amp; Zimmerman, A. (1978). Vitamin D-3 intestinal absorption in vivo: influence of fatty acids, bile salts, and perfusate pH on absorption. Gut, 19(4), 267– 72. http://doi.org/10.1136/gut.19.4.267</w:t>
      </w:r>
    </w:p>
    <w:p>
      <w:pPr>
        <w:spacing w:after="0" w:line="109" w:lineRule="exact"/>
        <w:rPr>
          <w:color w:val="auto"/>
          <w:sz w:val="20"/>
          <w:szCs w:val="20"/>
        </w:rPr>
      </w:pPr>
    </w:p>
    <w:p>
      <w:pPr>
        <w:spacing w:after="0"/>
        <w:ind w:right="280"/>
        <w:jc w:val="center"/>
        <w:rPr>
          <w:color w:val="auto"/>
          <w:sz w:val="20"/>
          <w:szCs w:val="20"/>
        </w:rPr>
      </w:pPr>
      <w:r>
        <w:rPr>
          <w:rFonts w:ascii="Times New Roman" w:hAnsi="Times New Roman" w:eastAsia="Times New Roman" w:cs="Times New Roman"/>
          <w:color w:val="auto"/>
          <w:sz w:val="21"/>
          <w:szCs w:val="21"/>
        </w:rPr>
        <w:t>Hollis, B. W. (2010). Assessment and interpretation of circulating 25-hydroxyvitamin D and 1,</w:t>
      </w:r>
    </w:p>
    <w:p>
      <w:pPr>
        <w:spacing w:after="0" w:line="265" w:lineRule="exact"/>
        <w:rPr>
          <w:color w:val="auto"/>
          <w:sz w:val="20"/>
          <w:szCs w:val="20"/>
        </w:rPr>
      </w:pPr>
    </w:p>
    <w:p>
      <w:pPr>
        <w:spacing w:after="0" w:line="480" w:lineRule="auto"/>
        <w:ind w:left="840" w:right="1120"/>
        <w:rPr>
          <w:color w:val="auto"/>
          <w:sz w:val="20"/>
          <w:szCs w:val="20"/>
        </w:rPr>
      </w:pPr>
      <w:r>
        <w:rPr>
          <w:rFonts w:ascii="Times New Roman" w:hAnsi="Times New Roman" w:eastAsia="Times New Roman" w:cs="Times New Roman"/>
          <w:color w:val="auto"/>
          <w:sz w:val="22"/>
          <w:szCs w:val="22"/>
        </w:rPr>
        <w:t>25-dihydroxyvitamin D in the clinical environment. Endocrinology and Metabolism Clinics, 39(2), 271-286.</w:t>
      </w:r>
    </w:p>
    <w:p>
      <w:pPr>
        <w:spacing w:after="0" w:line="1" w:lineRule="exact"/>
        <w:rPr>
          <w:color w:val="auto"/>
          <w:sz w:val="20"/>
          <w:szCs w:val="20"/>
        </w:rPr>
      </w:pPr>
    </w:p>
    <w:p>
      <w:pPr>
        <w:spacing w:after="0" w:line="494" w:lineRule="auto"/>
        <w:ind w:left="840" w:right="840" w:hanging="479"/>
        <w:rPr>
          <w:color w:val="auto"/>
          <w:sz w:val="20"/>
          <w:szCs w:val="20"/>
        </w:rPr>
      </w:pPr>
      <w:r>
        <w:rPr>
          <w:rFonts w:ascii="Times New Roman" w:hAnsi="Times New Roman" w:eastAsia="Times New Roman" w:cs="Times New Roman"/>
          <w:color w:val="auto"/>
          <w:sz w:val="22"/>
          <w:szCs w:val="22"/>
        </w:rPr>
        <w:t>Huang, Q., Yu, H., &amp; Ru, Q. (2010). Bioavailability and Delivery of Nutraceuticals and Functional Foods Using Nanotechnology. Bio-Nanotechnology: A Revolution in Food, Biomedical and Health Sciences, 75(1), 593–604.</w:t>
      </w:r>
    </w:p>
    <w:p>
      <w:pPr>
        <w:spacing w:after="0" w:line="115" w:lineRule="exact"/>
        <w:rPr>
          <w:color w:val="auto"/>
          <w:sz w:val="20"/>
          <w:szCs w:val="20"/>
        </w:rPr>
      </w:pPr>
    </w:p>
    <w:p>
      <w:pPr>
        <w:spacing w:after="0" w:line="494" w:lineRule="auto"/>
        <w:ind w:left="840" w:right="560" w:hanging="479"/>
        <w:rPr>
          <w:color w:val="auto"/>
          <w:sz w:val="20"/>
          <w:szCs w:val="20"/>
        </w:rPr>
      </w:pPr>
      <w:r>
        <w:rPr>
          <w:rFonts w:ascii="Times New Roman" w:hAnsi="Times New Roman" w:eastAsia="Times New Roman" w:cs="Times New Roman"/>
          <w:color w:val="auto"/>
          <w:sz w:val="22"/>
          <w:szCs w:val="22"/>
        </w:rPr>
        <w:t>Joye, I. J., Davidov-pardo, G., &amp; Julian, D. (2014). Nanotechnology for increased micronutrient bioavailability. Trends in Food Science &amp; Technology, 40(2), 168–182. http://doi.org/10.1016/j.tifs.2014.08.006</w:t>
      </w:r>
    </w:p>
    <w:p>
      <w:pPr>
        <w:spacing w:after="0" w:line="115" w:lineRule="exact"/>
        <w:rPr>
          <w:color w:val="auto"/>
          <w:sz w:val="20"/>
          <w:szCs w:val="20"/>
        </w:rPr>
      </w:pPr>
    </w:p>
    <w:p>
      <w:pPr>
        <w:spacing w:after="0" w:line="496" w:lineRule="auto"/>
        <w:ind w:left="840" w:right="380" w:hanging="479"/>
        <w:rPr>
          <w:color w:val="auto"/>
          <w:sz w:val="20"/>
          <w:szCs w:val="20"/>
        </w:rPr>
      </w:pPr>
      <w:r>
        <w:rPr>
          <w:rFonts w:ascii="Times New Roman" w:hAnsi="Times New Roman" w:eastAsia="Times New Roman" w:cs="Times New Roman"/>
          <w:color w:val="auto"/>
          <w:sz w:val="22"/>
          <w:szCs w:val="22"/>
        </w:rPr>
        <w:t>Kayser, O., Lemke, a, &amp; Hernández-Trejo, N. (2005). The impact of nanobiotechnology on the development of new drug delivery systems. Current Pharmaceutical Biotechnology, 6(1), 3– 5. http://doi.org/10.2174/1389201053167158</w:t>
      </w:r>
    </w:p>
    <w:p>
      <w:pPr>
        <w:sectPr>
          <w:pgSz w:w="12240" w:h="15840"/>
          <w:pgMar w:top="1416"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54</w:t>
      </w:r>
    </w:p>
    <w:p>
      <w:pPr>
        <w:sectPr>
          <w:type w:val="continuous"/>
          <w:pgSz w:w="12240" w:h="15840"/>
          <w:pgMar w:top="1416" w:right="1440" w:bottom="181" w:left="1440" w:header="0" w:footer="0" w:gutter="0"/>
          <w:cols w:equalWidth="0" w:num="1">
            <w:col w:w="9360"/>
          </w:cols>
        </w:sectPr>
      </w:pPr>
    </w:p>
    <w:p>
      <w:pPr>
        <w:spacing w:after="0"/>
        <w:ind w:left="360"/>
        <w:rPr>
          <w:color w:val="auto"/>
          <w:sz w:val="20"/>
          <w:szCs w:val="20"/>
        </w:rPr>
      </w:pPr>
      <w:bookmarkStart w:id="61" w:name="page68"/>
      <w:bookmarkEnd w:id="61"/>
      <w:r>
        <w:rPr>
          <w:rFonts w:ascii="Times New Roman" w:hAnsi="Times New Roman" w:eastAsia="Times New Roman" w:cs="Times New Roman"/>
          <w:color w:val="auto"/>
          <w:sz w:val="22"/>
          <w:szCs w:val="22"/>
        </w:rPr>
        <w:t>Looker, A. C., Johnson, C. L., Lacher, D. A., Pfeiffer, C. M., Schleicher, R. L., &amp; Sempos, C. T.</w:t>
      </w:r>
    </w:p>
    <w:p>
      <w:pPr>
        <w:spacing w:after="0" w:line="253"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2"/>
          <w:szCs w:val="22"/>
        </w:rPr>
        <w:t>(2011). Vitamin D status: United states, 2001–2006. NCHS data brief, 59(59), 1-8.</w:t>
      </w:r>
    </w:p>
    <w:p>
      <w:pPr>
        <w:spacing w:after="0" w:line="253" w:lineRule="exact"/>
        <w:rPr>
          <w:color w:val="auto"/>
          <w:sz w:val="20"/>
          <w:szCs w:val="20"/>
        </w:rPr>
      </w:pPr>
    </w:p>
    <w:p>
      <w:pPr>
        <w:spacing w:after="0" w:line="495" w:lineRule="auto"/>
        <w:ind w:left="840" w:right="560" w:hanging="479"/>
        <w:rPr>
          <w:color w:val="auto"/>
          <w:sz w:val="20"/>
          <w:szCs w:val="20"/>
        </w:rPr>
      </w:pPr>
      <w:r>
        <w:rPr>
          <w:rFonts w:ascii="Times New Roman" w:hAnsi="Times New Roman" w:eastAsia="Times New Roman" w:cs="Times New Roman"/>
          <w:color w:val="auto"/>
          <w:sz w:val="22"/>
          <w:szCs w:val="22"/>
        </w:rPr>
        <w:t>Luo, Y., Teng, Z., &amp; Wang, Q. (2012). Development of zein nanoparticles coated with carboxymethyl chitosan for encapsulation and controlled release of vitamin D3. Journal of Agricultural and Food Chemistry, 60(3), 836–843. http://doi.org/10.1021/jf204194z</w:t>
      </w:r>
    </w:p>
    <w:p>
      <w:pPr>
        <w:spacing w:after="0" w:line="113" w:lineRule="exact"/>
        <w:rPr>
          <w:color w:val="auto"/>
          <w:sz w:val="20"/>
          <w:szCs w:val="20"/>
        </w:rPr>
      </w:pPr>
    </w:p>
    <w:p>
      <w:pPr>
        <w:spacing w:after="0" w:line="511" w:lineRule="auto"/>
        <w:ind w:left="840" w:right="1460" w:hanging="479"/>
        <w:rPr>
          <w:color w:val="auto"/>
          <w:sz w:val="20"/>
          <w:szCs w:val="20"/>
        </w:rPr>
      </w:pPr>
      <w:r>
        <w:rPr>
          <w:rFonts w:ascii="Times New Roman" w:hAnsi="Times New Roman" w:eastAsia="Times New Roman" w:cs="Times New Roman"/>
          <w:color w:val="auto"/>
          <w:sz w:val="22"/>
          <w:szCs w:val="22"/>
        </w:rPr>
        <w:t>Maislos, M., &amp; Shany, S. (1987). Bile salt deficiency and the absorption of vitamin D metabolites. Israel Journal of Medical Sciences, 23 (11), 1114 - 1117.</w:t>
      </w:r>
    </w:p>
    <w:p>
      <w:pPr>
        <w:spacing w:after="0" w:line="94" w:lineRule="exact"/>
        <w:rPr>
          <w:color w:val="auto"/>
          <w:sz w:val="20"/>
          <w:szCs w:val="20"/>
        </w:rPr>
      </w:pPr>
    </w:p>
    <w:p>
      <w:pPr>
        <w:spacing w:after="0" w:line="496" w:lineRule="auto"/>
        <w:ind w:left="840" w:right="600" w:hanging="479"/>
        <w:rPr>
          <w:color w:val="auto"/>
          <w:sz w:val="20"/>
          <w:szCs w:val="20"/>
        </w:rPr>
      </w:pPr>
      <w:r>
        <w:rPr>
          <w:rFonts w:ascii="Times New Roman" w:hAnsi="Times New Roman" w:eastAsia="Times New Roman" w:cs="Times New Roman"/>
          <w:color w:val="auto"/>
          <w:sz w:val="22"/>
          <w:szCs w:val="22"/>
        </w:rPr>
        <w:t>Maislos, M., Silver, J., &amp; Fainaru, M. (1981). Intestinal Absorption of Vitamin D Sterols : Differential Absorption into Lymph and Portal Blood in the Rat, Gastroenterology, 1528– 1534.</w:t>
      </w:r>
    </w:p>
    <w:p>
      <w:pPr>
        <w:spacing w:after="0" w:line="109" w:lineRule="exact"/>
        <w:rPr>
          <w:color w:val="auto"/>
          <w:sz w:val="20"/>
          <w:szCs w:val="20"/>
        </w:rPr>
      </w:pPr>
    </w:p>
    <w:p>
      <w:pPr>
        <w:spacing w:after="0" w:line="480" w:lineRule="auto"/>
        <w:ind w:left="840" w:right="360" w:hanging="479"/>
        <w:rPr>
          <w:color w:val="auto"/>
          <w:sz w:val="20"/>
          <w:szCs w:val="20"/>
        </w:rPr>
      </w:pPr>
      <w:r>
        <w:rPr>
          <w:rFonts w:ascii="Times New Roman" w:hAnsi="Times New Roman" w:eastAsia="Times New Roman" w:cs="Times New Roman"/>
          <w:color w:val="auto"/>
          <w:sz w:val="22"/>
          <w:szCs w:val="22"/>
        </w:rPr>
        <w:t>Mason, T. G., Wilking, J. N., Meleson, K., Chang, C. B., &amp; Graves, S. M. (2006). Nanoemulsions: formation, structure, and physical properties. Journal of Physics: condensed matter, 18(41), R635.</w:t>
      </w:r>
    </w:p>
    <w:p>
      <w:pPr>
        <w:spacing w:after="0" w:line="1" w:lineRule="exact"/>
        <w:rPr>
          <w:color w:val="auto"/>
          <w:sz w:val="20"/>
          <w:szCs w:val="20"/>
        </w:rPr>
      </w:pPr>
    </w:p>
    <w:p>
      <w:pPr>
        <w:spacing w:after="0" w:line="479" w:lineRule="auto"/>
        <w:ind w:left="840" w:right="780" w:hanging="479"/>
        <w:rPr>
          <w:color w:val="auto"/>
          <w:sz w:val="20"/>
          <w:szCs w:val="20"/>
        </w:rPr>
      </w:pPr>
      <w:r>
        <w:rPr>
          <w:rFonts w:ascii="Times New Roman" w:hAnsi="Times New Roman" w:eastAsia="Times New Roman" w:cs="Times New Roman"/>
          <w:color w:val="auto"/>
          <w:sz w:val="22"/>
          <w:szCs w:val="22"/>
        </w:rPr>
        <w:t>Maurya, V. K., &amp; Aggarwal, M. (2017). Enhancing bio-availability of vitamin D by Nano-engineered based delivery systems-An overview. Int. J. Curr. Microbiol. App. Sci, 6(7), 340-353.</w:t>
      </w:r>
    </w:p>
    <w:p>
      <w:pPr>
        <w:spacing w:after="0" w:line="2" w:lineRule="exact"/>
        <w:rPr>
          <w:color w:val="auto"/>
          <w:sz w:val="20"/>
          <w:szCs w:val="20"/>
        </w:rPr>
      </w:pPr>
    </w:p>
    <w:p>
      <w:pPr>
        <w:spacing w:after="0" w:line="511" w:lineRule="auto"/>
        <w:ind w:left="840" w:right="1220" w:hanging="479"/>
        <w:rPr>
          <w:color w:val="auto"/>
          <w:sz w:val="20"/>
          <w:szCs w:val="20"/>
        </w:rPr>
      </w:pPr>
      <w:r>
        <w:rPr>
          <w:rFonts w:ascii="Times New Roman" w:hAnsi="Times New Roman" w:eastAsia="Times New Roman" w:cs="Times New Roman"/>
          <w:color w:val="auto"/>
          <w:sz w:val="22"/>
          <w:szCs w:val="22"/>
        </w:rPr>
        <w:t>McClements, D. J. (2011). Edible nanoemulsions: fabrication, properties, and functional performance. Soft Matter, 7(6), 2297. http://doi.org/10.1039/c0sm00549e</w:t>
      </w:r>
    </w:p>
    <w:p>
      <w:pPr>
        <w:spacing w:after="0" w:line="94" w:lineRule="exact"/>
        <w:rPr>
          <w:color w:val="auto"/>
          <w:sz w:val="20"/>
          <w:szCs w:val="20"/>
        </w:rPr>
      </w:pPr>
    </w:p>
    <w:p>
      <w:pPr>
        <w:spacing w:after="0" w:line="480" w:lineRule="auto"/>
        <w:ind w:left="840" w:right="860" w:hanging="479"/>
        <w:rPr>
          <w:color w:val="auto"/>
          <w:sz w:val="20"/>
          <w:szCs w:val="20"/>
        </w:rPr>
      </w:pPr>
      <w:r>
        <w:rPr>
          <w:rFonts w:ascii="Times New Roman" w:hAnsi="Times New Roman" w:eastAsia="Times New Roman" w:cs="Times New Roman"/>
          <w:color w:val="auto"/>
          <w:sz w:val="22"/>
          <w:szCs w:val="22"/>
        </w:rPr>
        <w:t>McClements, D. J., &amp; Rao, J. (2011). Food-grade nanoemulsions: formulation, fabrication, properties, performance, biological fate, and potential toxicity. Critical reviews in food science and nutrition, 51(4), 285-330.</w:t>
      </w:r>
    </w:p>
    <w:p>
      <w:pPr>
        <w:spacing w:after="0" w:line="1" w:lineRule="exact"/>
        <w:rPr>
          <w:color w:val="auto"/>
          <w:sz w:val="20"/>
          <w:szCs w:val="20"/>
        </w:rPr>
      </w:pPr>
    </w:p>
    <w:p>
      <w:pPr>
        <w:spacing w:after="0" w:line="511" w:lineRule="auto"/>
        <w:ind w:left="840" w:right="440" w:hanging="479"/>
        <w:rPr>
          <w:color w:val="auto"/>
          <w:sz w:val="20"/>
          <w:szCs w:val="20"/>
        </w:rPr>
      </w:pPr>
      <w:r>
        <w:rPr>
          <w:rFonts w:ascii="Times New Roman" w:hAnsi="Times New Roman" w:eastAsia="Times New Roman" w:cs="Times New Roman"/>
          <w:color w:val="auto"/>
          <w:sz w:val="22"/>
          <w:szCs w:val="22"/>
        </w:rPr>
        <w:t>McClements, D. J. (2012). Nanoemulsions versus microemulsions: terminology, differences, and similarities. Soft Matter, 8(6), 1719. http://doi.org/10.1039/c2sm06903b</w:t>
      </w:r>
    </w:p>
    <w:p>
      <w:pPr>
        <w:spacing w:after="0" w:line="9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McClements, D. J., &amp; Xiao, H. (2012). Potential biological fate of ingested nanoemulsions:</w:t>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55</w:t>
      </w:r>
    </w:p>
    <w:p>
      <w:pPr>
        <w:sectPr>
          <w:type w:val="continuous"/>
          <w:pgSz w:w="12240" w:h="15840"/>
          <w:pgMar w:top="1419" w:right="1440" w:bottom="181" w:left="1440" w:header="0" w:footer="0" w:gutter="0"/>
          <w:cols w:equalWidth="0" w:num="1">
            <w:col w:w="9360"/>
          </w:cols>
        </w:sectPr>
      </w:pPr>
    </w:p>
    <w:p>
      <w:pPr>
        <w:spacing w:after="0"/>
        <w:ind w:left="840"/>
        <w:rPr>
          <w:color w:val="auto"/>
          <w:sz w:val="20"/>
          <w:szCs w:val="20"/>
        </w:rPr>
      </w:pPr>
      <w:bookmarkStart w:id="62" w:name="page69"/>
      <w:bookmarkEnd w:id="62"/>
      <w:r>
        <w:rPr>
          <w:rFonts w:ascii="Times New Roman" w:hAnsi="Times New Roman" w:eastAsia="Times New Roman" w:cs="Times New Roman"/>
          <w:color w:val="auto"/>
          <w:sz w:val="22"/>
          <w:szCs w:val="22"/>
        </w:rPr>
        <w:t>influence of particle characteristics. Food &amp; Function, 3(3), 202.</w:t>
      </w:r>
    </w:p>
    <w:p>
      <w:pPr>
        <w:spacing w:after="0" w:line="251"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2"/>
          <w:szCs w:val="22"/>
        </w:rPr>
        <w:t>http://doi.org/10.1039/c1fo10193e</w:t>
      </w:r>
    </w:p>
    <w:p>
      <w:pPr>
        <w:spacing w:after="0" w:line="200" w:lineRule="exact"/>
        <w:rPr>
          <w:color w:val="auto"/>
          <w:sz w:val="20"/>
          <w:szCs w:val="20"/>
        </w:rPr>
      </w:pPr>
    </w:p>
    <w:p>
      <w:pPr>
        <w:spacing w:after="0" w:line="214" w:lineRule="exact"/>
        <w:rPr>
          <w:color w:val="auto"/>
          <w:sz w:val="20"/>
          <w:szCs w:val="20"/>
        </w:rPr>
      </w:pPr>
    </w:p>
    <w:p>
      <w:pPr>
        <w:spacing w:after="0" w:line="496" w:lineRule="auto"/>
        <w:ind w:left="840" w:right="460" w:hanging="479"/>
        <w:rPr>
          <w:color w:val="auto"/>
          <w:sz w:val="20"/>
          <w:szCs w:val="20"/>
        </w:rPr>
      </w:pPr>
      <w:r>
        <w:rPr>
          <w:rFonts w:ascii="Times New Roman" w:hAnsi="Times New Roman" w:eastAsia="Times New Roman" w:cs="Times New Roman"/>
          <w:color w:val="auto"/>
          <w:sz w:val="22"/>
          <w:szCs w:val="22"/>
        </w:rPr>
        <w:t>Mun, S., Decker, E. A., &amp; McClements, D. J. (2007). Influence of emulsifier type on in vitro digestibility of lipid droplets by pancreatic lipase. Food Research International, 40(6), 770– 781. http://doi.org/10.1016/j.foodres.2007.01.007</w:t>
      </w:r>
    </w:p>
    <w:p>
      <w:pPr>
        <w:spacing w:after="0" w:line="109" w:lineRule="exact"/>
        <w:rPr>
          <w:color w:val="auto"/>
          <w:sz w:val="20"/>
          <w:szCs w:val="20"/>
        </w:rPr>
      </w:pPr>
    </w:p>
    <w:p>
      <w:pPr>
        <w:spacing w:after="0" w:line="496" w:lineRule="auto"/>
        <w:ind w:left="840" w:right="460" w:hanging="479"/>
        <w:rPr>
          <w:color w:val="auto"/>
          <w:sz w:val="20"/>
          <w:szCs w:val="20"/>
        </w:rPr>
      </w:pPr>
      <w:r>
        <w:rPr>
          <w:rFonts w:ascii="Times New Roman" w:hAnsi="Times New Roman" w:eastAsia="Times New Roman" w:cs="Times New Roman"/>
          <w:color w:val="auto"/>
          <w:sz w:val="22"/>
          <w:szCs w:val="22"/>
        </w:rPr>
        <w:t>Nik, A. M., Corredig, M., &amp; Wright, A. J. (2011). Release of lipophilic molecules during in vitro digestion of soy protein-stabilized emulsions. Molecular Nutrition and Food Research, 55(SUPPL. 2), 278–289. http://doi.org/10.1002/mnfr.201000572</w:t>
      </w:r>
    </w:p>
    <w:p>
      <w:pPr>
        <w:spacing w:after="0" w:line="11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Oliveira, M. B., do Prado, A. H., Bernegossi, J., Sato, C. S., Lourenco Brunetti, I., Scarpa, M. V.,</w:t>
      </w:r>
    </w:p>
    <w:p>
      <w:pPr>
        <w:spacing w:after="0" w:line="251" w:lineRule="exact"/>
        <w:rPr>
          <w:color w:val="auto"/>
          <w:sz w:val="20"/>
          <w:szCs w:val="20"/>
        </w:rPr>
      </w:pPr>
    </w:p>
    <w:p>
      <w:pPr>
        <w:numPr>
          <w:ilvl w:val="0"/>
          <w:numId w:val="9"/>
        </w:numPr>
        <w:tabs>
          <w:tab w:val="left" w:pos="1116"/>
        </w:tabs>
        <w:spacing w:after="0" w:line="496" w:lineRule="auto"/>
        <w:ind w:left="840" w:right="38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Chorilli, M. (2014). Topical application of retinyl palmitate-loaded nanotechnology-based drug delivery systems for the treatment of skin aging. BioMed Research International, 2014, 632570. http://doi.org/10.1155/2014/632570</w:t>
      </w:r>
    </w:p>
    <w:p>
      <w:pPr>
        <w:spacing w:after="0" w:line="109" w:lineRule="exact"/>
        <w:rPr>
          <w:color w:val="auto"/>
          <w:sz w:val="20"/>
          <w:szCs w:val="20"/>
        </w:rPr>
      </w:pPr>
    </w:p>
    <w:p>
      <w:pPr>
        <w:spacing w:after="0" w:line="496" w:lineRule="auto"/>
        <w:ind w:left="840" w:right="460" w:hanging="479"/>
        <w:rPr>
          <w:color w:val="auto"/>
          <w:sz w:val="20"/>
          <w:szCs w:val="20"/>
        </w:rPr>
      </w:pPr>
      <w:r>
        <w:rPr>
          <w:rFonts w:ascii="Times New Roman" w:hAnsi="Times New Roman" w:eastAsia="Times New Roman" w:cs="Times New Roman"/>
          <w:color w:val="auto"/>
          <w:sz w:val="22"/>
          <w:szCs w:val="22"/>
        </w:rPr>
        <w:t>Ozturk, B., Argin, S., Ozilgen, M., &amp; McClements, D. J. (2015). Nanoemulsion delivery systems for oil-soluble vitamins: Influence of carrier oil type on lipid digestion and vitamin D&lt;inf&gt;3&lt;/inf&gt; bioaccessibility. Food Chemistry, 187(APRIL), 499–506.</w:t>
      </w:r>
    </w:p>
    <w:p>
      <w:pPr>
        <w:spacing w:after="0" w:line="111" w:lineRule="exact"/>
        <w:rPr>
          <w:color w:val="auto"/>
          <w:sz w:val="20"/>
          <w:szCs w:val="20"/>
        </w:rPr>
      </w:pPr>
    </w:p>
    <w:p>
      <w:pPr>
        <w:spacing w:after="0" w:line="479" w:lineRule="auto"/>
        <w:ind w:left="1080" w:right="620" w:hanging="719"/>
        <w:rPr>
          <w:color w:val="auto"/>
          <w:sz w:val="20"/>
          <w:szCs w:val="20"/>
        </w:rPr>
      </w:pPr>
      <w:r>
        <w:rPr>
          <w:rFonts w:ascii="Times New Roman" w:hAnsi="Times New Roman" w:eastAsia="Times New Roman" w:cs="Times New Roman"/>
          <w:color w:val="auto"/>
          <w:sz w:val="22"/>
          <w:szCs w:val="22"/>
        </w:rPr>
        <w:t>Ozturk, B., Argin, S., Ozilgen, M., &amp; McClements, D. J. (2014). Formation and stabilization of nanoemulsion-based vitamin E delivery systems using natural surfactants: Quillaja saponin and lecithin. Journal of Food Engineering, 142, 57-63.</w:t>
      </w:r>
    </w:p>
    <w:p>
      <w:pPr>
        <w:spacing w:after="0" w:line="2" w:lineRule="exact"/>
        <w:rPr>
          <w:color w:val="auto"/>
          <w:sz w:val="20"/>
          <w:szCs w:val="20"/>
        </w:rPr>
      </w:pPr>
    </w:p>
    <w:p>
      <w:pPr>
        <w:spacing w:after="0" w:line="479" w:lineRule="auto"/>
        <w:ind w:left="840" w:right="940" w:hanging="479"/>
        <w:rPr>
          <w:color w:val="auto"/>
          <w:sz w:val="20"/>
          <w:szCs w:val="20"/>
        </w:rPr>
      </w:pPr>
      <w:r>
        <w:rPr>
          <w:rFonts w:ascii="Times New Roman" w:hAnsi="Times New Roman" w:eastAsia="Times New Roman" w:cs="Times New Roman"/>
          <w:color w:val="auto"/>
          <w:sz w:val="22"/>
          <w:szCs w:val="22"/>
        </w:rPr>
        <w:t>Parthasarathi, S., Muthukumar, S. P., &amp; Anandharamakrishnan, C. (2016). The influence of droplet size on the stability, in vivo digestion, and oral bioavailability of vitamin E emulsions. Food &amp; function, 7(5), 2294-2302.</w:t>
      </w:r>
    </w:p>
    <w:p>
      <w:pPr>
        <w:spacing w:after="0" w:line="2" w:lineRule="exact"/>
        <w:rPr>
          <w:color w:val="auto"/>
          <w:sz w:val="20"/>
          <w:szCs w:val="20"/>
        </w:rPr>
      </w:pPr>
    </w:p>
    <w:p>
      <w:pPr>
        <w:spacing w:after="0" w:line="496" w:lineRule="auto"/>
        <w:ind w:left="840" w:right="920" w:hanging="479"/>
        <w:rPr>
          <w:color w:val="auto"/>
          <w:sz w:val="20"/>
          <w:szCs w:val="20"/>
        </w:rPr>
      </w:pPr>
      <w:r>
        <w:rPr>
          <w:rFonts w:ascii="Times New Roman" w:hAnsi="Times New Roman" w:eastAsia="Times New Roman" w:cs="Times New Roman"/>
          <w:color w:val="auto"/>
          <w:sz w:val="22"/>
          <w:szCs w:val="22"/>
        </w:rPr>
        <w:t>Peters, S. E., &amp; Brain, C. H. (2009). Benefits of a soy lecithin based nanotechnology for the animal and human food industry. ACS Symposium Series, 1007, 183–197. http://doi.org/10.1021/bk-2009-1007.ch012</w:t>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22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56</w:t>
      </w:r>
    </w:p>
    <w:p>
      <w:pPr>
        <w:sectPr>
          <w:type w:val="continuous"/>
          <w:pgSz w:w="12240" w:h="15840"/>
          <w:pgMar w:top="1419" w:right="1440" w:bottom="181" w:left="1440" w:header="0" w:footer="0" w:gutter="0"/>
          <w:cols w:equalWidth="0" w:num="1">
            <w:col w:w="9360"/>
          </w:cols>
        </w:sectPr>
      </w:pPr>
    </w:p>
    <w:p>
      <w:pPr>
        <w:spacing w:after="0" w:line="496" w:lineRule="auto"/>
        <w:ind w:left="840" w:right="400" w:hanging="479"/>
        <w:jc w:val="both"/>
        <w:rPr>
          <w:color w:val="auto"/>
          <w:sz w:val="20"/>
          <w:szCs w:val="20"/>
        </w:rPr>
      </w:pPr>
      <w:bookmarkStart w:id="63" w:name="page70"/>
      <w:bookmarkEnd w:id="63"/>
      <w:r>
        <w:rPr>
          <w:rFonts w:ascii="Times New Roman" w:hAnsi="Times New Roman" w:eastAsia="Times New Roman" w:cs="Times New Roman"/>
          <w:color w:val="auto"/>
          <w:sz w:val="22"/>
          <w:szCs w:val="22"/>
        </w:rPr>
        <w:t>Porter, C. J. H., Trevaskis, N. L., &amp; Charman, W. N. (2007). Lipids and lipid-based formulations: optimizing the oral delivery of lipophilic drugs. Nature reviews.Drug Discovery, 6(3), 231– 248. http://doi.org/10.1038/nrd2197</w:t>
      </w:r>
    </w:p>
    <w:p>
      <w:pPr>
        <w:spacing w:after="0" w:line="109" w:lineRule="exact"/>
        <w:rPr>
          <w:color w:val="auto"/>
          <w:sz w:val="20"/>
          <w:szCs w:val="20"/>
        </w:rPr>
      </w:pPr>
    </w:p>
    <w:p>
      <w:pPr>
        <w:spacing w:after="0" w:line="496" w:lineRule="auto"/>
        <w:ind w:left="840" w:right="360" w:hanging="479"/>
        <w:jc w:val="both"/>
        <w:rPr>
          <w:color w:val="auto"/>
          <w:sz w:val="20"/>
          <w:szCs w:val="20"/>
        </w:rPr>
      </w:pPr>
      <w:r>
        <w:rPr>
          <w:rFonts w:ascii="Times New Roman" w:hAnsi="Times New Roman" w:eastAsia="Times New Roman" w:cs="Times New Roman"/>
          <w:color w:val="auto"/>
          <w:sz w:val="22"/>
          <w:szCs w:val="22"/>
        </w:rPr>
        <w:t>Qian, C., Decker, E. A., Xiao, H., &amp; McClements, D. J. (2012). Nanoemulsion delivery systems: Influence of carrier oil on  β -carotene bioaccessibility. Food Chemistry, 135(3), 1440–1447. http://doi.org/10.1016/j.foodchem.2012.06.047</w:t>
      </w:r>
    </w:p>
    <w:p>
      <w:pPr>
        <w:spacing w:after="0" w:line="109" w:lineRule="exact"/>
        <w:rPr>
          <w:color w:val="auto"/>
          <w:sz w:val="20"/>
          <w:szCs w:val="20"/>
        </w:rPr>
      </w:pPr>
    </w:p>
    <w:p>
      <w:pPr>
        <w:spacing w:after="0" w:line="490" w:lineRule="auto"/>
        <w:ind w:left="840" w:right="920" w:hanging="479"/>
        <w:rPr>
          <w:color w:val="auto"/>
          <w:sz w:val="20"/>
          <w:szCs w:val="20"/>
        </w:rPr>
      </w:pPr>
      <w:r>
        <w:rPr>
          <w:rFonts w:ascii="Times New Roman" w:hAnsi="Times New Roman" w:eastAsia="Times New Roman" w:cs="Times New Roman"/>
          <w:color w:val="auto"/>
          <w:sz w:val="22"/>
          <w:szCs w:val="22"/>
        </w:rPr>
        <w:t>Rao, J., Decker, E. A., Xiao, H., &amp; Mcclements, D. J. (2013). Nutraceutical nanoemulsions: Influence of carrier oil composition (digestible versus indigestible oil) on  β -carotene bioavailability. Journal of the Science of Food and Agriculture, 93(13), 3175–3183. http://doi.org/10.1002/jsfa.6215</w:t>
      </w:r>
    </w:p>
    <w:p>
      <w:pPr>
        <w:spacing w:after="0" w:line="118" w:lineRule="exact"/>
        <w:rPr>
          <w:color w:val="auto"/>
          <w:sz w:val="20"/>
          <w:szCs w:val="20"/>
        </w:rPr>
      </w:pPr>
    </w:p>
    <w:p>
      <w:pPr>
        <w:spacing w:after="0" w:line="490" w:lineRule="auto"/>
        <w:ind w:left="840" w:right="800" w:hanging="479"/>
        <w:rPr>
          <w:color w:val="auto"/>
          <w:sz w:val="20"/>
          <w:szCs w:val="20"/>
        </w:rPr>
      </w:pPr>
      <w:r>
        <w:rPr>
          <w:rFonts w:ascii="Times New Roman" w:hAnsi="Times New Roman" w:eastAsia="Times New Roman" w:cs="Times New Roman"/>
          <w:color w:val="auto"/>
          <w:sz w:val="22"/>
          <w:szCs w:val="22"/>
        </w:rPr>
        <w:t>Reboul, E., Goncalves, A., Comera, C., Bott, R., Nowicki, M., Landrier, J. F., … Borel, P. (2011). Vitamin D intestinal absorption is not a simple passive diffusion: Evidences for involvement of cholesterol transporters. Molecular Nutrition and Food Research, 55(5), 691–702. http://doi.org/10.1002/mnfr.201000553</w:t>
      </w:r>
    </w:p>
    <w:p>
      <w:pPr>
        <w:spacing w:after="0" w:line="11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Reis, P. M., Raab, T. W., Chuat, J. Y., Leser, M. E., Miller, R., Watzke, H. J., &amp; Holmberg, K.</w:t>
      </w:r>
    </w:p>
    <w:p>
      <w:pPr>
        <w:spacing w:after="0" w:line="200" w:lineRule="exact"/>
        <w:rPr>
          <w:color w:val="auto"/>
          <w:sz w:val="20"/>
          <w:szCs w:val="20"/>
        </w:rPr>
      </w:pPr>
    </w:p>
    <w:p>
      <w:pPr>
        <w:spacing w:after="0" w:line="214"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2"/>
          <w:szCs w:val="22"/>
        </w:rPr>
        <w:t>(2008). Influence of surfactants on lipase fat digestion in a model gastro-intestinal</w:t>
      </w:r>
    </w:p>
    <w:p>
      <w:pPr>
        <w:spacing w:after="0" w:line="200" w:lineRule="exact"/>
        <w:rPr>
          <w:color w:val="auto"/>
          <w:sz w:val="20"/>
          <w:szCs w:val="20"/>
        </w:rPr>
      </w:pPr>
    </w:p>
    <w:p>
      <w:pPr>
        <w:spacing w:after="0" w:line="212"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2"/>
          <w:szCs w:val="22"/>
        </w:rPr>
        <w:t>system. Food biophysics, 3(4), 370.</w:t>
      </w:r>
    </w:p>
    <w:p>
      <w:pPr>
        <w:spacing w:after="0" w:line="200" w:lineRule="exact"/>
        <w:rPr>
          <w:color w:val="auto"/>
          <w:sz w:val="20"/>
          <w:szCs w:val="20"/>
        </w:rPr>
      </w:pPr>
    </w:p>
    <w:p>
      <w:pPr>
        <w:spacing w:after="0" w:line="217" w:lineRule="exact"/>
        <w:rPr>
          <w:color w:val="auto"/>
          <w:sz w:val="20"/>
          <w:szCs w:val="20"/>
        </w:rPr>
      </w:pPr>
    </w:p>
    <w:p>
      <w:pPr>
        <w:spacing w:after="0" w:line="490" w:lineRule="auto"/>
        <w:ind w:left="840" w:right="900" w:hanging="479"/>
        <w:rPr>
          <w:color w:val="auto"/>
          <w:sz w:val="20"/>
          <w:szCs w:val="20"/>
        </w:rPr>
      </w:pPr>
      <w:r>
        <w:rPr>
          <w:rFonts w:ascii="Times New Roman" w:hAnsi="Times New Roman" w:eastAsia="Times New Roman" w:cs="Times New Roman"/>
          <w:color w:val="auto"/>
          <w:sz w:val="22"/>
          <w:szCs w:val="22"/>
        </w:rPr>
        <w:t>Ross, A. C., Manson, J. E., Abrams, S. A., Aloia, J. F., Brannon, P. M., Clinton, S. K., … Shapses, S. A. (2011). The 2011 Report on Dietary Reference Intakes for Calcium and Vitamin D from the Institute of Medicine: What Clinicians Need to Know. J Clin Endocrinol Metab , 96(January 2011), 53–58. http://doi.org/10.1210/jc.2010-2704</w:t>
      </w:r>
    </w:p>
    <w:p>
      <w:pPr>
        <w:spacing w:after="0" w:line="116" w:lineRule="exact"/>
        <w:rPr>
          <w:color w:val="auto"/>
          <w:sz w:val="20"/>
          <w:szCs w:val="20"/>
        </w:rPr>
      </w:pPr>
    </w:p>
    <w:p>
      <w:pPr>
        <w:spacing w:after="0" w:line="513" w:lineRule="auto"/>
        <w:ind w:left="360" w:right="720"/>
        <w:jc w:val="right"/>
        <w:rPr>
          <w:color w:val="auto"/>
          <w:sz w:val="20"/>
          <w:szCs w:val="20"/>
        </w:rPr>
      </w:pPr>
      <w:r>
        <w:rPr>
          <w:rFonts w:ascii="Times New Roman" w:hAnsi="Times New Roman" w:eastAsia="Times New Roman" w:cs="Times New Roman"/>
          <w:color w:val="auto"/>
          <w:sz w:val="22"/>
          <w:szCs w:val="22"/>
        </w:rPr>
        <w:t>Sahoo, S. K., Parveen, S., &amp; Panda, J. J. (2007). The present and future of nanotechnology in human health care, Nanomedicine:Nanotechnology, Biology and Medicine, 3(1), 20–31.</w:t>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23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57</w:t>
      </w:r>
    </w:p>
    <w:p>
      <w:pPr>
        <w:sectPr>
          <w:type w:val="continuous"/>
          <w:pgSz w:w="12240" w:h="15840"/>
          <w:pgMar w:top="1419" w:right="1440" w:bottom="181" w:left="1440" w:header="0" w:footer="0" w:gutter="0"/>
          <w:cols w:equalWidth="0" w:num="1">
            <w:col w:w="9360"/>
          </w:cols>
        </w:sectPr>
      </w:pPr>
    </w:p>
    <w:p>
      <w:pPr>
        <w:spacing w:after="0"/>
        <w:ind w:left="840"/>
        <w:rPr>
          <w:color w:val="auto"/>
          <w:sz w:val="20"/>
          <w:szCs w:val="20"/>
        </w:rPr>
      </w:pPr>
      <w:bookmarkStart w:id="64" w:name="page71"/>
      <w:bookmarkEnd w:id="64"/>
      <w:r>
        <w:rPr>
          <w:rFonts w:ascii="Times New Roman" w:hAnsi="Times New Roman" w:eastAsia="Times New Roman" w:cs="Times New Roman"/>
          <w:color w:val="auto"/>
          <w:sz w:val="22"/>
          <w:szCs w:val="22"/>
        </w:rPr>
        <w:t>http://doi.org/10.1016/j.nano.2006.11.008</w:t>
      </w:r>
    </w:p>
    <w:p>
      <w:pPr>
        <w:spacing w:after="0" w:line="200" w:lineRule="exact"/>
        <w:rPr>
          <w:color w:val="auto"/>
          <w:sz w:val="20"/>
          <w:szCs w:val="20"/>
        </w:rPr>
      </w:pPr>
    </w:p>
    <w:p>
      <w:pPr>
        <w:spacing w:after="0" w:line="214" w:lineRule="exact"/>
        <w:rPr>
          <w:color w:val="auto"/>
          <w:sz w:val="20"/>
          <w:szCs w:val="20"/>
        </w:rPr>
      </w:pPr>
    </w:p>
    <w:p>
      <w:pPr>
        <w:spacing w:after="0"/>
        <w:ind w:right="320"/>
        <w:jc w:val="center"/>
        <w:rPr>
          <w:color w:val="auto"/>
          <w:sz w:val="20"/>
          <w:szCs w:val="20"/>
        </w:rPr>
      </w:pPr>
      <w:r>
        <w:rPr>
          <w:rFonts w:ascii="Times New Roman" w:hAnsi="Times New Roman" w:eastAsia="Times New Roman" w:cs="Times New Roman"/>
          <w:color w:val="auto"/>
          <w:sz w:val="21"/>
          <w:szCs w:val="21"/>
        </w:rPr>
        <w:t>Salvia-Trujillo, L., Qian, C., Martin-Belloso, O., &amp; McClements, D. J. (2013). Modulating  β -</w:t>
      </w:r>
    </w:p>
    <w:p>
      <w:pPr>
        <w:spacing w:after="0" w:line="265" w:lineRule="exact"/>
        <w:rPr>
          <w:color w:val="auto"/>
          <w:sz w:val="20"/>
          <w:szCs w:val="20"/>
        </w:rPr>
      </w:pPr>
    </w:p>
    <w:p>
      <w:pPr>
        <w:spacing w:after="0" w:line="511" w:lineRule="auto"/>
        <w:ind w:left="840" w:right="1180"/>
        <w:rPr>
          <w:color w:val="auto"/>
          <w:sz w:val="20"/>
          <w:szCs w:val="20"/>
        </w:rPr>
      </w:pPr>
      <w:r>
        <w:rPr>
          <w:rFonts w:ascii="Times New Roman" w:hAnsi="Times New Roman" w:eastAsia="Times New Roman" w:cs="Times New Roman"/>
          <w:color w:val="auto"/>
          <w:sz w:val="22"/>
          <w:szCs w:val="22"/>
        </w:rPr>
        <w:t>carotene bioaccessibility by controlling oil composition and concentration in edible nanoemulsions. Food Chemistry, 139(1–4), 878–884.</w:t>
      </w:r>
    </w:p>
    <w:p>
      <w:pPr>
        <w:spacing w:after="0" w:line="96" w:lineRule="exact"/>
        <w:rPr>
          <w:color w:val="auto"/>
          <w:sz w:val="20"/>
          <w:szCs w:val="20"/>
        </w:rPr>
      </w:pPr>
    </w:p>
    <w:p>
      <w:pPr>
        <w:spacing w:after="0" w:line="478" w:lineRule="auto"/>
        <w:ind w:left="1080" w:right="560" w:hanging="719"/>
        <w:rPr>
          <w:color w:val="auto"/>
          <w:sz w:val="20"/>
          <w:szCs w:val="20"/>
        </w:rPr>
      </w:pPr>
      <w:r>
        <w:rPr>
          <w:rFonts w:ascii="Times New Roman" w:hAnsi="Times New Roman" w:eastAsia="Times New Roman" w:cs="Times New Roman"/>
          <w:color w:val="auto"/>
          <w:sz w:val="22"/>
          <w:szCs w:val="22"/>
        </w:rPr>
        <w:t>Salvia-Trujillo, L., Martín-Belloso, O., &amp; McClements, D. (2016). Excipient nanoemulsions for improving oral bioavailability of bioactives. Nanomaterials, 6(1), 17.</w:t>
      </w:r>
    </w:p>
    <w:p>
      <w:pPr>
        <w:spacing w:after="0"/>
        <w:ind w:left="360"/>
        <w:rPr>
          <w:color w:val="auto"/>
          <w:sz w:val="20"/>
          <w:szCs w:val="20"/>
        </w:rPr>
      </w:pPr>
      <w:r>
        <w:rPr>
          <w:rFonts w:ascii="Times New Roman" w:hAnsi="Times New Roman" w:eastAsia="Times New Roman" w:cs="Times New Roman"/>
          <w:color w:val="auto"/>
          <w:sz w:val="22"/>
          <w:szCs w:val="22"/>
        </w:rPr>
        <w:t>Salvia-Trujillo, L., Fumiaki, B., Park, Y., &amp; McClements, D. J. (2017). The influence of lipid</w:t>
      </w:r>
    </w:p>
    <w:p>
      <w:pPr>
        <w:spacing w:after="0" w:line="200" w:lineRule="exact"/>
        <w:rPr>
          <w:color w:val="auto"/>
          <w:sz w:val="20"/>
          <w:szCs w:val="20"/>
        </w:rPr>
      </w:pPr>
    </w:p>
    <w:p>
      <w:pPr>
        <w:spacing w:after="0" w:line="214" w:lineRule="exact"/>
        <w:rPr>
          <w:color w:val="auto"/>
          <w:sz w:val="20"/>
          <w:szCs w:val="20"/>
        </w:rPr>
      </w:pPr>
    </w:p>
    <w:p>
      <w:pPr>
        <w:spacing w:after="0"/>
        <w:ind w:left="860"/>
        <w:rPr>
          <w:color w:val="auto"/>
          <w:sz w:val="20"/>
          <w:szCs w:val="20"/>
        </w:rPr>
      </w:pPr>
      <w:r>
        <w:rPr>
          <w:rFonts w:ascii="Times New Roman" w:hAnsi="Times New Roman" w:eastAsia="Times New Roman" w:cs="Times New Roman"/>
          <w:color w:val="auto"/>
          <w:sz w:val="22"/>
          <w:szCs w:val="22"/>
        </w:rPr>
        <w:t>droplet size on the oral bioavailability of vitamin D</w:t>
      </w:r>
      <w:r>
        <w:rPr>
          <w:rFonts w:ascii="Times New Roman" w:hAnsi="Times New Roman" w:eastAsia="Times New Roman" w:cs="Times New Roman"/>
          <w:color w:val="auto"/>
          <w:sz w:val="13"/>
          <w:szCs w:val="13"/>
        </w:rPr>
        <w:t>2</w:t>
      </w:r>
      <w:r>
        <w:rPr>
          <w:rFonts w:ascii="Times New Roman" w:hAnsi="Times New Roman" w:eastAsia="Times New Roman" w:cs="Times New Roman"/>
          <w:color w:val="auto"/>
          <w:sz w:val="22"/>
          <w:szCs w:val="22"/>
        </w:rPr>
        <w:t xml:space="preserve"> encapsulated in emulsions: an in vitro</w:t>
      </w:r>
    </w:p>
    <w:p>
      <w:pPr>
        <w:spacing w:after="0" w:line="200" w:lineRule="exact"/>
        <w:rPr>
          <w:color w:val="auto"/>
          <w:sz w:val="20"/>
          <w:szCs w:val="20"/>
        </w:rPr>
      </w:pPr>
    </w:p>
    <w:p>
      <w:pPr>
        <w:spacing w:after="0" w:line="212" w:lineRule="exact"/>
        <w:rPr>
          <w:color w:val="auto"/>
          <w:sz w:val="20"/>
          <w:szCs w:val="20"/>
        </w:rPr>
      </w:pPr>
    </w:p>
    <w:p>
      <w:pPr>
        <w:spacing w:after="0"/>
        <w:ind w:left="860"/>
        <w:rPr>
          <w:color w:val="auto"/>
          <w:sz w:val="20"/>
          <w:szCs w:val="20"/>
        </w:rPr>
      </w:pPr>
      <w:r>
        <w:rPr>
          <w:rFonts w:ascii="Times New Roman" w:hAnsi="Times New Roman" w:eastAsia="Times New Roman" w:cs="Times New Roman"/>
          <w:color w:val="auto"/>
          <w:sz w:val="22"/>
          <w:szCs w:val="22"/>
        </w:rPr>
        <w:t>and in vivo study. Food &amp; function, 8(2), 767-777.</w:t>
      </w:r>
    </w:p>
    <w:p>
      <w:pPr>
        <w:spacing w:after="0" w:line="200" w:lineRule="exact"/>
        <w:rPr>
          <w:color w:val="auto"/>
          <w:sz w:val="20"/>
          <w:szCs w:val="20"/>
        </w:rPr>
      </w:pPr>
    </w:p>
    <w:p>
      <w:pPr>
        <w:spacing w:after="0" w:line="217" w:lineRule="exact"/>
        <w:rPr>
          <w:color w:val="auto"/>
          <w:sz w:val="20"/>
          <w:szCs w:val="20"/>
        </w:rPr>
      </w:pPr>
    </w:p>
    <w:p>
      <w:pPr>
        <w:spacing w:after="0" w:line="509" w:lineRule="auto"/>
        <w:ind w:left="840" w:right="1140" w:hanging="479"/>
        <w:rPr>
          <w:color w:val="auto"/>
          <w:sz w:val="20"/>
          <w:szCs w:val="20"/>
        </w:rPr>
      </w:pPr>
      <w:r>
        <w:rPr>
          <w:rFonts w:ascii="Times New Roman" w:hAnsi="Times New Roman" w:eastAsia="Times New Roman" w:cs="Times New Roman"/>
          <w:color w:val="auto"/>
          <w:sz w:val="22"/>
          <w:szCs w:val="22"/>
        </w:rPr>
        <w:t>Sekhon, B. S. (2010). Food nanotechnology - an overview. Nanotechnology, Science and Applications. 3,1. http://doi.org/10.2147/NSA.S8677</w:t>
      </w:r>
    </w:p>
    <w:p>
      <w:pPr>
        <w:spacing w:after="0" w:line="98" w:lineRule="exact"/>
        <w:rPr>
          <w:color w:val="auto"/>
          <w:sz w:val="20"/>
          <w:szCs w:val="20"/>
        </w:rPr>
      </w:pPr>
    </w:p>
    <w:p>
      <w:pPr>
        <w:spacing w:after="0" w:line="511" w:lineRule="auto"/>
        <w:ind w:left="840" w:right="1000" w:hanging="479"/>
        <w:rPr>
          <w:color w:val="auto"/>
          <w:sz w:val="20"/>
          <w:szCs w:val="20"/>
        </w:rPr>
      </w:pPr>
      <w:r>
        <w:rPr>
          <w:rFonts w:ascii="Times New Roman" w:hAnsi="Times New Roman" w:eastAsia="Times New Roman" w:cs="Times New Roman"/>
          <w:color w:val="auto"/>
          <w:sz w:val="22"/>
          <w:szCs w:val="22"/>
        </w:rPr>
        <w:t>Singh, N. (2015). An overview of prospective application of nanoemulsions in food, ASIO Journal of Microbiology, 1(1), 20–25.</w:t>
      </w:r>
    </w:p>
    <w:p>
      <w:pPr>
        <w:spacing w:after="0" w:line="94" w:lineRule="exact"/>
        <w:rPr>
          <w:color w:val="auto"/>
          <w:sz w:val="20"/>
          <w:szCs w:val="20"/>
        </w:rPr>
      </w:pPr>
    </w:p>
    <w:p>
      <w:pPr>
        <w:spacing w:after="0" w:line="511" w:lineRule="auto"/>
        <w:ind w:left="840" w:right="460" w:hanging="479"/>
        <w:rPr>
          <w:color w:val="auto"/>
          <w:sz w:val="20"/>
          <w:szCs w:val="20"/>
        </w:rPr>
      </w:pPr>
      <w:r>
        <w:rPr>
          <w:rFonts w:ascii="Times New Roman" w:hAnsi="Times New Roman" w:eastAsia="Times New Roman" w:cs="Times New Roman"/>
          <w:color w:val="auto"/>
          <w:sz w:val="22"/>
          <w:szCs w:val="22"/>
        </w:rPr>
        <w:t>Sozer, N., &amp; Kokini, J. L. (2009). Nanotechnology and its applications in the food sector. Trends in Biotechnology, 27(2), 82–89. http://doi.org/10.1016/j.tibtech.2008.10.010</w:t>
      </w:r>
    </w:p>
    <w:p>
      <w:pPr>
        <w:spacing w:after="0" w:line="97" w:lineRule="exact"/>
        <w:rPr>
          <w:color w:val="auto"/>
          <w:sz w:val="20"/>
          <w:szCs w:val="20"/>
        </w:rPr>
      </w:pPr>
    </w:p>
    <w:p>
      <w:pPr>
        <w:spacing w:after="0" w:line="495" w:lineRule="auto"/>
        <w:ind w:left="840" w:right="480" w:hanging="479"/>
        <w:jc w:val="both"/>
        <w:rPr>
          <w:color w:val="auto"/>
          <w:sz w:val="20"/>
          <w:szCs w:val="20"/>
        </w:rPr>
      </w:pPr>
      <w:r>
        <w:rPr>
          <w:rFonts w:ascii="Times New Roman" w:hAnsi="Times New Roman" w:eastAsia="Times New Roman" w:cs="Times New Roman"/>
          <w:color w:val="auto"/>
          <w:sz w:val="22"/>
          <w:szCs w:val="22"/>
        </w:rPr>
        <w:t>Srinivas, P. R., Philbert, M., Vu, T. Q., Huang, Q., Kokini, J. L., Saos, E., … Ross, S. A. (2010). Nanotechnology Research : Applications in Nutritional Sciences. The Journal of Nutrition, 140 (1), 119-124.</w:t>
      </w:r>
    </w:p>
    <w:p>
      <w:pPr>
        <w:spacing w:after="0" w:line="112" w:lineRule="exact"/>
        <w:rPr>
          <w:color w:val="auto"/>
          <w:sz w:val="20"/>
          <w:szCs w:val="20"/>
        </w:rPr>
      </w:pPr>
    </w:p>
    <w:p>
      <w:pPr>
        <w:spacing w:after="0" w:line="496" w:lineRule="auto"/>
        <w:ind w:left="840" w:right="460" w:hanging="479"/>
        <w:rPr>
          <w:color w:val="auto"/>
          <w:sz w:val="20"/>
          <w:szCs w:val="20"/>
        </w:rPr>
      </w:pPr>
      <w:r>
        <w:rPr>
          <w:rFonts w:ascii="Times New Roman" w:hAnsi="Times New Roman" w:eastAsia="Times New Roman" w:cs="Times New Roman"/>
          <w:color w:val="auto"/>
          <w:sz w:val="22"/>
          <w:szCs w:val="22"/>
        </w:rPr>
        <w:t>Thakkar, A., Chenreddy, S., Wang, J., &amp; Prabhu, S. (2015). Evaluation of ibuprofen loaded solid lipid nanoparticles and its combination regimens for pancreatic cancer chemoprevention. International journal of oncology, 46(4), 1827-1834.</w:t>
      </w:r>
    </w:p>
    <w:p>
      <w:pPr>
        <w:sectPr>
          <w:pgSz w:w="12240" w:h="15840"/>
          <w:pgMar w:top="1416"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58</w:t>
      </w:r>
    </w:p>
    <w:p>
      <w:pPr>
        <w:sectPr>
          <w:type w:val="continuous"/>
          <w:pgSz w:w="12240" w:h="15840"/>
          <w:pgMar w:top="1416" w:right="1440" w:bottom="181" w:left="1440" w:header="0" w:footer="0" w:gutter="0"/>
          <w:cols w:equalWidth="0" w:num="1">
            <w:col w:w="9360"/>
          </w:cols>
        </w:sectPr>
      </w:pPr>
    </w:p>
    <w:p>
      <w:pPr>
        <w:spacing w:after="0"/>
        <w:ind w:left="360"/>
        <w:rPr>
          <w:color w:val="auto"/>
          <w:sz w:val="20"/>
          <w:szCs w:val="20"/>
        </w:rPr>
      </w:pPr>
      <w:bookmarkStart w:id="65" w:name="page72"/>
      <w:bookmarkEnd w:id="65"/>
      <w:r>
        <w:rPr>
          <w:rFonts w:ascii="Times New Roman" w:hAnsi="Times New Roman" w:eastAsia="Times New Roman" w:cs="Times New Roman"/>
          <w:color w:val="auto"/>
          <w:sz w:val="22"/>
          <w:szCs w:val="22"/>
        </w:rPr>
        <w:t>Tso, P., &amp; Fujimoto, K. (1991). The absorption and transport of lipids by the small intestine.</w:t>
      </w:r>
    </w:p>
    <w:p>
      <w:pPr>
        <w:spacing w:after="0" w:line="251"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2"/>
          <w:szCs w:val="22"/>
        </w:rPr>
        <w:t>Brain Research Bulletin, 27(3-4), 477-482.</w:t>
      </w:r>
    </w:p>
    <w:p>
      <w:pPr>
        <w:spacing w:after="0" w:line="200" w:lineRule="exact"/>
        <w:rPr>
          <w:color w:val="auto"/>
          <w:sz w:val="20"/>
          <w:szCs w:val="20"/>
        </w:rPr>
      </w:pPr>
    </w:p>
    <w:p>
      <w:pPr>
        <w:spacing w:after="0" w:line="214" w:lineRule="exact"/>
        <w:rPr>
          <w:color w:val="auto"/>
          <w:sz w:val="20"/>
          <w:szCs w:val="20"/>
        </w:rPr>
      </w:pPr>
    </w:p>
    <w:p>
      <w:pPr>
        <w:spacing w:after="0" w:line="503" w:lineRule="auto"/>
        <w:ind w:left="1080" w:right="440" w:hanging="719"/>
        <w:jc w:val="both"/>
        <w:rPr>
          <w:color w:val="auto"/>
          <w:sz w:val="20"/>
          <w:szCs w:val="20"/>
        </w:rPr>
      </w:pPr>
      <w:r>
        <w:rPr>
          <w:rFonts w:ascii="Times New Roman" w:hAnsi="Times New Roman" w:eastAsia="Times New Roman" w:cs="Times New Roman"/>
          <w:color w:val="auto"/>
          <w:sz w:val="21"/>
          <w:szCs w:val="21"/>
        </w:rPr>
        <w:t>Van Aken, G. A., Bomhof, E., Zoet, F. D., Verbeek, M., &amp; Oosterveld, A. (2011). Differences in in vitro gastric behaviour between homogenized milk and emulsions stabilised by Tween 80, whey protein, or whey protein and caseinate. Food Hydrocolloids, 25(4), 781-788.</w:t>
      </w:r>
    </w:p>
    <w:p>
      <w:pPr>
        <w:spacing w:after="0" w:line="1" w:lineRule="exact"/>
        <w:rPr>
          <w:color w:val="auto"/>
          <w:sz w:val="20"/>
          <w:szCs w:val="20"/>
        </w:rPr>
      </w:pPr>
    </w:p>
    <w:p>
      <w:pPr>
        <w:spacing w:after="0" w:line="511" w:lineRule="auto"/>
        <w:ind w:left="840" w:right="660" w:hanging="479"/>
        <w:rPr>
          <w:color w:val="auto"/>
          <w:sz w:val="20"/>
          <w:szCs w:val="20"/>
        </w:rPr>
      </w:pPr>
      <w:r>
        <w:rPr>
          <w:rFonts w:ascii="Times New Roman" w:hAnsi="Times New Roman" w:eastAsia="Times New Roman" w:cs="Times New Roman"/>
          <w:color w:val="auto"/>
          <w:sz w:val="22"/>
          <w:szCs w:val="22"/>
        </w:rPr>
        <w:t>Van den Berg, H. (1997). Bioavailability of vitamin D. European Journal of Clinical Nutrition, 51(1), S76–S79.</w:t>
      </w:r>
    </w:p>
    <w:p>
      <w:pPr>
        <w:spacing w:after="0" w:line="9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2"/>
          <w:szCs w:val="22"/>
        </w:rPr>
        <w:t>Vidhyalakshmi, R., Bhakyaraj, R., &amp; Subhasree, R. S. (2009). Encapsulation “the future of</w:t>
      </w:r>
    </w:p>
    <w:p>
      <w:pPr>
        <w:spacing w:after="0" w:line="200" w:lineRule="exact"/>
        <w:rPr>
          <w:color w:val="auto"/>
          <w:sz w:val="20"/>
          <w:szCs w:val="20"/>
        </w:rPr>
      </w:pPr>
    </w:p>
    <w:p>
      <w:pPr>
        <w:spacing w:after="0" w:line="214"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2"/>
          <w:szCs w:val="22"/>
        </w:rPr>
        <w:t>probiotics”-a review. Adv Biol Res, 3(3-4), 96-103.</w:t>
      </w:r>
    </w:p>
    <w:p>
      <w:pPr>
        <w:spacing w:after="0" w:line="200" w:lineRule="exact"/>
        <w:rPr>
          <w:color w:val="auto"/>
          <w:sz w:val="20"/>
          <w:szCs w:val="20"/>
        </w:rPr>
      </w:pPr>
    </w:p>
    <w:p>
      <w:pPr>
        <w:spacing w:after="0" w:line="214" w:lineRule="exact"/>
        <w:rPr>
          <w:color w:val="auto"/>
          <w:sz w:val="20"/>
          <w:szCs w:val="20"/>
        </w:rPr>
      </w:pPr>
    </w:p>
    <w:p>
      <w:pPr>
        <w:spacing w:after="0" w:line="479" w:lineRule="auto"/>
        <w:ind w:left="840" w:right="460" w:hanging="479"/>
        <w:rPr>
          <w:color w:val="auto"/>
          <w:sz w:val="20"/>
          <w:szCs w:val="20"/>
        </w:rPr>
      </w:pPr>
      <w:r>
        <w:rPr>
          <w:rFonts w:ascii="Times New Roman" w:hAnsi="Times New Roman" w:eastAsia="Times New Roman" w:cs="Times New Roman"/>
          <w:color w:val="auto"/>
          <w:sz w:val="22"/>
          <w:szCs w:val="22"/>
        </w:rPr>
        <w:t>Walia, N., Dasgupta, N., Ranjan, S., Chen, L., &amp; Ramalingam, C. (2017). Fish oil based Vitamin D nanoencapsulation by ultrasonication and bioaccessibility analysis in simulated gastro-intestinal tract. Ultrasonics sonochemistry, 39, 623-635.</w:t>
      </w:r>
    </w:p>
    <w:p>
      <w:pPr>
        <w:spacing w:after="0" w:line="2" w:lineRule="exact"/>
        <w:rPr>
          <w:color w:val="auto"/>
          <w:sz w:val="20"/>
          <w:szCs w:val="20"/>
        </w:rPr>
      </w:pPr>
    </w:p>
    <w:p>
      <w:pPr>
        <w:spacing w:after="0" w:line="525" w:lineRule="auto"/>
        <w:ind w:left="840" w:right="520" w:hanging="479"/>
        <w:rPr>
          <w:color w:val="auto"/>
          <w:sz w:val="20"/>
          <w:szCs w:val="20"/>
        </w:rPr>
      </w:pPr>
      <w:r>
        <w:rPr>
          <w:rFonts w:ascii="Times New Roman" w:hAnsi="Times New Roman" w:eastAsia="Times New Roman" w:cs="Times New Roman"/>
          <w:color w:val="auto"/>
          <w:sz w:val="21"/>
          <w:szCs w:val="21"/>
        </w:rPr>
        <w:t>Wang, P., Liu, H. J., Mei, X. Y., Nakajima, M., &amp; Yin, L. J. (2012). Preliminary study into the factors modulating  β -carotene micelle formation in dispersions using an in vitro digestion model. Food Hydrocolloids, 26(2), 427–433. http://doi.org/10.1016/j.foodhyd.2010.11.018</w:t>
      </w:r>
    </w:p>
    <w:p>
      <w:pPr>
        <w:spacing w:after="0" w:line="95" w:lineRule="exact"/>
        <w:rPr>
          <w:color w:val="auto"/>
          <w:sz w:val="20"/>
          <w:szCs w:val="20"/>
        </w:rPr>
      </w:pPr>
    </w:p>
    <w:p>
      <w:pPr>
        <w:spacing w:after="0" w:line="495" w:lineRule="auto"/>
        <w:ind w:left="840" w:right="380" w:hanging="479"/>
        <w:rPr>
          <w:color w:val="auto"/>
          <w:sz w:val="20"/>
          <w:szCs w:val="20"/>
        </w:rPr>
      </w:pPr>
      <w:r>
        <w:rPr>
          <w:rFonts w:ascii="Times New Roman" w:hAnsi="Times New Roman" w:eastAsia="Times New Roman" w:cs="Times New Roman"/>
          <w:color w:val="auto"/>
          <w:sz w:val="22"/>
          <w:szCs w:val="22"/>
        </w:rPr>
        <w:t>Wang, T. J., Pencina, M. J., Booth, S. L., Jacques, P. F., Ingelsson, E., Lanier, K., … Vasan, R. S. (2008). Vitamin D deficiency and risk of cardiovascular disease. Circulation, 117(4), 503– 511. http://doi.org/10.1161/CIRCULATIONAHA.107.706127</w:t>
      </w:r>
    </w:p>
    <w:p>
      <w:pPr>
        <w:spacing w:after="0" w:line="113" w:lineRule="exact"/>
        <w:rPr>
          <w:color w:val="auto"/>
          <w:sz w:val="20"/>
          <w:szCs w:val="20"/>
        </w:rPr>
      </w:pPr>
    </w:p>
    <w:p>
      <w:pPr>
        <w:spacing w:after="0" w:line="495" w:lineRule="auto"/>
        <w:ind w:left="840" w:right="560" w:hanging="479"/>
        <w:rPr>
          <w:color w:val="auto"/>
          <w:sz w:val="20"/>
          <w:szCs w:val="20"/>
        </w:rPr>
      </w:pPr>
      <w:r>
        <w:rPr>
          <w:rFonts w:ascii="Times New Roman" w:hAnsi="Times New Roman" w:eastAsia="Times New Roman" w:cs="Times New Roman"/>
          <w:color w:val="auto"/>
          <w:sz w:val="22"/>
          <w:szCs w:val="22"/>
        </w:rPr>
        <w:t>Wang, T., Soyama, S., &amp; Luo, Y. (2016). Development of a novel functional drink from all natural ingredients using nanotechnology, LWT - Food Science and Technology, 73, 458– 466. http://doi.org/10.1016/j.lwt.2016.06.050</w:t>
      </w:r>
    </w:p>
    <w:p>
      <w:pPr>
        <w:spacing w:after="0" w:line="113" w:lineRule="exact"/>
        <w:rPr>
          <w:color w:val="auto"/>
          <w:sz w:val="20"/>
          <w:szCs w:val="20"/>
        </w:rPr>
      </w:pPr>
    </w:p>
    <w:p>
      <w:pPr>
        <w:spacing w:after="0" w:line="513" w:lineRule="auto"/>
        <w:ind w:left="840" w:right="840" w:hanging="479"/>
        <w:rPr>
          <w:color w:val="auto"/>
          <w:sz w:val="20"/>
          <w:szCs w:val="20"/>
        </w:rPr>
      </w:pPr>
      <w:r>
        <w:rPr>
          <w:rFonts w:ascii="Times New Roman" w:hAnsi="Times New Roman" w:eastAsia="Times New Roman" w:cs="Times New Roman"/>
          <w:color w:val="auto"/>
          <w:sz w:val="22"/>
          <w:szCs w:val="22"/>
        </w:rPr>
        <w:t>Wang, X., Wang, Y. W., &amp; Huang, Q. (2009). Enhancing stability and oral bioavailability of polyphenols using nanoemulsions. ACS Symposium Series, 1007, 198–212.</w:t>
      </w:r>
    </w:p>
    <w:p>
      <w:pPr>
        <w:sectPr>
          <w:pgSz w:w="12240" w:h="15840"/>
          <w:pgMar w:top="1419" w:right="1440" w:bottom="181" w:left="1440" w:header="0" w:footer="0" w:gutter="0"/>
          <w:cols w:equalWidth="0" w:num="1">
            <w:col w:w="9360"/>
          </w:cols>
        </w:sectPr>
      </w:pPr>
    </w:p>
    <w:p>
      <w:pPr>
        <w:spacing w:after="0" w:line="200" w:lineRule="exact"/>
        <w:rPr>
          <w:color w:val="auto"/>
          <w:sz w:val="20"/>
          <w:szCs w:val="20"/>
        </w:rPr>
      </w:pPr>
    </w:p>
    <w:p>
      <w:pPr>
        <w:spacing w:after="0" w:line="39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59</w:t>
      </w:r>
    </w:p>
    <w:p>
      <w:pPr>
        <w:sectPr>
          <w:type w:val="continuous"/>
          <w:pgSz w:w="12240" w:h="15840"/>
          <w:pgMar w:top="1419" w:right="1440" w:bottom="181" w:left="1440" w:header="0" w:footer="0" w:gutter="0"/>
          <w:cols w:equalWidth="0" w:num="1">
            <w:col w:w="9360"/>
          </w:cols>
        </w:sectPr>
      </w:pPr>
    </w:p>
    <w:p>
      <w:pPr>
        <w:spacing w:after="0"/>
        <w:ind w:left="840"/>
        <w:rPr>
          <w:color w:val="auto"/>
          <w:sz w:val="20"/>
          <w:szCs w:val="20"/>
        </w:rPr>
      </w:pPr>
      <w:bookmarkStart w:id="66" w:name="page73"/>
      <w:bookmarkEnd w:id="66"/>
      <w:r>
        <w:rPr>
          <w:rFonts w:ascii="Times New Roman" w:hAnsi="Times New Roman" w:eastAsia="Times New Roman" w:cs="Times New Roman"/>
          <w:color w:val="auto"/>
          <w:sz w:val="22"/>
          <w:szCs w:val="22"/>
        </w:rPr>
        <w:t>http://doi.org/10.1021/bk-2009-1007.ch013</w:t>
      </w:r>
    </w:p>
    <w:p>
      <w:pPr>
        <w:spacing w:after="0" w:line="200" w:lineRule="exact"/>
        <w:rPr>
          <w:color w:val="auto"/>
          <w:sz w:val="20"/>
          <w:szCs w:val="20"/>
        </w:rPr>
      </w:pPr>
    </w:p>
    <w:p>
      <w:pPr>
        <w:spacing w:after="0" w:line="214" w:lineRule="exact"/>
        <w:rPr>
          <w:color w:val="auto"/>
          <w:sz w:val="20"/>
          <w:szCs w:val="20"/>
        </w:rPr>
      </w:pPr>
    </w:p>
    <w:p>
      <w:pPr>
        <w:spacing w:after="0" w:line="511" w:lineRule="auto"/>
        <w:ind w:left="840" w:right="660" w:hanging="479"/>
        <w:rPr>
          <w:color w:val="auto"/>
          <w:sz w:val="20"/>
          <w:szCs w:val="20"/>
        </w:rPr>
      </w:pPr>
      <w:r>
        <w:rPr>
          <w:rFonts w:ascii="Times New Roman" w:hAnsi="Times New Roman" w:eastAsia="Times New Roman" w:cs="Times New Roman"/>
          <w:color w:val="auto"/>
          <w:sz w:val="22"/>
          <w:szCs w:val="22"/>
        </w:rPr>
        <w:t>Wang, Y., Zhu, J., &amp; DeLuca, H. F. (2012). Where is the vitamin D receptor? Archives of Biochemistry and Biophysics, 523(1), 123–133. http://doi.org/10.1016/j.abb.2012.04.001</w:t>
      </w:r>
    </w:p>
    <w:p>
      <w:pPr>
        <w:spacing w:after="0" w:line="93" w:lineRule="exact"/>
        <w:rPr>
          <w:color w:val="auto"/>
          <w:sz w:val="20"/>
          <w:szCs w:val="20"/>
        </w:rPr>
      </w:pPr>
    </w:p>
    <w:p>
      <w:pPr>
        <w:spacing w:after="0" w:line="480" w:lineRule="auto"/>
        <w:ind w:left="840" w:right="1340" w:hanging="479"/>
        <w:rPr>
          <w:color w:val="auto"/>
          <w:sz w:val="20"/>
          <w:szCs w:val="20"/>
        </w:rPr>
      </w:pPr>
      <w:r>
        <w:rPr>
          <w:rFonts w:ascii="Times New Roman" w:hAnsi="Times New Roman" w:eastAsia="Times New Roman" w:cs="Times New Roman"/>
          <w:color w:val="auto"/>
          <w:sz w:val="22"/>
          <w:szCs w:val="22"/>
        </w:rPr>
        <w:t xml:space="preserve">Wootton, A. M. (2005). Improving the measurement of 25-hydroxyvitamin D. </w:t>
      </w:r>
      <w:r>
        <w:rPr>
          <w:rFonts w:ascii="Times New Roman" w:hAnsi="Times New Roman" w:eastAsia="Times New Roman" w:cs="Times New Roman"/>
          <w:i/>
          <w:iCs/>
          <w:color w:val="auto"/>
          <w:sz w:val="22"/>
          <w:szCs w:val="22"/>
        </w:rPr>
        <w:t>Clinical Biochemist Reviews</w:t>
      </w:r>
      <w:r>
        <w:rPr>
          <w:rFonts w:ascii="Times New Roman" w:hAnsi="Times New Roman" w:eastAsia="Times New Roman" w:cs="Times New Roman"/>
          <w:color w:val="auto"/>
          <w:sz w:val="22"/>
          <w:szCs w:val="22"/>
        </w:rPr>
        <w:t xml:space="preserve">, </w:t>
      </w:r>
      <w:r>
        <w:rPr>
          <w:rFonts w:ascii="Times New Roman" w:hAnsi="Times New Roman" w:eastAsia="Times New Roman" w:cs="Times New Roman"/>
          <w:i/>
          <w:iCs/>
          <w:color w:val="auto"/>
          <w:sz w:val="22"/>
          <w:szCs w:val="22"/>
        </w:rPr>
        <w:t>26</w:t>
      </w:r>
      <w:r>
        <w:rPr>
          <w:rFonts w:ascii="Times New Roman" w:hAnsi="Times New Roman" w:eastAsia="Times New Roman" w:cs="Times New Roman"/>
          <w:color w:val="auto"/>
          <w:sz w:val="22"/>
          <w:szCs w:val="22"/>
        </w:rPr>
        <w:t>(1), 33.</w:t>
      </w:r>
    </w:p>
    <w:p>
      <w:pPr>
        <w:spacing w:after="0" w:line="2" w:lineRule="exact"/>
        <w:rPr>
          <w:color w:val="auto"/>
          <w:sz w:val="20"/>
          <w:szCs w:val="20"/>
        </w:rPr>
      </w:pPr>
    </w:p>
    <w:p>
      <w:pPr>
        <w:spacing w:after="0" w:line="511" w:lineRule="auto"/>
        <w:ind w:left="840" w:right="540" w:hanging="479"/>
        <w:jc w:val="both"/>
        <w:rPr>
          <w:color w:val="auto"/>
          <w:sz w:val="20"/>
          <w:szCs w:val="20"/>
        </w:rPr>
      </w:pPr>
      <w:r>
        <w:rPr>
          <w:rFonts w:ascii="Times New Roman" w:hAnsi="Times New Roman" w:eastAsia="Times New Roman" w:cs="Times New Roman"/>
          <w:color w:val="auto"/>
          <w:sz w:val="22"/>
          <w:szCs w:val="22"/>
        </w:rPr>
        <w:t>Yang, Y., &amp; McClements, D. J. (2013). Vitamin E bioaccessibility: Influence of carrier oil type on digestion and release of emulsified </w:t>
      </w:r>
      <w:r>
        <w:rPr>
          <w:rFonts w:ascii="Arial" w:hAnsi="Arial" w:eastAsia="Arial" w:cs="Arial"/>
          <w:color w:val="auto"/>
          <w:sz w:val="22"/>
          <w:szCs w:val="22"/>
        </w:rPr>
        <w:t>α</w:t>
      </w:r>
      <w:r>
        <w:rPr>
          <w:rFonts w:ascii="Times New Roman" w:hAnsi="Times New Roman" w:eastAsia="Times New Roman" w:cs="Times New Roman"/>
          <w:color w:val="auto"/>
          <w:sz w:val="22"/>
          <w:szCs w:val="22"/>
        </w:rPr>
        <w:t>-tocopherol acetate. Food Chemistry, 141(1), 473– 481. http://doi.org/10.1016/j.foodchem.2013.03.033</w:t>
      </w:r>
    </w:p>
    <w:p>
      <w:pPr>
        <w:spacing w:after="0" w:line="93" w:lineRule="exact"/>
        <w:rPr>
          <w:color w:val="auto"/>
          <w:sz w:val="20"/>
          <w:szCs w:val="20"/>
        </w:rPr>
      </w:pPr>
    </w:p>
    <w:p>
      <w:pPr>
        <w:spacing w:after="0" w:line="479" w:lineRule="auto"/>
        <w:ind w:left="1080" w:right="1020" w:hanging="719"/>
        <w:rPr>
          <w:color w:val="auto"/>
          <w:sz w:val="20"/>
          <w:szCs w:val="20"/>
        </w:rPr>
      </w:pPr>
      <w:r>
        <w:rPr>
          <w:rFonts w:ascii="Times New Roman" w:hAnsi="Times New Roman" w:eastAsia="Times New Roman" w:cs="Times New Roman"/>
          <w:color w:val="auto"/>
          <w:sz w:val="22"/>
          <w:szCs w:val="22"/>
        </w:rPr>
        <w:t>Yetley, E. A. (2008). Assessing the vitamin D status of the US population–. The American journal of clinical nutrition, 88(2), 558S-564S.</w:t>
      </w:r>
    </w:p>
    <w:p>
      <w:pPr>
        <w:spacing w:after="0" w:line="1" w:lineRule="exact"/>
        <w:rPr>
          <w:color w:val="auto"/>
          <w:sz w:val="20"/>
          <w:szCs w:val="20"/>
        </w:rPr>
      </w:pPr>
    </w:p>
    <w:p>
      <w:pPr>
        <w:spacing w:after="0"/>
        <w:ind w:right="40"/>
        <w:jc w:val="center"/>
        <w:rPr>
          <w:color w:val="auto"/>
          <w:sz w:val="20"/>
          <w:szCs w:val="20"/>
        </w:rPr>
      </w:pPr>
      <w:r>
        <w:rPr>
          <w:rFonts w:ascii="Times New Roman" w:hAnsi="Times New Roman" w:eastAsia="Times New Roman" w:cs="Times New Roman"/>
          <w:color w:val="auto"/>
          <w:sz w:val="22"/>
          <w:szCs w:val="22"/>
        </w:rPr>
        <w:t>Yin, L. J., Chu, B. S., Kobayashi, I., &amp; Nakajima, M. (2009). Performance of selected emulsifiers</w:t>
      </w:r>
    </w:p>
    <w:p>
      <w:pPr>
        <w:spacing w:after="0" w:line="200" w:lineRule="exact"/>
        <w:rPr>
          <w:color w:val="auto"/>
          <w:sz w:val="20"/>
          <w:szCs w:val="20"/>
        </w:rPr>
      </w:pPr>
    </w:p>
    <w:p>
      <w:pPr>
        <w:spacing w:after="0" w:line="212"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2"/>
          <w:szCs w:val="22"/>
        </w:rPr>
        <w:t>and their combinations in the preparation of β-carotene nanodispersions. Food</w:t>
      </w:r>
    </w:p>
    <w:p>
      <w:pPr>
        <w:spacing w:after="0" w:line="200" w:lineRule="exact"/>
        <w:rPr>
          <w:color w:val="auto"/>
          <w:sz w:val="20"/>
          <w:szCs w:val="20"/>
        </w:rPr>
      </w:pPr>
    </w:p>
    <w:p>
      <w:pPr>
        <w:spacing w:after="0" w:line="214" w:lineRule="exact"/>
        <w:rPr>
          <w:color w:val="auto"/>
          <w:sz w:val="20"/>
          <w:szCs w:val="20"/>
        </w:rPr>
      </w:pPr>
    </w:p>
    <w:p>
      <w:pPr>
        <w:spacing w:after="0"/>
        <w:ind w:left="840"/>
        <w:rPr>
          <w:color w:val="auto"/>
          <w:sz w:val="20"/>
          <w:szCs w:val="20"/>
        </w:rPr>
      </w:pPr>
      <w:r>
        <w:rPr>
          <w:rFonts w:ascii="Times New Roman" w:hAnsi="Times New Roman" w:eastAsia="Times New Roman" w:cs="Times New Roman"/>
          <w:color w:val="auto"/>
          <w:sz w:val="22"/>
          <w:szCs w:val="22"/>
        </w:rPr>
        <w:t>Hydrocolloids, 23(6), 1617-1622.</w:t>
      </w:r>
    </w:p>
    <w:p>
      <w:pPr>
        <w:spacing w:after="0" w:line="200" w:lineRule="exact"/>
        <w:rPr>
          <w:color w:val="auto"/>
          <w:sz w:val="20"/>
          <w:szCs w:val="20"/>
        </w:rPr>
      </w:pPr>
    </w:p>
    <w:p>
      <w:pPr>
        <w:spacing w:after="0" w:line="214" w:lineRule="exact"/>
        <w:rPr>
          <w:color w:val="auto"/>
          <w:sz w:val="20"/>
          <w:szCs w:val="20"/>
        </w:rPr>
      </w:pPr>
    </w:p>
    <w:p>
      <w:pPr>
        <w:spacing w:after="0" w:line="500" w:lineRule="auto"/>
        <w:ind w:left="840" w:right="700" w:hanging="479"/>
        <w:rPr>
          <w:color w:val="auto"/>
          <w:sz w:val="20"/>
          <w:szCs w:val="20"/>
        </w:rPr>
      </w:pPr>
      <w:r>
        <w:rPr>
          <w:rFonts w:ascii="Times New Roman" w:hAnsi="Times New Roman" w:eastAsia="Times New Roman" w:cs="Times New Roman"/>
          <w:color w:val="auto"/>
          <w:sz w:val="22"/>
          <w:szCs w:val="22"/>
        </w:rPr>
        <w:t>Zehnder, D., Bland, R., Williams, M. C., Ninch, R. W. M. C., Howie, A. J., Stewart, P. M., &amp; Hewison, M. (2001). Extrarenal Expression of 25-Hydroxyvitamin D 3 -1</w:t>
      </w:r>
      <w:r>
        <w:rPr>
          <w:rFonts w:ascii="Arial" w:hAnsi="Arial" w:eastAsia="Arial" w:cs="Arial"/>
          <w:color w:val="auto"/>
          <w:sz w:val="22"/>
          <w:szCs w:val="22"/>
        </w:rPr>
        <w:t>α</w:t>
      </w:r>
      <w:r>
        <w:rPr>
          <w:rFonts w:ascii="Times New Roman" w:hAnsi="Times New Roman" w:eastAsia="Times New Roman" w:cs="Times New Roman"/>
          <w:color w:val="auto"/>
          <w:sz w:val="22"/>
          <w:szCs w:val="22"/>
        </w:rPr>
        <w:t>Hydroxylase. The Journal of Clinical Endocrinology &amp; Metabolism, 86(2), 888–894. http://doi.org/10.1210/jcem.86.2.7220</w:t>
      </w:r>
    </w:p>
    <w:p>
      <w:pPr>
        <w:spacing w:after="0" w:line="107" w:lineRule="exact"/>
        <w:rPr>
          <w:color w:val="auto"/>
          <w:sz w:val="20"/>
          <w:szCs w:val="20"/>
        </w:rPr>
      </w:pPr>
    </w:p>
    <w:p>
      <w:pPr>
        <w:spacing w:after="0" w:line="513" w:lineRule="auto"/>
        <w:ind w:left="1080" w:right="560" w:hanging="719"/>
        <w:rPr>
          <w:color w:val="auto"/>
          <w:sz w:val="20"/>
          <w:szCs w:val="20"/>
        </w:rPr>
      </w:pPr>
      <w:r>
        <w:rPr>
          <w:rFonts w:ascii="Times New Roman" w:hAnsi="Times New Roman" w:eastAsia="Times New Roman" w:cs="Times New Roman"/>
          <w:color w:val="auto"/>
          <w:sz w:val="22"/>
          <w:szCs w:val="22"/>
        </w:rPr>
        <w:t>Zerwekh, J. E. (2008). Blood biomarkers of vitamin D status–. The American journal of clinical nutrition, 87(4), 1087S-1091S.</w:t>
      </w:r>
    </w:p>
    <w:p>
      <w:pPr>
        <w:sectPr>
          <w:pgSz w:w="12240" w:h="15840"/>
          <w:pgMar w:top="1416" w:right="1440" w:bottom="18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60</w:t>
      </w:r>
    </w:p>
    <w:sectPr>
      <w:type w:val="continuous"/>
      <w:pgSz w:w="12240" w:h="15840"/>
      <w:pgMar w:top="1416" w:right="1440" w:bottom="181"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A1"/>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Arial Unicode MS">
    <w:altName w:val="Arial"/>
    <w:panose1 w:val="020B0604020202020204"/>
    <w:charset w:val="81"/>
    <w:family w:val="swiss"/>
    <w:pitch w:val="default"/>
    <w:sig w:usb0="00000000" w:usb1="00000000" w:usb2="0000003F" w:usb3="00000000" w:csb0="603F01FF" w:csb1="FFFF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141F2"/>
    <w:multiLevelType w:val="singleLevel"/>
    <w:tmpl w:val="2EB141F2"/>
    <w:lvl w:ilvl="0" w:tentative="0">
      <w:start w:val="1"/>
      <w:numFmt w:val="bullet"/>
      <w:lvlText w:val="&amp;"/>
      <w:lvlJc w:val="left"/>
    </w:lvl>
  </w:abstractNum>
  <w:abstractNum w:abstractNumId="1">
    <w:nsid w:val="3D1B58BA"/>
    <w:multiLevelType w:val="singleLevel"/>
    <w:tmpl w:val="3D1B58BA"/>
    <w:lvl w:ilvl="0" w:tentative="0">
      <w:start w:val="6"/>
      <w:numFmt w:val="decimal"/>
      <w:lvlText w:val="%1."/>
      <w:lvlJc w:val="left"/>
    </w:lvl>
  </w:abstractNum>
  <w:abstractNum w:abstractNumId="2">
    <w:nsid w:val="41B71EFB"/>
    <w:multiLevelType w:val="singleLevel"/>
    <w:tmpl w:val="41B71EFB"/>
    <w:lvl w:ilvl="0" w:tentative="0">
      <w:start w:val="1"/>
      <w:numFmt w:val="bullet"/>
      <w:lvlText w:val="&amp;"/>
      <w:lvlJc w:val="left"/>
    </w:lvl>
  </w:abstractNum>
  <w:abstractNum w:abstractNumId="3">
    <w:nsid w:val="46E87CCD"/>
    <w:multiLevelType w:val="singleLevel"/>
    <w:tmpl w:val="46E87CCD"/>
    <w:lvl w:ilvl="0" w:tentative="0">
      <w:start w:val="1"/>
      <w:numFmt w:val="decimal"/>
      <w:lvlText w:val="%1."/>
      <w:lvlJc w:val="left"/>
    </w:lvl>
  </w:abstractNum>
  <w:abstractNum w:abstractNumId="4">
    <w:nsid w:val="507ED7AB"/>
    <w:multiLevelType w:val="singleLevel"/>
    <w:tmpl w:val="507ED7AB"/>
    <w:lvl w:ilvl="0" w:tentative="0">
      <w:start w:val="1"/>
      <w:numFmt w:val="upperLetter"/>
      <w:lvlText w:val="%1)"/>
      <w:lvlJc w:val="left"/>
    </w:lvl>
  </w:abstractNum>
  <w:abstractNum w:abstractNumId="5">
    <w:nsid w:val="515F007C"/>
    <w:multiLevelType w:val="singleLevel"/>
    <w:tmpl w:val="515F007C"/>
    <w:lvl w:ilvl="0" w:tentative="0">
      <w:start w:val="1"/>
      <w:numFmt w:val="bullet"/>
      <w:lvlText w:val="•"/>
      <w:lvlJc w:val="left"/>
    </w:lvl>
  </w:abstractNum>
  <w:abstractNum w:abstractNumId="6">
    <w:nsid w:val="5BD062C2"/>
    <w:multiLevelType w:val="singleLevel"/>
    <w:tmpl w:val="5BD062C2"/>
    <w:lvl w:ilvl="0" w:tentative="0">
      <w:start w:val="1"/>
      <w:numFmt w:val="bullet"/>
      <w:lvlText w:val="…"/>
      <w:lvlJc w:val="left"/>
    </w:lvl>
  </w:abstractNum>
  <w:abstractNum w:abstractNumId="7">
    <w:nsid w:val="7545E146"/>
    <w:multiLevelType w:val="singleLevel"/>
    <w:tmpl w:val="7545E146"/>
    <w:lvl w:ilvl="0" w:tentative="0">
      <w:start w:val="6"/>
      <w:numFmt w:val="upperLetter"/>
      <w:lvlText w:val="(%1)"/>
      <w:lvlJc w:val="left"/>
    </w:lvl>
  </w:abstractNum>
  <w:abstractNum w:abstractNumId="8">
    <w:nsid w:val="79E2A9E3"/>
    <w:multiLevelType w:val="singleLevel"/>
    <w:tmpl w:val="79E2A9E3"/>
    <w:lvl w:ilvl="0" w:tentative="0">
      <w:start w:val="1"/>
      <w:numFmt w:val="bullet"/>
      <w:lvlText w:val="&amp;"/>
      <w:lvlJc w:val="left"/>
    </w:lvl>
  </w:abstractNum>
  <w:num w:numId="1">
    <w:abstractNumId w:val="3"/>
  </w:num>
  <w:num w:numId="2">
    <w:abstractNumId w:val="1"/>
  </w:num>
  <w:num w:numId="3">
    <w:abstractNumId w:val="4"/>
  </w:num>
  <w:num w:numId="4">
    <w:abstractNumId w:val="0"/>
  </w:num>
  <w:num w:numId="5">
    <w:abstractNumId w:val="2"/>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C744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2024-03-07T17:37:00Z</dcterms:created>
  <dc:creator>Windows User</dc:creator>
  <cp:lastModifiedBy>user</cp:lastModifiedBy>
  <dcterms:modified xsi:type="dcterms:W3CDTF">2024-03-07T17:49:13Z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5CA897DD749543A79B2E3C5FC14659D7</vt:lpwstr>
  </property>
</Properties>
</file>