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THE EFFECT OF ANTHRAQUINONE DERIVATIVES ON SERUM GAMMA-GLUTAMYL TRANSFERASE ACTIVITY IN HIGH-FAT DIET-INDUCED OBESITY IN WISTAR RATS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pStyle w:val="2"/>
        <w:bidi w:val="0"/>
        <w:spacing w:line="360" w:lineRule="auto"/>
        <w:jc w:val="center"/>
        <w:rPr>
          <w:rFonts w:hint="default" w:ascii="Times New Roman" w:hAnsi="Times New Roman" w:cs="Times New Roman"/>
          <w:sz w:val="24"/>
          <w:szCs w:val="24"/>
          <w:lang w:val="en-US"/>
        </w:rPr>
      </w:pPr>
      <w:bookmarkStart w:id="0" w:name="_Toc676"/>
      <w:r>
        <w:rPr>
          <w:rFonts w:hint="default" w:ascii="Times New Roman" w:hAnsi="Times New Roman" w:cs="Times New Roman"/>
          <w:sz w:val="24"/>
          <w:szCs w:val="24"/>
          <w:lang w:val="en-US"/>
        </w:rPr>
        <w:t>ABSTRACT</w:t>
      </w:r>
      <w:bookmarkEnd w:id="0"/>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investigates the effects of anthraquinone derivatives on serum gamma-glutamyl transferase (GGT) activity in Wistar rats with high-fat diet-induced obesity. Obesity, a major risk factor for metabolic disorders, is commonly linked to elevated serum enzyme activities, particularly GGT, which is associated with oxidative stress and hepatic dysfunction. Anthraquinone derivatives, such as emodin and rhein, are known for their pharmacological properties, including anti-inflammatory and lipid-regulating effects, and are proposed as potential modulators of metabolic processes affected by obesity. The study employed 80 male Wistar rats divided into control and experimental groups, with obesity induced by a high-fat diet over an eight-week period. Subsequently, anthraquinone derivatives were administered to evaluate their impact on serum GGT levels, body weight, and other biochemical markers. Serum GGT activity was measured using spectrophotometric analysis, and body weight changes were tracked over time to assess the compounds' metabolic effects. The findings reveal that anthraquinone derivatives significantly reduced serum GGT activity and improved lipid profiles, suggesting their potential role in managing oxidative stress and hepatic damage associated with obesity. Furthermore, weight reduction observed in treated groups aligns with the anti-adipogenic effects documented in prior studies on anthraquinones. This research contributes to understanding the biochemical mechanisms underlying the anti-obesity potential of anthraquinone derivatives. These findings provide a foundation for future clinical trials to further assess the applicability of anthraquinone derivatives as adjunctive therapies in obesity management. However, the study highlights the need for further exploration into the long-term safety and efficacy of these compounds in both animal and human models.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sdt>
      <w:sdtPr>
        <w:rPr>
          <w:rFonts w:hint="default" w:ascii="Times New Roman" w:hAnsi="Times New Roman" w:eastAsia="SimSun" w:cs="Times New Roman"/>
          <w:b/>
          <w:bCs/>
          <w:sz w:val="28"/>
          <w:szCs w:val="28"/>
          <w:lang w:val="en-US" w:eastAsia="zh-CN" w:bidi="ar-SA"/>
        </w:rPr>
        <w:id w:val="147467214"/>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48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eastAsia="zh-CN" w:bidi="ar-SA"/>
            </w:rPr>
            <w:t>Table of Content</w:t>
          </w:r>
        </w:p>
        <w:p>
          <w:pPr>
            <w:pStyle w:val="12"/>
            <w:tabs>
              <w:tab w:val="right" w:leader="dot" w:pos="8306"/>
            </w:tabs>
            <w:spacing w:line="480" w:lineRule="auto"/>
            <w:rPr>
              <w:b/>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TOC \o "1-2" \h \u </w:instrText>
          </w:r>
          <w:r>
            <w:rPr>
              <w:rFonts w:hint="default" w:ascii="Times New Roman" w:hAnsi="Times New Roman" w:cs="Times New Roman"/>
              <w:sz w:val="24"/>
              <w:szCs w:val="24"/>
              <w:lang w:val="en-US"/>
            </w:rPr>
            <w:fldChar w:fldCharType="separate"/>
          </w: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_Toc676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ABSTRACT</w:t>
          </w:r>
          <w:r>
            <w:rPr>
              <w:b/>
            </w:rPr>
            <w:tab/>
          </w:r>
          <w:r>
            <w:rPr>
              <w:b/>
            </w:rPr>
            <w:fldChar w:fldCharType="begin"/>
          </w:r>
          <w:r>
            <w:rPr>
              <w:b/>
            </w:rPr>
            <w:instrText xml:space="preserve"> PAGEREF _Toc676 \h </w:instrText>
          </w:r>
          <w:r>
            <w:rPr>
              <w:b/>
            </w:rPr>
            <w:fldChar w:fldCharType="separate"/>
          </w:r>
          <w:r>
            <w:rPr>
              <w:b/>
            </w:rPr>
            <w:t>2</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_Toc20687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_Toc20687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_Toc2571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_Toc2571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_Toc16073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1.1 Background of the Study</w:t>
          </w:r>
          <w:r>
            <w:tab/>
          </w:r>
          <w:r>
            <w:fldChar w:fldCharType="begin"/>
          </w:r>
          <w:r>
            <w:instrText xml:space="preserve"> PAGEREF _Toc16073 \h </w:instrText>
          </w:r>
          <w:r>
            <w:fldChar w:fldCharType="separate"/>
          </w:r>
          <w:r>
            <w:t>3</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_Toc23592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1.2 Statement of the Problem</w:t>
          </w:r>
          <w:r>
            <w:tab/>
          </w:r>
          <w:r>
            <w:fldChar w:fldCharType="begin"/>
          </w:r>
          <w:r>
            <w:instrText xml:space="preserve"> PAGEREF _Toc23592 \h </w:instrText>
          </w:r>
          <w:r>
            <w:fldChar w:fldCharType="separate"/>
          </w:r>
          <w:r>
            <w:t>5</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_Toc31347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1.3 Objectives of the Study</w:t>
          </w:r>
          <w:r>
            <w:tab/>
          </w:r>
          <w:r>
            <w:fldChar w:fldCharType="begin"/>
          </w:r>
          <w:r>
            <w:instrText xml:space="preserve"> PAGEREF _Toc31347 \h </w:instrText>
          </w:r>
          <w:r>
            <w:fldChar w:fldCharType="separate"/>
          </w:r>
          <w:r>
            <w:t>5</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_Toc206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1.4 Research Questions</w:t>
          </w:r>
          <w:r>
            <w:tab/>
          </w:r>
          <w:r>
            <w:fldChar w:fldCharType="begin"/>
          </w:r>
          <w:r>
            <w:instrText xml:space="preserve"> PAGEREF _Toc206 \h </w:instrText>
          </w:r>
          <w:r>
            <w:fldChar w:fldCharType="separate"/>
          </w:r>
          <w:r>
            <w:t>6</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_Toc15543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1.5 Research Hypotheses</w:t>
          </w:r>
          <w:r>
            <w:tab/>
          </w:r>
          <w:r>
            <w:fldChar w:fldCharType="begin"/>
          </w:r>
          <w:r>
            <w:instrText xml:space="preserve"> PAGEREF _Toc15543 \h </w:instrText>
          </w:r>
          <w:r>
            <w:fldChar w:fldCharType="separate"/>
          </w:r>
          <w:r>
            <w:t>6</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_Toc1023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1.6 Significance of the Study</w:t>
          </w:r>
          <w:r>
            <w:tab/>
          </w:r>
          <w:r>
            <w:fldChar w:fldCharType="begin"/>
          </w:r>
          <w:r>
            <w:instrText xml:space="preserve"> PAGEREF _Toc1023 \h </w:instrText>
          </w:r>
          <w:r>
            <w:fldChar w:fldCharType="separate"/>
          </w:r>
          <w:r>
            <w:t>7</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_Toc17739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1.7 Scope and Limitations of the Study</w:t>
          </w:r>
          <w:r>
            <w:tab/>
          </w:r>
          <w:r>
            <w:fldChar w:fldCharType="begin"/>
          </w:r>
          <w:r>
            <w:instrText xml:space="preserve"> PAGEREF _Toc17739 \h </w:instrText>
          </w:r>
          <w:r>
            <w:fldChar w:fldCharType="separate"/>
          </w:r>
          <w:r>
            <w:t>7</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_Toc25455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1.8 Definition of Key Terms</w:t>
          </w:r>
          <w:r>
            <w:tab/>
          </w:r>
          <w:r>
            <w:fldChar w:fldCharType="begin"/>
          </w:r>
          <w:r>
            <w:instrText xml:space="preserve"> PAGEREF _Toc25455 \h </w:instrText>
          </w:r>
          <w:r>
            <w:fldChar w:fldCharType="separate"/>
          </w:r>
          <w:r>
            <w:t>7</w:t>
          </w:r>
          <w:r>
            <w:fldChar w:fldCharType="end"/>
          </w:r>
          <w:r>
            <w:rPr>
              <w:rFonts w:hint="default" w:ascii="Times New Roman" w:hAnsi="Times New Roman" w:cs="Times New Roman"/>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_Toc11423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TWO</w:t>
          </w:r>
          <w:r>
            <w:rPr>
              <w:b/>
            </w:rPr>
            <w:tab/>
          </w:r>
          <w:r>
            <w:rPr>
              <w:b/>
            </w:rPr>
            <w:fldChar w:fldCharType="begin"/>
          </w:r>
          <w:r>
            <w:rPr>
              <w:b/>
            </w:rPr>
            <w:instrText xml:space="preserve"> PAGEREF _Toc11423 \h </w:instrText>
          </w:r>
          <w:r>
            <w:rPr>
              <w:b/>
            </w:rPr>
            <w:fldChar w:fldCharType="separate"/>
          </w:r>
          <w:r>
            <w:rPr>
              <w:b/>
            </w:rPr>
            <w:t>8</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_Toc18730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LITERATURE REVIEW</w:t>
          </w:r>
          <w:r>
            <w:rPr>
              <w:b/>
            </w:rPr>
            <w:tab/>
          </w:r>
          <w:r>
            <w:rPr>
              <w:b/>
            </w:rPr>
            <w:fldChar w:fldCharType="begin"/>
          </w:r>
          <w:r>
            <w:rPr>
              <w:b/>
            </w:rPr>
            <w:instrText xml:space="preserve"> PAGEREF _Toc18730 \h </w:instrText>
          </w:r>
          <w:r>
            <w:rPr>
              <w:b/>
            </w:rPr>
            <w:fldChar w:fldCharType="separate"/>
          </w:r>
          <w:r>
            <w:rPr>
              <w:b/>
            </w:rPr>
            <w:t>8</w:t>
          </w:r>
          <w:r>
            <w:rPr>
              <w:b/>
            </w:rPr>
            <w:fldChar w:fldCharType="end"/>
          </w:r>
          <w:r>
            <w:rPr>
              <w:rFonts w:hint="default" w:ascii="Times New Roman" w:hAnsi="Times New Roman" w:cs="Times New Roman"/>
              <w:b/>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_Toc8805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2.1 Conceptual Framework</w:t>
          </w:r>
          <w:r>
            <w:tab/>
          </w:r>
          <w:r>
            <w:fldChar w:fldCharType="begin"/>
          </w:r>
          <w:r>
            <w:instrText xml:space="preserve"> PAGEREF _Toc8805 \h </w:instrText>
          </w:r>
          <w:r>
            <w:fldChar w:fldCharType="separate"/>
          </w:r>
          <w:r>
            <w:t>8</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_Toc1168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2.3 Gamma-Glutamyl Transferase (GGT) and Its Role in Metabolism</w:t>
          </w:r>
          <w:r>
            <w:tab/>
          </w:r>
          <w:r>
            <w:fldChar w:fldCharType="begin"/>
          </w:r>
          <w:r>
            <w:instrText xml:space="preserve"> PAGEREF _Toc1168 \h </w:instrText>
          </w:r>
          <w:r>
            <w:fldChar w:fldCharType="separate"/>
          </w:r>
          <w:r>
            <w:t>12</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_Toc25897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2.4 Effect of Obesity on Serum Enzyme Activities</w:t>
          </w:r>
          <w:r>
            <w:tab/>
          </w:r>
          <w:r>
            <w:fldChar w:fldCharType="begin"/>
          </w:r>
          <w:r>
            <w:instrText xml:space="preserve"> PAGEREF _Toc25897 \h </w:instrText>
          </w:r>
          <w:r>
            <w:fldChar w:fldCharType="separate"/>
          </w:r>
          <w:r>
            <w:t>13</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_Toc31742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2.5 Theoretical Framework</w:t>
          </w:r>
          <w:r>
            <w:tab/>
          </w:r>
          <w:r>
            <w:fldChar w:fldCharType="begin"/>
          </w:r>
          <w:r>
            <w:instrText xml:space="preserve"> PAGEREF _Toc31742 \h </w:instrText>
          </w:r>
          <w:r>
            <w:fldChar w:fldCharType="separate"/>
          </w:r>
          <w:r>
            <w:t>14</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_Toc25553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2.6 Empirical Studies on Anthraquinone Derivatives and Obesity</w:t>
          </w:r>
          <w:r>
            <w:tab/>
          </w:r>
          <w:r>
            <w:fldChar w:fldCharType="begin"/>
          </w:r>
          <w:r>
            <w:instrText xml:space="preserve"> PAGEREF _Toc25553 \h </w:instrText>
          </w:r>
          <w:r>
            <w:fldChar w:fldCharType="separate"/>
          </w:r>
          <w:r>
            <w:t>18</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_Toc25812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2.7 Summary and Gaps in Literature</w:t>
          </w:r>
          <w:r>
            <w:tab/>
          </w:r>
          <w:r>
            <w:fldChar w:fldCharType="begin"/>
          </w:r>
          <w:r>
            <w:instrText xml:space="preserve"> PAGEREF _Toc25812 \h </w:instrText>
          </w:r>
          <w:r>
            <w:fldChar w:fldCharType="separate"/>
          </w:r>
          <w:r>
            <w:t>21</w:t>
          </w:r>
          <w:r>
            <w:fldChar w:fldCharType="end"/>
          </w:r>
          <w:r>
            <w:rPr>
              <w:rFonts w:hint="default" w:ascii="Times New Roman" w:hAnsi="Times New Roman" w:cs="Times New Roman"/>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_Toc16385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_Toc16385 \h </w:instrText>
          </w:r>
          <w:r>
            <w:rPr>
              <w:b/>
            </w:rPr>
            <w:fldChar w:fldCharType="separate"/>
          </w:r>
          <w:r>
            <w:rPr>
              <w:b/>
            </w:rPr>
            <w:t>22</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_Toc15561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METHODOLOGY</w:t>
          </w:r>
          <w:r>
            <w:rPr>
              <w:b/>
            </w:rPr>
            <w:tab/>
          </w:r>
          <w:r>
            <w:rPr>
              <w:b/>
            </w:rPr>
            <w:fldChar w:fldCharType="begin"/>
          </w:r>
          <w:r>
            <w:rPr>
              <w:b/>
            </w:rPr>
            <w:instrText xml:space="preserve"> PAGEREF _Toc15561 \h </w:instrText>
          </w:r>
          <w:r>
            <w:rPr>
              <w:b/>
            </w:rPr>
            <w:fldChar w:fldCharType="separate"/>
          </w:r>
          <w:r>
            <w:rPr>
              <w:b/>
            </w:rPr>
            <w:t>22</w:t>
          </w:r>
          <w:r>
            <w:rPr>
              <w:b/>
            </w:rPr>
            <w:fldChar w:fldCharType="end"/>
          </w:r>
          <w:r>
            <w:rPr>
              <w:rFonts w:hint="default" w:ascii="Times New Roman" w:hAnsi="Times New Roman" w:cs="Times New Roman"/>
              <w:b/>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_Toc24756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3.1 Research Design</w:t>
          </w:r>
          <w:r>
            <w:tab/>
          </w:r>
          <w:r>
            <w:fldChar w:fldCharType="begin"/>
          </w:r>
          <w:r>
            <w:instrText xml:space="preserve"> PAGEREF _Toc24756 \h </w:instrText>
          </w:r>
          <w:r>
            <w:fldChar w:fldCharType="separate"/>
          </w:r>
          <w:r>
            <w:t>22</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_Toc5791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3.2 Animal Model Selection and Justification</w:t>
          </w:r>
          <w:r>
            <w:tab/>
          </w:r>
          <w:r>
            <w:fldChar w:fldCharType="begin"/>
          </w:r>
          <w:r>
            <w:instrText xml:space="preserve"> PAGEREF _Toc5791 \h </w:instrText>
          </w:r>
          <w:r>
            <w:fldChar w:fldCharType="separate"/>
          </w:r>
          <w:r>
            <w:t>23</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_Toc32393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3.3 Experimental Groups and Treatments</w:t>
          </w:r>
          <w:r>
            <w:tab/>
          </w:r>
          <w:r>
            <w:fldChar w:fldCharType="begin"/>
          </w:r>
          <w:r>
            <w:instrText xml:space="preserve"> PAGEREF _Toc32393 \h </w:instrText>
          </w:r>
          <w:r>
            <w:fldChar w:fldCharType="separate"/>
          </w:r>
          <w:r>
            <w:t>23</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_Toc7608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3.4 Data Collection</w:t>
          </w:r>
          <w:r>
            <w:tab/>
          </w:r>
          <w:r>
            <w:fldChar w:fldCharType="begin"/>
          </w:r>
          <w:r>
            <w:instrText xml:space="preserve"> PAGEREF _Toc7608 \h </w:instrText>
          </w:r>
          <w:r>
            <w:fldChar w:fldCharType="separate"/>
          </w:r>
          <w:r>
            <w:t>24</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_Toc8088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3.5 Data Analysis</w:t>
          </w:r>
          <w:r>
            <w:tab/>
          </w:r>
          <w:r>
            <w:fldChar w:fldCharType="begin"/>
          </w:r>
          <w:r>
            <w:instrText xml:space="preserve"> PAGEREF _Toc8088 \h </w:instrText>
          </w:r>
          <w:r>
            <w:fldChar w:fldCharType="separate"/>
          </w:r>
          <w:r>
            <w:t>25</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_Toc3870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3.6 Ethical Considerations</w:t>
          </w:r>
          <w:r>
            <w:tab/>
          </w:r>
          <w:r>
            <w:fldChar w:fldCharType="begin"/>
          </w:r>
          <w:r>
            <w:instrText xml:space="preserve"> PAGEREF _Toc3870 \h </w:instrText>
          </w:r>
          <w:r>
            <w:fldChar w:fldCharType="separate"/>
          </w:r>
          <w:r>
            <w:t>26</w:t>
          </w:r>
          <w:r>
            <w:fldChar w:fldCharType="end"/>
          </w:r>
          <w:r>
            <w:rPr>
              <w:rFonts w:hint="default" w:ascii="Times New Roman" w:hAnsi="Times New Roman" w:cs="Times New Roman"/>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_Toc26315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_Toc26315 \h </w:instrText>
          </w:r>
          <w:r>
            <w:rPr>
              <w:b/>
            </w:rPr>
            <w:fldChar w:fldCharType="separate"/>
          </w:r>
          <w:r>
            <w:rPr>
              <w:b/>
            </w:rPr>
            <w:t>26</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_Toc7160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RESULTS</w:t>
          </w:r>
          <w:r>
            <w:rPr>
              <w:b/>
            </w:rPr>
            <w:tab/>
          </w:r>
          <w:r>
            <w:rPr>
              <w:b/>
            </w:rPr>
            <w:fldChar w:fldCharType="begin"/>
          </w:r>
          <w:r>
            <w:rPr>
              <w:b/>
            </w:rPr>
            <w:instrText xml:space="preserve"> PAGEREF _Toc7160 \h </w:instrText>
          </w:r>
          <w:r>
            <w:rPr>
              <w:b/>
            </w:rPr>
            <w:fldChar w:fldCharType="separate"/>
          </w:r>
          <w:r>
            <w:rPr>
              <w:b/>
            </w:rPr>
            <w:t>26</w:t>
          </w:r>
          <w:r>
            <w:rPr>
              <w:b/>
            </w:rPr>
            <w:fldChar w:fldCharType="end"/>
          </w:r>
          <w:r>
            <w:rPr>
              <w:rFonts w:hint="default" w:ascii="Times New Roman" w:hAnsi="Times New Roman" w:cs="Times New Roman"/>
              <w:b/>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_Toc31494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4.1 Effects of Anthraquinone Derivatives on Serum GGT Levels</w:t>
          </w:r>
          <w:r>
            <w:tab/>
          </w:r>
          <w:r>
            <w:fldChar w:fldCharType="begin"/>
          </w:r>
          <w:r>
            <w:instrText xml:space="preserve"> PAGEREF _Toc31494 \h </w:instrText>
          </w:r>
          <w:r>
            <w:fldChar w:fldCharType="separate"/>
          </w:r>
          <w:r>
            <w:t>26</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_Toc2184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4.2 Comparative Analysis of GGT Activity in Control and Experimental Groups</w:t>
          </w:r>
          <w:r>
            <w:tab/>
          </w:r>
          <w:r>
            <w:fldChar w:fldCharType="begin"/>
          </w:r>
          <w:r>
            <w:instrText xml:space="preserve"> PAGEREF _Toc2184 \h </w:instrText>
          </w:r>
          <w:r>
            <w:fldChar w:fldCharType="separate"/>
          </w:r>
          <w:r>
            <w:t>28</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_Toc11441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4.3 Impact of Anthraquinone Derivatives on Body Weight and Other Biochemical Markers</w:t>
          </w:r>
          <w:r>
            <w:tab/>
          </w:r>
          <w:r>
            <w:fldChar w:fldCharType="begin"/>
          </w:r>
          <w:r>
            <w:instrText xml:space="preserve"> PAGEREF _Toc11441 \h </w:instrText>
          </w:r>
          <w:r>
            <w:fldChar w:fldCharType="separate"/>
          </w:r>
          <w:r>
            <w:t>30</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_Toc13340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4.4 Summary of Findings</w:t>
          </w:r>
          <w:r>
            <w:tab/>
          </w:r>
          <w:r>
            <w:fldChar w:fldCharType="begin"/>
          </w:r>
          <w:r>
            <w:instrText xml:space="preserve"> PAGEREF _Toc13340 \h </w:instrText>
          </w:r>
          <w:r>
            <w:fldChar w:fldCharType="separate"/>
          </w:r>
          <w:r>
            <w:t>31</w:t>
          </w:r>
          <w:r>
            <w:fldChar w:fldCharType="end"/>
          </w:r>
          <w:r>
            <w:rPr>
              <w:rFonts w:hint="default" w:ascii="Times New Roman" w:hAnsi="Times New Roman" w:cs="Times New Roman"/>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_Toc29783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_Toc29783 \h </w:instrText>
          </w:r>
          <w:r>
            <w:rPr>
              <w:b/>
            </w:rPr>
            <w:fldChar w:fldCharType="separate"/>
          </w:r>
          <w:r>
            <w:rPr>
              <w:b/>
            </w:rPr>
            <w:t>32</w:t>
          </w:r>
          <w:r>
            <w:rPr>
              <w:b/>
            </w:rPr>
            <w:fldChar w:fldCharType="end"/>
          </w:r>
          <w:r>
            <w:rPr>
              <w:rFonts w:hint="default" w:ascii="Times New Roman" w:hAnsi="Times New Roman" w:cs="Times New Roman"/>
              <w:b/>
              <w:szCs w:val="24"/>
              <w:lang w:val="en-US"/>
            </w:rPr>
            <w:fldChar w:fldCharType="end"/>
          </w:r>
        </w:p>
        <w:p>
          <w:pPr>
            <w:pStyle w:val="12"/>
            <w:tabs>
              <w:tab w:val="right" w:leader="dot" w:pos="8306"/>
            </w:tabs>
            <w:spacing w:line="48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_Toc22947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DISCUSSION, CONCLUSION, AND RECOMMENDATIONS</w:t>
          </w:r>
          <w:r>
            <w:rPr>
              <w:b/>
            </w:rPr>
            <w:tab/>
          </w:r>
          <w:r>
            <w:rPr>
              <w:b/>
            </w:rPr>
            <w:fldChar w:fldCharType="begin"/>
          </w:r>
          <w:r>
            <w:rPr>
              <w:b/>
            </w:rPr>
            <w:instrText xml:space="preserve"> PAGEREF _Toc22947 \h </w:instrText>
          </w:r>
          <w:r>
            <w:rPr>
              <w:b/>
            </w:rPr>
            <w:fldChar w:fldCharType="separate"/>
          </w:r>
          <w:r>
            <w:rPr>
              <w:b/>
            </w:rPr>
            <w:t>32</w:t>
          </w:r>
          <w:r>
            <w:rPr>
              <w:b/>
            </w:rPr>
            <w:fldChar w:fldCharType="end"/>
          </w:r>
          <w:r>
            <w:rPr>
              <w:rFonts w:hint="default" w:ascii="Times New Roman" w:hAnsi="Times New Roman" w:cs="Times New Roman"/>
              <w:b/>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_Toc31608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5.1 Discussion of Findings</w:t>
          </w:r>
          <w:r>
            <w:tab/>
          </w:r>
          <w:r>
            <w:fldChar w:fldCharType="begin"/>
          </w:r>
          <w:r>
            <w:instrText xml:space="preserve"> PAGEREF _Toc31608 \h </w:instrText>
          </w:r>
          <w:r>
            <w:fldChar w:fldCharType="separate"/>
          </w:r>
          <w:r>
            <w:t>32</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_Toc5567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5.2 Conclusion</w:t>
          </w:r>
          <w:r>
            <w:tab/>
          </w:r>
          <w:r>
            <w:fldChar w:fldCharType="begin"/>
          </w:r>
          <w:r>
            <w:instrText xml:space="preserve"> PAGEREF _Toc5567 \h </w:instrText>
          </w:r>
          <w:r>
            <w:fldChar w:fldCharType="separate"/>
          </w:r>
          <w:r>
            <w:t>34</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_Toc10439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5.3 Recommendations for Further Research</w:t>
          </w:r>
          <w:r>
            <w:tab/>
          </w:r>
          <w:r>
            <w:fldChar w:fldCharType="begin"/>
          </w:r>
          <w:r>
            <w:instrText xml:space="preserve"> PAGEREF _Toc10439 \h </w:instrText>
          </w:r>
          <w:r>
            <w:fldChar w:fldCharType="separate"/>
          </w:r>
          <w:r>
            <w:t>35</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_Toc26249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5.4 Practical Applications of Findings</w:t>
          </w:r>
          <w:r>
            <w:tab/>
          </w:r>
          <w:r>
            <w:fldChar w:fldCharType="begin"/>
          </w:r>
          <w:r>
            <w:instrText xml:space="preserve"> PAGEREF _Toc26249 \h </w:instrText>
          </w:r>
          <w:r>
            <w:fldChar w:fldCharType="separate"/>
          </w:r>
          <w:r>
            <w:t>35</w:t>
          </w:r>
          <w:r>
            <w:fldChar w:fldCharType="end"/>
          </w:r>
          <w:r>
            <w:rPr>
              <w:rFonts w:hint="default" w:ascii="Times New Roman" w:hAnsi="Times New Roman" w:cs="Times New Roman"/>
              <w:szCs w:val="24"/>
              <w:lang w:val="en-US"/>
            </w:rPr>
            <w:fldChar w:fldCharType="end"/>
          </w:r>
        </w:p>
        <w:p>
          <w:pPr>
            <w:pStyle w:val="13"/>
            <w:tabs>
              <w:tab w:val="right" w:leader="dot" w:pos="8306"/>
            </w:tabs>
            <w:spacing w:line="48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_Toc13154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5.5 Limitations of the Study</w:t>
          </w:r>
          <w:r>
            <w:tab/>
          </w:r>
          <w:r>
            <w:fldChar w:fldCharType="begin"/>
          </w:r>
          <w:r>
            <w:instrText xml:space="preserve"> PAGEREF _Toc13154 \h </w:instrText>
          </w:r>
          <w:r>
            <w:fldChar w:fldCharType="separate"/>
          </w:r>
          <w:r>
            <w:t>36</w:t>
          </w:r>
          <w:r>
            <w:fldChar w:fldCharType="end"/>
          </w:r>
          <w:r>
            <w:rPr>
              <w:rFonts w:hint="default" w:ascii="Times New Roman" w:hAnsi="Times New Roman" w:cs="Times New Roman"/>
              <w:szCs w:val="24"/>
              <w:lang w:val="en-US"/>
            </w:rPr>
            <w:fldChar w:fldCharType="end"/>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Cs w:val="24"/>
              <w:lang w:val="en-US"/>
            </w:rPr>
            <w:fldChar w:fldCharType="end"/>
          </w:r>
        </w:p>
      </w:sdtContent>
    </w:sdt>
    <w:p>
      <w:pPr>
        <w:pStyle w:val="2"/>
        <w:bidi w:val="0"/>
        <w:spacing w:line="360" w:lineRule="auto"/>
        <w:jc w:val="center"/>
        <w:rPr>
          <w:rFonts w:hint="default" w:ascii="Times New Roman" w:hAnsi="Times New Roman" w:cs="Times New Roman"/>
          <w:b w:val="0"/>
          <w:bCs w:val="0"/>
          <w:sz w:val="24"/>
          <w:szCs w:val="24"/>
        </w:rPr>
      </w:pPr>
      <w:bookmarkStart w:id="1" w:name="_Toc20687"/>
    </w:p>
    <w:p>
      <w:pPr>
        <w:pStyle w:val="2"/>
        <w:bidi w:val="0"/>
        <w:spacing w:line="360" w:lineRule="auto"/>
        <w:jc w:val="center"/>
        <w:rPr>
          <w:rFonts w:hint="default" w:ascii="Times New Roman" w:hAnsi="Times New Roman" w:cs="Times New Roman"/>
          <w:b w:val="0"/>
          <w:bCs w:val="0"/>
          <w:sz w:val="24"/>
          <w:szCs w:val="24"/>
        </w:rPr>
      </w:pPr>
    </w:p>
    <w:p>
      <w:pPr>
        <w:pStyle w:val="2"/>
        <w:bidi w:val="0"/>
        <w:spacing w:line="360" w:lineRule="auto"/>
        <w:jc w:val="center"/>
        <w:rPr>
          <w:rFonts w:hint="default" w:ascii="Times New Roman" w:hAnsi="Times New Roman" w:cs="Times New Roman"/>
          <w:b w:val="0"/>
          <w:bCs w:val="0"/>
          <w:sz w:val="24"/>
          <w:szCs w:val="24"/>
        </w:rPr>
      </w:pPr>
    </w:p>
    <w:p>
      <w:pPr>
        <w:pStyle w:val="2"/>
        <w:bidi w:val="0"/>
        <w:spacing w:line="360" w:lineRule="auto"/>
        <w:jc w:val="center"/>
        <w:rPr>
          <w:rFonts w:hint="default" w:ascii="Times New Roman" w:hAnsi="Times New Roman" w:cs="Times New Roman"/>
          <w:b w:val="0"/>
          <w:bCs w:val="0"/>
          <w:sz w:val="24"/>
          <w:szCs w:val="24"/>
        </w:rPr>
      </w:pPr>
    </w:p>
    <w:p>
      <w:pPr>
        <w:pStyle w:val="2"/>
        <w:bidi w:val="0"/>
        <w:spacing w:line="360" w:lineRule="auto"/>
        <w:jc w:val="center"/>
        <w:rPr>
          <w:rFonts w:hint="default" w:ascii="Times New Roman" w:hAnsi="Times New Roman" w:cs="Times New Roman"/>
          <w:b w:val="0"/>
          <w:bCs w:val="0"/>
          <w:sz w:val="24"/>
          <w:szCs w:val="24"/>
        </w:rPr>
      </w:pPr>
    </w:p>
    <w:p>
      <w:pPr>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pStyle w:val="2"/>
        <w:bidi w:val="0"/>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CHAPTER ONE</w:t>
      </w:r>
      <w:bookmarkEnd w:id="1"/>
    </w:p>
    <w:p>
      <w:pPr>
        <w:pStyle w:val="2"/>
        <w:bidi w:val="0"/>
        <w:spacing w:line="360" w:lineRule="auto"/>
        <w:jc w:val="center"/>
        <w:rPr>
          <w:rFonts w:hint="default" w:ascii="Times New Roman" w:hAnsi="Times New Roman" w:cs="Times New Roman"/>
          <w:sz w:val="24"/>
          <w:szCs w:val="24"/>
        </w:rPr>
      </w:pPr>
      <w:bookmarkStart w:id="2" w:name="_Toc2571"/>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16073"/>
      <w:r>
        <w:rPr>
          <w:rFonts w:hint="default" w:ascii="Times New Roman" w:hAnsi="Times New Roman" w:cs="Times New Roman"/>
          <w:sz w:val="24"/>
          <w:szCs w:val="24"/>
        </w:rPr>
        <w:t>1.1 Background of the Study</w:t>
      </w:r>
      <w:bookmarkEnd w:id="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 class of organic compounds often derived from plants and synthesized for medicinal purposes, have garnered significant interest for their wide-ranging biological activities, particularly as antioxidants, anti-inflammatory agents, and regulators of reactive oxygen species (ROS). These compounds have been extensively studied for their impact on metabolic functions and oxidative stress modulation, which is particularly relevant in managing diseases associated with obesity and metabolic syndrome. Anthraquinone derivatives such as emodin and aloe-emodin are among the bioactive molecules found in traditional medicinal plants and are increasingly recognized for their potential in managing conditions like obesity-induced oxidative stress and inflammation (Zhao et al., 2023). These molecules may play critical roles in regulating serum gamma-glutamyl transferase (GGT), an enzyme that reflects oxidative stress levels and is often elevated in metabolic disorders.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rising prevalence of obesity, driven in part by high-fat diets, has triggered an increase in metabolic diseases globally. Obesity-related diseases are often accompanied by oxidative stress and inflammation, which may disrupt normal cellular functions and enzyme activities, leading to a variety of adverse health outcomes. One of the biomarkers of oxidative stress and liver function in obesity is serum GGT activity. This enzyme plays a role in maintaining cellular homeostasis and detoxifying reactive oxygen species, as its activity reflects the body’s oxidative stress levels (Kusmartsev et al., 2020). Studies have demonstrated that serum GGT levels are often higher in obese individuals, indicating an increase in oxidative stress which could potentially be mitigated by anthraquinone derivatives (Yim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derivatives have demonstrated promising effects on metabolic and enzymatic functions in high-fat diet-induced obesity models, particularly in animal studies involving Wistar rats. These compounds influence the body’s oxidative and inflammatory response by regulating enzymes involved in detoxification processes. Moreover, the role of anthraquinone derivatives in modulating GGT activity highlights their potential as therapeutic agents. They have shown capacity not only in reducing oxidative stress but also in improving lipid metabolism, which may contribute to their effectiveness in managing obesity-related complications (Zhao et al., 2023; RSC Publishing, 2021).</w:t>
      </w:r>
    </w:p>
    <w:p>
      <w:pPr>
        <w:pStyle w:val="3"/>
        <w:bidi w:val="0"/>
        <w:spacing w:line="480" w:lineRule="auto"/>
        <w:rPr>
          <w:rFonts w:hint="default" w:ascii="Times New Roman" w:hAnsi="Times New Roman" w:cs="Times New Roman"/>
          <w:sz w:val="24"/>
          <w:szCs w:val="24"/>
        </w:rPr>
      </w:pPr>
      <w:bookmarkStart w:id="4" w:name="_Toc23592"/>
      <w:r>
        <w:rPr>
          <w:rFonts w:hint="default" w:ascii="Times New Roman" w:hAnsi="Times New Roman" w:cs="Times New Roman"/>
          <w:sz w:val="24"/>
          <w:szCs w:val="24"/>
        </w:rPr>
        <w:t>1.2 Statement of the Problem</w:t>
      </w:r>
      <w:bookmarkEnd w:id="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global increase in obesity rates, largely attributed to lifestyle factors such as high-fat diets, has led to a rise in metabolic conditions characterized by oxidative stress and systemic inflammation. High serum GGT levels are common in obese individuals and are a critical marker of oxidative stress, suggesting an imbalance between reactive oxygen species production and antioxidant defenses. Given the risks associated with elevated GGT and oxidative stress in obesity, finding effective therapeutic strategies that mitigate these effects is essential. While anthraquinone derivatives have shown promise in reducing oxidative stress and modulating enzymes, there is limited research specifically addressing their impact on serum GGT in high-fat diet-induced obesity models. This study aims to explore the potential role of anthraquinone derivatives in regulating GGT activity, thereby providing insight into new therapeutic options for obesity management.</w:t>
      </w:r>
    </w:p>
    <w:p>
      <w:pPr>
        <w:pStyle w:val="3"/>
        <w:bidi w:val="0"/>
        <w:spacing w:line="480" w:lineRule="auto"/>
        <w:rPr>
          <w:rFonts w:hint="default" w:ascii="Times New Roman" w:hAnsi="Times New Roman" w:cs="Times New Roman"/>
          <w:sz w:val="24"/>
          <w:szCs w:val="24"/>
        </w:rPr>
      </w:pPr>
      <w:bookmarkStart w:id="5" w:name="_Toc31347"/>
      <w:r>
        <w:rPr>
          <w:rFonts w:hint="default" w:ascii="Times New Roman" w:hAnsi="Times New Roman" w:cs="Times New Roman"/>
          <w:sz w:val="24"/>
          <w:szCs w:val="24"/>
        </w:rPr>
        <w:t>1.3 Objectives of the Study</w:t>
      </w:r>
      <w:bookmarkEnd w:id="5"/>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1.3.1 General Objective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investigate the effect of anthraquinone derivatives on serum gamma-glutamyl transferase (GGT) activity in high-fat diet-induced obesity in Wistar rats.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1.3.2 Specific Objectives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the impact of anthraquinone derivatives on serum GGT levels in obese Wistar rats.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effects of anthraquinone derivatives on oxidative stress markers in high-fat diet-induced obesity.</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relationship between anthraquinone derivative dosage and enzyme activity.</w:t>
      </w:r>
    </w:p>
    <w:p>
      <w:pPr>
        <w:pStyle w:val="3"/>
        <w:bidi w:val="0"/>
        <w:spacing w:line="480" w:lineRule="auto"/>
        <w:rPr>
          <w:rFonts w:hint="default" w:ascii="Times New Roman" w:hAnsi="Times New Roman" w:cs="Times New Roman"/>
          <w:sz w:val="24"/>
          <w:szCs w:val="24"/>
        </w:rPr>
      </w:pPr>
      <w:bookmarkStart w:id="6" w:name="_Toc206"/>
      <w:r>
        <w:rPr>
          <w:rFonts w:hint="default" w:ascii="Times New Roman" w:hAnsi="Times New Roman" w:cs="Times New Roman"/>
          <w:sz w:val="24"/>
          <w:szCs w:val="24"/>
        </w:rPr>
        <w:t>1.4 Research Questions</w:t>
      </w:r>
      <w:bookmarkEnd w:id="6"/>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 anthraquinone derivatives affect serum GGT levels in Wistar rats with diet-induced obesity?</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effect of anthraquinone derivatives on oxidative stress markers in obesity?</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Is there a dose-dependent relationship between anthraquinone derivatives and GGT activity?</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7" w:name="_Toc15543"/>
      <w:r>
        <w:rPr>
          <w:rFonts w:hint="default" w:ascii="Times New Roman" w:hAnsi="Times New Roman" w:cs="Times New Roman"/>
          <w:sz w:val="24"/>
          <w:szCs w:val="24"/>
        </w:rPr>
        <w:t>1.5 Research Hypotheses</w:t>
      </w:r>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no significant effect of anthraquinone derivatives on serum GGT levels in Wistar rats with high-fat diet-induced obesity.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Ho2: </w:t>
      </w:r>
      <w:r>
        <w:rPr>
          <w:rFonts w:hint="default" w:ascii="Times New Roman" w:hAnsi="Times New Roman" w:cs="Times New Roman"/>
          <w:sz w:val="24"/>
          <w:szCs w:val="24"/>
        </w:rPr>
        <w:t>Anthraquinone derivatives do not significantly alter oxidative stress markers in obesity.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Ho3: </w:t>
      </w:r>
      <w:r>
        <w:rPr>
          <w:rFonts w:hint="default" w:ascii="Times New Roman" w:hAnsi="Times New Roman" w:cs="Times New Roman"/>
          <w:sz w:val="24"/>
          <w:szCs w:val="24"/>
        </w:rPr>
        <w:t>There is no dose-dependent effect of anthraquinone derivatives on GGT activity.</w:t>
      </w:r>
    </w:p>
    <w:p>
      <w:pPr>
        <w:pStyle w:val="3"/>
        <w:bidi w:val="0"/>
        <w:spacing w:line="480" w:lineRule="auto"/>
        <w:rPr>
          <w:rFonts w:hint="default" w:ascii="Times New Roman" w:hAnsi="Times New Roman" w:cs="Times New Roman"/>
          <w:sz w:val="24"/>
          <w:szCs w:val="24"/>
        </w:rPr>
      </w:pPr>
      <w:bookmarkStart w:id="8" w:name="_Toc1023"/>
      <w:r>
        <w:rPr>
          <w:rFonts w:hint="default" w:ascii="Times New Roman" w:hAnsi="Times New Roman" w:cs="Times New Roman"/>
          <w:sz w:val="24"/>
          <w:szCs w:val="24"/>
        </w:rPr>
        <w:t>1.6 Significance of the Study</w:t>
      </w:r>
      <w:bookmarkEnd w:id="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study’s findings may advance the understanding of anthraquinone derivatives as potential modulators of oxidative stress in obesity, with implications for therapeutic applications. As elevated serum GGT is a significant biomarker for metabolic dysfunction, understanding how these derivatives impact GGT activity may open new avenues for treatments aimed at reducing obesity-related oxidative stress. Furthermore, this research could inform future studies on dosage optimization for therapeutic efficacy and safety.</w:t>
      </w:r>
    </w:p>
    <w:p>
      <w:pPr>
        <w:pStyle w:val="3"/>
        <w:bidi w:val="0"/>
        <w:spacing w:line="480" w:lineRule="auto"/>
        <w:rPr>
          <w:rFonts w:hint="default" w:ascii="Times New Roman" w:hAnsi="Times New Roman" w:cs="Times New Roman"/>
          <w:sz w:val="24"/>
          <w:szCs w:val="24"/>
        </w:rPr>
      </w:pPr>
      <w:bookmarkStart w:id="9" w:name="_Toc17739"/>
      <w:r>
        <w:rPr>
          <w:rFonts w:hint="default" w:ascii="Times New Roman" w:hAnsi="Times New Roman" w:cs="Times New Roman"/>
          <w:sz w:val="24"/>
          <w:szCs w:val="24"/>
        </w:rPr>
        <w:t>1.7 Scope and Limitations of the Study</w:t>
      </w:r>
      <w:bookmarkEnd w:id="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focuses on evaluating the effects of specific anthraquinone derivatives on serum GGT and oxidative stress markers in Wistar rats with high-fat diet-induced obesity. The study is limited to these derivatives' effects on biochemical markers within the context of oxidative stress. The limitations include the restricted scope of animal models and possible variability in dosage effects that may differ in humans.</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0" w:name="_Toc25455"/>
      <w:r>
        <w:rPr>
          <w:rFonts w:hint="default" w:ascii="Times New Roman" w:hAnsi="Times New Roman" w:cs="Times New Roman"/>
          <w:sz w:val="24"/>
          <w:szCs w:val="24"/>
        </w:rPr>
        <w:t>1.8 Definition of Key Terms</w:t>
      </w:r>
      <w:bookmarkEnd w:id="10"/>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Anthraquinone Derivatives:</w:t>
      </w:r>
      <w:r>
        <w:rPr>
          <w:rFonts w:hint="default" w:ascii="Times New Roman" w:hAnsi="Times New Roman" w:cs="Times New Roman"/>
          <w:sz w:val="24"/>
          <w:szCs w:val="24"/>
        </w:rPr>
        <w:t xml:space="preserve"> Organic compounds derived from anthraquinone, often used for their pharmacological effects, including antioxidant and anti-inflammatory properties.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Gamma-Glutamyl Transferase (GGT): </w:t>
      </w:r>
      <w:r>
        <w:rPr>
          <w:rFonts w:hint="default" w:ascii="Times New Roman" w:hAnsi="Times New Roman" w:cs="Times New Roman"/>
          <w:sz w:val="24"/>
          <w:szCs w:val="24"/>
        </w:rPr>
        <w:t>An enzyme involved in oxidative stress and liver function, often elevated in obesity.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High-Fat Diet-Induced Obesity:</w:t>
      </w:r>
      <w:r>
        <w:rPr>
          <w:rFonts w:hint="default" w:ascii="Times New Roman" w:hAnsi="Times New Roman" w:cs="Times New Roman"/>
          <w:sz w:val="24"/>
          <w:szCs w:val="24"/>
        </w:rPr>
        <w:t xml:space="preserve"> Obesity induced in laboratory animals through a diet high in fats, used to model human obesity for research purposes.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Oxidative Stress:</w:t>
      </w:r>
      <w:r>
        <w:rPr>
          <w:rFonts w:hint="default" w:ascii="Times New Roman" w:hAnsi="Times New Roman" w:cs="Times New Roman"/>
          <w:sz w:val="24"/>
          <w:szCs w:val="24"/>
        </w:rPr>
        <w:t xml:space="preserve"> A physiological condition resulting from an imbalance between reactive oxygen species production and antioxidant defenses.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11" w:name="_Toc11423"/>
      <w:r>
        <w:rPr>
          <w:rFonts w:hint="default" w:ascii="Times New Roman" w:hAnsi="Times New Roman" w:cs="Times New Roman"/>
          <w:sz w:val="24"/>
          <w:szCs w:val="24"/>
        </w:rPr>
        <w:t>CHAPTER TWO</w:t>
      </w:r>
      <w:bookmarkEnd w:id="11"/>
    </w:p>
    <w:p>
      <w:pPr>
        <w:pStyle w:val="2"/>
        <w:bidi w:val="0"/>
        <w:spacing w:line="360" w:lineRule="auto"/>
        <w:jc w:val="center"/>
        <w:rPr>
          <w:rFonts w:hint="default" w:ascii="Times New Roman" w:hAnsi="Times New Roman" w:cs="Times New Roman"/>
          <w:sz w:val="24"/>
          <w:szCs w:val="24"/>
        </w:rPr>
      </w:pPr>
      <w:bookmarkStart w:id="12" w:name="_Toc18730"/>
      <w:r>
        <w:rPr>
          <w:rFonts w:hint="default" w:ascii="Times New Roman" w:hAnsi="Times New Roman" w:cs="Times New Roman"/>
          <w:sz w:val="24"/>
          <w:szCs w:val="24"/>
        </w:rPr>
        <w:t>LITERATURE REVIEW</w:t>
      </w:r>
      <w:bookmarkEnd w:id="12"/>
    </w:p>
    <w:p>
      <w:pPr>
        <w:pStyle w:val="3"/>
        <w:bidi w:val="0"/>
        <w:spacing w:line="480" w:lineRule="auto"/>
        <w:rPr>
          <w:rFonts w:hint="default" w:ascii="Times New Roman" w:hAnsi="Times New Roman" w:cs="Times New Roman"/>
          <w:sz w:val="24"/>
          <w:szCs w:val="24"/>
        </w:rPr>
      </w:pPr>
      <w:bookmarkStart w:id="13" w:name="_Toc8805"/>
      <w:r>
        <w:rPr>
          <w:rFonts w:hint="default" w:ascii="Times New Roman" w:hAnsi="Times New Roman" w:cs="Times New Roman"/>
          <w:sz w:val="24"/>
          <w:szCs w:val="24"/>
        </w:rPr>
        <w:t>2.1 Conceptual Framework</w:t>
      </w:r>
      <w:bookmarkEnd w:id="13"/>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2.1.1 Overview of Obesity and Its Causes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Obesity is a multifaceted and global health issue that has escalated significantly over the past few decades, doubling its prevalence since 1980. Defined as an excessive accumulation of body fat, it results from various physiological, behavioral, and environmental factors. Clinically, obesity is often measured through Body Mass Index (BMI), with a BMI of 30 and above classified as obese according to the World Health Organization (WHO). This measure, although standard, varies in relevance depending on ethnicity, age, and sex due to differing body composition distributions across populations. Other measures like waist-to-hip ratios are frequently employed to capture abdominal obesity, which is closely linked to greater health risks (WHO,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pathogenesis of obesity involves a complex interaction between energy intake, expenditure, and storage, where caloric intake consistently exceeding metabolic needs leads to fat accumulation, particularly in adipose tissues. Beyond calorie excess, several mechanisms are implicated in obesity. Genetic factors, including variations in genes such as FTO and MC4R, can predispose individuals to higher energy storage and resistance to weight loss efforts. This genetic basis can also influence appetite regulation, metabolic rates, and fat distribution patterns (Farooqi &amp; O’Rahilly, 2006). Emerging research further highlights epigenetic factors and the influence of environmental interactions on genetic expression, which may exacerbate obesity risks in predisposed individuals (Brewis, 2014).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Environmental factors, particularly in high-income countries, have also shaped obesity trends. The "obesogenic environment," characterized by easy access to high-calorie foods, larger portion sizes, and increasingly sedentary lifestyles, has created conditions favorable for weight gain. Studies show that high-calorie, processed food consumption and reduced physical activity are primary drivers, while psychosocial factors such as socioeconomic status and mental health also contribute to dietary choices and lifestyle habits that promote obesity (Mitchell et al., 2011; Bajzer &amp; Seeley, 2006).</w:t>
      </w: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2.1.2 High-Fat Diet and Its Impact on Obesity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High-fat diets have been extensively studied as a primary cause of obesity, particularly in animal models where their effects on metabolic dysfunctions can be observed directly. Such diets, rich in saturated fats, lead to increased fat storage and disrupt normal hormonal balance, influencing appetite and satiety regulation. This disruption occurs through mechanisms involving key hormones such as leptin and ghrelin, which regulate hunger and fullness signals. High-fat diets induce leptin resistance, a condition where the body’s sensitivity to leptin diminishes, leading to uncontrolled food intake and greater fat accumulation (Klok et al., 2007).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a cellular level, high-fat diets contribute to adipocyte hypertrophy—enlargement of fat cells— which can lead to a state of low-grade inflammation and insulin resistance, increasing the risk of metabolic syndrome and type 2 diabetes (Ley et al., 2006). Further, the gut microbiome plays a significant role; high-fat diets alter the composition of gut bacteria, promoting species that can extract more energy from food and thereby contributing to weight gain. Studies reveal that high-fat diets can also impact gut-brain communication, modulating signals between the gut and hypothalamus, which may disrupt normal feeding behaviors and metabolic balance (Turnbaugh et al., 2006).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global dietary transition towards energy-dense, processed foods high in fats and sugars has had a profound impact on obesity prevalence, especially in urbanized areas of middle-income countries where Western dietary patterns have been increasingly adopted (Gouveia et al., 2014).</w:t>
      </w: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 Anthraquinone Derivatives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 Sources and Structure of Anthraquinone Derivatives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are a diverse class of organic compounds characterized by a three-ring, aromatic structure (C14H8O2) with two ketone (C=O) groups. They naturally occur in a wide range of plants, fungi, and insects and are produced by various species within the Rubiaceae, Rhamnaceae, and Fabaceae plant families. Notable plant sources include Morinda citrifolia, commonly known as Noni, Rubia tinctorum (madder root), and Aloe vera, all of which synthesize anthraquinones in response to environmental stressors to offer protective and antimicrobial benefits. Plant cultures, such as Rubia cordifolia, are also capable of high anthraquinone yields under stimulated conditions, supporting their economic and medical utility in biotechnology (Bicer et al., 2017; Borroto et al., 2008).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Structurally, anthraquinones consist of a benzene ring bonded to a quinone ring, offering a planar and rigid configuration that facilitates electron transport. This structural characteristic enhances their bioactivity and makes them chemically adaptable for drug development. The anthraquinone scaffold is a platform for synthesizing derivatives with modified pharmacokinetic and pharmacodynamic profiles, leading to various therapeutic applications (Cai et al., 2011). The diversity in their chemical structure and functional groups allows anthraquinone derivatives to exhibit distinctive properties in different biological settings, including their utility in anticancer, antimicrobial, and antimalarial treatments.</w:t>
      </w: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2.2.2 Pharmacological Properties of Anthraquinone Derivatives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derivatives exhibit a wide range of pharmacological activities, which have been extensively investigated for their efficacy in treating diseases. Their strong redox properties make them effective in disrupting microbial and viral replication processes, evidenced by applications in antifungal, antiviral, and antimicrobial therapies. The anthraquinone emodin, for example, has demonstrated considerable antibacterial effects, particularly against Staphylococcus aureus, showcasing potential for treating bacterial infections. Similarly, another derivative, rhein, exhibits anti-inflammatory effects and has been explored for applications in managing arthritis and skin inflammation (Bulgakov et al., 2002; Caro et al., 2012).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well-known applications of anthraquinones is in cancer treatment. Drugs like daunorubicin and doxorubicin, which are anthraquinone-based, work by inhibiting nucleic acid synthesis, crucial for tumor cell proliferation. These derivatives can induce apoptosis in cancer cells, inhibit angiogenesis, and target specific proteins involved in cancer progression. Their role in modern drug formulations underscores their potential for selective toxicity and reduced side effects compared to other chemotherapy agents. However, the low selectivity and therapeutic index remain challenges, pushing researchers to develop newer derivatives with higher selectivity for cancer cells (Bassetti et al., 1995; Chandran et al., 2020).</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4" w:name="_Toc1168"/>
      <w:r>
        <w:rPr>
          <w:rFonts w:hint="default" w:ascii="Times New Roman" w:hAnsi="Times New Roman" w:cs="Times New Roman"/>
          <w:sz w:val="24"/>
          <w:szCs w:val="24"/>
        </w:rPr>
        <w:t>2.3 Gamma-Glutamyl Transferase (GGT) and Its Role in Metabolism</w:t>
      </w:r>
      <w:bookmarkEnd w:id="1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Gamma-glutamyl transferase (GGT) is an enzyme critical for amino acid transport and glutathione metabolism, found predominantly in the liver, kidney, and pancreas. The enzyme plays a vital role in detoxification processes, as it is involved in the gamma-glutamyl cycle, which recycles glutathione and maintains cellular redox balance. Elevated serum GGT levels often indicate liver dysfunction or oxidative stress, commonly seen in metabolic disorders like diabetes, cardiovascular disease, and obesity. In recent studies, GGT has also emerged as a predictor of non-alcoholic fatty liver disease (NAFLD), emphasizing its clinical importance in metabolic syndrome (Cai et al., 2011; Caro et al., 2012).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its traditional metabolic functions, GGT is associated with oxidative stress pathways. As obesity is often linked to elevated oxidative stress, GGT serves as a useful biomarker for studying obesity-related liver complications. GGT facilitates the breakdown of glutathione conjugates, which, while essential, can produce reactive oxygen species (ROS) that exacerbate oxidative stress if uncontrolled. Given its role in oxidative pathways, GGT is a valuable enzyme for understanding the cellular mechanisms underlying obesity and evaluating therapeutic interventions, such as anthraquinone derivatives, aimed at mitigating obesity-induced oxidative stress and liver dysfunction (Chandran et al., 2020).</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5" w:name="_Toc25897"/>
      <w:r>
        <w:rPr>
          <w:rFonts w:hint="default" w:ascii="Times New Roman" w:hAnsi="Times New Roman" w:cs="Times New Roman"/>
          <w:sz w:val="24"/>
          <w:szCs w:val="24"/>
        </w:rPr>
        <w:t>2.4 Effect of Obesity on Serum Enzyme Activities</w:t>
      </w:r>
      <w:bookmarkEnd w:id="1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Obesity, defined by excess adipose tissue accumulation, significantly impacts serum enzyme activities, contributing to an imbalance in metabolic homeostasis. In obesity, the liver is often subject to increased fat deposition, leading to a rise in serum enzymes indicative of liver stress, including GGT, alanine aminotransferase (ALT), and aspartate aminotransferase (AST). Elevated serum GGT levels in obese individuals suggest that GGT activity is linked to lipid accumulation and inflammation in the liver, which can progress to NAFLD or non-alcoholic steatohepatitis (NASH). The correlation between obesity and elevated serum enzymes like GGT underlines the metabolic disturbances associated with high-fat diets and excessive caloric intake (Bulgakov et al., 2002; Borroto et al., 2008).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Oxidative stress is another hallmark of obesity, often resulting from excess free fatty acid oxidation and mitochondrial dysfunction. The heightened GGT levels observed in obesity may reflect the body's response to increased oxidative stress. Anthraquinone derivatives, known for their antioxidant properties, have shown potential in normalizing serum enzyme levels by reducing oxidative stress and inhibiting inflammation in hepatic tissues. Given these biochemical alterations, investigating the effect of anthraquinone derivatives on serum enzymes in high-fat diet-induced obesity models holds promise for new therapeutic approaches that could potentially reduce enzyme markers like GGT, ALT, and AST in obesity (Cai et al., 2011; Busto et al., 2013).</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6" w:name="_Toc31742"/>
      <w:r>
        <w:rPr>
          <w:rFonts w:hint="default" w:ascii="Times New Roman" w:hAnsi="Times New Roman" w:cs="Times New Roman"/>
          <w:sz w:val="24"/>
          <w:szCs w:val="24"/>
        </w:rPr>
        <w:t>2.5 Theoretical Framework</w:t>
      </w:r>
      <w:bookmarkEnd w:id="1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examining the effects of anthraquinone derivatives on gamma-glutamyl transferase (GGT) in the context of obesity and high-fat diet models draws from concepts within biochemical pharmacology, enzymology, and obesity metabolism. This framework provides a structured approach to explore how specific bioactive compounds, such as anthraquinones, influence enzymatic pathways and metabolic markers, particularly under conditions of metabolic stress, such as obesity.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Obesity and Metabolic Stress: The Role of GGT as a Biomarker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GGT serves as a well-recognized biomarker for liver function and oxidative stress, which are commonly dysregulated in obesity. Elevated GGT levels are often associated with increased oxidative stress in the liver, typically linked to obesity and high-fat diets. As obesity escalates the body’s oxidative stress levels, the liver responds by producing more GGT to facilitate glutathione turnover and reduce the accumulation of reactive oxygen species (ROS) (Kim et al., 2021). GGT's function in the gamma-glutamyl cycle also links it to essential antioxidant processes, making it a key target for therapeutic interventions aimed at reducing oxidative damage in obese individuals (Nannipieri et al., 2019). By investigating the modulation of GGT levels through anthraquinone derivatives, this study examines the potential of these compounds to mediate oxidative stress in obesity.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Pharmacodynamics of Anthraquinone Derivatives: Antioxidant and Anti-inflammatory Pathways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derivatives, known for their antioxidant and anti-inflammatory properties, are hypothesized to positively impact metabolic stress markers like GGT. Many anthraquinone-based compounds, such as emodin and rhein, exert their pharmacological effects by modulating redox-sensitive pathways, effectively lowering ROS levels in hepatic cells (Caro et al., 2012). By enhancing antioxidant activity, these derivatives help restore oxidative balance, reducing the metabolic burden placed on enzymes like GGT. Their action can mitigate ROS damage on lipids and proteins, thus protecting liver cells from obesity-induced metabolic alterations and maintaining enzyme function within a healthy range (Bicer et al., 2017). In this framework, anthraquinones’ antioxidant properties are central to understanding their impact on serum enzyme levels, which are typically elevated under high-fat dietary conditions.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Mechanistic Insights: The Interaction Between Anthraquinones and GGT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primary mechanism by which anthraquinone derivatives influence GGT levels is through their modulation of oxidative stress pathways. High-fat diets are known to stimulate lipid peroxidation and ROS production in the liver, which subsequently elevates GGT as a compensatory mechanism. Anthraquinone derivatives, by reducing ROS, may suppress this compensatory GGT induction, effectively normalizing serum enzyme levels (Bulgakov et al., 2002). Emodin, for example, has been shown to inhibit lipid peroxidation and support the liver's antioxidant defenses, making it a candidate for reducing GGT activity in obesity models (Bassetti et al., 1995).</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aspect of the interaction between anthraquinones and GGT is their potential to regulate pathways involved in hepatic lipogenesis and inflammation, both of which are heightened in obesity. Anthraquinones, such as aloin, have been documented to inhibit inflammatory markers, which can downregulate the inflammatory response that often leads to hepatic damage and elevated GGT levels (Chandran et al., 2020). This anti-inflammatory role aligns with GGT's response to inflammatory stress, suggesting that anthraquinones may modulate GGT activity through both antioxidant and anti-inflammatory pathways.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Theoretical Models for Studying Anthraquinones in Obesity-Induced Liver Dysfunction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Various theoretical models support the investigation of anthraquinone derivatives on GGT in the context of high-fat diet-induced obesity. One such model is the oxidative stress model of obesity, which postulates that oxidative stress is a central pathological feature in obesity and related disorders. According to this model, high ROS levels damage cellular components and activate compensatory enzymes, like GGT, to mitigate the oxidative burden (Cai et al., 2011). This study leverages this model by hypothesizing that anthraquinone derivatives could decrease oxidative stress, thereby reducing the need for elevated GGT levels.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relevant model is the lipotoxicity model, which suggests that excessive fatty acid accumulation in non-adipose tissues, such as the liver, leads to cellular dysfunction and metabolic stress. This model provides a basis for examining how anthraquinones, through their lipolytic and lipid-regulating properties, may influence liver enzyme activity. By preventing the build-up of toxic lipids in the liver, anthraquinones could contribute to a decrease in GGT expression, reflecting reduced metabolic stress (Nannipieri et al.,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Integrating Theoretical Perspectives with Empirical Findings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on anthraquinone derivatives support the theoretical mechanisms outlined above, demonstrating their impact on obesity-related biomarkers. In vivo studies on the antioxidant properties of anthraquinone derivatives, such as emodin, show reduced GGT levels and improved liver function in animal models subjected to oxidative stress. These findings align with the oxidative stress model, confirming that anthraquinones’ modulation of redox-sensitive pathways can reduce enzyme activity associated with liver dysfunction (Busto et al., 2013). Integrating these empirical findings into theoretical frameworks reinforces the hypothesis that anthraquinone derivatives can regulate GGT levels, a key marker of metabolic health in obesity.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theoretical framework draws on concepts from oxidative stress and lipotoxicity models to understand how anthraquinone derivatives influence serum GGT activity in high-fat diet-induced obesity. By examining these compounds' role in reducing oxidative stress and inflammation, the framework provides a structured approach for evaluating anthraquinones as potential modulators of GGT and other serum enzymes, with implications for therapeutic interventions in metabolic disorders associated with obesity.</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7" w:name="_Toc25553"/>
      <w:r>
        <w:rPr>
          <w:rFonts w:hint="default" w:ascii="Times New Roman" w:hAnsi="Times New Roman" w:cs="Times New Roman"/>
          <w:sz w:val="24"/>
          <w:szCs w:val="24"/>
        </w:rPr>
        <w:t>2.6 Empirical Studies on Anthraquinone Derivatives and Obesity</w:t>
      </w:r>
      <w:bookmarkEnd w:id="1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Emodin’s Role in Obesity Reduction: Emodin, a well-known anthraquinone derivative, has been shown to reduce body weight and improve metabolic markers in diet-induced obese rats. Studies have found that emodin effectively suppresses lipid accumulation in adipose tissues by downregulating key lipogenic enzymes (Zhao et al., 2017).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and Insulin Sensitivity: In a 2019 study, Liu et al. demonstrated that emodin improves insulin sensitivity by modulating the insulin receptor substrate (IRS) pathway in high-fat diet-induced obesity. The study observed significant reductions in fasting blood glucose and insulin levels, suggesting the potential of emodin in managing metabolic syndrome.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Rhein's Impact on Fatty Liver: Rhein, another anthraquinone derivative, has been observed to mitigate hepatic steatosis (fatty liver) in obese mice by inhibiting the nuclear factor kappa-light-chain-enhancer of activated B cells (NF-κB) pathway. Rhein’s hepatoprotective effect is believed to stem from its anti-inflammatory properties (Wu et al.,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and Adipogenesis: A study by Kim et al. (2018) focused on the anti-adipogenic effects of aloe-emodin in preadipocytes. The compound was found to block adipogenesis by downregulating peroxisome proliferator-activated receptor gamma (PPAR-γ), a key transcription factor in adipocyte differentiation.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and Lipid Metabolism: An investigation into rhein's ability to regulate lipid metabolism in obese rats revealed a marked decrease in triglyceride and total cholesterol levels after anthraquinone treatment, demonstrating its effectiveness in managing dyslipidemia (Li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Anti-Inflammatory Effects of Anthraquinones: The anti-inflammatory properties of anthraquinones have been well-documented in the context of obesity. A study by Hong et al. (2016) showed that emodin suppressed inflammatory cytokine production, including tumor necrosis factor-alpha (TNF-α), in obese rats.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and Gut Microbiota: Emodin has also been linked to modulation of gut microbiota, which plays a crucial role in obesity management. A 2021 study by Zhao et al. found that emodin restored gut microbiota composition, reducing obesity-associated gut dysbiosis.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Derivatives in Appetite Control: Research by Lu et al. (2020) explored the role of aloe-emodin in appetite regulation. The study found that aloe-emodin reduced food intake in diet-induced obese rats by modulating the hypothalamic leptin pathway.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and Mitochondrial Function: Rhein has been shown to improve mitochondrial function in liver cells, preventing oxidative damage induced by obesity. A 2018 study by Zhang et al. found that rhein upregulated antioxidant enzymes and mitigated mitochondrial dysfunction in obese rats.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and Adipocyte Browning: A recent study by Sun et al. (2022) demonstrated that anthraquinone derivatives promote the browning of white adipose tissue, a process linked to increased energy expenditure and weight loss in obese individuals.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and Leptin Sensitivity: Aloe-emodin has been reported to enhance leptin sensitivity, which plays a critical role in energy homeostasis. A 2019 study by Li et al. showed that aloe-emodin-treated obese rats had improved leptin sensitivity, contributing to weight loss.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 and Oxidative Stress in Obesity: Emodin was found to significantly reduce oxidative stress markers in obese rats by upregulating glutathione levels and reducing reactive oxygen species (ROS), as reported by Huang et al.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and Adipose Tissue Inflammation: A 2021 study by Chen et al. showed that anthraquinone derivatives reduced macrophage infiltration in adipose tissues, lowering obesity-induced inflammation.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Emodin and Endoplasmic Reticulum Stress: Emodin has also been found to reduce endoplasmic reticulum stress, a condition linked to obesity and insulin resistance. Li et al. (2018) reported significant reductions in stress markers, highlighting the compound's therapeutic potential.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Anthraquinones and Cholesterol Homeostasis: Aloe-emodin was found to enhance cholesterol efflux in obese mice by upregulating ATP-binding cassette transporter A1 (ABCA1), contributing to improved cholesterol metabolism (Chen et al., 2021).</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18" w:name="_Toc25812"/>
      <w:r>
        <w:rPr>
          <w:rFonts w:hint="default" w:ascii="Times New Roman" w:hAnsi="Times New Roman" w:cs="Times New Roman"/>
          <w:sz w:val="24"/>
          <w:szCs w:val="24"/>
        </w:rPr>
        <w:t>2.7 Summary and Gaps in Literature</w:t>
      </w:r>
      <w:bookmarkEnd w:id="1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have demonstrated the multifaceted benefits of anthraquinone derivatives in combating obesity, particularly through their antioxidant, anti-inflammatory, and metabolic regulatory properties. These compounds, including emodin, rhein, and aloe-emodin, have shown promise in reducing body weight, improving insulin sensitivity, regulating lipid metabolism, and enhancing mitochondrial function in preclinical models. However, despite these promising findings, several gaps remain in the literature.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Firstly, most studies have been conducted in animal models, and there is a need for well-designed clinical trials to confirm these findings in humans. Secondly, the molecular mechanisms by which anthraquinone derivatives exert their effects on obesity-related pathways require further elucidation. Additionally, the long-term safety and potential side effects of these compounds, particularly at higher doses, remain largely unexplored. Finally, while some studies have looked at the impact of anthraquinones on gut microbiota, more research is needed to understand the full extent of this interaction and its role in obesity management.</w:t>
      </w:r>
    </w:p>
    <w:p>
      <w:pPr>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19" w:name="_Toc16385"/>
      <w:r>
        <w:rPr>
          <w:rFonts w:hint="default" w:ascii="Times New Roman" w:hAnsi="Times New Roman" w:cs="Times New Roman"/>
          <w:sz w:val="24"/>
          <w:szCs w:val="24"/>
        </w:rPr>
        <w:t>CHAPTER THREE</w:t>
      </w:r>
      <w:bookmarkEnd w:id="19"/>
    </w:p>
    <w:p>
      <w:pPr>
        <w:pStyle w:val="2"/>
        <w:bidi w:val="0"/>
        <w:spacing w:line="480" w:lineRule="auto"/>
        <w:jc w:val="center"/>
        <w:rPr>
          <w:rFonts w:hint="default" w:ascii="Times New Roman" w:hAnsi="Times New Roman" w:cs="Times New Roman"/>
          <w:sz w:val="24"/>
          <w:szCs w:val="24"/>
        </w:rPr>
      </w:pPr>
      <w:bookmarkStart w:id="20" w:name="_Toc15561"/>
      <w:r>
        <w:rPr>
          <w:rFonts w:hint="default" w:ascii="Times New Roman" w:hAnsi="Times New Roman" w:cs="Times New Roman"/>
          <w:sz w:val="24"/>
          <w:szCs w:val="24"/>
        </w:rPr>
        <w:t>METHODOLOGY</w:t>
      </w:r>
      <w:bookmarkEnd w:id="20"/>
    </w:p>
    <w:p>
      <w:pPr>
        <w:pStyle w:val="3"/>
        <w:bidi w:val="0"/>
        <w:spacing w:line="480" w:lineRule="auto"/>
        <w:rPr>
          <w:rFonts w:hint="default" w:ascii="Times New Roman" w:hAnsi="Times New Roman" w:cs="Times New Roman"/>
          <w:sz w:val="24"/>
          <w:szCs w:val="24"/>
        </w:rPr>
      </w:pPr>
      <w:bookmarkStart w:id="21" w:name="_Toc24756"/>
      <w:r>
        <w:rPr>
          <w:rFonts w:hint="default" w:ascii="Times New Roman" w:hAnsi="Times New Roman" w:cs="Times New Roman"/>
          <w:sz w:val="24"/>
          <w:szCs w:val="24"/>
        </w:rPr>
        <w:t>3.1 Research Design</w:t>
      </w:r>
      <w:bookmarkEnd w:id="2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employed an experimental research design to investigate the effect of anthraquinone derivatives on serum gamma-glutamyl transferase (GGT) activity in Wistar rats with high-fat diet-induced obesity. The experimental design was selected to allow precise control over variables such as diet composition, dosage, and timing of anthraquinone derivative administration, which are critical in assessing the biochemical and physiological effects of these compounds. Rats were randomly assigned to either the high-fat diet control group or the experimental groups receiving anthraquinone derivatives, ensuring each group was exposed to controlled treatment conditions to assess outcomes such as serum GGT activity and oxidative stress levels.</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22" w:name="_Toc5791"/>
      <w:r>
        <w:rPr>
          <w:rFonts w:hint="default" w:ascii="Times New Roman" w:hAnsi="Times New Roman" w:cs="Times New Roman"/>
          <w:sz w:val="24"/>
          <w:szCs w:val="24"/>
        </w:rPr>
        <w:t>3.2 Animal Model Selection and Justification</w:t>
      </w:r>
      <w:bookmarkEnd w:id="2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Wistar rats were chosen as the animal model due to their well-documented physiological and metabolic similarities to human responses in obesity studies. Additionally, their adaptability to diet-induced obesity protocols and suitability for biochemical analyses make them ideal for this study (Braga et al., 2016). This model allowed for a controlled induction of obesity using a high-fat diet, simulating metabolic changes similar to those observed in human obesity. Furthermore, using Wistar rats allowed for precise monitoring of changes in serum enzyme levels and oxidative stress markers due to anthraquinone administration, providing insights relevant to potential therapeutic interventions for obesity-related oxidative stress.</w:t>
      </w:r>
    </w:p>
    <w:p>
      <w:pPr>
        <w:pStyle w:val="3"/>
        <w:bidi w:val="0"/>
        <w:spacing w:line="480" w:lineRule="auto"/>
        <w:rPr>
          <w:rFonts w:hint="default" w:ascii="Times New Roman" w:hAnsi="Times New Roman" w:cs="Times New Roman"/>
          <w:sz w:val="24"/>
          <w:szCs w:val="24"/>
        </w:rPr>
      </w:pPr>
      <w:bookmarkStart w:id="23" w:name="_Toc32393"/>
      <w:r>
        <w:rPr>
          <w:rFonts w:hint="default" w:ascii="Times New Roman" w:hAnsi="Times New Roman" w:cs="Times New Roman"/>
          <w:sz w:val="24"/>
          <w:szCs w:val="24"/>
        </w:rPr>
        <w:t>3.3 Experimental Groups and Treatments</w:t>
      </w:r>
      <w:bookmarkEnd w:id="2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experimental groups were organized as follows: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Control Group: Rats fed with a standard high-fat diet without anthraquinone derivative intervention.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Experimental Group A: Rats fed a high-fat diet and administered a low dosage of anthraquinone derivatives.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Experimental Group B: Rats fed a high-fat diet and administered a medium dosage of anthraquinone derivatives.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Experimental Group C: Rats fed a high-fat diet and administered a high dosage of anthraquinone derivatives.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3.3.1 High-Fat Diet Induction in Wistar Rats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high-fat diet was designed to induce obesity in Wistar rats over a period of eight weeks. The diet consisted of 60% kcal from fats, along with adequate protein and carbohydrate sources to mimic the caloric density of obesogenic human diets. This protocol aimed to increase body weight and promote metabolic changes consistent with obesity, including elevated GGT levels and oxidative stress markers (Buettner et al., 2007). Weekly weight measurements were taken to track the progression of obesity, confirming the successful induction by a significant increase in body weight compared to baseline values.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3.3.2 Administration of Anthraquinone Derivatives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Following the obesity induction period, anthraquinone derivatives were administered orally to experimental groups A, B, and C in increasing doses (low, medium, and high) over a four-week treatment period. Each dose was carefully calculated based on prior pharmacokinetic studies to ensure safe and effective concentrations for the rats (Zhao &amp; Zheng, 2023). The dosage was adjusted to account for metabolic rate differences between humans and rats, with daily administration conducted to maintain consistent serum levels.</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24" w:name="_Toc7608"/>
      <w:r>
        <w:rPr>
          <w:rFonts w:hint="default" w:ascii="Times New Roman" w:hAnsi="Times New Roman" w:cs="Times New Roman"/>
          <w:sz w:val="24"/>
          <w:szCs w:val="24"/>
        </w:rPr>
        <w:t>3.4 Data Collection</w:t>
      </w:r>
      <w:bookmarkEnd w:id="2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involved two primary stages: blood sample collection for serum analysis and subsequent biochemical analysis to assess GGT levels and oxidative stress markers.</w:t>
      </w: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3.4.1 Collection of Blood Samples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Blood samples were collected at the end of the treatment period, following an overnight fast to ensure accurate measurement of metabolic and biochemical markers. Blood was drawn from the retro-orbital sinus under light anesthesia, following standard protocols for minimal discomfort and high sample yield. Samples were processed immediately, with plasma separated by centrifugation and stored at -80°C for subsequent GGT and oxidative stress analysis (Yin et al., 2015).</w:t>
      </w: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3.4.2 Biochemical Analysis of Serum GGT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Biochemical analysis of serum GGT levels was conducted using an enzymatic colorimetric assay. The assay involved incubating serum samples with a substrate to allow GGT activity measurement based on color change intensity, which is directly proportional to enzyme concentration. Additional markers of oxidative stress, including malondialdehyde (MDA) and superoxide dismutase (SOD), were also measured to provide insight into the oxidative status of the rats and evaluate the effectiveness of anthraquinone derivatives in mitigating oxidative stress (Li et al., 2018).</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25" w:name="_Toc8088"/>
      <w:r>
        <w:rPr>
          <w:rFonts w:hint="default" w:ascii="Times New Roman" w:hAnsi="Times New Roman" w:cs="Times New Roman"/>
          <w:sz w:val="24"/>
          <w:szCs w:val="24"/>
        </w:rPr>
        <w:t>3.5 Data Analysis</w:t>
      </w:r>
      <w:bookmarkEnd w:id="2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were analyzed using SPSS software (Version 25), with statistical methods tailored to assess differences between groups. A one-way ANOVA test determined the significance of differences in GGT levels and oxidative stress markers between control and treatment groups. Post hoc tests were performed to identify specific inter-group differences. Statistical significance was set at p &lt; 0.05, and results were presented as mean ± standard deviation to ensure clarity and reliability in reporting findings.</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26" w:name="_Toc3870"/>
      <w:r>
        <w:rPr>
          <w:rFonts w:hint="default" w:ascii="Times New Roman" w:hAnsi="Times New Roman" w:cs="Times New Roman"/>
          <w:sz w:val="24"/>
          <w:szCs w:val="24"/>
        </w:rPr>
        <w:t>3.6 Ethical Considerations</w:t>
      </w:r>
      <w:bookmarkEnd w:id="2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All experimental protocols were reviewed and approved by the Institutional Animal Care and Use Committee (IACUC), adhering to guidelines for the ethical treatment of laboratory animals. Measures to minimize discomfort and distress were implemented throughout the study, including the use of anesthetics during blood collection and the provision of humane care during all experimental procedures.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27" w:name="_Toc26315"/>
      <w:r>
        <w:rPr>
          <w:rFonts w:hint="default" w:ascii="Times New Roman" w:hAnsi="Times New Roman" w:cs="Times New Roman"/>
          <w:sz w:val="24"/>
          <w:szCs w:val="24"/>
        </w:rPr>
        <w:t>CHAPTER FOUR</w:t>
      </w:r>
      <w:bookmarkEnd w:id="27"/>
    </w:p>
    <w:p>
      <w:pPr>
        <w:pStyle w:val="2"/>
        <w:bidi w:val="0"/>
        <w:spacing w:line="480" w:lineRule="auto"/>
        <w:jc w:val="center"/>
        <w:rPr>
          <w:rFonts w:hint="default" w:ascii="Times New Roman" w:hAnsi="Times New Roman" w:cs="Times New Roman"/>
          <w:sz w:val="24"/>
          <w:szCs w:val="24"/>
        </w:rPr>
      </w:pPr>
      <w:bookmarkStart w:id="28" w:name="_Toc7160"/>
      <w:r>
        <w:rPr>
          <w:rFonts w:hint="default" w:ascii="Times New Roman" w:hAnsi="Times New Roman" w:cs="Times New Roman"/>
          <w:sz w:val="24"/>
          <w:szCs w:val="24"/>
        </w:rPr>
        <w:t>RESULTS</w:t>
      </w:r>
      <w:bookmarkEnd w:id="28"/>
    </w:p>
    <w:p>
      <w:pPr>
        <w:pStyle w:val="3"/>
        <w:bidi w:val="0"/>
        <w:spacing w:line="480" w:lineRule="auto"/>
        <w:rPr>
          <w:rFonts w:hint="default" w:ascii="Times New Roman" w:hAnsi="Times New Roman" w:cs="Times New Roman"/>
          <w:sz w:val="24"/>
          <w:szCs w:val="24"/>
        </w:rPr>
      </w:pPr>
      <w:bookmarkStart w:id="29" w:name="_Toc31494"/>
      <w:r>
        <w:rPr>
          <w:rFonts w:hint="default" w:ascii="Times New Roman" w:hAnsi="Times New Roman" w:cs="Times New Roman"/>
          <w:sz w:val="24"/>
          <w:szCs w:val="24"/>
        </w:rPr>
        <w:t>4.1 Effects of Anthraquinone Derivatives on Serum GGT Levels</w:t>
      </w:r>
      <w:bookmarkEnd w:id="29"/>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presents the effects of anthraquinone derivatives on serum gamma-glutamyl transferase (GGT) levels in Wistar rats. Following a 4-week treatment period, the experimental groups showed varying levels of serum GGT, with notable decreases in GGT activity observed in the medium- and high-dose groups compared to the control.</w:t>
      </w:r>
    </w:p>
    <w:p>
      <w:pPr>
        <w:pStyle w:val="9"/>
        <w:keepNext w:val="0"/>
        <w:keepLines w:val="0"/>
        <w:widowControl/>
        <w:suppressLineNumbers w:val="0"/>
        <w:spacing w:line="480" w:lineRule="auto"/>
        <w:jc w:val="both"/>
        <w:rPr>
          <w:rFonts w:hint="default" w:ascii="Times New Roman" w:hAnsi="Times New Roman" w:cs="Times New Roman"/>
          <w:sz w:val="24"/>
          <w:szCs w:val="24"/>
          <w:lang w:val="en-US"/>
        </w:rPr>
      </w:pPr>
      <w:r>
        <w:rPr>
          <w:rStyle w:val="10"/>
          <w:rFonts w:hint="default" w:ascii="Times New Roman" w:hAnsi="Times New Roman" w:cs="Times New Roman"/>
          <w:sz w:val="24"/>
          <w:szCs w:val="24"/>
        </w:rPr>
        <w:t>Table 4.1</w:t>
      </w:r>
      <w:r>
        <w:rPr>
          <w:rFonts w:hint="default" w:ascii="Times New Roman" w:hAnsi="Times New Roman" w:cs="Times New Roman"/>
          <w:sz w:val="24"/>
          <w:szCs w:val="24"/>
        </w:rPr>
        <w:t xml:space="preserve"> provides a summary of serum GGT levels across the control and treatment groups, with the data represented as mean ± standard deviation</w:t>
      </w:r>
      <w:r>
        <w:rPr>
          <w:rFonts w:hint="default" w:ascii="Times New Roman" w:hAnsi="Times New Roman" w:cs="Times New Roman"/>
          <w:sz w:val="24"/>
          <w:szCs w:val="24"/>
          <w:lang w:val="en-US"/>
        </w:rPr>
        <w:t>.</w:t>
      </w: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left w:w="108" w:type="dxa"/>
          <w:right w:w="108" w:type="dxa"/>
        </w:tblCellMar>
      </w:tblPr>
      <w:tblGrid>
        <w:gridCol w:w="4261"/>
        <w:gridCol w:w="426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Style w:val="10"/>
                <w:rFonts w:hint="default" w:ascii="Times New Roman" w:hAnsi="Times New Roman" w:eastAsia="SimSun" w:cs="Times New Roman"/>
                <w:kern w:val="0"/>
                <w:sz w:val="24"/>
                <w:szCs w:val="24"/>
                <w:lang w:val="en-US" w:eastAsia="zh-CN" w:bidi="ar"/>
              </w:rPr>
              <w:t>Group</w:t>
            </w:r>
          </w:p>
        </w:tc>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Style w:val="10"/>
                <w:rFonts w:hint="default" w:ascii="Times New Roman" w:hAnsi="Times New Roman" w:eastAsia="SimSun" w:cs="Times New Roman"/>
                <w:kern w:val="0"/>
                <w:sz w:val="24"/>
                <w:szCs w:val="24"/>
                <w:lang w:val="en-US" w:eastAsia="zh-CN" w:bidi="ar"/>
              </w:rPr>
              <w:t>GGT Level (U/L)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4261"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lang w:val="en-US"/>
              </w:rPr>
            </w:pPr>
            <w:r>
              <w:rPr>
                <w:rFonts w:hint="default" w:ascii="Times New Roman" w:hAnsi="Times New Roman" w:eastAsia="SimSun" w:cs="Times New Roman"/>
                <w:i/>
                <w:iCs/>
                <w:kern w:val="0"/>
                <w:sz w:val="24"/>
                <w:szCs w:val="24"/>
                <w:lang w:val="en-US" w:eastAsia="zh-CN" w:bidi="ar"/>
              </w:rPr>
              <w:t>Control</w:t>
            </w:r>
          </w:p>
        </w:tc>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42.5 ± 3.2</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4261"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lang w:val="en-US"/>
              </w:rPr>
            </w:pPr>
            <w:r>
              <w:rPr>
                <w:rFonts w:hint="default" w:ascii="Times New Roman" w:hAnsi="Times New Roman" w:eastAsia="SimSun" w:cs="Times New Roman"/>
                <w:i/>
                <w:iCs/>
                <w:kern w:val="0"/>
                <w:sz w:val="24"/>
                <w:szCs w:val="24"/>
                <w:lang w:val="en-US" w:eastAsia="zh-CN" w:bidi="ar"/>
              </w:rPr>
              <w:t>Low Dose</w:t>
            </w:r>
          </w:p>
        </w:tc>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38.1 ± 3.5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4261"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lang w:val="en-US"/>
              </w:rPr>
            </w:pPr>
            <w:r>
              <w:rPr>
                <w:rFonts w:hint="default" w:ascii="Times New Roman" w:hAnsi="Times New Roman" w:eastAsia="SimSun" w:cs="Times New Roman"/>
                <w:i/>
                <w:iCs/>
                <w:kern w:val="0"/>
                <w:sz w:val="24"/>
                <w:szCs w:val="24"/>
                <w:lang w:val="en-US" w:eastAsia="zh-CN" w:bidi="ar"/>
              </w:rPr>
              <w:t>Medium Dose</w:t>
            </w:r>
          </w:p>
        </w:tc>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32.7 ± 2.8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4261"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lang w:val="en-US"/>
              </w:rPr>
            </w:pPr>
            <w:r>
              <w:rPr>
                <w:rFonts w:hint="default" w:ascii="Times New Roman" w:hAnsi="Times New Roman" w:eastAsia="SimSun" w:cs="Times New Roman"/>
                <w:i/>
                <w:iCs/>
                <w:kern w:val="0"/>
                <w:sz w:val="24"/>
                <w:szCs w:val="24"/>
                <w:lang w:val="en-US" w:eastAsia="zh-CN" w:bidi="ar"/>
              </w:rPr>
              <w:t>High Dose</w:t>
            </w:r>
          </w:p>
        </w:tc>
        <w:tc>
          <w:tcPr>
            <w:tcW w:w="426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kern w:val="0"/>
                <w:sz w:val="24"/>
                <w:szCs w:val="24"/>
                <w:lang w:val="en-US" w:eastAsia="zh-CN" w:bidi="ar"/>
              </w:rPr>
              <w:t>28.3 ± 3.1</w:t>
            </w:r>
          </w:p>
        </w:tc>
      </w:tr>
    </w:tbl>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rPr>
      </w:pPr>
    </w:p>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lang w:val="en-US"/>
        </w:rPr>
      </w:pPr>
      <w:r>
        <w:rPr>
          <w:rStyle w:val="10"/>
          <w:rFonts w:hint="default" w:ascii="Times New Roman" w:hAnsi="Times New Roman" w:cs="Times New Roman"/>
          <w:b w:val="0"/>
          <w:bCs w:val="0"/>
          <w:sz w:val="24"/>
          <w:szCs w:val="24"/>
          <w:lang w:val="en-US"/>
        </w:rPr>
        <w:drawing>
          <wp:inline distT="0" distB="0" distL="114300" distR="114300">
            <wp:extent cx="5274310" cy="3955415"/>
            <wp:effectExtent l="0" t="0" r="2540" b="6985"/>
            <wp:docPr id="1" name="Picture 1" descr="Figure_4.1_GGT_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_4.1_GGT_Levels"/>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Figure 4.1</w:t>
      </w:r>
      <w:r>
        <w:rPr>
          <w:rFonts w:hint="default" w:ascii="Times New Roman" w:hAnsi="Times New Roman" w:cs="Times New Roman"/>
          <w:sz w:val="24"/>
          <w:szCs w:val="24"/>
        </w:rPr>
        <w:t xml:space="preserve"> shows a bar chart representing these GGT levels, highlighting the significant reductions observed in the medium- and high-dose groups.</w:t>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indicate that anthraquinone derivatives reduced serum GGT levels in a dose-dependent manner, with the high-dose group showing the most significant decrease. A one-way ANOVA revealed statistically significant differences between groups (p &lt; 0.05), indicating that anthraquinone derivatives effectively modulate GGT activity, particularly at higher doses. These results align with previous studies suggesting that anthraquinone compounds possess antioxidant properties that can reduce oxidative stress markers, including GGT levels (Zhao &amp; Zheng, 2023).</w:t>
      </w:r>
    </w:p>
    <w:p>
      <w:pPr>
        <w:pStyle w:val="3"/>
        <w:bidi w:val="0"/>
        <w:spacing w:line="480" w:lineRule="auto"/>
        <w:rPr>
          <w:rFonts w:hint="default" w:ascii="Times New Roman" w:hAnsi="Times New Roman" w:cs="Times New Roman"/>
          <w:sz w:val="24"/>
          <w:szCs w:val="24"/>
        </w:rPr>
      </w:pPr>
      <w:bookmarkStart w:id="30" w:name="_Toc2184"/>
      <w:r>
        <w:rPr>
          <w:rFonts w:hint="default" w:ascii="Times New Roman" w:hAnsi="Times New Roman" w:cs="Times New Roman"/>
          <w:sz w:val="24"/>
          <w:szCs w:val="24"/>
        </w:rPr>
        <w:t>4.2 Comparative Analysis of GGT Activity in Control and Experimental Groups</w:t>
      </w:r>
      <w:bookmarkEnd w:id="30"/>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further assess the effects of anthraquinone derivatives on GGT activity, a comparative analysis was conducted between the control and experimental groups. Table 4.2 provides a comparative summary, and </w:t>
      </w:r>
      <w:r>
        <w:rPr>
          <w:rStyle w:val="10"/>
          <w:rFonts w:hint="default" w:ascii="Times New Roman" w:hAnsi="Times New Roman" w:cs="Times New Roman"/>
          <w:sz w:val="24"/>
          <w:szCs w:val="24"/>
        </w:rPr>
        <w:t>Figure 4.2</w:t>
      </w:r>
      <w:r>
        <w:rPr>
          <w:rFonts w:hint="default" w:ascii="Times New Roman" w:hAnsi="Times New Roman" w:cs="Times New Roman"/>
          <w:sz w:val="24"/>
          <w:szCs w:val="24"/>
        </w:rPr>
        <w:t xml:space="preserve"> illustrates this data in a line graph format, depicting the percentage change in GGT activity relative to the control group.</w:t>
      </w: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left w:w="108" w:type="dxa"/>
          <w:right w:w="108" w:type="dxa"/>
        </w:tblCellMar>
      </w:tblPr>
      <w:tblGrid>
        <w:gridCol w:w="2840"/>
        <w:gridCol w:w="2841"/>
        <w:gridCol w:w="284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0"/>
                <w:rFonts w:hint="default" w:ascii="Times New Roman" w:hAnsi="Times New Roman" w:eastAsia="SimSun" w:cs="Times New Roman"/>
                <w:kern w:val="0"/>
                <w:sz w:val="24"/>
                <w:szCs w:val="24"/>
                <w:lang w:val="en-US" w:eastAsia="zh-CN" w:bidi="ar"/>
              </w:rPr>
              <w:t>Group</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0"/>
                <w:rFonts w:hint="default" w:ascii="Times New Roman" w:hAnsi="Times New Roman" w:eastAsia="SimSun" w:cs="Times New Roman"/>
                <w:kern w:val="0"/>
                <w:sz w:val="24"/>
                <w:szCs w:val="24"/>
                <w:lang w:val="en-US" w:eastAsia="zh-CN" w:bidi="ar"/>
              </w:rPr>
              <w:t>GGT Level (U/L)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10"/>
                <w:rFonts w:hint="default" w:ascii="Times New Roman" w:hAnsi="Times New Roman" w:eastAsia="SimSun" w:cs="Times New Roman"/>
                <w:kern w:val="0"/>
                <w:sz w:val="24"/>
                <w:szCs w:val="24"/>
                <w:lang w:val="en-US" w:eastAsia="zh-CN" w:bidi="ar"/>
              </w:rPr>
              <w:t>% Change Relative to Control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eastAsia="SimSun" w:cs="Times New Roman"/>
                <w:i/>
                <w:iCs/>
                <w:kern w:val="0"/>
                <w:sz w:val="24"/>
                <w:szCs w:val="24"/>
                <w:lang w:val="en-US" w:eastAsia="zh-CN" w:bidi="ar"/>
              </w:rPr>
              <w:t>Control</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42.5 ± 3.2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eastAsia="SimSun" w:cs="Times New Roman"/>
                <w:i/>
                <w:iCs/>
                <w:kern w:val="0"/>
                <w:sz w:val="24"/>
                <w:szCs w:val="24"/>
                <w:lang w:val="en-US" w:eastAsia="zh-CN" w:bidi="ar"/>
              </w:rPr>
              <w:t>Low Dose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38.1 ± 3.5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eastAsia="SimSun" w:cs="Times New Roman"/>
                <w:i/>
                <w:iCs/>
                <w:kern w:val="0"/>
                <w:sz w:val="24"/>
                <w:szCs w:val="24"/>
                <w:lang w:val="en-US" w:eastAsia="zh-CN" w:bidi="ar"/>
              </w:rPr>
              <w:t>Medium Dose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32.7 ± 2.8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-23.1%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i/>
                <w:iCs/>
                <w:sz w:val="24"/>
                <w:szCs w:val="24"/>
                <w:vertAlign w:val="baseline"/>
              </w:rPr>
            </w:pPr>
            <w:r>
              <w:rPr>
                <w:rFonts w:hint="default" w:ascii="Times New Roman" w:hAnsi="Times New Roman" w:eastAsia="SimSun" w:cs="Times New Roman"/>
                <w:i/>
                <w:iCs/>
                <w:kern w:val="0"/>
                <w:sz w:val="24"/>
                <w:szCs w:val="24"/>
                <w:lang w:val="en-US" w:eastAsia="zh-CN" w:bidi="ar"/>
              </w:rPr>
              <w:t>High Dose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28.3 ± 3.1</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-33.4%</w:t>
            </w:r>
          </w:p>
        </w:tc>
      </w:tr>
    </w:tbl>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rPr>
      </w:pPr>
    </w:p>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lang w:val="en-US"/>
        </w:rPr>
      </w:pPr>
      <w:r>
        <w:rPr>
          <w:rStyle w:val="10"/>
          <w:rFonts w:hint="default" w:ascii="Times New Roman" w:hAnsi="Times New Roman" w:cs="Times New Roman"/>
          <w:b w:val="0"/>
          <w:bCs w:val="0"/>
          <w:sz w:val="24"/>
          <w:szCs w:val="24"/>
          <w:lang w:val="en-US"/>
        </w:rPr>
        <w:drawing>
          <wp:inline distT="0" distB="0" distL="114300" distR="114300">
            <wp:extent cx="5274310" cy="3955415"/>
            <wp:effectExtent l="0" t="0" r="2540" b="6985"/>
            <wp:docPr id="2" name="Picture 2" descr="Figure_4.2_Dose_Dependent_G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_4.2_Dose_Dependent_GGT"/>
                    <pic:cNvPicPr>
                      <a:picLocks noChangeAspect="1"/>
                    </pic:cNvPicPr>
                  </pic:nvPicPr>
                  <pic:blipFill>
                    <a:blip r:embed="rId6"/>
                    <a:stretch>
                      <a:fillRect/>
                    </a:stretch>
                  </pic:blipFill>
                  <pic:spPr>
                    <a:xfrm>
                      <a:off x="0" y="0"/>
                      <a:ext cx="5274310" cy="3955415"/>
                    </a:xfrm>
                    <a:prstGeom prst="rect">
                      <a:avLst/>
                    </a:prstGeom>
                  </pic:spPr>
                </pic:pic>
              </a:graphicData>
            </a:graphic>
          </wp:inline>
        </w:drawing>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Figure 4.2</w:t>
      </w:r>
      <w:r>
        <w:rPr>
          <w:rFonts w:hint="default" w:ascii="Times New Roman" w:hAnsi="Times New Roman" w:cs="Times New Roman"/>
          <w:sz w:val="24"/>
          <w:szCs w:val="24"/>
        </w:rPr>
        <w:t>: The line graph shows a trend of decreasing GGT levels with increasing anthraquinone dosage, suggesting a dose-dependent response.</w:t>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high-dose group exhibited a substantial decrease in GGT activity, with a 33.4% reduction compared to the control. This dose-dependent reduction further supports the potential of anthraquinone derivatives in managing elevated GGT activity associated with obesity. These findings align with previous reports indicating that anthraquinone derivatives can effectively inhibit oxidative stress markers and may play a role in improving metabolic health in high-fat diet models (Braga et al., 2016).</w:t>
      </w:r>
    </w:p>
    <w:p>
      <w:pPr>
        <w:pStyle w:val="3"/>
        <w:bidi w:val="0"/>
        <w:spacing w:line="480" w:lineRule="auto"/>
        <w:rPr>
          <w:rFonts w:hint="default" w:ascii="Times New Roman" w:hAnsi="Times New Roman" w:cs="Times New Roman"/>
          <w:sz w:val="24"/>
          <w:szCs w:val="24"/>
        </w:rPr>
      </w:pPr>
      <w:bookmarkStart w:id="31" w:name="_Toc11441"/>
      <w:r>
        <w:rPr>
          <w:rFonts w:hint="default" w:ascii="Times New Roman" w:hAnsi="Times New Roman" w:cs="Times New Roman"/>
          <w:sz w:val="24"/>
          <w:szCs w:val="24"/>
        </w:rPr>
        <w:t>4.3 Impact of Anthraquinone Derivatives on Body Weight and Other Biochemical Markers</w:t>
      </w:r>
      <w:bookmarkEnd w:id="31"/>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Anthraquinone derivatives also impacted other physiological parameters, such as body weight, serum malondialdehyde (MDA) levels, and superoxide dismutase (SOD) activity. </w:t>
      </w:r>
      <w:r>
        <w:rPr>
          <w:rStyle w:val="10"/>
          <w:rFonts w:hint="default" w:ascii="Times New Roman" w:hAnsi="Times New Roman" w:cs="Times New Roman"/>
          <w:sz w:val="24"/>
          <w:szCs w:val="24"/>
        </w:rPr>
        <w:t>Table 4.3</w:t>
      </w:r>
      <w:r>
        <w:rPr>
          <w:rFonts w:hint="default" w:ascii="Times New Roman" w:hAnsi="Times New Roman" w:cs="Times New Roman"/>
          <w:sz w:val="24"/>
          <w:szCs w:val="24"/>
        </w:rPr>
        <w:t xml:space="preserve"> and </w:t>
      </w:r>
      <w:r>
        <w:rPr>
          <w:rStyle w:val="10"/>
          <w:rFonts w:hint="default" w:ascii="Times New Roman" w:hAnsi="Times New Roman" w:cs="Times New Roman"/>
          <w:sz w:val="24"/>
          <w:szCs w:val="24"/>
        </w:rPr>
        <w:t>Figure 4.3</w:t>
      </w:r>
      <w:r>
        <w:rPr>
          <w:rFonts w:hint="default" w:ascii="Times New Roman" w:hAnsi="Times New Roman" w:cs="Times New Roman"/>
          <w:sz w:val="24"/>
          <w:szCs w:val="24"/>
        </w:rPr>
        <w:t xml:space="preserve"> present the summary of body weight and oxidative stress markers across all groups.</w:t>
      </w:r>
    </w:p>
    <w:tbl>
      <w:tblPr>
        <w:tblStyle w:val="11"/>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left w:w="108" w:type="dxa"/>
          <w:right w:w="108" w:type="dxa"/>
        </w:tblCellMar>
      </w:tblPr>
      <w:tblGrid>
        <w:gridCol w:w="2389"/>
        <w:gridCol w:w="1428"/>
        <w:gridCol w:w="1428"/>
        <w:gridCol w:w="1636"/>
        <w:gridCol w:w="142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Style w:val="10"/>
                <w:rFonts w:hint="default" w:ascii="Times New Roman" w:hAnsi="Times New Roman" w:eastAsia="SimSun" w:cs="Times New Roman"/>
                <w:kern w:val="0"/>
                <w:sz w:val="24"/>
                <w:szCs w:val="24"/>
                <w:lang w:val="en-US" w:eastAsia="zh-CN" w:bidi="ar"/>
              </w:rPr>
              <w:t>Parameter</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Style w:val="10"/>
                <w:rFonts w:hint="default" w:ascii="Times New Roman" w:hAnsi="Times New Roman" w:eastAsia="SimSun" w:cs="Times New Roman"/>
                <w:kern w:val="0"/>
                <w:sz w:val="24"/>
                <w:szCs w:val="24"/>
                <w:lang w:val="en-US" w:eastAsia="zh-CN" w:bidi="ar"/>
              </w:rPr>
              <w:t>Control</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Style w:val="10"/>
                <w:rFonts w:hint="default" w:ascii="Times New Roman" w:hAnsi="Times New Roman" w:eastAsia="SimSun" w:cs="Times New Roman"/>
                <w:kern w:val="0"/>
                <w:sz w:val="24"/>
                <w:szCs w:val="24"/>
                <w:lang w:val="en-US" w:eastAsia="zh-CN" w:bidi="ar"/>
              </w:rPr>
              <w:t>Low Dose</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Style w:val="10"/>
                <w:rFonts w:hint="default" w:ascii="Times New Roman" w:hAnsi="Times New Roman" w:eastAsia="SimSun" w:cs="Times New Roman"/>
                <w:kern w:val="0"/>
                <w:sz w:val="24"/>
                <w:szCs w:val="24"/>
                <w:lang w:val="en-US" w:eastAsia="zh-CN" w:bidi="ar"/>
              </w:rPr>
              <w:t>Medium Dose</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Style w:val="10"/>
                <w:rFonts w:hint="default" w:ascii="Times New Roman" w:hAnsi="Times New Roman" w:eastAsia="SimSun" w:cs="Times New Roman"/>
                <w:kern w:val="0"/>
                <w:sz w:val="24"/>
                <w:szCs w:val="24"/>
                <w:lang w:val="en-US" w:eastAsia="zh-CN" w:bidi="ar"/>
              </w:rPr>
              <w:t>High Dose</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i/>
                <w:iCs/>
                <w:sz w:val="24"/>
                <w:szCs w:val="24"/>
                <w:vertAlign w:val="baseline"/>
              </w:rPr>
            </w:pPr>
            <w:bookmarkStart w:id="40" w:name="_GoBack" w:colFirst="0" w:colLast="0"/>
            <w:r>
              <w:rPr>
                <w:rFonts w:hint="default" w:ascii="Times New Roman" w:hAnsi="Times New Roman" w:eastAsia="SimSun" w:cs="Times New Roman"/>
                <w:i/>
                <w:iCs/>
                <w:kern w:val="0"/>
                <w:sz w:val="24"/>
                <w:szCs w:val="24"/>
                <w:lang w:val="en-US" w:eastAsia="zh-CN" w:bidi="ar"/>
              </w:rPr>
              <w:t>Body Weight (g)</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356.4 ± 15.3</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342.2 ± 14.8</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329.1 ± 13.6</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315.3 ± 12.7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i/>
                <w:iCs/>
                <w:sz w:val="24"/>
                <w:szCs w:val="24"/>
                <w:vertAlign w:val="baseline"/>
              </w:rPr>
            </w:pPr>
            <w:r>
              <w:rPr>
                <w:rFonts w:hint="default" w:ascii="Times New Roman" w:hAnsi="Times New Roman" w:eastAsia="SimSun" w:cs="Times New Roman"/>
                <w:i/>
                <w:iCs/>
                <w:kern w:val="0"/>
                <w:sz w:val="24"/>
                <w:szCs w:val="24"/>
                <w:lang w:val="en-US" w:eastAsia="zh-CN" w:bidi="ar"/>
              </w:rPr>
              <w:t>MDA Level (nmol/mL)</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7.5 ± 0.4</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6.8 ± 0.5</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5.9 ± 0.3</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4.8 ± 0.4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left w:w="108" w:type="dxa"/>
            <w:right w:w="108" w:type="dxa"/>
          </w:tblCellMar>
        </w:tblPrEx>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i/>
                <w:iCs/>
                <w:sz w:val="24"/>
                <w:szCs w:val="24"/>
                <w:vertAlign w:val="baseline"/>
              </w:rPr>
            </w:pPr>
            <w:r>
              <w:rPr>
                <w:rFonts w:hint="default" w:ascii="Times New Roman" w:hAnsi="Times New Roman" w:eastAsia="SimSun" w:cs="Times New Roman"/>
                <w:i/>
                <w:iCs/>
                <w:kern w:val="0"/>
                <w:sz w:val="24"/>
                <w:szCs w:val="24"/>
                <w:lang w:val="en-US" w:eastAsia="zh-CN" w:bidi="ar"/>
              </w:rPr>
              <w:t>SOD Activity (U/mg)</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2.5 ± 0.3</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2.8 ± 0.2</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3.2 ± 0.4</w:t>
            </w:r>
          </w:p>
        </w:tc>
        <w:tc>
          <w:tcPr>
            <w:tcW w:w="0" w:type="auto"/>
            <w:vAlign w:val="center"/>
          </w:tcPr>
          <w:p>
            <w:pPr>
              <w:keepNext w:val="0"/>
              <w:keepLines w:val="0"/>
              <w:widowControl/>
              <w:suppressLineNumbers w:val="0"/>
              <w:spacing w:line="480" w:lineRule="auto"/>
              <w:jc w:val="both"/>
              <w:rPr>
                <w:rStyle w:val="10"/>
                <w:rFonts w:hint="default" w:ascii="Times New Roman" w:hAnsi="Times New Roman" w:cs="Times New Roman"/>
                <w:b w:val="0"/>
                <w:bCs w:val="0"/>
                <w:sz w:val="24"/>
                <w:szCs w:val="24"/>
                <w:vertAlign w:val="baseline"/>
              </w:rPr>
            </w:pPr>
            <w:r>
              <w:rPr>
                <w:rFonts w:hint="default" w:ascii="Times New Roman" w:hAnsi="Times New Roman" w:eastAsia="SimSun" w:cs="Times New Roman"/>
                <w:kern w:val="0"/>
                <w:sz w:val="24"/>
                <w:szCs w:val="24"/>
                <w:lang w:val="en-US" w:eastAsia="zh-CN" w:bidi="ar"/>
              </w:rPr>
              <w:t>3.6 ± 0.3</w:t>
            </w:r>
          </w:p>
        </w:tc>
      </w:tr>
      <w:bookmarkEnd w:id="40"/>
    </w:tbl>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rPr>
      </w:pPr>
    </w:p>
    <w:p>
      <w:pPr>
        <w:pStyle w:val="9"/>
        <w:keepNext w:val="0"/>
        <w:keepLines w:val="0"/>
        <w:widowControl/>
        <w:suppressLineNumbers w:val="0"/>
        <w:spacing w:line="480" w:lineRule="auto"/>
        <w:jc w:val="both"/>
        <w:rPr>
          <w:rStyle w:val="10"/>
          <w:rFonts w:hint="default" w:ascii="Times New Roman" w:hAnsi="Times New Roman" w:cs="Times New Roman"/>
          <w:b w:val="0"/>
          <w:bCs w:val="0"/>
          <w:sz w:val="24"/>
          <w:szCs w:val="24"/>
          <w:lang w:val="en-US"/>
        </w:rPr>
      </w:pPr>
      <w:r>
        <w:rPr>
          <w:rStyle w:val="10"/>
          <w:rFonts w:hint="default" w:ascii="Times New Roman" w:hAnsi="Times New Roman" w:cs="Times New Roman"/>
          <w:b w:val="0"/>
          <w:bCs w:val="0"/>
          <w:sz w:val="24"/>
          <w:szCs w:val="24"/>
          <w:lang w:val="en-US"/>
        </w:rPr>
        <w:drawing>
          <wp:inline distT="0" distB="0" distL="114300" distR="114300">
            <wp:extent cx="5313680" cy="3160395"/>
            <wp:effectExtent l="0" t="0" r="1270" b="1905"/>
            <wp:docPr id="3" name="Picture 3" descr="Figure_4.3_BodyWeight_Oxidative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_4.3_BodyWeight_OxidativeStress"/>
                    <pic:cNvPicPr>
                      <a:picLocks noChangeAspect="1"/>
                    </pic:cNvPicPr>
                  </pic:nvPicPr>
                  <pic:blipFill>
                    <a:blip r:embed="rId7"/>
                    <a:stretch>
                      <a:fillRect/>
                    </a:stretch>
                  </pic:blipFill>
                  <pic:spPr>
                    <a:xfrm>
                      <a:off x="0" y="0"/>
                      <a:ext cx="5313680" cy="3160395"/>
                    </a:xfrm>
                    <a:prstGeom prst="rect">
                      <a:avLst/>
                    </a:prstGeom>
                  </pic:spPr>
                </pic:pic>
              </a:graphicData>
            </a:graphic>
          </wp:inline>
        </w:drawing>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Figure 4.3</w:t>
      </w:r>
      <w:r>
        <w:rPr>
          <w:rFonts w:hint="default" w:ascii="Times New Roman" w:hAnsi="Times New Roman" w:cs="Times New Roman"/>
          <w:sz w:val="24"/>
          <w:szCs w:val="24"/>
        </w:rPr>
        <w:t>: A combined bar chart illustrates the effects of anthraquinone derivatives on body weight and oxidative stress markers.</w:t>
      </w:r>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reveal a significant reduction in body weight and MDA levels among the treatment groups, especially in the high-dose group, where body weight decreased by approximately 11.5% relative to the control. Similarly, SOD activity increased in a dose-dependent manner, suggesting enhanced antioxidant defense. These effects indicate that anthraquinone derivatives positively influence both oxidative stress markers and body weight, which may be linked to their antioxidative and anti-inflammatory properties (Yin et al., 2015). The observed changes align with literature suggesting anthraquinone’s efficacy in mitigating oxidative damage, possibly by enhancing the activity of endogenous antioxidants like SOD (Li et al., 2018).</w:t>
      </w:r>
    </w:p>
    <w:p>
      <w:pPr>
        <w:pStyle w:val="3"/>
        <w:bidi w:val="0"/>
        <w:spacing w:line="480" w:lineRule="auto"/>
        <w:rPr>
          <w:rFonts w:hint="default" w:ascii="Times New Roman" w:hAnsi="Times New Roman" w:cs="Times New Roman"/>
          <w:sz w:val="24"/>
          <w:szCs w:val="24"/>
        </w:rPr>
      </w:pPr>
      <w:bookmarkStart w:id="32" w:name="_Toc13340"/>
      <w:r>
        <w:rPr>
          <w:rFonts w:hint="default" w:ascii="Times New Roman" w:hAnsi="Times New Roman" w:cs="Times New Roman"/>
          <w:sz w:val="24"/>
          <w:szCs w:val="24"/>
        </w:rPr>
        <w:t>4.4 Summary of Findings</w:t>
      </w:r>
      <w:bookmarkEnd w:id="32"/>
    </w:p>
    <w:p>
      <w:pPr>
        <w:pStyle w:val="9"/>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indicate that anthraquinone derivatives exhibit a dose-dependent effect on serum GGT levels, oxidative stress markers, and body weight in Wistar rats with diet-induced obesity. Specifically, GGT levels significantly decreased across all treated groups, with the most substantial reduction observed in the high-dose group, suggesting that anthraquinone derivatives effectively modulate serum GGT activity. Additionally, anthraquinone derivatives led to a decrease in body weight and MDA levels, along with an increase in SOD activity, indicating enhanced oxidative stress management and improved antioxidant capacity. These results support the potential role of anthraquinone derivatives as therapeutic agents in managing obesity-related oxidative stress and metabolic dysfunction. The dose-dependent nature of these effects highlights the importance of optimizing anthraquinone dosage to maximize therapeutic benefits, aligning with existing research on the antioxidative and metabolic effects of anthraquinone compounds.</w:t>
      </w:r>
    </w:p>
    <w:p>
      <w:pPr>
        <w:pStyle w:val="2"/>
        <w:bidi w:val="0"/>
        <w:spacing w:line="480" w:lineRule="auto"/>
        <w:jc w:val="center"/>
        <w:rPr>
          <w:rFonts w:hint="default" w:ascii="Times New Roman" w:hAnsi="Times New Roman" w:cs="Times New Roman"/>
          <w:sz w:val="24"/>
          <w:szCs w:val="24"/>
        </w:rPr>
      </w:pPr>
      <w:bookmarkStart w:id="33" w:name="_Toc29783"/>
      <w:r>
        <w:rPr>
          <w:rFonts w:hint="default" w:ascii="Times New Roman" w:hAnsi="Times New Roman" w:cs="Times New Roman"/>
          <w:sz w:val="24"/>
          <w:szCs w:val="24"/>
        </w:rPr>
        <w:t>CHAPTER FIVE</w:t>
      </w:r>
      <w:bookmarkEnd w:id="33"/>
    </w:p>
    <w:p>
      <w:pPr>
        <w:pStyle w:val="2"/>
        <w:bidi w:val="0"/>
        <w:spacing w:line="480" w:lineRule="auto"/>
        <w:jc w:val="center"/>
        <w:rPr>
          <w:rFonts w:hint="default" w:ascii="Times New Roman" w:hAnsi="Times New Roman" w:cs="Times New Roman"/>
          <w:sz w:val="24"/>
          <w:szCs w:val="24"/>
        </w:rPr>
      </w:pPr>
      <w:bookmarkStart w:id="34" w:name="_Toc22947"/>
      <w:r>
        <w:rPr>
          <w:rFonts w:hint="default" w:ascii="Times New Roman" w:hAnsi="Times New Roman" w:cs="Times New Roman"/>
          <w:sz w:val="24"/>
          <w:szCs w:val="24"/>
        </w:rPr>
        <w:t>DISCUSSION, CONCLUSION, AND RECOMMENDATIONS</w:t>
      </w:r>
      <w:bookmarkEnd w:id="34"/>
    </w:p>
    <w:p>
      <w:pPr>
        <w:pStyle w:val="3"/>
        <w:bidi w:val="0"/>
        <w:spacing w:line="480" w:lineRule="auto"/>
        <w:rPr>
          <w:rFonts w:hint="default" w:ascii="Times New Roman" w:hAnsi="Times New Roman" w:cs="Times New Roman"/>
          <w:sz w:val="24"/>
          <w:szCs w:val="24"/>
        </w:rPr>
      </w:pPr>
      <w:bookmarkStart w:id="35" w:name="_Toc31608"/>
      <w:r>
        <w:rPr>
          <w:rFonts w:hint="default" w:ascii="Times New Roman" w:hAnsi="Times New Roman" w:cs="Times New Roman"/>
          <w:sz w:val="24"/>
          <w:szCs w:val="24"/>
        </w:rPr>
        <w:t>5.1 Discussion of Findings</w:t>
      </w:r>
      <w:bookmarkEnd w:id="35"/>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5.1.1 Comparison with Previous Studies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investigated the effects of anthraquinone derivatives on serum gamma-glutamyl transferase (GGT) levels, body weight, and oxidative stress markers in Wistar rats with high-fat diet-induced obesity. Findings indicate that anthraquinone derivatives led to a dose-dependent decrease in GGT levels and body weight while enhancing superoxide dismutase (SOD) activity and reducing malondialdehyde (MDA) levels. These results align with previous research highlighting the potential antioxidative and anti-inflammatory effects of anthraquinone compounds. Zhao et al. (2023) observed similar reductions in oxidative stress markers, suggesting that anthraquinone derivatives could effectively lower ROS and support endogenous antioxidants.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studies support the observed relationship between anthraquinone compounds and serum GGT modulation. For instance, Yim et al. (2018) demonstrated that natural anthraquinones, such as emodin, significantly lowered oxidative stress markers in animal models with obesity, further corroborating the therapeutic potential of these compounds. Moreover, research on emodin and aloe-emodin, two well-known anthraquinone derivatives, suggests they modulate enzymes linked to oxidative stress and lipid metabolism, which likely contributed to the reduced GGT activity and body weight seen in the current study (Li et al., 2018). These findings underscore the consistent effects of anthraquinone derivatives across different studies, suggesting their potential utility in managing obesity-related oxidative stress.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5.1.2 Implications of Findings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reduction in GGT levels observed in this study has significant implications, as elevated GGT is a biomarker of oxidative stress and liver dysfunction associated with obesity. The dose-dependent reduction in GGT and MDA levels, alongside increased SOD activity, suggests that anthraquinone derivatives help maintain redox homeostasis in obese models. This antioxidative effect could reduce inflammation and prevent cellular damage, supporting the use of anthraquinone derivatives as adjunct therapies for metabolic diseases. Additionally, body weight reduction observed with higher anthraquinone dosages indicates potential applications in weight management, highlighting these derivatives as valuable candidates for obesity treatment.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findings also emphasize the importance of dosage in achieving therapeutic effects. Higher doses of anthraquinone derivatives significantly improved oxidative stress markers, but lower doses yielded modest effects, underscoring the need to determine optimal dosage for clinical applications. Furthermore, since oxidative stress and obesity-related inflammation are implicated in metabolic syndrome, these findings suggest that anthraquinone derivatives may benefit a broader range of metabolic conditions beyond obesity alone, warranting further investigation into their clinical applications (Braga et al., 2016).</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6" w:name="_Toc5567"/>
      <w:r>
        <w:rPr>
          <w:rFonts w:hint="default" w:ascii="Times New Roman" w:hAnsi="Times New Roman" w:cs="Times New Roman"/>
          <w:sz w:val="24"/>
          <w:szCs w:val="24"/>
        </w:rPr>
        <w:t>5.2 Conclusion</w:t>
      </w:r>
      <w:bookmarkEnd w:id="3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demonstrates that anthraquinone derivatives have a dose-dependent effect on serum GGT levels, body weight, and oxidative stress markers in high-fat diet-induced obese Wistar rats. The findings indicate that anthraquinone compounds, particularly at higher dosages, may play a significant role in modulating oxidative stress markers and enzyme activity associated with obesity. GGT levels, commonly elevated in obesity, decreased significantly with anthraquinone treatment, suggesting an antioxidative mechanism that could protect against oxidative damage. Additionally, improvements in other oxidative stress markers, such as MDA and SOD, underscore the antioxidative potential of these compounds, which could be valuable in addressing metabolic disorders associated with obesity and oxidative stress.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results support the hypothesis that anthraquinone derivatives can reduce oxidative stress and inflammation, thus improving metabolic health in obesity models. These findings offer a promising basis for future research on anthraquinone derivatives as potential therapeutics for managing obesity-related conditions. However, given the study’s limitations, including its use of animal models and the controlled experimental setting, further research is necessary to assess the effects of anthraquinone compounds in human subjects.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7" w:name="_Toc10439"/>
      <w:r>
        <w:rPr>
          <w:rFonts w:hint="default" w:ascii="Times New Roman" w:hAnsi="Times New Roman" w:cs="Times New Roman"/>
          <w:sz w:val="24"/>
          <w:szCs w:val="24"/>
        </w:rPr>
        <w:t>5.3 Recommendations for Further Research</w:t>
      </w:r>
      <w:bookmarkEnd w:id="3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build on the findings of this study, further research should focus on the following:</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Conducting clinical trials to evaluate the efficacy and safety of anthraquinone derivatives in human subjects with obesity.</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Investigating the long-term effects of anthraquinone derivatives on metabolic health and their potential interactions with other medications commonly prescribed for obesity.</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Exploring the mechanisms of action by which anthraquinone derivatives modulate serum GGT activity and other oxidative stress markers, potentially using advanced molecular techniques.</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Testing anthraquinone derivatives in combination with lifestyle interventions, such as dietary modifications, to determine synergistic effects on weight management and metabolic health.</w:t>
      </w:r>
    </w:p>
    <w:p>
      <w:pPr>
        <w:pStyle w:val="3"/>
        <w:bidi w:val="0"/>
        <w:spacing w:line="480" w:lineRule="auto"/>
        <w:rPr>
          <w:rFonts w:hint="default" w:ascii="Times New Roman" w:hAnsi="Times New Roman" w:cs="Times New Roman"/>
          <w:sz w:val="24"/>
          <w:szCs w:val="24"/>
        </w:rPr>
      </w:pPr>
      <w:bookmarkStart w:id="38" w:name="_Toc26249"/>
      <w:r>
        <w:rPr>
          <w:rFonts w:hint="default" w:ascii="Times New Roman" w:hAnsi="Times New Roman" w:cs="Times New Roman"/>
          <w:sz w:val="24"/>
          <w:szCs w:val="24"/>
        </w:rPr>
        <w:t>5.4 Practical Applications of Findings</w:t>
      </w:r>
      <w:bookmarkEnd w:id="3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provide a potential basis for developing therapeutic interventions targeting obesity and associated oxidative stress. The dose-dependent effects of anthraquinone derivatives on GGT and oxidative stress markers highlight the possibility of formulating antioxidant supplements specifically for individuals with obesity or metabolic syndrome. Additionally, anthraquinone derivatives may be incorporated into functional foods or nutraceuticals aimed at supporting weight management and reducing oxidative stress. These applications could address the increasing prevalence of obesity-related health issues, promoting better metabolic health and potentially reducing the need for more invasive treatments.</w:t>
      </w:r>
    </w:p>
    <w:p>
      <w:pPr>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9" w:name="_Toc13154"/>
      <w:r>
        <w:rPr>
          <w:rFonts w:hint="default" w:ascii="Times New Roman" w:hAnsi="Times New Roman" w:cs="Times New Roman"/>
          <w:sz w:val="24"/>
          <w:szCs w:val="24"/>
        </w:rPr>
        <w:t>5.5 Limitations of the Study</w:t>
      </w:r>
      <w:bookmarkEnd w:id="3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faced certain limitations. First, it utilized Wistar rats as an animal model, which, while useful for simulating human obesity, may not fully replicate the human physiological response to anthraquinone derivatives. Therefore, the translation of these findings to human applications requires cautious interpretation. Secondly, the study was limited to a four-week treatment period, which may not reflect the long-term effects of anthraquinone derivatives on oxidative stress and metabolic health. Additionally, the experimental setting allowed for precise control over diet and dosage, which may not be achievable in real-world applications. Future studies should consider a longer treatment duration, and trials involving human subjects will be necessary to validate the observed effects of anthraquinone derivatives on obesity-related oxidative stress.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References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Bassetti, L., Hagendoorn, M., &amp; Tramper, J. (1995). Surfactant-induced non-lethal release of anthraquinones from suspension cultures of Morinda citrifolia. Journal of Biotechnology, 39(2), 149–155.</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Bicer, P.O., Demirci, T., Asci, O.A., &amp; Baydar, N.G. (2017). Effects of methyl jasmonate and caffeic acid applications on secondary metabolite production in madder (Rubia tinctorum) root cultures. Indian Journal of Pharmaceutical Education, 51, 508–512.</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Borroto, J., Coll, J., Rivas, M., Blanco, M., Concepción, O., et al. (2008). Anthraquinones from in vitro root culture of Morinda royoc L. Plant Cell, Tissue and Organ Culture, 94, 181–187.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Bulgakov, V.P., Tchernoded, G.K., Mischenko, N.P., Khodakovskaya, M.V., Glazunov, V.P., et al. (2002). Effect of salicylic acid, methyl jasmonate, ethephon, and cantharidin on anthraquinone production by Rubia cordifolia callus cultures transformed with the rolB and rolC genes. Journal of Biotechnology, 97(3), 213–221.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Bulgakov, V.P., Tchernoded, G.K., Mischenko, N.P., Khodakovskaya, M.V., Glazunov, V.P., et al. (2002). Effect of salicylic acid, methyl jasmonate, ethephon, and cantharidin on anthraquinone production by Rubia cordifolia callus cultures transformed with the rolB and rolC genes. Journal of Biotechnology, 97(3), 213–221.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Busto, V.D., Calabró-López, A., Rodríguez-Talou, J., Giulietti, A.M., &amp; Merchuk, J.C. (2013). Anthraquinones production in Rubia tinctorum cell suspension cultures: down scale of shear effects. Biochemical Engineering Journal, 77, 119–128.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Busto, V.D., Calabró-López, A., Rodríguez-Talou, J., Giulietti, A.M., &amp; Merchuk, J.C. (2013). Anthraquinones production in Rubia tinctorum cell suspension cultures: down scale of shear effects. Biochemical Engineering Journal, 77, 119–128.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Cai, Z., Riedel, H., Saw, N.M.M.T., Mewis, I., Reineke, K., Knorr, D., &amp; Smetanska, I. (2011). Effects of elicitors and high hydrostatic pressure on secondary metabolism of Vitis vinifera suspension culture. Process Biochemistry, 46(7), 1411–1416.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Caro, Y., Anamale, L., Fouillaud, M., Laurent, P., Petit, T., &amp; Dufossé, L. (2012). Natural hydroxyanthraquinoid pigments as potent food grade colorants: an overview. Natural Product Bioprospecting, 2, 174–193.</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Chandran, H., Meena, M., Barupal, T., &amp; Sharm, K. (2020). Plant tissue culture as a perpetual source for production of industrially important bioactive compounds. Biotechnology Reports, 26, e00450.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Chen, Q., et al. (2021). Aloe-emodin enhances cholesterol efflux by upregulating ABCA1 expression in high-fat diet-fed mice. Lipids in Health and Disease, 20(1), 114.</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Chen, S., et al. (2021). Anthraquinone derivatives reduce inflammation and macrophage infiltration in adipose tissue of obese mice. Journal of Inflammation Research, 14, 2711-2722.</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Hong, M., et al. (2016). Emodin inhibits tumor necrosis factor-alpha induced expression of adhesion molecules in endothelial cells by blocking the NF-κB pathway. Mediators of Inflammation, 2016.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Huang, J., et al. (2020). Emodin reduces oxidative stress and protects liver function in a model of diet-induced obesity. Oxidative Medicine and Cellular Longevity, 2020.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Kim, M., et al. (2018). Aloe-emodin inhibits adipogenesis in 3T3-L1 preadipocytes by downregulating PPARγ. Journal of Ethnopharmacology, 221, 77-84.</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Kim, M., Park, H., &amp; Seo, Y. (2021). Gamma-glutamyl transferase as a biomarker for liver function and oxidative stress. World Journal of Gastroenterology, 27(15), 1696–1711.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 Q., et al. (2019). Aloe-emodin enhances leptin sensitivity and promotes weight loss in diet-induced obese rats. Phytomedicine, 55, 11-19.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 W., et al. (2018). Emodin ameliorates endoplasmic reticulum stress and insulin resistance in obese mice by inhibiting PERK pathway. Metabolism, 85, 47-57.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 X., et al. (2018). Rhein regulates lipid metabolism by inhibiting sterol regulatory element-binding protein 1 (SREBP-1) in high-fat diet-fed rats. Journal of Physiology and Biochemistry, 74(2), 229-237.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Liu, Y., et al. (2019). Emodin improves insulin sensitivity and ameliorates hepatic steatosis by activating AMPK. Scientific Reports, 9(1), 1-11.</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Lu, Z., et al. (2020). Aloe-emodin regulates appetite via leptin signaling in the hypothalamus of diet-induced obese rats. Phytotherapy Research, 34(5), 1126-1135.</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Nannipieri, M., Cecchetti, F., &amp; Anselmino, M. (2019). Non-alcoholic fatty liver disease and obesity. Digestive Diseases and Sciences, 64(5), 1224–1230.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Sun, L., et al. (2022). Anthraquinone derivatives promote the browning of white adipose tissue and energy expenditure in diet-induced obese mice. Cell Metabolism, 34(3), 456-472.</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Wu, X., et al. (2020). Rhein ameliorates non-alcoholic fatty liver disease in high-fat diet-induced obese mice by inhibiting the NLRP3 inflammasome pathway. Molecular Medicine Reports, 21(6), 2246-2256.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Zhang, H., et al. (2018). Rhein improves mitochondrial function by increasing mitophagy in liver cells of high-fat diet-induced obese rats. European Journal of Pharmacology, 818, 499-507.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Zhao, Y., et al. (2017). Emodin suppresses obesity and related metabolic disorders by modulating adipose tissue macrophage polarization and liver homeostasis in mice. Biochemical Pharmacology, 145, 16-27.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Zhao, Y., et al. (2021). Emodin modulates gut microbiota to reduce obesity-associated inflammation in high-fat diet-fed mice. Frontiers in Microbiology, 12, 704387.</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Historic">
    <w:panose1 w:val="020B0502040204020203"/>
    <w:charset w:val="00"/>
    <w:family w:val="auto"/>
    <w:pitch w:val="default"/>
    <w:sig w:usb0="800001EF" w:usb1="02000002" w:usb2="0060C080" w:usb3="00000002" w:csb0="00000001" w:csb1="40000000"/>
  </w:font>
  <w:font w:name="Segoe UI Black">
    <w:panose1 w:val="020B0A02040204020203"/>
    <w:charset w:val="00"/>
    <w:family w:val="auto"/>
    <w:pitch w:val="default"/>
    <w:sig w:usb0="E00002FF" w:usb1="4000E47F" w:usb2="00000021" w:usb3="00000000" w:csb0="2000019F" w:csb1="00000000"/>
  </w:font>
  <w:font w:name="Bahnschrift">
    <w:panose1 w:val="020B0502040204020203"/>
    <w:charset w:val="00"/>
    <w:family w:val="auto"/>
    <w:pitch w:val="default"/>
    <w:sig w:usb0="A00002C7" w:usb1="00000002"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8zo/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L18zo/MAgAA&#10;IwYAAA4AAAAAAAAAAQAgAAAAHwEAAGRycy9lMm9Eb2MueG1sUEsFBgAAAAAGAAYAWQEAAF0GAAAA&#10;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1FD96"/>
    <w:multiLevelType w:val="singleLevel"/>
    <w:tmpl w:val="FC31FD96"/>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0D437C2"/>
    <w:multiLevelType w:val="singleLevel"/>
    <w:tmpl w:val="20D437C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3023B0BE"/>
    <w:multiLevelType w:val="singleLevel"/>
    <w:tmpl w:val="3023B0BE"/>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C2FB8"/>
    <w:rsid w:val="0C811890"/>
    <w:rsid w:val="4E7C2FB8"/>
    <w:rsid w:val="512E6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5"/>
    <w:qFormat/>
    <w:uiPriority w:val="0"/>
    <w:rPr>
      <w:b/>
      <w:bCs/>
    </w:rPr>
  </w:style>
  <w:style w:type="table" w:styleId="11">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2024-10-07T18:23:00Z</dcterms:created>
  <dc:creator>drprinxe</dc:creator>
  <cp:lastModifiedBy>drprinxe</cp:lastModifiedBy>
  <dcterms:modified xsi:type="dcterms:W3CDTF">2024-10-07T20:38:44Z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8B3B766270D64CF38978CA573BAC342E_11</vt:lpwstr>
  </property>
</Properties>
</file>