
<file path=[Content_Types].xml><?xml version="1.0" encoding="utf-8"?>
<Types xmlns="http://schemas.openxmlformats.org/package/2006/content-types">
  <Default Extension="xml" ContentType="application/xml"/>
  <Default Extension="xlsx" ContentType="application/vnd.openxmlformats-officedocument.spreadsheetml.shee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spacing w:line="24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THE KNOWLEDGE, </w:t>
      </w:r>
      <w:r>
        <w:rPr>
          <w:rFonts w:hint="default" w:ascii="Times New Roman" w:hAnsi="Times New Roman" w:cs="Times New Roman"/>
          <w:b/>
          <w:bCs/>
          <w:sz w:val="24"/>
          <w:szCs w:val="24"/>
        </w:rPr>
        <w:t>PRACTICES AND BARRIERS TO HAND HYGIENE AMONG NURSES IN SURGICAL WARDS IN FEDERAL MEDICAL CENTER</w:t>
      </w:r>
      <w:r>
        <w:rPr>
          <w:rFonts w:hint="default" w:ascii="Times New Roman" w:hAnsi="Times New Roman" w:cs="Times New Roman"/>
          <w:b/>
          <w:bCs/>
          <w:sz w:val="24"/>
          <w:szCs w:val="24"/>
          <w:lang w:val="en-US"/>
        </w:rPr>
        <w:t>,</w:t>
      </w:r>
      <w:r>
        <w:rPr>
          <w:rFonts w:hint="default" w:ascii="Times New Roman" w:hAnsi="Times New Roman" w:cs="Times New Roman"/>
          <w:b/>
          <w:bCs/>
          <w:sz w:val="24"/>
          <w:szCs w:val="24"/>
        </w:rPr>
        <w:t xml:space="preserve"> UMUAHIA</w:t>
      </w:r>
      <w:r>
        <w:rPr>
          <w:rFonts w:hint="default" w:ascii="Times New Roman" w:hAnsi="Times New Roman" w:cs="Times New Roman"/>
          <w:b/>
          <w:bCs/>
          <w:sz w:val="24"/>
          <w:szCs w:val="24"/>
          <w:lang w:val="en-US"/>
        </w:rPr>
        <w:t>, ABIA STATE</w:t>
      </w: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480" w:lineRule="auto"/>
        <w:jc w:val="both"/>
        <w:rPr>
          <w:rFonts w:hint="default" w:ascii="Times New Roman" w:hAnsi="Times New Roman" w:cs="Times New Roman"/>
          <w:b w:val="0"/>
          <w:bCs w:val="0"/>
          <w:sz w:val="24"/>
          <w:szCs w:val="24"/>
        </w:rPr>
      </w:pPr>
    </w:p>
    <w:p>
      <w:pPr>
        <w:bidi w:val="0"/>
        <w:spacing w:line="36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ABSTRACT</w:t>
      </w:r>
    </w:p>
    <w:p>
      <w:pPr>
        <w:spacing w:line="36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study aimed to evaluate the level of knowledge, adherence to proper hand hygiene procedures, and identify the obstacles faced by nurses working in surgical wards at the Federal Medical Centre (FMC) in Umuahia. This study specifically evaluated the nurses' understanding of hand hygiene protocols in surgical wards, their compliance with these protocols, and the obstacles that hinder their adherence to hand hygiene procedures in surgical wards. A survey study methodology was employed, and a sample of twenty-five nurses was selected using the simple random sampling procedure. The survey findings indicate that nurses in the surgical ward of FMC have a sufficient understanding (77.5%) of hand hygiene and its significance in minimising the spread of infections. Additional research found that nurses in FMC surgical wards exhibit a moderate level of adherence (48%) to hand cleaning. Furthermore, there exists a strong and statistically significant correlation between the level of understanding of hand hygiene (r =.824**) and the number of years of experience in nursing (r =.648**), as well as the actual practice of hand washing. This study advocates for ongoing education of nurses regarding the importance and function of hand hygiene in minimising the spread of infections among nurses and from nurses to patients.</w:t>
      </w:r>
    </w:p>
    <w:p>
      <w:pPr>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Keywords:</w:t>
      </w:r>
      <w:r>
        <w:rPr>
          <w:rFonts w:hint="default" w:ascii="Times New Roman" w:hAnsi="Times New Roman" w:cs="Times New Roman"/>
          <w:b/>
          <w:bCs/>
          <w:i/>
          <w:iCs/>
          <w:sz w:val="24"/>
          <w:szCs w:val="24"/>
          <w:lang w:val="en-US"/>
        </w:rPr>
        <w:t xml:space="preserve"> Hand Hygiene, knowledge, practice, nurses, FMC Umuahia</w:t>
      </w: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sz w:val="24"/>
          <w:szCs w:val="24"/>
          <w:lang w:val="en-US"/>
        </w:rPr>
      </w:pP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OF CONTENT</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ABSTRACT</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ONE</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Introduction</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Background to the study-</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Statement of problem-</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Objectives of the study-</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Research questions-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Research Hypothesis-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Significance of the study-</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Scope of study-</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Operational definition of terms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CHAPTER TWO </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Literature Review</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Conceptual review-</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Theoretical review-</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Empirical review-</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THREE</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Methodology</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Design-</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Setting</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Target population-</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Sampling-</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Sampling technique-</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Instruments for data collection-</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Validity of instrument-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Reliability of Instrument-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Method of data collection-</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Method of data analysis-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Ethical consideration-</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FOUR</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Results </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Demographic Presentation-</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Answers to research questions/hypotheses-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FIVE</w:t>
      </w:r>
    </w:p>
    <w:p>
      <w:pPr>
        <w:spacing w:line="480" w:lineRule="auto"/>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Discussion of Findings</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Key findings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Implication of the findings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Implications of findings to nursing-</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Limitations of the study-</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Summary of the study-</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Conclusion-</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Recommendations-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Suggestions for further studies-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References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List of tables</w:t>
      </w:r>
    </w:p>
    <w:p>
      <w:pPr>
        <w:spacing w:line="480" w:lineRule="auto"/>
        <w:rPr>
          <w:rFonts w:hint="default" w:ascii="Times New Roman" w:hAnsi="Times New Roman" w:cs="Times New Roman"/>
          <w:sz w:val="24"/>
          <w:szCs w:val="24"/>
          <w:lang w:val="en-US"/>
        </w:rPr>
      </w:pPr>
      <w:r>
        <w:rPr>
          <w:rFonts w:hint="default" w:ascii="Times New Roman" w:hAnsi="Times New Roman" w:cs="Times New Roman"/>
          <w:sz w:val="24"/>
          <w:szCs w:val="24"/>
          <w:lang w:val="en-US"/>
        </w:rPr>
        <w:t>List of Figures</w:t>
      </w:r>
    </w:p>
    <w:p>
      <w:pPr>
        <w:spacing w:line="480" w:lineRule="auto"/>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CHAPTER ONE</w:t>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INTRODUCTION</w:t>
      </w:r>
    </w:p>
    <w:p>
      <w:pPr>
        <w:numPr>
          <w:ilvl w:val="1"/>
          <w:numId w:val="1"/>
        </w:num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Background to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A Health Care Associated Infection (HCAI) is defined as an infection acquired by patients whilst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seeking treatment in a health care facility (Ezike, Ada, Odikpo</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&amp; Onyia</w:t>
      </w:r>
      <w:r>
        <w:rPr>
          <w:rFonts w:hint="default" w:ascii="Times New Roman" w:hAnsi="Times New Roman" w:cs="Times New Roman"/>
          <w:sz w:val="24"/>
          <w:szCs w:val="24"/>
          <w:lang w:val="en-US"/>
        </w:rPr>
        <w:t>, 2021</w:t>
      </w:r>
      <w:r>
        <w:rPr>
          <w:rFonts w:hint="default" w:ascii="Times New Roman" w:hAnsi="Times New Roman" w:cs="Times New Roman"/>
          <w:sz w:val="24"/>
          <w:szCs w:val="24"/>
        </w:rPr>
        <w:t>). It can be caused by different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microbes such as viruses, parasites, fungi but is most readily linked with bacteria. Transmission</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routes can occur either through endogenous or exogenous infectious agents (Park</w:t>
      </w:r>
      <w:r>
        <w:rPr>
          <w:rFonts w:hint="default" w:ascii="Times New Roman" w:hAnsi="Times New Roman" w:cs="Times New Roman"/>
          <w:sz w:val="24"/>
          <w:szCs w:val="24"/>
          <w:lang w:val="en-US"/>
        </w:rPr>
        <w:t xml:space="preserve"> et al.</w:t>
      </w:r>
      <w:r>
        <w:rPr>
          <w:rFonts w:hint="default" w:ascii="Times New Roman" w:hAnsi="Times New Roman" w:cs="Times New Roman"/>
          <w:sz w:val="24"/>
          <w:szCs w:val="24"/>
        </w:rPr>
        <w:t>, 20</w:t>
      </w:r>
      <w:r>
        <w:rPr>
          <w:rFonts w:hint="default" w:ascii="Times New Roman" w:hAnsi="Times New Roman" w:cs="Times New Roman"/>
          <w:sz w:val="24"/>
          <w:szCs w:val="24"/>
          <w:lang w:val="en-US"/>
        </w:rPr>
        <w:t>23</w:t>
      </w:r>
      <w:r>
        <w:rPr>
          <w:rFonts w:hint="default" w:ascii="Times New Roman" w:hAnsi="Times New Roman" w:cs="Times New Roman"/>
          <w:sz w:val="24"/>
          <w:szCs w:val="24"/>
        </w:rPr>
        <w:t>). Endogenous infections are referred to as infections caused by</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microorganisms already present in the body of a patient which spreads from one area to another</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usually through the hands of a health care worker (HCW) by touching the infected area (Alwatifi &amp; Hattab,</w:t>
      </w:r>
      <w:r>
        <w:rPr>
          <w:rFonts w:hint="default" w:ascii="Times New Roman" w:hAnsi="Times New Roman" w:cs="Times New Roman"/>
          <w:sz w:val="24"/>
          <w:szCs w:val="24"/>
          <w:lang w:val="en-US"/>
        </w:rPr>
        <w:t xml:space="preserve"> 2022</w:t>
      </w:r>
      <w:r>
        <w:rPr>
          <w:rFonts w:hint="default" w:ascii="Times New Roman" w:hAnsi="Times New Roman" w:cs="Times New Roman"/>
          <w:sz w:val="24"/>
          <w:szCs w:val="24"/>
        </w:rPr>
        <w:t>). Endogenous sources which also act as reservoirs of infections include the skin, nose,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mouth, gastrointestinal tract or the vagina.</w:t>
      </w:r>
      <w:r>
        <w:rPr>
          <w:rFonts w:hint="default" w:ascii="Times New Roman" w:hAnsi="Times New Roman" w:cs="Times New Roman"/>
          <w:sz w:val="24"/>
          <w:szCs w:val="24"/>
          <w:lang w:val="en-US"/>
        </w:rPr>
        <w:t xml:space="preserve"> Health care workers w</w:t>
      </w:r>
      <w:r>
        <w:rPr>
          <w:rFonts w:hint="default" w:ascii="Times New Roman" w:hAnsi="Times New Roman" w:cs="Times New Roman"/>
          <w:sz w:val="24"/>
          <w:szCs w:val="24"/>
        </w:rPr>
        <w:t>ith poor hand hygiene (HH) compliance who</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do not wash their hands in between direct contact with patients may rapidly transfer potential</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antimicrobial resistant bacteria to other patients (Esan</w:t>
      </w:r>
      <w:r>
        <w:rPr>
          <w:rFonts w:hint="default" w:ascii="Times New Roman" w:hAnsi="Times New Roman" w:cs="Times New Roman"/>
          <w:sz w:val="24"/>
          <w:szCs w:val="24"/>
          <w:lang w:val="en-US"/>
        </w:rPr>
        <w:t xml:space="preserve"> et al.</w:t>
      </w:r>
      <w:r>
        <w:rPr>
          <w:rFonts w:hint="default" w:ascii="Times New Roman" w:hAnsi="Times New Roman" w:cs="Times New Roman"/>
          <w:sz w:val="24"/>
          <w:szCs w:val="24"/>
        </w:rPr>
        <w:t>, 20</w:t>
      </w:r>
      <w:r>
        <w:rPr>
          <w:rFonts w:hint="default" w:ascii="Times New Roman" w:hAnsi="Times New Roman" w:cs="Times New Roman"/>
          <w:sz w:val="24"/>
          <w:szCs w:val="24"/>
          <w:lang w:val="en-US"/>
        </w:rPr>
        <w:t>23</w:t>
      </w:r>
      <w:r>
        <w:rPr>
          <w:rFonts w:hint="default" w:ascii="Times New Roman" w:hAnsi="Times New Roman" w:cs="Times New Roman"/>
          <w:sz w:val="24"/>
          <w:szCs w:val="24"/>
        </w:rPr>
        <w:t>). HCWs hands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gradually get exposed and colonized by germs and possibly microbes when tending to patients.</w:t>
      </w:r>
      <w:r>
        <w:rPr>
          <w:rFonts w:hint="default" w:ascii="Times New Roman" w:hAnsi="Times New Roman" w:cs="Times New Roman"/>
          <w:sz w:val="24"/>
          <w:szCs w:val="24"/>
          <w:lang w:val="en-US"/>
        </w:rPr>
        <w:t xml:space="preserve">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Therefore, there is an increased risk of acquiring a HCAI from a HCW with an increased amount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of hand contamination especially in health care facilities lacking hand hygiene.</w:t>
      </w:r>
      <w:r>
        <w:rPr>
          <w:rFonts w:hint="default" w:ascii="Times New Roman" w:hAnsi="Times New Roman" w:cs="Times New Roman"/>
          <w:sz w:val="24"/>
          <w:szCs w:val="24"/>
          <w:lang w:val="en-US"/>
        </w:rPr>
        <w:t xml:space="preserve"> More so, e</w:t>
      </w:r>
      <w:r>
        <w:rPr>
          <w:rFonts w:hint="default" w:ascii="Times New Roman" w:hAnsi="Times New Roman" w:cs="Times New Roman"/>
          <w:sz w:val="24"/>
          <w:szCs w:val="24"/>
        </w:rPr>
        <w:t>xogenous infections are spread as a result of external sources usually via direct contact with</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infected patients or through the environment (Botchwey</w:t>
      </w:r>
      <w:r>
        <w:rPr>
          <w:rFonts w:hint="default" w:ascii="Times New Roman" w:hAnsi="Times New Roman" w:cs="Times New Roman"/>
          <w:sz w:val="24"/>
          <w:szCs w:val="24"/>
          <w:lang w:val="en-US"/>
        </w:rPr>
        <w:t xml:space="preserve"> et al.</w:t>
      </w:r>
      <w:r>
        <w:rPr>
          <w:rFonts w:hint="default" w:ascii="Times New Roman" w:hAnsi="Times New Roman" w:cs="Times New Roman"/>
          <w:sz w:val="24"/>
          <w:szCs w:val="24"/>
        </w:rPr>
        <w:t>, 20</w:t>
      </w:r>
      <w:r>
        <w:rPr>
          <w:rFonts w:hint="default" w:ascii="Times New Roman" w:hAnsi="Times New Roman" w:cs="Times New Roman"/>
          <w:sz w:val="24"/>
          <w:szCs w:val="24"/>
          <w:lang w:val="en-US"/>
        </w:rPr>
        <w:t>23</w:t>
      </w:r>
      <w:r>
        <w:rPr>
          <w:rFonts w:hint="default" w:ascii="Times New Roman" w:hAnsi="Times New Roman" w:cs="Times New Roman"/>
          <w:sz w:val="24"/>
          <w:szCs w:val="24"/>
        </w:rPr>
        <w:t>). Sources of</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exogenous infections also include health care workers, visitors, patient care equipment and</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medical devices.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Figures of the global burden of HCAI are not exact due to the difficulty in gathering reliable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data. Studies indicate that around 5% to 30% of hospitalized patients per year get infected with at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least one HCAI, which subsequently leads to increased financial burden for these patients and</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their families as well as healthcare facilities (Ataiyero,</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Dyson, &amp; Graham,</w:t>
      </w:r>
      <w:r>
        <w:rPr>
          <w:rFonts w:hint="default" w:ascii="Times New Roman" w:hAnsi="Times New Roman" w:cs="Times New Roman"/>
          <w:sz w:val="24"/>
          <w:szCs w:val="24"/>
          <w:lang w:val="en-US"/>
        </w:rPr>
        <w:t xml:space="preserve"> 2023</w:t>
      </w:r>
      <w:r>
        <w:rPr>
          <w:rFonts w:hint="default" w:ascii="Times New Roman" w:hAnsi="Times New Roman" w:cs="Times New Roman"/>
          <w:sz w:val="24"/>
          <w:szCs w:val="24"/>
        </w:rPr>
        <w: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These high expenses on health care providers could be directed towards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attaining additional</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resources beneficial for the health care system</w:t>
      </w:r>
      <w:r>
        <w:rPr>
          <w:rFonts w:hint="default" w:ascii="Times New Roman" w:hAnsi="Times New Roman" w:cs="Times New Roman"/>
          <w:sz w:val="24"/>
          <w:szCs w:val="24"/>
          <w:lang w:val="en-US"/>
        </w:rPr>
        <w:t xml:space="preserve"> (Yeboah, Yaw-Opoku, &amp; Henneh, 2023)</w:t>
      </w:r>
      <w:r>
        <w:rPr>
          <w:rFonts w:hint="default" w:ascii="Times New Roman" w:hAnsi="Times New Roman" w:cs="Times New Roman"/>
          <w:sz w:val="24"/>
          <w:szCs w:val="24"/>
        </w:rPr>
        <w:t>. It is important to note that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HCAI is an issue faced by both high and low income countries where patient impacts range from</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prolonged hospital stay to long-term disability alongside exposure to antibiotic resistant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organisms.</w:t>
      </w:r>
      <w:r>
        <w:rPr>
          <w:rFonts w:hint="default" w:ascii="Times New Roman" w:hAnsi="Times New Roman" w:cs="Times New Roman"/>
          <w:sz w:val="24"/>
          <w:szCs w:val="24"/>
          <w:lang w:val="en-US"/>
        </w:rPr>
        <w:t xml:space="preserve"> Albeit, health care facilities in low-income settings are burdened with the additional responsibility of providing safe health care to patients admits mostly overcrowded outpatient care facilities (Mutshatshi, &amp; Rasweswe, 2023).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These facilities worldwide are faced with the challenge of providing quality access to patient treatment and care for an increasing population. A growing proportion of which are immunocompromised and subsequently more vulnerable to HCAI. Targeted action is necessary to combat this significant proportion of diseases spread through unsafe health care settings (Hindi, &amp; Abd, 2022).  It should be noted that</w:t>
      </w:r>
      <w:r>
        <w:rPr>
          <w:rFonts w:hint="default" w:ascii="Times New Roman" w:hAnsi="Times New Roman" w:cs="Times New Roman"/>
          <w:sz w:val="24"/>
          <w:szCs w:val="24"/>
        </w:rPr>
        <w:t>, the hands of HCW together with patients are the main cause for</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 spread of both endogenous and exogenous infections to fellow patients as well as visitors and</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HCW themselves (Setiaman, Samiasih,</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&amp; Hidayati, 20</w:t>
      </w:r>
      <w:r>
        <w:rPr>
          <w:rFonts w:hint="default" w:ascii="Times New Roman" w:hAnsi="Times New Roman" w:cs="Times New Roman"/>
          <w:sz w:val="24"/>
          <w:szCs w:val="24"/>
          <w:lang w:val="en-US"/>
        </w:rPr>
        <w:t>22</w:t>
      </w:r>
      <w:r>
        <w:rPr>
          <w:rFonts w:hint="default" w:ascii="Times New Roman" w:hAnsi="Times New Roman" w:cs="Times New Roman"/>
          <w:sz w:val="24"/>
          <w:szCs w:val="24"/>
        </w:rPr>
        <w:t>). It is therefore of interest to examine H</w:t>
      </w:r>
      <w:r>
        <w:rPr>
          <w:rFonts w:hint="default" w:ascii="Times New Roman" w:hAnsi="Times New Roman" w:cs="Times New Roman"/>
          <w:sz w:val="24"/>
          <w:szCs w:val="24"/>
          <w:lang w:val="en-US"/>
        </w:rPr>
        <w:t xml:space="preserve">and </w:t>
      </w:r>
      <w:r>
        <w:rPr>
          <w:rFonts w:hint="default" w:ascii="Times New Roman" w:hAnsi="Times New Roman" w:cs="Times New Roman"/>
          <w:sz w:val="24"/>
          <w:szCs w:val="24"/>
        </w:rPr>
        <w:t>H</w:t>
      </w:r>
      <w:r>
        <w:rPr>
          <w:rFonts w:hint="default" w:ascii="Times New Roman" w:hAnsi="Times New Roman" w:cs="Times New Roman"/>
          <w:sz w:val="24"/>
          <w:szCs w:val="24"/>
          <w:lang w:val="en-US"/>
        </w:rPr>
        <w:t>ygiene</w:t>
      </w:r>
      <w:r>
        <w:rPr>
          <w:rFonts w:hint="default" w:ascii="Times New Roman" w:hAnsi="Times New Roman" w:cs="Times New Roman"/>
          <w:sz w:val="24"/>
          <w:szCs w:val="24"/>
        </w:rPr>
        <w:t xml:space="preserve"> </w:t>
      </w:r>
      <w:r>
        <w:rPr>
          <w:rFonts w:hint="default" w:ascii="Times New Roman" w:hAnsi="Times New Roman" w:cs="Times New Roman"/>
          <w:sz w:val="24"/>
          <w:szCs w:val="24"/>
          <w:lang w:val="en-US"/>
        </w:rPr>
        <w:t>practices and barriers</w:t>
      </w:r>
      <w:r>
        <w:rPr>
          <w:rFonts w:hint="default" w:ascii="Times New Roman" w:hAnsi="Times New Roman" w:cs="Times New Roman"/>
          <w:sz w:val="24"/>
          <w:szCs w:val="24"/>
        </w:rPr>
        <w:t xml:space="preserve"> of </w:t>
      </w:r>
      <w:r>
        <w:rPr>
          <w:rFonts w:hint="default" w:ascii="Times New Roman" w:hAnsi="Times New Roman" w:cs="Times New Roman"/>
          <w:sz w:val="24"/>
          <w:szCs w:val="24"/>
          <w:lang w:val="en-US"/>
        </w:rPr>
        <w:t>health care worker</w:t>
      </w:r>
      <w:r>
        <w:rPr>
          <w:rFonts w:hint="default" w:ascii="Times New Roman" w:hAnsi="Times New Roman" w:cs="Times New Roman"/>
          <w:sz w:val="24"/>
          <w:szCs w:val="24"/>
        </w:rPr>
        <w:t>s in</w:t>
      </w:r>
      <w:r>
        <w:rPr>
          <w:rFonts w:hint="default" w:ascii="Times New Roman" w:hAnsi="Times New Roman" w:cs="Times New Roman"/>
          <w:sz w:val="24"/>
          <w:szCs w:val="24"/>
          <w:lang w:val="en-US"/>
        </w:rPr>
        <w:t xml:space="preserve"> a health care facility</w:t>
      </w:r>
      <w:r>
        <w:rPr>
          <w:rFonts w:hint="default" w:ascii="Times New Roman" w:hAnsi="Times New Roman" w:cs="Times New Roman"/>
          <w:sz w:val="24"/>
          <w:szCs w:val="24"/>
        </w:rPr>
        <w:t xml:space="preserve"> faced with providing quality health care and patient safety despite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limited health system resources.</w:t>
      </w:r>
    </w:p>
    <w:p>
      <w:pPr>
        <w:numPr>
          <w:ilvl w:val="1"/>
          <w:numId w:val="1"/>
        </w:numPr>
        <w:bidi w:val="0"/>
        <w:spacing w:line="480" w:lineRule="auto"/>
        <w:ind w:left="0" w:leftChars="0" w:firstLine="0" w:firstLineChars="0"/>
        <w:jc w:val="both"/>
        <w:rPr>
          <w:rFonts w:hint="default" w:ascii="Times New Roman" w:hAnsi="Times New Roman" w:cs="Times New Roman"/>
          <w:b/>
          <w:bCs/>
          <w:sz w:val="24"/>
          <w:szCs w:val="24"/>
        </w:rPr>
      </w:pPr>
      <w:r>
        <w:rPr>
          <w:rFonts w:hint="default" w:ascii="Times New Roman" w:hAnsi="Times New Roman" w:cs="Times New Roman"/>
          <w:b/>
          <w:bCs/>
          <w:sz w:val="24"/>
          <w:szCs w:val="24"/>
        </w:rPr>
        <w:t xml:space="preserve">Statement of problem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Health Care Associated Infection (HCAI) is a problem that is currently faced by all health care facilities around the globe regardless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of economic state</w:t>
      </w:r>
      <w:r>
        <w:rPr>
          <w:rFonts w:hint="default" w:ascii="Times New Roman" w:hAnsi="Times New Roman" w:cs="Times New Roman"/>
          <w:sz w:val="24"/>
          <w:szCs w:val="24"/>
          <w:lang w:val="en-US"/>
        </w:rPr>
        <w:t xml:space="preserve"> (Soy, Çakır, Cevheroğlu, &amp; Pehlivan, 2023)</w:t>
      </w:r>
      <w:r>
        <w:rPr>
          <w:rFonts w:hint="default" w:ascii="Times New Roman" w:hAnsi="Times New Roman" w:cs="Times New Roman"/>
          <w:sz w:val="24"/>
          <w:szCs w:val="24"/>
        </w:rPr>
        <w:t>. Not only does it compromise patient safety but also that of HCWs. It is in the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interest of all health care providers to address this situation and ensure improved patient safety as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well as create suitable work environment for employees. Most especially since the negative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impacts of HCAIs include excessive costs for patients, increased resistance to antimicrobials and</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a higher financial burden for the community as a whole. Many of the health care providers in</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LIC are faced by a combination of several determinants causing a higher transmission risk of</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HCAIs</w:t>
      </w:r>
      <w:r>
        <w:rPr>
          <w:rFonts w:hint="default" w:ascii="Times New Roman" w:hAnsi="Times New Roman" w:cs="Times New Roman"/>
          <w:sz w:val="24"/>
          <w:szCs w:val="24"/>
          <w:lang w:val="en-US"/>
        </w:rPr>
        <w:t xml:space="preserve"> (Al-Qahtani, 2023)</w:t>
      </w:r>
      <w:r>
        <w:rPr>
          <w:rFonts w:hint="default" w:ascii="Times New Roman" w:hAnsi="Times New Roman" w:cs="Times New Roman"/>
          <w:sz w:val="24"/>
          <w:szCs w:val="24"/>
        </w:rPr>
        <w:t xml:space="preserve">. </w:t>
      </w:r>
      <w:r>
        <w:rPr>
          <w:rFonts w:hint="default" w:ascii="Times New Roman" w:hAnsi="Times New Roman" w:cs="Times New Roman"/>
          <w:sz w:val="24"/>
          <w:szCs w:val="24"/>
          <w:lang w:val="en-US"/>
        </w:rPr>
        <w:t>T</w:t>
      </w:r>
      <w:r>
        <w:rPr>
          <w:rFonts w:hint="default" w:ascii="Times New Roman" w:hAnsi="Times New Roman" w:cs="Times New Roman"/>
          <w:sz w:val="24"/>
          <w:szCs w:val="24"/>
        </w:rPr>
        <w:t xml:space="preserve">hese </w:t>
      </w:r>
      <w:r>
        <w:rPr>
          <w:rFonts w:hint="default" w:ascii="Times New Roman" w:hAnsi="Times New Roman" w:cs="Times New Roman"/>
          <w:sz w:val="24"/>
          <w:szCs w:val="24"/>
          <w:lang w:val="en-US"/>
        </w:rPr>
        <w:t xml:space="preserve">determinants </w:t>
      </w:r>
      <w:r>
        <w:rPr>
          <w:rFonts w:hint="default" w:ascii="Times New Roman" w:hAnsi="Times New Roman" w:cs="Times New Roman"/>
          <w:sz w:val="24"/>
          <w:szCs w:val="24"/>
        </w:rPr>
        <w:t>might include understaffing, poor infrastructure with lacking</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hygiene and sanitation conditions, lack or shortage of basic equipment, patient overcrowding all</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of which can be linked to limited financial resources (Chioma, Taib, &amp; Yusuf, 20</w:t>
      </w:r>
      <w:r>
        <w:rPr>
          <w:rFonts w:hint="default" w:ascii="Times New Roman" w:hAnsi="Times New Roman" w:cs="Times New Roman"/>
          <w:sz w:val="24"/>
          <w:szCs w:val="24"/>
          <w:lang w:val="en-US"/>
        </w:rPr>
        <w:t>23</w:t>
      </w:r>
      <w:r>
        <w:rPr>
          <w:rFonts w:hint="default" w:ascii="Times New Roman" w:hAnsi="Times New Roman" w:cs="Times New Roman"/>
          <w:sz w:val="24"/>
          <w:szCs w:val="24"/>
        </w:rPr>
        <w:t>).</w:t>
      </w:r>
      <w:r>
        <w:rPr>
          <w:rFonts w:hint="default" w:ascii="Times New Roman" w:hAnsi="Times New Roman" w:cs="Times New Roman"/>
          <w:sz w:val="24"/>
          <w:szCs w:val="24"/>
          <w:lang w:val="en-US"/>
        </w:rPr>
        <w:t xml:space="preserve">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Observations from</w:t>
      </w:r>
      <w:r>
        <w:rPr>
          <w:rFonts w:hint="default" w:ascii="Times New Roman" w:hAnsi="Times New Roman" w:cs="Times New Roman"/>
          <w:sz w:val="24"/>
          <w:szCs w:val="24"/>
        </w:rPr>
        <w:t xml:space="preserve"> H</w:t>
      </w:r>
      <w:r>
        <w:rPr>
          <w:rFonts w:hint="default" w:ascii="Times New Roman" w:hAnsi="Times New Roman" w:cs="Times New Roman"/>
          <w:sz w:val="24"/>
          <w:szCs w:val="24"/>
          <w:lang w:val="en-US"/>
        </w:rPr>
        <w:t xml:space="preserve">ealth </w:t>
      </w:r>
      <w:r>
        <w:rPr>
          <w:rFonts w:hint="default" w:ascii="Times New Roman" w:hAnsi="Times New Roman" w:cs="Times New Roman"/>
          <w:sz w:val="24"/>
          <w:szCs w:val="24"/>
        </w:rPr>
        <w:t>C</w:t>
      </w:r>
      <w:r>
        <w:rPr>
          <w:rFonts w:hint="default" w:ascii="Times New Roman" w:hAnsi="Times New Roman" w:cs="Times New Roman"/>
          <w:sz w:val="24"/>
          <w:szCs w:val="24"/>
          <w:lang w:val="en-US"/>
        </w:rPr>
        <w:t xml:space="preserve">are </w:t>
      </w:r>
      <w:r>
        <w:rPr>
          <w:rFonts w:hint="default" w:ascii="Times New Roman" w:hAnsi="Times New Roman" w:cs="Times New Roman"/>
          <w:sz w:val="24"/>
          <w:szCs w:val="24"/>
        </w:rPr>
        <w:t>W</w:t>
      </w:r>
      <w:r>
        <w:rPr>
          <w:rFonts w:hint="default" w:ascii="Times New Roman" w:hAnsi="Times New Roman" w:cs="Times New Roman"/>
          <w:sz w:val="24"/>
          <w:szCs w:val="24"/>
          <w:lang w:val="en-US"/>
        </w:rPr>
        <w:t>orker</w:t>
      </w:r>
      <w:r>
        <w:rPr>
          <w:rFonts w:hint="default" w:ascii="Times New Roman" w:hAnsi="Times New Roman" w:cs="Times New Roman"/>
          <w:sz w:val="24"/>
          <w:szCs w:val="24"/>
        </w:rPr>
        <w:t>s</w:t>
      </w:r>
      <w:r>
        <w:rPr>
          <w:rFonts w:hint="default" w:ascii="Times New Roman" w:hAnsi="Times New Roman" w:cs="Times New Roman"/>
          <w:sz w:val="24"/>
          <w:szCs w:val="24"/>
          <w:lang w:val="en-US"/>
        </w:rPr>
        <w:t xml:space="preserve"> in in surgical wards in federal medical center Umuahia shows that</w:t>
      </w:r>
      <w:r>
        <w:rPr>
          <w:rFonts w:hint="default" w:ascii="Times New Roman" w:hAnsi="Times New Roman" w:cs="Times New Roman"/>
          <w:sz w:val="24"/>
          <w:szCs w:val="24"/>
        </w:rPr>
        <w:t xml:space="preserve"> H</w:t>
      </w:r>
      <w:r>
        <w:rPr>
          <w:rFonts w:hint="default" w:ascii="Times New Roman" w:hAnsi="Times New Roman" w:cs="Times New Roman"/>
          <w:sz w:val="24"/>
          <w:szCs w:val="24"/>
          <w:lang w:val="en-US"/>
        </w:rPr>
        <w:t xml:space="preserve">and </w:t>
      </w:r>
      <w:r>
        <w:rPr>
          <w:rFonts w:hint="default" w:ascii="Times New Roman" w:hAnsi="Times New Roman" w:cs="Times New Roman"/>
          <w:sz w:val="24"/>
          <w:szCs w:val="24"/>
        </w:rPr>
        <w:t>H</w:t>
      </w:r>
      <w:r>
        <w:rPr>
          <w:rFonts w:hint="default" w:ascii="Times New Roman" w:hAnsi="Times New Roman" w:cs="Times New Roman"/>
          <w:sz w:val="24"/>
          <w:szCs w:val="24"/>
          <w:lang w:val="en-US"/>
        </w:rPr>
        <w:t xml:space="preserve">ygiene </w:t>
      </w:r>
      <w:r>
        <w:rPr>
          <w:rFonts w:hint="default" w:ascii="Times New Roman" w:hAnsi="Times New Roman" w:cs="Times New Roman"/>
          <w:sz w:val="24"/>
          <w:szCs w:val="24"/>
        </w:rPr>
        <w:t>practices play</w:t>
      </w:r>
      <w:r>
        <w:rPr>
          <w:rFonts w:hint="default" w:ascii="Times New Roman" w:hAnsi="Times New Roman" w:cs="Times New Roman"/>
          <w:sz w:val="24"/>
          <w:szCs w:val="24"/>
          <w:lang w:val="en-US"/>
        </w:rPr>
        <w:t>s</w:t>
      </w:r>
      <w:r>
        <w:rPr>
          <w:rFonts w:hint="default" w:ascii="Times New Roman" w:hAnsi="Times New Roman" w:cs="Times New Roman"/>
          <w:sz w:val="24"/>
          <w:szCs w:val="24"/>
        </w:rPr>
        <w:t xml:space="preserve"> an important role towards achieving safer and</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higher quality</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patient care. Worldwide, campaigns have been set up in order to support infection</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prevention and control including HH initiatives. However only 23 out of 147 low-income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countries manage to provide functional national evaluation and monitoring systems (WHO,</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2010). Likely reasons for this are the demanding and intensive requirements of a national</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surveillance system linked with limited resources allocated towards HCAI in low and middle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income settings where other emerging health issues and diseases are given priority (Saleh, Alrawaili, &amp; Kamal, 20</w:t>
      </w:r>
      <w:r>
        <w:rPr>
          <w:rFonts w:hint="default" w:ascii="Times New Roman" w:hAnsi="Times New Roman" w:cs="Times New Roman"/>
          <w:sz w:val="24"/>
          <w:szCs w:val="24"/>
          <w:lang w:val="en-US"/>
        </w:rPr>
        <w:t>22</w:t>
      </w:r>
      <w:r>
        <w:rPr>
          <w:rFonts w:hint="default" w:ascii="Times New Roman" w:hAnsi="Times New Roman" w:cs="Times New Roman"/>
          <w:sz w:val="24"/>
          <w:szCs w:val="24"/>
        </w:rPr>
        <w:t>).</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 xml:space="preserve">This </w:t>
      </w:r>
      <w:r>
        <w:rPr>
          <w:rFonts w:hint="default" w:ascii="Times New Roman" w:hAnsi="Times New Roman" w:cs="Times New Roman"/>
          <w:sz w:val="24"/>
          <w:szCs w:val="24"/>
          <w:lang w:val="en-US"/>
        </w:rPr>
        <w:t xml:space="preserve">project </w:t>
      </w:r>
      <w:r>
        <w:rPr>
          <w:rFonts w:hint="default" w:ascii="Times New Roman" w:hAnsi="Times New Roman" w:cs="Times New Roman"/>
          <w:sz w:val="24"/>
          <w:szCs w:val="24"/>
        </w:rPr>
        <w:t>research will focus on H</w:t>
      </w:r>
      <w:r>
        <w:rPr>
          <w:rFonts w:hint="default" w:ascii="Times New Roman" w:hAnsi="Times New Roman" w:cs="Times New Roman"/>
          <w:sz w:val="24"/>
          <w:szCs w:val="24"/>
          <w:lang w:val="en-US"/>
        </w:rPr>
        <w:t xml:space="preserve">and </w:t>
      </w:r>
      <w:r>
        <w:rPr>
          <w:rFonts w:hint="default" w:ascii="Times New Roman" w:hAnsi="Times New Roman" w:cs="Times New Roman"/>
          <w:sz w:val="24"/>
          <w:szCs w:val="24"/>
        </w:rPr>
        <w:t>H</w:t>
      </w:r>
      <w:r>
        <w:rPr>
          <w:rFonts w:hint="default" w:ascii="Times New Roman" w:hAnsi="Times New Roman" w:cs="Times New Roman"/>
          <w:sz w:val="24"/>
          <w:szCs w:val="24"/>
          <w:lang w:val="en-US"/>
        </w:rPr>
        <w:t>ygiene</w:t>
      </w:r>
      <w:r>
        <w:rPr>
          <w:rFonts w:hint="default" w:ascii="Times New Roman" w:hAnsi="Times New Roman" w:cs="Times New Roman"/>
          <w:sz w:val="24"/>
          <w:szCs w:val="24"/>
        </w:rPr>
        <w:t xml:space="preserve"> </w:t>
      </w:r>
      <w:r>
        <w:rPr>
          <w:rFonts w:hint="default" w:ascii="Times New Roman" w:hAnsi="Times New Roman" w:cs="Times New Roman"/>
          <w:sz w:val="24"/>
          <w:szCs w:val="24"/>
          <w:lang w:val="en-US"/>
        </w:rPr>
        <w:t>practices and barriers in the surgical wards of Federal medical centre, Umuahia.</w:t>
      </w:r>
    </w:p>
    <w:p>
      <w:pPr>
        <w:numPr>
          <w:ilvl w:val="1"/>
          <w:numId w:val="1"/>
        </w:numPr>
        <w:bidi w:val="0"/>
        <w:spacing w:line="480" w:lineRule="auto"/>
        <w:ind w:left="0" w:leftChars="0" w:firstLine="0" w:firstLineChars="0"/>
        <w:jc w:val="both"/>
        <w:rPr>
          <w:rFonts w:hint="default" w:ascii="Times New Roman" w:hAnsi="Times New Roman" w:cs="Times New Roman"/>
          <w:b/>
          <w:bCs/>
          <w:sz w:val="24"/>
          <w:szCs w:val="24"/>
        </w:rPr>
      </w:pPr>
      <w:r>
        <w:rPr>
          <w:rFonts w:hint="default" w:ascii="Times New Roman" w:hAnsi="Times New Roman" w:cs="Times New Roman"/>
          <w:b/>
          <w:bCs/>
          <w:sz w:val="24"/>
          <w:szCs w:val="24"/>
        </w:rPr>
        <w:t>Objectives of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The primary goal of this </w:t>
      </w:r>
      <w:r>
        <w:rPr>
          <w:rFonts w:hint="default" w:ascii="Times New Roman" w:hAnsi="Times New Roman" w:cs="Times New Roman"/>
          <w:sz w:val="24"/>
          <w:szCs w:val="24"/>
        </w:rPr>
        <w:t>Study</w:t>
      </w:r>
      <w:r>
        <w:rPr>
          <w:rFonts w:hint="default" w:ascii="Times New Roman" w:hAnsi="Times New Roman" w:cs="Times New Roman"/>
          <w:sz w:val="24"/>
          <w:szCs w:val="24"/>
          <w:lang w:val="en-US"/>
        </w:rPr>
        <w:t xml:space="preserve"> is to examine the hand hygiene practices and barriers of nurses in the surgical wards of Federal medical centre. Specifically, the objectives are to:</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rPr>
        <w:t>Assess the knowledge of hand hygiene practice among Nurses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in surgical wards</w:t>
      </w:r>
      <w:r>
        <w:rPr>
          <w:rFonts w:hint="default" w:ascii="Times New Roman" w:hAnsi="Times New Roman" w:cs="Times New Roman"/>
          <w:sz w:val="24"/>
          <w:szCs w:val="24"/>
          <w:lang w:val="en-US"/>
        </w:rPr>
        <w:t>.</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w:t>
      </w:r>
      <w:r>
        <w:rPr>
          <w:rFonts w:hint="default" w:ascii="Times New Roman" w:hAnsi="Times New Roman" w:cs="Times New Roman"/>
          <w:sz w:val="24"/>
          <w:szCs w:val="24"/>
        </w:rPr>
        <w:t>ssess the level of adherence to hand hygiene practice among</w:t>
      </w:r>
      <w:r>
        <w:rPr>
          <w:rFonts w:hint="default" w:ascii="Times New Roman" w:hAnsi="Times New Roman" w:cs="Times New Roman"/>
          <w:sz w:val="24"/>
          <w:szCs w:val="24"/>
          <w:lang w:val="en-US"/>
        </w:rPr>
        <w:t xml:space="preserve"> nurses </w:t>
      </w:r>
      <w:r>
        <w:rPr>
          <w:rFonts w:hint="default" w:ascii="Times New Roman" w:hAnsi="Times New Roman" w:cs="Times New Roman"/>
          <w:sz w:val="24"/>
          <w:szCs w:val="24"/>
        </w:rPr>
        <w:t>in surgical wards</w:t>
      </w:r>
      <w:r>
        <w:rPr>
          <w:rFonts w:hint="default" w:ascii="Times New Roman" w:hAnsi="Times New Roman" w:cs="Times New Roman"/>
          <w:sz w:val="24"/>
          <w:szCs w:val="24"/>
          <w:lang w:val="en-US"/>
        </w:rPr>
        <w:t>.</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w:t>
      </w:r>
      <w:r>
        <w:rPr>
          <w:rFonts w:hint="default" w:ascii="Times New Roman" w:hAnsi="Times New Roman" w:cs="Times New Roman"/>
          <w:sz w:val="24"/>
          <w:szCs w:val="24"/>
        </w:rPr>
        <w:t>dentify the barriers to Nurses' adherence to</w:t>
      </w:r>
      <w:r>
        <w:rPr>
          <w:rFonts w:hint="default" w:ascii="Times New Roman" w:hAnsi="Times New Roman" w:cs="Times New Roman"/>
          <w:sz w:val="24"/>
          <w:szCs w:val="24"/>
          <w:lang w:val="en-US"/>
        </w:rPr>
        <w:t xml:space="preserve"> hand hygiene practices </w:t>
      </w:r>
      <w:r>
        <w:rPr>
          <w:rFonts w:hint="default" w:ascii="Times New Roman" w:hAnsi="Times New Roman" w:cs="Times New Roman"/>
          <w:sz w:val="24"/>
          <w:szCs w:val="24"/>
        </w:rPr>
        <w:t>in surgical wards</w:t>
      </w:r>
      <w:r>
        <w:rPr>
          <w:rFonts w:hint="default" w:ascii="Times New Roman" w:hAnsi="Times New Roman" w:cs="Times New Roman"/>
          <w:sz w:val="24"/>
          <w:szCs w:val="24"/>
          <w:lang w:val="en-US"/>
        </w:rPr>
        <w:t>.</w:t>
      </w:r>
    </w:p>
    <w:p>
      <w:pPr>
        <w:numPr>
          <w:ilvl w:val="1"/>
          <w:numId w:val="1"/>
        </w:numPr>
        <w:bidi w:val="0"/>
        <w:spacing w:line="480" w:lineRule="auto"/>
        <w:ind w:left="0" w:leftChars="0" w:firstLine="0" w:firstLineChars="0"/>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rPr>
        <w:t>Research question</w:t>
      </w:r>
      <w:r>
        <w:rPr>
          <w:rFonts w:hint="default" w:ascii="Times New Roman" w:hAnsi="Times New Roman" w:cs="Times New Roman"/>
          <w:b/>
          <w:bCs/>
          <w:sz w:val="24"/>
          <w:szCs w:val="24"/>
          <w:lang w:val="en-US"/>
        </w:rPr>
        <w:t>s</w:t>
      </w:r>
    </w:p>
    <w:p>
      <w:pPr>
        <w:numPr>
          <w:ilvl w:val="0"/>
          <w:numId w:val="3"/>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rPr>
        <w:t xml:space="preserve">What is the level of knowledge of hand hygiene practice among Nurses in </w:t>
      </w:r>
      <w:r>
        <w:rPr>
          <w:rFonts w:hint="default" w:ascii="Times New Roman" w:hAnsi="Times New Roman" w:cs="Times New Roman"/>
          <w:sz w:val="24"/>
          <w:szCs w:val="24"/>
          <w:lang w:val="en-US"/>
        </w:rPr>
        <w:t xml:space="preserve">FMC </w:t>
      </w:r>
      <w:r>
        <w:rPr>
          <w:rFonts w:hint="default" w:ascii="Times New Roman" w:hAnsi="Times New Roman" w:cs="Times New Roman"/>
          <w:sz w:val="24"/>
          <w:szCs w:val="24"/>
        </w:rPr>
        <w:t>surgical ward</w:t>
      </w:r>
      <w:r>
        <w:rPr>
          <w:rFonts w:hint="default" w:ascii="Times New Roman" w:hAnsi="Times New Roman" w:cs="Times New Roman"/>
          <w:sz w:val="24"/>
          <w:szCs w:val="24"/>
          <w:lang w:val="en-US"/>
        </w:rPr>
        <w:t>?</w:t>
      </w:r>
    </w:p>
    <w:p>
      <w:pPr>
        <w:numPr>
          <w:ilvl w:val="0"/>
          <w:numId w:val="3"/>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rPr>
        <w:t>What is the level of adherence to hand hygiene practice among</w:t>
      </w:r>
      <w:r>
        <w:rPr>
          <w:rFonts w:hint="default" w:ascii="Times New Roman" w:hAnsi="Times New Roman" w:cs="Times New Roman"/>
          <w:sz w:val="24"/>
          <w:szCs w:val="24"/>
          <w:lang w:val="en-US"/>
        </w:rPr>
        <w:t xml:space="preserve"> nurses </w:t>
      </w:r>
      <w:r>
        <w:rPr>
          <w:rFonts w:hint="default" w:ascii="Times New Roman" w:hAnsi="Times New Roman" w:cs="Times New Roman"/>
          <w:sz w:val="24"/>
          <w:szCs w:val="24"/>
        </w:rPr>
        <w:t xml:space="preserve">in </w:t>
      </w:r>
      <w:r>
        <w:rPr>
          <w:rFonts w:hint="default" w:ascii="Times New Roman" w:hAnsi="Times New Roman" w:cs="Times New Roman"/>
          <w:sz w:val="24"/>
          <w:szCs w:val="24"/>
          <w:lang w:val="en-US"/>
        </w:rPr>
        <w:t xml:space="preserve">FMC </w:t>
      </w:r>
      <w:r>
        <w:rPr>
          <w:rFonts w:hint="default" w:ascii="Times New Roman" w:hAnsi="Times New Roman" w:cs="Times New Roman"/>
          <w:sz w:val="24"/>
          <w:szCs w:val="24"/>
        </w:rPr>
        <w:t>surgical ward</w:t>
      </w:r>
      <w:r>
        <w:rPr>
          <w:rFonts w:hint="default" w:ascii="Times New Roman" w:hAnsi="Times New Roman" w:cs="Times New Roman"/>
          <w:sz w:val="24"/>
          <w:szCs w:val="24"/>
          <w:lang w:val="en-US"/>
        </w:rPr>
        <w:t>?</w:t>
      </w:r>
    </w:p>
    <w:p>
      <w:pPr>
        <w:numPr>
          <w:ilvl w:val="0"/>
          <w:numId w:val="3"/>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rPr>
        <w:t>What are the barriers to nurses' adherence to</w:t>
      </w:r>
      <w:r>
        <w:rPr>
          <w:rFonts w:hint="default" w:ascii="Times New Roman" w:hAnsi="Times New Roman" w:cs="Times New Roman"/>
          <w:sz w:val="24"/>
          <w:szCs w:val="24"/>
          <w:lang w:val="en-US"/>
        </w:rPr>
        <w:t xml:space="preserve"> hand hygiene </w:t>
      </w:r>
      <w:r>
        <w:rPr>
          <w:rFonts w:hint="default" w:ascii="Times New Roman" w:hAnsi="Times New Roman" w:cs="Times New Roman"/>
          <w:sz w:val="24"/>
          <w:szCs w:val="24"/>
        </w:rPr>
        <w:t xml:space="preserve">in </w:t>
      </w:r>
      <w:r>
        <w:rPr>
          <w:rFonts w:hint="default" w:ascii="Times New Roman" w:hAnsi="Times New Roman" w:cs="Times New Roman"/>
          <w:sz w:val="24"/>
          <w:szCs w:val="24"/>
          <w:lang w:val="en-US"/>
        </w:rPr>
        <w:t xml:space="preserve">FMC </w:t>
      </w:r>
      <w:r>
        <w:rPr>
          <w:rFonts w:hint="default" w:ascii="Times New Roman" w:hAnsi="Times New Roman" w:cs="Times New Roman"/>
          <w:sz w:val="24"/>
          <w:szCs w:val="24"/>
        </w:rPr>
        <w:t>surgical ward</w:t>
      </w:r>
      <w:r>
        <w:rPr>
          <w:rFonts w:hint="default" w:ascii="Times New Roman" w:hAnsi="Times New Roman" w:cs="Times New Roman"/>
          <w:sz w:val="24"/>
          <w:szCs w:val="24"/>
          <w:lang w:val="en-US"/>
        </w:rPr>
        <w:t>?</w:t>
      </w:r>
    </w:p>
    <w:p>
      <w:pPr>
        <w:numPr>
          <w:ilvl w:val="1"/>
          <w:numId w:val="1"/>
        </w:numPr>
        <w:bidi w:val="0"/>
        <w:spacing w:line="480" w:lineRule="auto"/>
        <w:ind w:left="0" w:leftChars="0" w:firstLine="0" w:firstLineChars="0"/>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Research Hypotheses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 xml:space="preserve">Ho1: </w:t>
      </w:r>
      <w:r>
        <w:rPr>
          <w:rFonts w:hint="default" w:ascii="Times New Roman" w:hAnsi="Times New Roman" w:cs="Times New Roman"/>
          <w:sz w:val="24"/>
          <w:szCs w:val="24"/>
          <w:lang w:val="en-US"/>
        </w:rPr>
        <w:t>There is no significant correlation between nurses’ knowledge of hand hygiene and practice of hand washing among nurses in FMC surgical ward.</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Ha1:</w:t>
      </w:r>
      <w:r>
        <w:rPr>
          <w:rFonts w:hint="default" w:ascii="Times New Roman" w:hAnsi="Times New Roman" w:cs="Times New Roman"/>
          <w:sz w:val="24"/>
          <w:szCs w:val="24"/>
          <w:lang w:val="en-US"/>
        </w:rPr>
        <w:t xml:space="preserve"> There is a significant correlation between nurses’ knowledge of hand hygiene and practice of hand washing among nurses in FMC surgical ward.</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 xml:space="preserve">Ho2: </w:t>
      </w:r>
      <w:r>
        <w:rPr>
          <w:rFonts w:hint="default" w:ascii="Times New Roman" w:hAnsi="Times New Roman" w:cs="Times New Roman"/>
          <w:sz w:val="24"/>
          <w:szCs w:val="24"/>
          <w:lang w:val="en-US"/>
        </w:rPr>
        <w:t>There is no significant correlation between years of nursing practice and practice of hand washing among nurses in FMC surgical ward.</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Ha2:</w:t>
      </w:r>
      <w:r>
        <w:rPr>
          <w:rFonts w:hint="default" w:ascii="Times New Roman" w:hAnsi="Times New Roman" w:cs="Times New Roman"/>
          <w:sz w:val="24"/>
          <w:szCs w:val="24"/>
          <w:lang w:val="en-US"/>
        </w:rPr>
        <w:t xml:space="preserve"> There is a significant correlation between years of nursing practice and the practice of hand washing among nurses in FMC surgical ward.</w:t>
      </w:r>
    </w:p>
    <w:p>
      <w:pPr>
        <w:numPr>
          <w:ilvl w:val="1"/>
          <w:numId w:val="1"/>
        </w:numPr>
        <w:bidi w:val="0"/>
        <w:spacing w:line="480" w:lineRule="auto"/>
        <w:ind w:left="0" w:leftChars="0" w:firstLine="0" w:firstLineChars="0"/>
        <w:jc w:val="both"/>
        <w:rPr>
          <w:rFonts w:hint="default" w:ascii="Times New Roman" w:hAnsi="Times New Roman" w:cs="Times New Roman"/>
          <w:b/>
          <w:bCs/>
          <w:sz w:val="24"/>
          <w:szCs w:val="24"/>
        </w:rPr>
      </w:pPr>
      <w:r>
        <w:rPr>
          <w:rFonts w:hint="default" w:ascii="Times New Roman" w:hAnsi="Times New Roman" w:cs="Times New Roman"/>
          <w:b/>
          <w:bCs/>
          <w:sz w:val="24"/>
          <w:szCs w:val="24"/>
        </w:rPr>
        <w:t>Significance of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The findings of this study will provide relevant insight to the extent of </w:t>
      </w:r>
      <w:r>
        <w:rPr>
          <w:rFonts w:hint="default" w:ascii="Times New Roman" w:hAnsi="Times New Roman" w:cs="Times New Roman"/>
          <w:sz w:val="24"/>
          <w:szCs w:val="24"/>
        </w:rPr>
        <w:t>Health Care Associated Infection (HCAI)</w:t>
      </w:r>
      <w:r>
        <w:rPr>
          <w:rFonts w:hint="default" w:ascii="Times New Roman" w:hAnsi="Times New Roman" w:cs="Times New Roman"/>
          <w:sz w:val="24"/>
          <w:szCs w:val="24"/>
          <w:lang w:val="en-US"/>
        </w:rPr>
        <w:t xml:space="preserve"> prevalent in modern day health care facility. This finding will serve as a potent need for health care authorities to develop creative awareness and prevention  modalities. Also, the findings of this study will empower health care providers (Federal Medical Centre, Umuahia) with relevant data to revisit its policies hand hygiene among nurses, to the end of ensuring strict compliance and better compliance methods. Furthermore, the findings of this study will create public awareness on the need for effective hand hygiene practice. This action if properly implemented will go a long way to reduce high</w:t>
      </w:r>
      <w:r>
        <w:rPr>
          <w:rFonts w:hint="default" w:ascii="Times New Roman" w:hAnsi="Times New Roman" w:cs="Times New Roman"/>
          <w:sz w:val="24"/>
          <w:szCs w:val="24"/>
        </w:rPr>
        <w:t xml:space="preserve"> Infection</w:t>
      </w:r>
      <w:r>
        <w:rPr>
          <w:rFonts w:hint="default" w:ascii="Times New Roman" w:hAnsi="Times New Roman" w:cs="Times New Roman"/>
          <w:sz w:val="24"/>
          <w:szCs w:val="24"/>
          <w:lang w:val="en-US"/>
        </w:rPr>
        <w:t xml:space="preserve"> spread among the public.</w:t>
      </w:r>
    </w:p>
    <w:p>
      <w:pPr>
        <w:numPr>
          <w:ilvl w:val="1"/>
          <w:numId w:val="1"/>
        </w:numPr>
        <w:bidi w:val="0"/>
        <w:spacing w:line="480" w:lineRule="auto"/>
        <w:ind w:left="0" w:leftChars="0" w:firstLine="0" w:firstLineChars="0"/>
        <w:jc w:val="both"/>
        <w:rPr>
          <w:rFonts w:hint="default" w:ascii="Times New Roman" w:hAnsi="Times New Roman" w:cs="Times New Roman"/>
          <w:b/>
          <w:bCs/>
          <w:sz w:val="24"/>
          <w:szCs w:val="24"/>
        </w:rPr>
      </w:pPr>
      <w:r>
        <w:rPr>
          <w:rFonts w:hint="default" w:ascii="Times New Roman" w:hAnsi="Times New Roman" w:cs="Times New Roman"/>
          <w:b/>
          <w:bCs/>
          <w:sz w:val="24"/>
          <w:szCs w:val="24"/>
        </w:rPr>
        <w:t>Scope of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study is carried out and reported within specific boundaries. Its problem focus is centred on hand hygiene practices and barriers. This study do not propose that poor hand hygiene is the only way for infection spread, but rather focuses on hand hygiene practices and barriers to ensure precision of research findings. Also, Federal Medical Centre, Umuahia serves as the case study. This location was selected owing to its relevance to this research problem and the proximity to the researcher.</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implies that data will be collected from willing participants from this facility. It also implies that the findings of this study is confined to this facility and made not be sufficient on its own to be referred to in situations of profound decision making. Additional studies may be needed. Also, the population of this study includes nurses in Federal Medical Centre, Umuahia. However, the boundaries of this study do not impede its results, rather it ensures precision and concision of results.</w:t>
      </w:r>
    </w:p>
    <w:p>
      <w:pPr>
        <w:numPr>
          <w:ilvl w:val="1"/>
          <w:numId w:val="1"/>
        </w:numPr>
        <w:bidi w:val="0"/>
        <w:spacing w:line="480" w:lineRule="auto"/>
        <w:ind w:left="0" w:leftChars="0" w:firstLine="0" w:firstLineChars="0"/>
        <w:jc w:val="both"/>
        <w:rPr>
          <w:rFonts w:hint="default" w:ascii="Times New Roman" w:hAnsi="Times New Roman" w:cs="Times New Roman"/>
          <w:sz w:val="24"/>
          <w:szCs w:val="24"/>
        </w:rPr>
      </w:pPr>
      <w:r>
        <w:rPr>
          <w:rFonts w:hint="default" w:ascii="Times New Roman" w:hAnsi="Times New Roman" w:cs="Times New Roman"/>
          <w:b/>
          <w:bCs/>
          <w:sz w:val="24"/>
          <w:szCs w:val="24"/>
        </w:rPr>
        <w:t>Operational definition of terms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Knowledge of hand washing:</w:t>
      </w:r>
      <w:r>
        <w:rPr>
          <w:rFonts w:hint="default" w:ascii="Times New Roman" w:hAnsi="Times New Roman" w:cs="Times New Roman"/>
          <w:sz w:val="24"/>
          <w:szCs w:val="24"/>
          <w:lang w:val="en-US"/>
        </w:rPr>
        <w:t xml:space="preserve"> the cognitive understanding of clinical hand washing through the 7 steps.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Practice of hand washing:</w:t>
      </w:r>
      <w:r>
        <w:rPr>
          <w:rFonts w:hint="default" w:ascii="Times New Roman" w:hAnsi="Times New Roman" w:cs="Times New Roman"/>
          <w:sz w:val="24"/>
          <w:szCs w:val="24"/>
          <w:lang w:val="en-US"/>
        </w:rPr>
        <w:t xml:space="preserve"> refers to a participant demonstrating clinical hand washing through the 7 steps of ; removing jewellery and gloves; turning on the tap using a paper towel, apply soap, work lather and scrub hands for 2 minutes interchanging hands, scrub fingers, scrub fingernails, dry hands in air or paper towel..</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Barrier:</w:t>
      </w:r>
      <w:r>
        <w:rPr>
          <w:rFonts w:hint="default" w:ascii="Times New Roman" w:hAnsi="Times New Roman" w:cs="Times New Roman"/>
          <w:sz w:val="24"/>
          <w:szCs w:val="24"/>
          <w:lang w:val="en-US"/>
        </w:rPr>
        <w:t xml:space="preserve"> something immaterial that impedes or separates.</w:t>
      </w:r>
    </w:p>
    <w:p>
      <w:pPr>
        <w:bidi w:val="0"/>
        <w:spacing w:line="480" w:lineRule="auto"/>
        <w:jc w:val="both"/>
        <w:rPr>
          <w:rFonts w:hint="default" w:ascii="Times New Roman" w:hAnsi="Times New Roman" w:cs="Times New Roman"/>
          <w:b w:val="0"/>
          <w:bCs w:val="0"/>
          <w:sz w:val="24"/>
          <w:szCs w:val="24"/>
        </w:rPr>
      </w:pPr>
      <w:r>
        <w:rPr>
          <w:rFonts w:hint="default" w:ascii="Times New Roman" w:hAnsi="Times New Roman" w:cs="Times New Roman"/>
          <w:b/>
          <w:bCs/>
          <w:sz w:val="24"/>
          <w:szCs w:val="24"/>
          <w:lang w:val="en-US"/>
        </w:rPr>
        <w:t>Surgical:</w:t>
      </w:r>
      <w:r>
        <w:rPr>
          <w:rFonts w:hint="default" w:ascii="Times New Roman" w:hAnsi="Times New Roman" w:cs="Times New Roman"/>
          <w:sz w:val="24"/>
          <w:szCs w:val="24"/>
          <w:lang w:val="en-US"/>
        </w:rPr>
        <w:t xml:space="preserve"> As a general rule, a procedure is considered surgical when it involves cutting of a person's tissues or closure of a previously sustained wound.</w:t>
      </w: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val="0"/>
          <w:bCs w:val="0"/>
          <w:sz w:val="24"/>
          <w:szCs w:val="24"/>
        </w:rPr>
      </w:pP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CHAPTER TWO</w:t>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LITERATURE REVIEW</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chapter focuses on reviewing the pertinent literature that is related to the topic or problem of this study. The purpose of this review is to strategically position this current study within the context of previous research. This chapter is divided into three sections for a more organised presentation. This section encompasses the conceptual framework, the theoretical framework, and the empirical studies.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2.1.</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Conceptual review</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The concept of Hand Hygiene and its relevance to nursing students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Hand hygiene, as defined by the Centre of Disease Control and Prevention (CDC, 2021), refers to the act of cleansing the hands using soap and water, antiseptic hand soap, alcohol-based hand gels or foams, or surgical hand antiseptics. Hand hygiene effectively prevents the transmission of life-threatening germs to patients and reduces the likelihood of healthcare professionals becoming colonised or infected by microbes obtained from patients. The procedure for utilising the alcohol-based technique involves dispensing hand sanitizer over the palms, ensuring complete coverage of both hands, then vigorously rubbing them together until they are dry. The duration of this operation typically lasts around 20 seconds. The process of cleansing hands with soap and water involves the following steps. To properly wash your hands, wet them first, then dispense the recommended amount of soap as specified by the manufacturer. Rub your hands together for at least 15 to 20 seconds, ensuring all areas are covered. Rinse your hands thoroughly with water and dry them using a disposable towel. It is advisable to use a towel after turning off the tap to prevent the skin from drying. Additionally, it is recommended to avoid using hot water. It is important to highlight the correct timing when washing hands (CDC 2021).</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Hand washing practice</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Research indicates that enhancing hand hygiene plays a crucial role in decreasing healthcare-associated infections (HCAIs). However, many healthcare personnel, especially nursing staff, frequently fail to meet the necessary standards or employ the correct technique while doing hand hygiene (</w:t>
      </w:r>
      <w:r>
        <w:rPr>
          <w:rFonts w:hint="default" w:ascii="Times New Roman" w:hAnsi="Times New Roman" w:cs="Times New Roman"/>
          <w:sz w:val="24"/>
          <w:szCs w:val="24"/>
        </w:rPr>
        <w:t>Çelik</w:t>
      </w:r>
      <w:r>
        <w:rPr>
          <w:rFonts w:hint="default" w:ascii="Times New Roman" w:hAnsi="Times New Roman" w:cs="Times New Roman"/>
          <w:sz w:val="24"/>
          <w:szCs w:val="24"/>
          <w:lang w:val="en-US"/>
        </w:rPr>
        <w:t xml:space="preserve"> et al., 2023). Healthcare personnel have a high likelihood of spreading microorganisms that can cause infection due to their frequent interaction with patients and their surroundings. Hands are highly effective in transmitting microorganisms (</w:t>
      </w:r>
      <w:r>
        <w:rPr>
          <w:rFonts w:hint="default" w:ascii="Times New Roman" w:hAnsi="Times New Roman" w:cs="Times New Roman"/>
          <w:sz w:val="24"/>
          <w:szCs w:val="24"/>
        </w:rPr>
        <w:t>Swathi</w:t>
      </w:r>
      <w:r>
        <w:rPr>
          <w:rFonts w:hint="default" w:ascii="Times New Roman" w:hAnsi="Times New Roman" w:cs="Times New Roman"/>
          <w:sz w:val="24"/>
          <w:szCs w:val="24"/>
          <w:lang w:val="en-US"/>
        </w:rPr>
        <w:t>,</w:t>
      </w:r>
      <w:r>
        <w:rPr>
          <w:rFonts w:hint="default" w:ascii="Times New Roman" w:hAnsi="Times New Roman" w:cs="Times New Roman"/>
          <w:sz w:val="24"/>
          <w:szCs w:val="24"/>
        </w:rPr>
        <w:t xml:space="preserve"> Gandham, Manick</w:t>
      </w:r>
      <w:r>
        <w:rPr>
          <w:rFonts w:hint="default" w:ascii="Times New Roman" w:hAnsi="Times New Roman" w:cs="Times New Roman"/>
          <w:sz w:val="24"/>
          <w:szCs w:val="24"/>
          <w:lang w:val="en-US"/>
        </w:rPr>
        <w:t>, 2023). To prevent the spread of infection, nurses and midwives should adhere to the recommended handwashing practices outlined in the guidelines provided by the CDC and WHO. These guidelines specify that handwashing should be done before coming into contact with patients, before performing invasive procedures, after coming into contact with blood, body fluids, excretions, mucous membranes, damaged skin, and wound dressings, after removing gloves, when transitioning from a contaminated area of a patient's body to a clean area during care, after touching inanimate objects or medical equipment near the patient, and after any patient contact (WHO, 2009a).</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Hand hygiene teaching methods as a cornerstone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Hand hygiene is of paramount importance in hospitals as it serves as the primary measure for infection control, assuring the safety of patients. Student nurses, being prospective healthcare practitioners, have the potential to contribute to contamination inside the hospital setting</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DENİZ</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20</w:t>
      </w:r>
      <w:r>
        <w:rPr>
          <w:rFonts w:hint="default" w:ascii="Times New Roman" w:hAnsi="Times New Roman" w:cs="Times New Roman"/>
          <w:sz w:val="24"/>
          <w:szCs w:val="24"/>
          <w:lang w:val="en-US"/>
        </w:rPr>
        <w:t>23)</w:t>
      </w:r>
      <w:r>
        <w:rPr>
          <w:rFonts w:hint="default" w:ascii="Times New Roman" w:hAnsi="Times New Roman" w:cs="Times New Roman"/>
          <w:sz w:val="24"/>
          <w:szCs w:val="24"/>
        </w:rPr>
        <w:t>. Prior to commencing any task, nursing students ought to engage in meticulous hand hygiene during a low fidelity simulation. The abilities are further enhanced through extensive practical training in extremely realistic simulation environments, as well as during internships in hospital wards and other healthcare facilities. In order to acquire the correct technique for hand hygiene procedures, nursing students should engage in pre-job assignment practice within a low fidelity simulation. During the internship, students enhance their skills through the utilisation of an unbiased simulation exercise. This encompasses internships at various healthcare facilities or hospital wards. Therefore, to ensure the safe care of patients and prevent hospital-acquired infections, it is imperative for trainees to proficiently perform the hand hygiene procedure without any errors before to engaging in direct patient care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Speth</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202</w:t>
      </w:r>
      <w:r>
        <w:rPr>
          <w:rFonts w:hint="default" w:ascii="Times New Roman" w:hAnsi="Times New Roman" w:cs="Times New Roman"/>
          <w:sz w:val="24"/>
          <w:szCs w:val="24"/>
          <w:lang w:val="en-US"/>
        </w:rPr>
        <w:t>3</w:t>
      </w:r>
      <w:r>
        <w:rPr>
          <w:rFonts w:hint="default" w:ascii="Times New Roman" w:hAnsi="Times New Roman" w:cs="Times New Roman"/>
          <w:sz w:val="24"/>
          <w:szCs w:val="24"/>
        </w:rPr>
        <w:t>).</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Hand hygiene compliance as a challenge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Transmission of diseases through direct touch can potentially be mitigated by training nursing students on proper hand hygiene procedures. Providing education to students can contribute to reducing the incidence of hospital-acquired illnesses (Gammon et al., 202</w:t>
      </w:r>
      <w:r>
        <w:rPr>
          <w:rFonts w:hint="default" w:ascii="Times New Roman" w:hAnsi="Times New Roman" w:cs="Times New Roman"/>
          <w:sz w:val="24"/>
          <w:szCs w:val="24"/>
          <w:lang w:val="en-US"/>
        </w:rPr>
        <w:t>3</w:t>
      </w:r>
      <w:r>
        <w:rPr>
          <w:rFonts w:hint="default" w:ascii="Times New Roman" w:hAnsi="Times New Roman" w:cs="Times New Roman"/>
          <w:sz w:val="24"/>
          <w:szCs w:val="24"/>
        </w:rPr>
        <w:t>). Moreover, the key to averting patients and healthcare workers from being unwell due to avoidable infections is in effectively managing and preventing the spread of infections. Patients must not contract any communicable disease during the course of their medical treatment. An infection has the potential to rapidly spread and reach epidemic proportions, potentially impacting hundreds of millions of individuals worldwide annually (WHO 2022). Singh</w:t>
      </w:r>
      <w:r>
        <w:rPr>
          <w:rFonts w:hint="default" w:ascii="Times New Roman" w:hAnsi="Times New Roman" w:cs="Times New Roman"/>
          <w:sz w:val="24"/>
          <w:szCs w:val="24"/>
          <w:lang w:val="en-US"/>
        </w:rPr>
        <w:t xml:space="preserve"> &amp; </w:t>
      </w:r>
      <w:r>
        <w:rPr>
          <w:rFonts w:hint="default" w:ascii="Times New Roman" w:hAnsi="Times New Roman" w:cs="Times New Roman"/>
          <w:sz w:val="24"/>
          <w:szCs w:val="24"/>
        </w:rPr>
        <w:t>Barnard (20</w:t>
      </w:r>
      <w:r>
        <w:rPr>
          <w:rFonts w:hint="default" w:ascii="Times New Roman" w:hAnsi="Times New Roman" w:cs="Times New Roman"/>
          <w:sz w:val="24"/>
          <w:szCs w:val="24"/>
          <w:lang w:val="en-US"/>
        </w:rPr>
        <w:t>23</w:t>
      </w:r>
      <w:r>
        <w:rPr>
          <w:rFonts w:hint="default" w:ascii="Times New Roman" w:hAnsi="Times New Roman" w:cs="Times New Roman"/>
          <w:sz w:val="24"/>
          <w:szCs w:val="24"/>
        </w:rPr>
        <w:t>) state that the ongoing difficulty in the clinical community is the healthcare workers' compliance with hand hygiene. In order to mitigate healthcare-associated infections, it is crucial to adequately train student nurses in adhering to guidelines throughout their clinical placement. The initial step in developing an educational strategy to improve and sustain the overall and time-specific adherence of student nurses is to assess their hand hygiene performance. Mentors should be aware of the influence they have on students' academic achievements. In order to maintain students' compliance during clinical placement, it is imperative to actively encourage the development of effective hand hygiene skills, inspire students to adhere to these practices, and provide regular feedback</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(Nwaogu</w:t>
      </w:r>
      <w:r>
        <w:rPr>
          <w:rFonts w:hint="default" w:ascii="Times New Roman" w:hAnsi="Times New Roman" w:cs="Times New Roman"/>
          <w:sz w:val="24"/>
          <w:szCs w:val="24"/>
          <w:lang w:val="en-US"/>
        </w:rPr>
        <w:t>, 2023</w:t>
      </w:r>
      <w:r>
        <w:rPr>
          <w:rFonts w:hint="default" w:ascii="Times New Roman" w:hAnsi="Times New Roman" w:cs="Times New Roman"/>
          <w:sz w:val="24"/>
          <w:szCs w:val="24"/>
        </w:rPr>
        <w:t>). Proper hand hygiene is crucial for reducing the spread of germs in healthcare environments. Healthcare practitioners frequently move around in healthcare settings and regularly come into contact with both patients and necessary objects in these surroundings. Consequently, they are considered a crucial pathway for the dissemination of disease-causing microorganisms and variables that contribute to resistance against antimicrobial agents. A person's skin is inhabited by a diverse array of creatures. These encompass creatures that have a beneficial impact on an individual's well-being, as well as those that are pertinent to healthcare. These can either be pathogenic pathogens or carriers of antibiotic resistance determinants. Research has demonstrated that healthcare personnel' hands become progressively contaminated during the provision of patient care. Specifically, activities such as skin contact, respiratory treatment, and nappy changes are each associated with higher bacterial counts. Multiple research have examined the likelihood of spreading infections related to certain pathogens or specific activities (Singh, Singh &amp; Burri</w:t>
      </w:r>
      <w:r>
        <w:rPr>
          <w:rFonts w:hint="default" w:ascii="Times New Roman" w:hAnsi="Times New Roman" w:cs="Times New Roman"/>
          <w:sz w:val="24"/>
          <w:szCs w:val="24"/>
          <w:lang w:val="en-US"/>
        </w:rPr>
        <w:t>, 2023)</w:t>
      </w:r>
      <w:r>
        <w:rPr>
          <w:rFonts w:hint="default" w:ascii="Times New Roman" w:hAnsi="Times New Roman" w:cs="Times New Roman"/>
          <w:sz w:val="24"/>
          <w:szCs w:val="24"/>
        </w:rPr>
        <w:t>.</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Hand hygiene teaching methods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Proficiency in hand hygiene is a crucial outcome of nursing education. It is crucial to ensure that student nurses are knowledgeable about the timing and technique of hand cleaning, considering the increasing prevalence of healthcare linked infections. Students' abilities, knowledge, and education would enhance through the implementation of empirically evaluated methods, such as diverse instructional interventions and real-life simulation of hand hygiene. This also encompasses many educational programmes. The role of nursing mentors in enhancing the proficiency of nursing students in hand hygiene has a substantial influence. Supervisors in healthcare facilities should consistently give support and oversight to ensure that all health professionals in each facility adhere to the protocol for hand hygiene programmes (</w:t>
      </w:r>
      <w:r>
        <w:rPr>
          <w:rFonts w:hint="default" w:ascii="Times New Roman" w:hAnsi="Times New Roman" w:cs="Times New Roman"/>
          <w:sz w:val="24"/>
          <w:szCs w:val="24"/>
        </w:rPr>
        <w:t>Bankole</w:t>
      </w:r>
      <w:r>
        <w:rPr>
          <w:rFonts w:hint="default" w:ascii="Times New Roman" w:hAnsi="Times New Roman" w:cs="Times New Roman"/>
          <w:sz w:val="24"/>
          <w:szCs w:val="24"/>
          <w:lang w:val="en-US"/>
        </w:rPr>
        <w:t xml:space="preserve"> et al., 2023). </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The concept of Hand Hygiene and Infection spread in health facilities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Normal Bacterial Flora on hands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Human skin typically harbours a diverse range of bacteria, with varying quantities of aerobic bacteria found in different regions of the body. The bacterial counts found on the hands of medical professionals have varied between 3.9 x 104 to 4.6 x 10619. The bacteria found on hands can be classified into two categories: transitory or resident.</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Transient flora (transient microbiota)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These microorganisms inhabit the outer layers of the skin and can be easily eliminated with regular hand washing. Healthcare workers (HCWs) usually acquire these organisms through direct contact with patients or contaminated surfaces around the patient. These organisms are the most commonly linked to healthcare-associated infections (HCAI). Respiratory secretions, nappy/diaper change and direct skin contact are the types of interaction during normal neonatal care that are most commonly linked to increased levels of bacterial contamination on healthcare workers' hands. The transmissibility of transitory flora is contingent upon the species composition, microbial load, and epidermal moisture levels (</w:t>
      </w:r>
      <w:r>
        <w:rPr>
          <w:rFonts w:hint="default" w:ascii="Times New Roman" w:hAnsi="Times New Roman" w:cs="Times New Roman"/>
          <w:sz w:val="24"/>
          <w:szCs w:val="24"/>
        </w:rPr>
        <w:t>Armstrong-Novak, Juan, Cooper</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&amp; Bailey, 2023)</w:t>
      </w:r>
      <w:r>
        <w:rPr>
          <w:rFonts w:hint="default" w:ascii="Times New Roman" w:hAnsi="Times New Roman" w:cs="Times New Roman"/>
          <w:sz w:val="24"/>
          <w:szCs w:val="24"/>
          <w:lang w:val="en-US"/>
        </w:rPr>
        <w:t>.</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Resident flora (resident microbiota)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These microorganisms are adhered to the underlying layers of the skin, making them more resilient to eradication. Typically, the indigenous flora is less prone to causing infections, although it can still lead to infections in sterile internal cavities, the eyes, or on damaged skin (</w:t>
      </w:r>
      <w:r>
        <w:rPr>
          <w:rFonts w:hint="default" w:ascii="Times New Roman" w:hAnsi="Times New Roman" w:cs="Times New Roman"/>
          <w:sz w:val="24"/>
          <w:szCs w:val="24"/>
        </w:rPr>
        <w:t>Bayrakdar, S</w:t>
      </w:r>
      <w:r>
        <w:rPr>
          <w:rFonts w:hint="default" w:ascii="Times New Roman" w:hAnsi="Times New Roman" w:cs="Times New Roman"/>
          <w:sz w:val="24"/>
          <w:szCs w:val="24"/>
          <w:lang w:val="en-US"/>
        </w:rPr>
        <w:t>.,</w:t>
      </w:r>
      <w:r>
        <w:rPr>
          <w:rFonts w:hint="default" w:ascii="Times New Roman" w:hAnsi="Times New Roman" w:cs="Times New Roman"/>
          <w:sz w:val="24"/>
          <w:szCs w:val="24"/>
        </w:rPr>
        <w:t xml:space="preserve"> &amp; Akbaş,</w:t>
      </w:r>
      <w:r>
        <w:rPr>
          <w:rFonts w:hint="default" w:ascii="Times New Roman" w:hAnsi="Times New Roman" w:cs="Times New Roman"/>
          <w:sz w:val="24"/>
          <w:szCs w:val="24"/>
          <w:lang w:val="en-US"/>
        </w:rPr>
        <w:t xml:space="preserve"> 2023).</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Transmission of HCAIs through hands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Health care-associated infections are transmitted through direct and indirect touch, droplets, airborne particles, and shared objects or substances. Transmission via contaminated healthcare workers' hands is the predominant mode of transmission in most environments and involves five consecutive steps: Microorganisms are found on the patient's skin or have been deposited on nearby objects. These microorganisms need to be transferred to the hands of healthcare workers. Additionally, these microorganisms must be able to survive on the hands of healthcare workers for a minimum of several minutes. The insufficiency or complete absence of hand washing or hand antisepsis by healthcare workers (HCWs), or the use of an unsuitable hand hygiene agent, combined with direct contact between the contaminated hands of the carer and either another patient or an object that will directly contact the patient (</w:t>
      </w:r>
      <w:r>
        <w:rPr>
          <w:rFonts w:hint="default" w:ascii="Times New Roman" w:hAnsi="Times New Roman" w:cs="Times New Roman"/>
          <w:sz w:val="24"/>
          <w:szCs w:val="24"/>
        </w:rPr>
        <w:t>Fujita, Yoshida</w:t>
      </w:r>
      <w:r>
        <w:rPr>
          <w:rFonts w:hint="default" w:ascii="Times New Roman" w:hAnsi="Times New Roman" w:cs="Times New Roman"/>
          <w:sz w:val="24"/>
          <w:szCs w:val="24"/>
          <w:lang w:val="en-US"/>
        </w:rPr>
        <w:t>,</w:t>
      </w:r>
      <w:r>
        <w:rPr>
          <w:rFonts w:hint="default" w:ascii="Times New Roman" w:hAnsi="Times New Roman" w:cs="Times New Roman"/>
          <w:sz w:val="24"/>
          <w:szCs w:val="24"/>
        </w:rPr>
        <w:t xml:space="preserve"> &amp; Hori,</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2023)</w:t>
      </w:r>
      <w:r>
        <w:rPr>
          <w:rFonts w:hint="default" w:ascii="Times New Roman" w:hAnsi="Times New Roman" w:cs="Times New Roman"/>
          <w:sz w:val="24"/>
          <w:szCs w:val="24"/>
          <w:lang w:val="en-US"/>
        </w:rPr>
        <w:t>.</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Organisms present on patient skin or inanimate environment</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Multiple investigations have demonstrated that healthcare-associated bacteria can be found not just in sick or draining wounds, but also in regularly colonised areas of healthy, intact patient skin. Due to the shedding of approximately 106 skin squames per day, which carry live bacteria, it is expected that patient gowns, bed linen, bedside furniture, and other objects in close proximity to the patient get contaminated with the patient's own microorganisms (</w:t>
      </w:r>
      <w:r>
        <w:rPr>
          <w:rFonts w:hint="default" w:ascii="Times New Roman" w:hAnsi="Times New Roman" w:cs="Times New Roman"/>
          <w:sz w:val="24"/>
          <w:szCs w:val="24"/>
        </w:rPr>
        <w:t>Khalel, Abdalla,</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Hassabo,</w:t>
      </w:r>
      <w:r>
        <w:rPr>
          <w:rFonts w:hint="default" w:ascii="Times New Roman" w:hAnsi="Times New Roman" w:cs="Times New Roman"/>
          <w:sz w:val="24"/>
          <w:szCs w:val="24"/>
          <w:lang w:val="en-US"/>
        </w:rPr>
        <w:t xml:space="preserve"> 2023). The most probable cause of such contamination is staphylococci, enterococci, or Clostridium difficile, as they exhibit greater resistance to desiccation. Contamination of the non-living environment has also been found on surfaces of hand wash stations in the ward, and a significant number of the microorganisms identified were staphylococci. Tap/faucet handles exhibited a higher likelihood of contamination and exceeded benchmark values more frequently compared to other components of the station (</w:t>
      </w:r>
      <w:r>
        <w:rPr>
          <w:rFonts w:hint="default" w:ascii="Times New Roman" w:hAnsi="Times New Roman" w:cs="Times New Roman"/>
          <w:sz w:val="24"/>
          <w:szCs w:val="24"/>
        </w:rPr>
        <w:t>Höchli</w:t>
      </w:r>
      <w:r>
        <w:rPr>
          <w:rFonts w:hint="default" w:ascii="Times New Roman" w:hAnsi="Times New Roman" w:cs="Times New Roman"/>
          <w:sz w:val="24"/>
          <w:szCs w:val="24"/>
          <w:lang w:val="en-US"/>
        </w:rPr>
        <w:t xml:space="preserve"> et al., 2023).</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Organisms transfer to HCWS hands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Multiple studies (</w:t>
      </w:r>
      <w:r>
        <w:rPr>
          <w:rFonts w:hint="default" w:ascii="Times New Roman" w:hAnsi="Times New Roman" w:cs="Times New Roman"/>
          <w:sz w:val="24"/>
          <w:szCs w:val="24"/>
        </w:rPr>
        <w:t>Paskey</w:t>
      </w:r>
      <w:r>
        <w:rPr>
          <w:rFonts w:hint="default" w:ascii="Times New Roman" w:hAnsi="Times New Roman" w:cs="Times New Roman"/>
          <w:sz w:val="24"/>
          <w:szCs w:val="24"/>
          <w:lang w:val="en-US"/>
        </w:rPr>
        <w:t xml:space="preserve"> et al., 2022; </w:t>
      </w:r>
      <w:r>
        <w:rPr>
          <w:rFonts w:hint="default" w:ascii="Times New Roman" w:hAnsi="Times New Roman" w:cs="Times New Roman"/>
          <w:sz w:val="24"/>
          <w:szCs w:val="24"/>
        </w:rPr>
        <w:t>Bhattacharyya</w:t>
      </w:r>
      <w:r>
        <w:rPr>
          <w:rFonts w:hint="default" w:ascii="Times New Roman" w:hAnsi="Times New Roman" w:cs="Times New Roman"/>
          <w:sz w:val="24"/>
          <w:szCs w:val="24"/>
          <w:lang w:val="en-US"/>
        </w:rPr>
        <w:t xml:space="preserve">, 2023) have recorded instances where healthcare workers (HCWs) have been found to have Gram-negative bacilli, S. Aureus, enterococci, or C. difficile on their hands or gloves after performing "clean procedures" or contacting intact regions of skin on hospitalised patients. An recent study conducted on healthcare workers (HCWs) found that their hands were contaminated after engaging in activities such as patient contact and coming into contact with body fluids or waste. </w:t>
      </w:r>
      <w:r>
        <w:rPr>
          <w:rFonts w:hint="default" w:ascii="Times New Roman" w:hAnsi="Times New Roman" w:cs="Times New Roman"/>
          <w:sz w:val="24"/>
          <w:szCs w:val="24"/>
        </w:rPr>
        <w:t>Bhattacharyya</w:t>
      </w:r>
      <w:r>
        <w:rPr>
          <w:rFonts w:hint="default" w:ascii="Times New Roman" w:hAnsi="Times New Roman" w:cs="Times New Roman"/>
          <w:sz w:val="24"/>
          <w:szCs w:val="24"/>
          <w:lang w:val="en-US"/>
        </w:rPr>
        <w:t xml:space="preserve"> (2023) conducted a separate study to evaluate the level of contamination on healthcare workers' hands both before and after engaging in activities such as direct patient contact, wound care, intravascular catheter care, respiratory tract care, or handling patient secretions. By employing agar fingertip imprint plates, researchers determined that the quantity of bacteria obtained from fingertips varied between 0 and 300 CFU. Carers were most likely to have their fingers contaminated through direct patient contact and respiratory tract treatment. Gram-negative bacilli constituted 15% of the isolates, whereas S. aureus accounted for 11%. Significantly, the length of time spent on patient-care tasks was closely linked to the level of bacterial contamination on healthcare workers' hands in this study. HCWs' hands were not completely shielded from bacterial contamination despite the use of gloves, and the level of contamination on gloves was nearly equal to that on bare hands after contact with patients. Conversely, the utilisation of gloves during operations like nappy/diaper change and respiratory treatment reduced the average bacterial CFU/min rise on healthcare workers' hands by nearly 50%. In a separate investigation concerning healthcare workers (HCWs) tending to patients with vancomycin-resistant enterococci (VRE), it was shown that 70% of HCWs became contaminated on their hands or gloves after coming into contact with both the patient and the patient's surroundings.In addition, healthcare workers (HCWs) who provide care for infants with respiratory syncytial virus (RSV) infections have contracted the infection through activities such as feeding, changing diapers, and interacting with the infants. The healthcare workers (HCWs) acquired RSV on their hands and introduced the pathogens to their oral or conjunctival mucosa.</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Results of defective hand cleansing </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There are limited studies that provide microbiological evidence to determine if hand cleaning is sufficient or insufficient. In a laboratory-based study, Larson et colleagues discovered that using a smaller quantity of liquid soap or alcohol-based handrub, specifically 1ml, resulted in lower log reductions, meaning a higher number of bacteria remained on the hands compared to using a larger quantity of 3ml of either of these products for hand cleaning. The findings are clinically relevant as certain healthcare workers utilise a mere 0.4 cc of soap for hand hygiene purposes. </w:t>
      </w:r>
      <w:r>
        <w:rPr>
          <w:rFonts w:hint="default" w:ascii="Times New Roman" w:hAnsi="Times New Roman" w:cs="Times New Roman"/>
          <w:sz w:val="24"/>
          <w:szCs w:val="24"/>
        </w:rPr>
        <w:t>Guo, M</w:t>
      </w:r>
      <w:r>
        <w:rPr>
          <w:rFonts w:hint="default" w:ascii="Times New Roman" w:hAnsi="Times New Roman" w:cs="Times New Roman"/>
          <w:sz w:val="24"/>
          <w:szCs w:val="24"/>
          <w:lang w:val="en-US"/>
        </w:rPr>
        <w:t>.</w:t>
      </w:r>
      <w:r>
        <w:rPr>
          <w:rFonts w:hint="default" w:ascii="Times New Roman" w:hAnsi="Times New Roman" w:cs="Times New Roman"/>
          <w:sz w:val="24"/>
          <w:szCs w:val="24"/>
        </w:rPr>
        <w:t xml:space="preserve"> &amp; Zhang</w:t>
      </w:r>
      <w:r>
        <w:rPr>
          <w:rFonts w:hint="default" w:ascii="Times New Roman" w:hAnsi="Times New Roman" w:cs="Times New Roman"/>
          <w:sz w:val="24"/>
          <w:szCs w:val="24"/>
          <w:lang w:val="en-US"/>
        </w:rPr>
        <w:t xml:space="preserve"> (2023) conducted a comparative, crossover study to assess the microbiological effectiveness of hand rubbing with an alcohol-based solution compared to handwashing with an un-medicated soap. The study findings indicate that 15% of healthcare workers' hands were contaminated with transitory pathogens prior to practicing proper hygiene. However, no transient infections were detected after hand rubbing, however two instances were observed after hand washing. Inadequate adherence to proper hand hygiene is widely acknowledged as the primary factor behind healthcare-associated infections (HCAI) and the transmission of drug-resistant organisms (Nedelcu et al., 2021). It is also acknowledged as a major factor in the occurrence of outbreaks. There is compelling evidence that implementing multimodal measures to promote hand cleanliness can effectively decrease rates of healthcare-associated infections (HCAIs). Furthermore, despite not providing specific infection rate data, other studies have demonstrated a consistent reduction in the occurrence of multidrug-resistant bacterial isolates and patient colonisation after implementing improvements in hand hygiene.</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Hand hygiene compliance among HCWS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Although hand hygiene is a straightforward and highly efficient method for decreasing the occurrence of healthcare-associated infections and the transmission of antibiotic resistance, non-compliance continues to be a significant issue in the majority of healthcare environments (</w:t>
      </w:r>
      <w:r>
        <w:rPr>
          <w:rFonts w:hint="default" w:ascii="Times New Roman" w:hAnsi="Times New Roman" w:cs="Times New Roman"/>
          <w:sz w:val="24"/>
          <w:szCs w:val="24"/>
        </w:rPr>
        <w:t>Höchli</w:t>
      </w:r>
      <w:r>
        <w:rPr>
          <w:rFonts w:hint="default" w:ascii="Times New Roman" w:hAnsi="Times New Roman" w:cs="Times New Roman"/>
          <w:sz w:val="24"/>
          <w:szCs w:val="24"/>
          <w:lang w:val="en-US"/>
        </w:rPr>
        <w:t xml:space="preserve"> et al., 2023). The level of adherence to hand hygiene guidelines differs among hospital wards, professional categories of healthcare professionals, and working situations. It also varies based on the definitions employed in different studies. In the majority of research undertaken in newborn settings, the adherence to hand cleanliness has not surpassed 50%. A research conducted by Saleh, Alrawaili &amp; Kamal (2022) at the neonatal section of KNH revealed a compliance rate of 15%.</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Overview of a surgical Suite Layout</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According to Al-Qahtani (2023), an optimally constructed surgical suite offers abundant space for both personnel and equipment. It promotes efficient movement of individuals and resources within the space. Although the arrangement of a specific surgical suite may differ depending on the surgical service, all suites possess certain common features. The dimensions of the operating suite should correspond to the spatial needs of the patient, medical personnel, and equipment necessary for the execution of the surgical process. The minimum size requirement for a typical surgery suite is 400 square feet. Surgical suites that necessitate specialised equipment or additional people may exhibit a considerable increase in size. Ensuring that sensitive medical equipment is not placed in regions with a large volume of foot traffic is crucial. The configuration of an operating suite can assume several shapes, such as square, rectangular, round, or oval, based on design preferences and the general arrangement of the operating room.</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surgical table is conventionally positioned at the centre of the room, with the doctors situated alongside the patient. The scrub nurse is strategically positioned in a location that allows easy access to both the instrument table and the surgeon's extended hand. The anesthesiologist and anaesthesia equipment are often positioned at the cranial end of the table. This enables the anesthesiologist to gain entry to the patient's airway (Bakey, 2019). The anaesthesia equipment must be placed in close proximity to medical gas, hoover and power outlets, which can be conveniently situated on a wall or column. Additional devices, such as defibrillators, electrosurgical units, video towers, and bypass machines, are positioned at a greater distance from the surgical area.</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2.2.</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Theoretical review</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The </w:t>
      </w:r>
      <w:r>
        <w:rPr>
          <w:rFonts w:hint="default" w:ascii="Times New Roman" w:hAnsi="Times New Roman" w:cs="Times New Roman"/>
          <w:b/>
          <w:bCs/>
          <w:sz w:val="24"/>
          <w:szCs w:val="24"/>
        </w:rPr>
        <w:t>Health Belief Model (HBM)</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Health Belief Model (HBM) is a well-studied framework for understanding health-related behaviours (Hochbaum &amp; Rosenstock, 1952). The Health Belief Model (HBM) aims to forecast health-related behaviour based on specific patterns of beliefs. The motivation of an individual to engage in a health behaviour can be categorised into three groups: personal perceptions, modifying influences, and probability of taking action. Individual perceptions play a crucial role in shaping how one perceives sickness, particularly in relation to the significance of health, perceived vulnerability, and perceived seriousness. Modifying factors encompass demographic variables, perceived threat, and cues to action. The probability of taking action is determined by the perceived advantages minus the perceived obstacles of implementing the suggested health measure. The convergence of these circumstances elicits a reaction that frequently materialises as the probability of that behaviour transpiring (Janz &amp; Becker, 1984; Rosenstock &amp; Strecher, 1988). The Health Belief Model (HBM) posits that the perception of a personal health behaviour threat is influenced by three key factors: general health values, which encompass an individual's interest and concern for their health; specific health beliefs regarding their susceptibility to a particular health threat; and beliefs about the potential consequences of the health issue (Hochbaum &amp; Rosenstock, 1952). If an individual recognises a potential danger to their well-being, receives continuous prompts to take action, and believes that the benefits of taking preventive health measures outweigh the obstacles, then they are likely to follow through with the advised course of action.</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Limitation of the HBM</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mc:AlternateContent>
          <mc:Choice Requires="wpg">
            <w:drawing>
              <wp:anchor distT="0" distB="0" distL="114300" distR="114300" simplePos="0" relativeHeight="251659264" behindDoc="0" locked="0" layoutInCell="1" allowOverlap="1">
                <wp:simplePos x="0" y="0"/>
                <wp:positionH relativeFrom="column">
                  <wp:posOffset>-5080</wp:posOffset>
                </wp:positionH>
                <wp:positionV relativeFrom="paragraph">
                  <wp:posOffset>5941060</wp:posOffset>
                </wp:positionV>
                <wp:extent cx="5474970" cy="2447290"/>
                <wp:effectExtent l="0" t="9525" r="49530" b="19685"/>
                <wp:wrapNone/>
                <wp:docPr id="35" name="Group 35"/>
                <wp:cNvGraphicFramePr/>
                <a:graphic xmlns:a="http://schemas.openxmlformats.org/drawingml/2006/main">
                  <a:graphicData uri="http://schemas.microsoft.com/office/word/2010/wordprocessingGroup">
                    <wpg:wgp>
                      <wpg:cNvGrpSpPr/>
                      <wpg:grpSpPr>
                        <a:xfrm>
                          <a:off x="0" y="0"/>
                          <a:ext cx="5474970" cy="2447290"/>
                          <a:chOff x="5461" y="299286"/>
                          <a:chExt cx="8622" cy="3854"/>
                        </a:xfrm>
                      </wpg:grpSpPr>
                      <wpg:grpSp>
                        <wpg:cNvPr id="27" name="Group 27"/>
                        <wpg:cNvGrpSpPr/>
                        <wpg:grpSpPr>
                          <a:xfrm>
                            <a:off x="5461" y="300426"/>
                            <a:ext cx="8623" cy="2714"/>
                            <a:chOff x="2075" y="298038"/>
                            <a:chExt cx="8623" cy="2714"/>
                          </a:xfrm>
                        </wpg:grpSpPr>
                        <wpg:grpSp>
                          <wpg:cNvPr id="26" name="Group 26"/>
                          <wpg:cNvGrpSpPr/>
                          <wpg:grpSpPr>
                            <a:xfrm>
                              <a:off x="2075" y="298038"/>
                              <a:ext cx="8623" cy="2086"/>
                              <a:chOff x="2075" y="298038"/>
                              <a:chExt cx="8623" cy="2086"/>
                            </a:xfrm>
                          </wpg:grpSpPr>
                          <wpg:grpSp>
                            <wpg:cNvPr id="25" name="Group 25"/>
                            <wpg:cNvGrpSpPr/>
                            <wpg:grpSpPr>
                              <a:xfrm>
                                <a:off x="2075" y="298038"/>
                                <a:ext cx="6446" cy="2086"/>
                                <a:chOff x="2075" y="298038"/>
                                <a:chExt cx="6446" cy="2086"/>
                              </a:xfrm>
                            </wpg:grpSpPr>
                            <wpg:grpSp>
                              <wpg:cNvPr id="6" name="Group 6"/>
                              <wpg:cNvGrpSpPr/>
                              <wpg:grpSpPr>
                                <a:xfrm>
                                  <a:off x="7309" y="298266"/>
                                  <a:ext cx="1213" cy="1197"/>
                                  <a:chOff x="7425" y="298219"/>
                                  <a:chExt cx="1004" cy="1214"/>
                                </a:xfrm>
                              </wpg:grpSpPr>
                              <wps:wsp>
                                <wps:cNvPr id="7" name="Straight Connector 3"/>
                                <wps:cNvCnPr/>
                                <wps:spPr>
                                  <a:xfrm flipH="1">
                                    <a:off x="7440" y="298219"/>
                                    <a:ext cx="975" cy="570"/>
                                  </a:xfrm>
                                  <a:prstGeom prst="line">
                                    <a:avLst/>
                                  </a:prstGeom>
                                </wps:spPr>
                                <wps:style>
                                  <a:lnRef idx="1">
                                    <a:schemeClr val="dk1"/>
                                  </a:lnRef>
                                  <a:fillRef idx="0">
                                    <a:schemeClr val="dk1"/>
                                  </a:fillRef>
                                  <a:effectRef idx="0">
                                    <a:schemeClr val="dk1"/>
                                  </a:effectRef>
                                  <a:fontRef idx="minor">
                                    <a:schemeClr val="tx1"/>
                                  </a:fontRef>
                                </wps:style>
                                <wps:bodyPr/>
                              </wps:wsp>
                              <wps:wsp>
                                <wps:cNvPr id="8" name="Straight Connector 4"/>
                                <wps:cNvCnPr/>
                                <wps:spPr>
                                  <a:xfrm flipH="1" flipV="1">
                                    <a:off x="7425" y="298789"/>
                                    <a:ext cx="1005" cy="645"/>
                                  </a:xfrm>
                                  <a:prstGeom prst="line">
                                    <a:avLst/>
                                  </a:prstGeom>
                                </wps:spPr>
                                <wps:style>
                                  <a:lnRef idx="1">
                                    <a:schemeClr val="dk1"/>
                                  </a:lnRef>
                                  <a:fillRef idx="0">
                                    <a:schemeClr val="dk1"/>
                                  </a:fillRef>
                                  <a:effectRef idx="0">
                                    <a:schemeClr val="dk1"/>
                                  </a:effectRef>
                                  <a:fontRef idx="minor">
                                    <a:schemeClr val="tx1"/>
                                  </a:fontRef>
                                </wps:style>
                                <wps:bodyPr/>
                              </wps:wsp>
                            </wpg:grpSp>
                            <wpg:grpSp>
                              <wpg:cNvPr id="24" name="Group 24"/>
                              <wpg:cNvGrpSpPr/>
                              <wpg:grpSpPr>
                                <a:xfrm>
                                  <a:off x="2075" y="298038"/>
                                  <a:ext cx="5218" cy="2086"/>
                                  <a:chOff x="2075" y="298038"/>
                                  <a:chExt cx="5218" cy="2086"/>
                                </a:xfrm>
                              </wpg:grpSpPr>
                              <wps:wsp>
                                <wps:cNvPr id="2" name="Rectangles 2"/>
                                <wps:cNvSpPr/>
                                <wps:spPr>
                                  <a:xfrm>
                                    <a:off x="5029" y="298209"/>
                                    <a:ext cx="2264" cy="1243"/>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Health</w:t>
                                      </w:r>
                                    </w:p>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Belief</w:t>
                                      </w:r>
                                    </w:p>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Model</w:t>
                                      </w:r>
                                    </w:p>
                                  </w:txbxContent>
                                </wps:txbx>
                                <wps:bodyPr rot="0" spcFirstLastPara="0" vertOverflow="overflow" horzOverflow="overflow" vert="horz" wrap="square" lIns="91440" tIns="45720" rIns="91440" bIns="45720" numCol="1" spcCol="0" rtlCol="0" fromWordArt="0" anchor="ctr" anchorCtr="0" forceAA="0" compatLnSpc="1">
                                  <a:noAutofit/>
                                </wps:bodyPr>
                              </wps:wsp>
                              <wpg:grpSp>
                                <wpg:cNvPr id="23" name="Group 23"/>
                                <wpg:cNvGrpSpPr/>
                                <wpg:grpSpPr>
                                  <a:xfrm>
                                    <a:off x="2075" y="298038"/>
                                    <a:ext cx="2961" cy="2086"/>
                                    <a:chOff x="2075" y="298038"/>
                                    <a:chExt cx="2961" cy="2086"/>
                                  </a:xfrm>
                                </wpg:grpSpPr>
                                <wpg:grpSp>
                                  <wpg:cNvPr id="5" name="Group 5"/>
                                  <wpg:cNvGrpSpPr/>
                                  <wpg:grpSpPr>
                                    <a:xfrm flipH="1">
                                      <a:off x="3992" y="298479"/>
                                      <a:ext cx="1045" cy="1094"/>
                                      <a:chOff x="7425" y="298219"/>
                                      <a:chExt cx="1004" cy="1214"/>
                                    </a:xfrm>
                                  </wpg:grpSpPr>
                                  <wps:wsp>
                                    <wps:cNvPr id="3" name="Straight Connector 3"/>
                                    <wps:cNvCnPr/>
                                    <wps:spPr>
                                      <a:xfrm flipH="1">
                                        <a:off x="7440" y="298219"/>
                                        <a:ext cx="975" cy="570"/>
                                      </a:xfrm>
                                      <a:prstGeom prst="line">
                                        <a:avLst/>
                                      </a:prstGeom>
                                    </wps:spPr>
                                    <wps:style>
                                      <a:lnRef idx="1">
                                        <a:schemeClr val="dk1"/>
                                      </a:lnRef>
                                      <a:fillRef idx="0">
                                        <a:schemeClr val="dk1"/>
                                      </a:fillRef>
                                      <a:effectRef idx="0">
                                        <a:schemeClr val="dk1"/>
                                      </a:effectRef>
                                      <a:fontRef idx="minor">
                                        <a:schemeClr val="tx1"/>
                                      </a:fontRef>
                                    </wps:style>
                                    <wps:bodyPr/>
                                  </wps:wsp>
                                  <wps:wsp>
                                    <wps:cNvPr id="4" name="Straight Connector 4"/>
                                    <wps:cNvCnPr/>
                                    <wps:spPr>
                                      <a:xfrm flipH="1" flipV="1">
                                        <a:off x="7425" y="298789"/>
                                        <a:ext cx="1005" cy="645"/>
                                      </a:xfrm>
                                      <a:prstGeom prst="line">
                                        <a:avLst/>
                                      </a:prstGeom>
                                    </wps:spPr>
                                    <wps:style>
                                      <a:lnRef idx="1">
                                        <a:schemeClr val="dk1"/>
                                      </a:lnRef>
                                      <a:fillRef idx="0">
                                        <a:schemeClr val="dk1"/>
                                      </a:fillRef>
                                      <a:effectRef idx="0">
                                        <a:schemeClr val="dk1"/>
                                      </a:effectRef>
                                      <a:fontRef idx="minor">
                                        <a:schemeClr val="tx1"/>
                                      </a:fontRef>
                                    </wps:style>
                                    <wps:bodyPr/>
                                  </wps:wsp>
                                </wpg:grpSp>
                                <wpg:grpSp>
                                  <wpg:cNvPr id="21" name="Group 21"/>
                                  <wpg:cNvGrpSpPr/>
                                  <wpg:grpSpPr>
                                    <a:xfrm>
                                      <a:off x="2075" y="298038"/>
                                      <a:ext cx="1948" cy="2086"/>
                                      <a:chOff x="2075" y="298038"/>
                                      <a:chExt cx="1948" cy="2086"/>
                                    </a:xfrm>
                                  </wpg:grpSpPr>
                                  <wps:wsp>
                                    <wps:cNvPr id="9" name="Rounded Rectangle 9"/>
                                    <wps:cNvSpPr/>
                                    <wps:spPr>
                                      <a:xfrm>
                                        <a:off x="2075" y="298038"/>
                                        <a:ext cx="1948" cy="661"/>
                                      </a:xfrm>
                                      <a:prstGeom prst="roundRect">
                                        <a:avLst/>
                                      </a:prstGeom>
                                      <a:ln>
                                        <a:noFill/>
                                      </a:ln>
                                    </wps:spPr>
                                    <wps:style>
                                      <a:lnRef idx="1">
                                        <a:schemeClr val="dk1"/>
                                      </a:lnRef>
                                      <a:fillRef idx="2">
                                        <a:schemeClr val="dk1"/>
                                      </a:fillRef>
                                      <a:effectRef idx="1">
                                        <a:schemeClr val="dk1"/>
                                      </a:effectRef>
                                      <a:fontRef idx="minor">
                                        <a:schemeClr val="dk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Knowledge of hand washing</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0" name="Rounded Rectangle 10"/>
                                    <wps:cNvSpPr/>
                                    <wps:spPr>
                                      <a:xfrm>
                                        <a:off x="2105" y="298804"/>
                                        <a:ext cx="1904" cy="615"/>
                                      </a:xfrm>
                                      <a:prstGeom prst="roundRect">
                                        <a:avLst/>
                                      </a:prstGeom>
                                      <a:ln>
                                        <a:noFill/>
                                      </a:ln>
                                    </wps:spPr>
                                    <wps:style>
                                      <a:lnRef idx="1">
                                        <a:schemeClr val="dk1"/>
                                      </a:lnRef>
                                      <a:fillRef idx="2">
                                        <a:schemeClr val="dk1"/>
                                      </a:fillRef>
                                      <a:effectRef idx="1">
                                        <a:schemeClr val="dk1"/>
                                      </a:effectRef>
                                      <a:fontRef idx="minor">
                                        <a:schemeClr val="dk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Barriers to hand-washing</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1" name="Rounded Rectangle 11"/>
                                    <wps:cNvSpPr/>
                                    <wps:spPr>
                                      <a:xfrm>
                                        <a:off x="2120" y="299494"/>
                                        <a:ext cx="1874" cy="630"/>
                                      </a:xfrm>
                                      <a:prstGeom prst="roundRect">
                                        <a:avLst/>
                                      </a:prstGeom>
                                      <a:ln>
                                        <a:noFill/>
                                      </a:ln>
                                    </wps:spPr>
                                    <wps:style>
                                      <a:lnRef idx="1">
                                        <a:schemeClr val="dk1"/>
                                      </a:lnRef>
                                      <a:fillRef idx="2">
                                        <a:schemeClr val="dk1"/>
                                      </a:fillRef>
                                      <a:effectRef idx="1">
                                        <a:schemeClr val="dk1"/>
                                      </a:effectRef>
                                      <a:fontRef idx="minor">
                                        <a:schemeClr val="dk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Years of nursing practice</w:t>
                                          </w:r>
                                        </w:p>
                                      </w:txbxContent>
                                    </wps:txbx>
                                    <wps:bodyPr rot="0" spcFirstLastPara="0" vertOverflow="overflow" horzOverflow="overflow" vert="horz" wrap="square" lIns="91440" tIns="45720" rIns="91440" bIns="45720" numCol="1" spcCol="0" rtlCol="0" fromWordArt="0" anchor="ctr" anchorCtr="0" forceAA="0" compatLnSpc="1">
                                      <a:noAutofit/>
                                    </wps:bodyPr>
                                  </wps:wsp>
                                </wpg:grpSp>
                              </wpg:grpSp>
                            </wpg:grpSp>
                          </wpg:grpSp>
                          <wps:wsp>
                            <wps:cNvPr id="12" name="Rounded Rectangle 12"/>
                            <wps:cNvSpPr/>
                            <wps:spPr>
                              <a:xfrm>
                                <a:off x="8525" y="298128"/>
                                <a:ext cx="2173" cy="1531"/>
                              </a:xfrm>
                              <a:prstGeom prst="roundRect">
                                <a:avLst/>
                              </a:prstGeom>
                              <a:ln>
                                <a:noFill/>
                              </a:ln>
                            </wps:spPr>
                            <wps:style>
                              <a:lnRef idx="0">
                                <a:schemeClr val="accent3"/>
                              </a:lnRef>
                              <a:fillRef idx="3">
                                <a:schemeClr val="accent3"/>
                              </a:fillRef>
                              <a:effectRef idx="3">
                                <a:schemeClr val="accent3"/>
                              </a:effectRef>
                              <a:fontRef idx="minor">
                                <a:schemeClr val="lt1"/>
                              </a:fontRef>
                            </wps:style>
                            <wps:txbx>
                              <w:txbxContent>
                                <w:p>
                                  <w:pPr>
                                    <w:jc w:val="left"/>
                                    <w:rPr>
                                      <w:rFonts w:hint="default" w:ascii="Verdana" w:hAnsi="Verdana" w:cs="Verdana"/>
                                      <w:b/>
                                      <w:bCs/>
                                      <w:sz w:val="21"/>
                                      <w:szCs w:val="21"/>
                                      <w:lang w:val="en-US"/>
                                    </w:rPr>
                                  </w:pPr>
                                  <w:r>
                                    <w:rPr>
                                      <w:rFonts w:hint="default" w:ascii="Verdana" w:hAnsi="Verdana" w:cs="Verdana"/>
                                      <w:b/>
                                      <w:bCs/>
                                      <w:sz w:val="21"/>
                                      <w:szCs w:val="21"/>
                                      <w:lang w:val="en-US"/>
                                    </w:rPr>
                                    <w:t>Practice of hand-washing</w:t>
                                  </w:r>
                                </w:p>
                              </w:txbxContent>
                            </wps:txbx>
                            <wps:bodyPr rot="0" spcFirstLastPara="0" vertOverflow="overflow" horzOverflow="overflow" vert="horz" wrap="square" lIns="91440" tIns="45720" rIns="91440" bIns="45720" numCol="1" spcCol="0" rtlCol="0" fromWordArt="0" anchor="ctr" anchorCtr="0" forceAA="0" compatLnSpc="1">
                              <a:noAutofit/>
                            </wps:bodyPr>
                          </wps:wsp>
                        </wpg:grpSp>
                        <wpg:grpSp>
                          <wpg:cNvPr id="20" name="Group 20"/>
                          <wpg:cNvGrpSpPr/>
                          <wpg:grpSpPr>
                            <a:xfrm>
                              <a:off x="3049" y="299806"/>
                              <a:ext cx="6260" cy="946"/>
                              <a:chOff x="3049" y="299806"/>
                              <a:chExt cx="6260" cy="946"/>
                            </a:xfrm>
                          </wpg:grpSpPr>
                          <wps:wsp>
                            <wps:cNvPr id="17" name="Straight Connector 17"/>
                            <wps:cNvCnPr>
                              <a:stCxn id="11" idx="2"/>
                            </wps:cNvCnPr>
                            <wps:spPr>
                              <a:xfrm flipH="1">
                                <a:off x="3049" y="300124"/>
                                <a:ext cx="8" cy="622"/>
                              </a:xfrm>
                              <a:prstGeom prst="line">
                                <a:avLst/>
                              </a:prstGeom>
                            </wps:spPr>
                            <wps:style>
                              <a:lnRef idx="1">
                                <a:schemeClr val="dk1"/>
                              </a:lnRef>
                              <a:fillRef idx="0">
                                <a:schemeClr val="dk1"/>
                              </a:fillRef>
                              <a:effectRef idx="0">
                                <a:schemeClr val="dk1"/>
                              </a:effectRef>
                              <a:fontRef idx="minor">
                                <a:schemeClr val="tx1"/>
                              </a:fontRef>
                            </wps:style>
                            <wps:bodyPr/>
                          </wps:wsp>
                          <wps:wsp>
                            <wps:cNvPr id="18" name="Straight Connector 18"/>
                            <wps:cNvCnPr/>
                            <wps:spPr>
                              <a:xfrm>
                                <a:off x="3069" y="300746"/>
                                <a:ext cx="6241" cy="7"/>
                              </a:xfrm>
                              <a:prstGeom prst="line">
                                <a:avLst/>
                              </a:prstGeom>
                            </wps:spPr>
                            <wps:style>
                              <a:lnRef idx="1">
                                <a:schemeClr val="dk1"/>
                              </a:lnRef>
                              <a:fillRef idx="0">
                                <a:schemeClr val="dk1"/>
                              </a:fillRef>
                              <a:effectRef idx="0">
                                <a:schemeClr val="dk1"/>
                              </a:effectRef>
                              <a:fontRef idx="minor">
                                <a:schemeClr val="tx1"/>
                              </a:fontRef>
                            </wps:style>
                            <wps:bodyPr/>
                          </wps:wsp>
                          <wps:wsp>
                            <wps:cNvPr id="19" name="Straight Connector 19"/>
                            <wps:cNvCnPr/>
                            <wps:spPr>
                              <a:xfrm>
                                <a:off x="9286" y="299806"/>
                                <a:ext cx="9" cy="925"/>
                              </a:xfrm>
                              <a:prstGeom prst="line">
                                <a:avLst/>
                              </a:prstGeom>
                            </wps:spPr>
                            <wps:style>
                              <a:lnRef idx="1">
                                <a:schemeClr val="dk1"/>
                              </a:lnRef>
                              <a:fillRef idx="0">
                                <a:schemeClr val="dk1"/>
                              </a:fillRef>
                              <a:effectRef idx="0">
                                <a:schemeClr val="dk1"/>
                              </a:effectRef>
                              <a:fontRef idx="minor">
                                <a:schemeClr val="tx1"/>
                              </a:fontRef>
                            </wps:style>
                            <wps:bodyPr/>
                          </wps:wsp>
                        </wpg:grpSp>
                      </wpg:grpSp>
                      <wpg:grpSp>
                        <wpg:cNvPr id="34" name="Group 34"/>
                        <wpg:cNvGrpSpPr/>
                        <wpg:grpSpPr>
                          <a:xfrm>
                            <a:off x="5491" y="299286"/>
                            <a:ext cx="8428" cy="1229"/>
                            <a:chOff x="5491" y="299286"/>
                            <a:chExt cx="8428" cy="1229"/>
                          </a:xfrm>
                        </wpg:grpSpPr>
                        <wpg:grpSp>
                          <wpg:cNvPr id="32" name="Group 32"/>
                          <wpg:cNvGrpSpPr/>
                          <wpg:grpSpPr>
                            <a:xfrm>
                              <a:off x="5491" y="299286"/>
                              <a:ext cx="1948" cy="1140"/>
                              <a:chOff x="5491" y="299286"/>
                              <a:chExt cx="1948" cy="1140"/>
                            </a:xfrm>
                          </wpg:grpSpPr>
                          <wps:wsp>
                            <wps:cNvPr id="28" name="Rounded Rectangle 28"/>
                            <wps:cNvSpPr/>
                            <wps:spPr>
                              <a:xfrm>
                                <a:off x="5491" y="299286"/>
                                <a:ext cx="1948" cy="661"/>
                              </a:xfrm>
                              <a:prstGeom prst="roundRect">
                                <a:avLst/>
                              </a:prstGeom>
                            </wps:spPr>
                            <wps:style>
                              <a:lnRef idx="3">
                                <a:schemeClr val="lt1"/>
                              </a:lnRef>
                              <a:fillRef idx="1">
                                <a:schemeClr val="dk1"/>
                              </a:fillRef>
                              <a:effectRef idx="1">
                                <a:schemeClr val="dk1"/>
                              </a:effectRef>
                              <a:fontRef idx="minor">
                                <a:schemeClr val="lt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Independent Variable</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30" name="Straight Arrow Connector 30"/>
                            <wps:cNvCnPr>
                              <a:stCxn id="9" idx="0"/>
                            </wps:cNvCnPr>
                            <wps:spPr>
                              <a:xfrm flipV="1">
                                <a:off x="6435" y="299988"/>
                                <a:ext cx="1" cy="438"/>
                              </a:xfrm>
                              <a:prstGeom prst="straightConnector1">
                                <a:avLst/>
                              </a:prstGeom>
                              <a:ln>
                                <a:tailEnd type="arrow" w="med" len="med"/>
                              </a:ln>
                            </wps:spPr>
                            <wps:style>
                              <a:lnRef idx="1">
                                <a:schemeClr val="dk1"/>
                              </a:lnRef>
                              <a:fillRef idx="0">
                                <a:schemeClr val="dk1"/>
                              </a:fillRef>
                              <a:effectRef idx="0">
                                <a:schemeClr val="dk1"/>
                              </a:effectRef>
                              <a:fontRef idx="minor">
                                <a:schemeClr val="tx1"/>
                              </a:fontRef>
                            </wps:style>
                            <wps:bodyPr/>
                          </wps:wsp>
                        </wpg:grpSp>
                        <wpg:grpSp>
                          <wpg:cNvPr id="33" name="Group 33"/>
                          <wpg:cNvGrpSpPr/>
                          <wpg:grpSpPr>
                            <a:xfrm>
                              <a:off x="11971" y="299331"/>
                              <a:ext cx="1948" cy="1184"/>
                              <a:chOff x="11971" y="299331"/>
                              <a:chExt cx="1948" cy="1184"/>
                            </a:xfrm>
                          </wpg:grpSpPr>
                          <wps:wsp>
                            <wps:cNvPr id="29" name="Rounded Rectangle 29"/>
                            <wps:cNvSpPr/>
                            <wps:spPr>
                              <a:xfrm>
                                <a:off x="11971" y="299331"/>
                                <a:ext cx="1948" cy="661"/>
                              </a:xfrm>
                              <a:prstGeom prst="roundRect">
                                <a:avLst/>
                              </a:prstGeom>
                            </wps:spPr>
                            <wps:style>
                              <a:lnRef idx="3">
                                <a:schemeClr val="lt1"/>
                              </a:lnRef>
                              <a:fillRef idx="1">
                                <a:schemeClr val="dk1"/>
                              </a:fillRef>
                              <a:effectRef idx="1">
                                <a:schemeClr val="dk1"/>
                              </a:effectRef>
                              <a:fontRef idx="minor">
                                <a:schemeClr val="lt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Dependent Variable</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31" name="Straight Arrow Connector 31"/>
                            <wps:cNvCnPr/>
                            <wps:spPr>
                              <a:xfrm flipH="1" flipV="1">
                                <a:off x="12991" y="300093"/>
                                <a:ext cx="14" cy="423"/>
                              </a:xfrm>
                              <a:prstGeom prst="straightConnector1">
                                <a:avLst/>
                              </a:prstGeom>
                              <a:ln>
                                <a:tailEnd type="arrow" w="med" len="med"/>
                              </a:ln>
                            </wps:spPr>
                            <wps:style>
                              <a:lnRef idx="1">
                                <a:schemeClr val="dk1"/>
                              </a:lnRef>
                              <a:fillRef idx="0">
                                <a:schemeClr val="dk1"/>
                              </a:fillRef>
                              <a:effectRef idx="0">
                                <a:schemeClr val="dk1"/>
                              </a:effectRef>
                              <a:fontRef idx="minor">
                                <a:schemeClr val="tx1"/>
                              </a:fontRef>
                            </wps:style>
                            <wps:bodyPr/>
                          </wps:wsp>
                        </wpg:grpSp>
                      </wpg:grpSp>
                    </wpg:wgp>
                  </a:graphicData>
                </a:graphic>
              </wp:anchor>
            </w:drawing>
          </mc:Choice>
          <mc:Fallback>
            <w:pict>
              <v:group id="_x0000_s1026" o:spid="_x0000_s1026" o:spt="203" style="position:absolute;left:0pt;margin-left:-0.4pt;margin-top:467.8pt;height:192.7pt;width:431.1pt;z-index:251659264;mso-width-relative:page;mso-height-relative:page;" coordorigin="5461,299286" coordsize="8622,3854" o:gfxdata="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">
                <o:lock v:ext="edit" aspectratio="f"/>
                <v:group id="_x0000_s1026" o:spid="_x0000_s1026" o:spt="203" style="position:absolute;left:5461;top:300426;height:2714;width:8623;" coordorigin="2075,298038" coordsize="8623,2714" o:gfxdata="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Czi8PcvwAAANsAAAAPAAAAAAAAAAEAIAAAACIAAABkcnMvZG93bnJldi54&#10;bWxQSwECFAAUAAAACACHTuJAMy8FnjsAAAA5AAAAFQAAAAAAAAABACAAAAAOAQAAZHJzL2dyb3Vw&#10;c2hhcGV4bWwueG1sUEsFBgAAAAAGAAYAYAEAAMsDAAAAAA==&#10;">
                  <o:lock v:ext="edit" aspectratio="f"/>
                  <v:group id="_x0000_s1026" o:spid="_x0000_s1026" o:spt="203" style="position:absolute;left:2075;top:298038;height:2086;width:8623;" coordorigin="2075,298038" coordsize="8623,2086" o:gfxdata="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NzHZke+AAAA2wAAAA8AAAAAAAAAAQAgAAAAIgAAAGRycy9kb3ducmV2Lnht&#10;bFBLAQIUABQAAAAIAIdO4kAzLwWeOwAAADkAAAAVAAAAAAAAAAEAIAAAAA0BAABkcnMvZ3JvdXBz&#10;aGFwZXhtbC54bWxQSwUGAAAAAAYABgBgAQAAygMAAAAA&#10;">
                    <o:lock v:ext="edit" aspectratio="f"/>
                    <v:group id="_x0000_s1026" o:spid="_x0000_s1026" o:spt="203" style="position:absolute;left:2075;top:298038;height:2086;width:6446;" coordorigin="2075,298038" coordsize="6446,2086" o:gfxdata="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LBX4ML0AAADbAAAADwAAAAAAAAABACAAAAAiAAAAZHJzL2Rvd25yZXYueG1s&#10;UEsBAhQAFAAAAAgAh07iQDMvBZ47AAAAOQAAABUAAAAAAAAAAQAgAAAADAEAAGRycy9ncm91cHNo&#10;YXBleG1sLnhtbFBLBQYAAAAABgAGAGABAADJAwAAAAA=&#10;">
                      <o:lock v:ext="edit" aspectratio="f"/>
                      <v:group id="_x0000_s1026" o:spid="_x0000_s1026" o:spt="203" style="position:absolute;left:7309;top:298266;height:1197;width:1213;" coordorigin="7425,298219" coordsize="1004,1214" o:gfxdata="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hCDXDL0AAADaAAAADwAAAAAAAAABACAAAAAiAAAAZHJzL2Rvd25yZXYueG1s&#10;UEsBAhQAFAAAAAgAh07iQDMvBZ47AAAAOQAAABUAAAAAAAAAAQAgAAAADAEAAGRycy9ncm91cHNo&#10;YXBleG1sLnhtbFBLBQYAAAAABgAGAGABAADJAwAAAAA=&#10;">
                        <o:lock v:ext="edit" aspectratio="f"/>
                        <v:line id="Straight Connector 3" o:spid="_x0000_s1026" o:spt="20" style="position:absolute;left:7440;top:298219;flip:x;height:570;width:975;" filled="f" stroked="t" coordsize="21600,21600" o:gfxdata="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SrBnq8AAAA&#10;2gAAAA8AAAAAAAAAAQAgAAAAIgAAAGRycy9kb3ducmV2LnhtbFBLAQIUABQAAAAIAIdO4kAzLwWe&#10;OwAAADkAAAAQAAAAAAAAAAEAIAAAAAsBAABkcnMvc2hhcGV4bWwueG1sUEsFBgAAAAAGAAYAWwEA&#10;ALUDAAAAAA==&#10;">
                          <v:fill on="f" focussize="0,0"/>
                          <v:stroke weight="0.5pt" color="#000000 [3200]" miterlimit="8" joinstyle="miter"/>
                          <v:imagedata o:title=""/>
                          <o:lock v:ext="edit" aspectratio="f"/>
                        </v:line>
                        <v:line id="Straight Connector 4" o:spid="_x0000_s1026" o:spt="20" style="position:absolute;left:7425;top:298789;flip:x y;height:645;width:1005;" filled="f" stroked="t" coordsize="21600,21600" o:gfxdata="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">
                          <v:fill on="f" focussize="0,0"/>
                          <v:stroke weight="0.5pt" color="#000000 [3200]" miterlimit="8" joinstyle="miter"/>
                          <v:imagedata o:title=""/>
                          <o:lock v:ext="edit" aspectratio="f"/>
                        </v:line>
                      </v:group>
                      <v:group id="_x0000_s1026" o:spid="_x0000_s1026" o:spt="203" style="position:absolute;left:2075;top:298038;height:2086;width:5218;" coordorigin="2075,298038" coordsize="5218,2086" o:gfxdata="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DWV2rvwAAANsAAAAPAAAAAAAAAAEAIAAAACIAAABkcnMvZG93bnJldi54&#10;bWxQSwECFAAUAAAACACHTuJAMy8FnjsAAAA5AAAAFQAAAAAAAAABACAAAAAOAQAAZHJzL2dyb3Vw&#10;c2hhcGV4bWwueG1sUEsFBgAAAAAGAAYAYAEAAMsDAAAAAA==&#10;">
                        <o:lock v:ext="edit" aspectratio="f"/>
                        <v:rect id="_x0000_s1026" o:spid="_x0000_s1026" o:spt="1" style="position:absolute;left:5029;top:298209;height:1243;width:2264;v-text-anchor:middle;" fillcolor="#A5A5A5 [3206]" filled="t" stroked="t" coordsize="21600,21600" o:gfxdata="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ZdNY68AAAA&#10;2gAAAA8AAAAAAAAAAQAgAAAAIgAAAGRycy9kb3ducmV2LnhtbFBLAQIUABQAAAAIAIdO4kAzLwWe&#10;OwAAADkAAAAQAAAAAAAAAAEAIAAAAAsBAABkcnMvc2hhcGV4bWwueG1sUEsFBgAAAAAGAAYAWwEA&#10;ALUDAAAAAA==&#10;">
                          <v:fill on="t" focussize="0,0"/>
                          <v:stroke weight="1pt" color="#787878 [3206]" miterlimit="8" joinstyle="miter"/>
                          <v:imagedata o:title=""/>
                          <o:lock v:ext="edit" aspectratio="f"/>
                          <v:textbox>
                            <w:txbxContent>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Health</w:t>
                                </w:r>
                              </w:p>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Belief</w:t>
                                </w:r>
                              </w:p>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Model</w:t>
                                </w:r>
                              </w:p>
                            </w:txbxContent>
                          </v:textbox>
                        </v:rect>
                        <v:group id="_x0000_s1026" o:spid="_x0000_s1026" o:spt="203" style="position:absolute;left:2075;top:298038;height:2086;width:2961;" coordorigin="2075,298038" coordsize="2961,2086" o:gfxdata="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zLDF370AAADbAAAADwAAAAAAAAABACAAAAAiAAAAZHJzL2Rvd25yZXYueG1s&#10;UEsBAhQAFAAAAAgAh07iQDMvBZ47AAAAOQAAABUAAAAAAAAAAQAgAAAADAEAAGRycy9ncm91cHNo&#10;YXBleG1sLnhtbFBLBQYAAAAABgAGAGABAADJAwAAAAA=&#10;">
                          <o:lock v:ext="edit" aspectratio="f"/>
                          <v:group id="_x0000_s1026" o:spid="_x0000_s1026" o:spt="203" style="position:absolute;left:3992;top:298479;flip:x;height:1094;width:1045;" coordorigin="7425,298219" coordsize="1004,1214" o:gfxdata="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CPxLVwvAAAANoAAAAPAAAAAAAAAAEAIAAAACIAAABkcnMvZG93bnJldi54bWxQ&#10;SwECFAAUAAAACACHTuJAMy8FnjsAAAA5AAAAFQAAAAAAAAABACAAAAALAQAAZHJzL2dyb3Vwc2hh&#10;cGV4bWwueG1sUEsFBgAAAAAGAAYAYAEAAMgDAAAAAA==&#10;">
                            <o:lock v:ext="edit" aspectratio="f"/>
                            <v:line id="_x0000_s1026" o:spid="_x0000_s1026" o:spt="20" style="position:absolute;left:7440;top:298219;flip:x;height:570;width:975;" filled="f" stroked="t" coordsize="21600,21600" o:gfxdata="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LkAB5vQAA&#10;ANoAAAAPAAAAAAAAAAEAIAAAACIAAABkcnMvZG93bnJldi54bWxQSwECFAAUAAAACACHTuJAMy8F&#10;njsAAAA5AAAAEAAAAAAAAAABACAAAAAMAQAAZHJzL3NoYXBleG1sLnhtbFBLBQYAAAAABgAGAFsB&#10;AAC2AwAAAAA=&#10;">
                              <v:fill on="f" focussize="0,0"/>
                              <v:stroke weight="0.5pt" color="#000000 [3200]" miterlimit="8" joinstyle="miter"/>
                              <v:imagedata o:title=""/>
                              <o:lock v:ext="edit" aspectratio="f"/>
                            </v:line>
                            <v:line id="_x0000_s1026" o:spid="_x0000_s1026" o:spt="20" style="position:absolute;left:7425;top:298789;flip:x y;height:645;width:1005;" filled="f" stroked="t" coordsize="21600,21600" o:gfxdata="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OqaRougAAANoA&#10;AAAPAAAAAAAAAAEAIAAAACIAAABkcnMvZG93bnJldi54bWxQSwECFAAUAAAACACHTuJAMy8FnjsA&#10;AAA5AAAAEAAAAAAAAAABACAAAAAJAQAAZHJzL3NoYXBleG1sLnhtbFBLBQYAAAAABgAGAFsBAACz&#10;AwAAAAA=&#10;">
                              <v:fill on="f" focussize="0,0"/>
                              <v:stroke weight="0.5pt" color="#000000 [3200]" miterlimit="8" joinstyle="miter"/>
                              <v:imagedata o:title=""/>
                              <o:lock v:ext="edit" aspectratio="f"/>
                            </v:line>
                          </v:group>
                          <v:group id="_x0000_s1026" o:spid="_x0000_s1026" o:spt="203" style="position:absolute;left:2075;top:298038;height:2086;width:1948;" coordorigin="2075,298038" coordsize="1948,2086" o:gfxdata="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Uy7+M70AAADbAAAADwAAAAAAAAABACAAAAAiAAAAZHJzL2Rvd25yZXYueG1s&#10;UEsBAhQAFAAAAAgAh07iQDMvBZ47AAAAOQAAABUAAAAAAAAAAQAgAAAADAEAAGRycy9ncm91cHNo&#10;YXBleG1sLnhtbFBLBQYAAAAABgAGAGABAADJAwAAAAA=&#10;">
                            <o:lock v:ext="edit" aspectratio="f"/>
                            <v:roundrect id="_x0000_s1026" o:spid="_x0000_s1026" o:spt="2" style="position:absolute;left:2075;top:298038;height:661;width:1948;v-text-anchor:middle;" fillcolor="#9B9B9B [3536]" filled="t" stroked="f" coordsize="21600,21600" arcsize="0.166666666666667" o:gfxdata="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Dexz6vtwAAANoAAAAP&#10;AAAAAAAAAAEAIAAAACIAAABkcnMvZG93bnJldi54bWxQSwECFAAUAAAACACHTuJAMy8FnjsAAAA5&#10;AAAAEAAAAAAAAAABACAAAAAGAQAAZHJzL3NoYXBleG1sLnhtbFBLBQYAAAAABgAGAFsBAACwAwAA&#10;AAA=&#10;">
                              <v:fill type="gradient" on="t" color2="#797979 [3376]" colors="0f #9B9B9B;32768f #8E8E8E;65536f #797979" focus="100%" focussize="0,0" rotate="t">
                                <o:fill type="gradientUnscaled" v:ext="backwardCompatible"/>
                              </v:fill>
                              <v:stroke on="f" weight="0.5pt"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Knowledge of hand washing</w:t>
                                    </w:r>
                                  </w:p>
                                </w:txbxContent>
                              </v:textbox>
                            </v:roundrect>
                            <v:roundrect id="_x0000_s1026" o:spid="_x0000_s1026" o:spt="2" style="position:absolute;left:2105;top:298804;height:615;width:1904;v-text-anchor:middle;" fillcolor="#9B9B9B [3536]" filled="t" stroked="f" coordsize="21600,21600" arcsize="0.166666666666667" o:gfxdata="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qK/Lm8AAAA&#10;2wAAAA8AAAAAAAAAAQAgAAAAIgAAAGRycy9kb3ducmV2LnhtbFBLAQIUABQAAAAIAIdO4kAzLwWe&#10;OwAAADkAAAAQAAAAAAAAAAEAIAAAAAsBAABkcnMvc2hhcGV4bWwueG1sUEsFBgAAAAAGAAYAWwEA&#10;ALUDAAAAAA==&#10;">
                              <v:fill type="gradient" on="t" color2="#797979 [3376]" colors="0f #9B9B9B;32768f #8E8E8E;65536f #797979" focus="100%" focussize="0,0" rotate="t">
                                <o:fill type="gradientUnscaled" v:ext="backwardCompatible"/>
                              </v:fill>
                              <v:stroke on="f" weight="0.5pt"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Barriers to hand-washing</w:t>
                                    </w:r>
                                  </w:p>
                                </w:txbxContent>
                              </v:textbox>
                            </v:roundrect>
                            <v:roundrect id="_x0000_s1026" o:spid="_x0000_s1026" o:spt="2" style="position:absolute;left:2120;top:299494;height:630;width:1874;v-text-anchor:middle;" fillcolor="#9B9B9B [3536]" filled="t" stroked="f" coordsize="21600,21600" arcsize="0.166666666666667" o:gfxdata="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pcZZIrUAAADbAAAADwAA&#10;AAAAAAABACAAAAAiAAAAZHJzL2Rvd25yZXYueG1sUEsBAhQAFAAAAAgAh07iQDMvBZ47AAAAOQAA&#10;ABAAAAAAAAAAAQAgAAAABAEAAGRycy9zaGFwZXhtbC54bWxQSwUGAAAAAAYABgBbAQAArgMAAAAA&#10;">
                              <v:fill type="gradient" on="t" color2="#797979 [3376]" colors="0f #9B9B9B;32768f #8E8E8E;65536f #797979" focus="100%" focussize="0,0" rotate="t">
                                <o:fill type="gradientUnscaled" v:ext="backwardCompatible"/>
                              </v:fill>
                              <v:stroke on="f" weight="0.5pt"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Years of nursing practice</w:t>
                                    </w:r>
                                  </w:p>
                                </w:txbxContent>
                              </v:textbox>
                            </v:roundrect>
                          </v:group>
                        </v:group>
                      </v:group>
                    </v:group>
                    <v:roundrect id="_x0000_s1026" o:spid="_x0000_s1026" o:spt="2" style="position:absolute;left:8525;top:298128;height:1531;width:2173;v-text-anchor:middle;" fillcolor="#AFAFAF [3280]" filled="t" stroked="f" coordsize="21600,21600" arcsize="0.166666666666667" o:gfxdata="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F75qhK5AAAA2wAA&#10;AA8AAAAAAAAAAQAgAAAAIgAAAGRycy9kb3ducmV2LnhtbFBLAQIUABQAAAAIAIdO4kAzLwWeOwAA&#10;ADkAAAAQAAAAAAAAAAEAIAAAAAgBAABkcnMvc2hhcGV4bWwueG1sUEsFBgAAAAAGAAYAWwEAALID&#10;AAAAAA==&#10;">
                      <v:fill type="gradient" on="t" color2="#929292 [3184]" colors="0f #AFAFAF;32768f #A5A5A5;65536f #929292" focus="100%" focussize="0,0" rotate="t">
                        <o:fill type="gradientUnscaled" v:ext="backwardCompatible"/>
                      </v:fill>
                      <v:stroke on="f"/>
                      <v:imagedata o:title=""/>
                      <o:lock v:ext="edit" aspectratio="f"/>
                      <v:shadow on="t" color="#000000" opacity="41287f" offset="0pt,1.5pt" origin="0f,0f" matrix="65536f,0f,0f,65536f"/>
                      <v:textbox>
                        <w:txbxContent>
                          <w:p>
                            <w:pPr>
                              <w:jc w:val="left"/>
                              <w:rPr>
                                <w:rFonts w:hint="default" w:ascii="Verdana" w:hAnsi="Verdana" w:cs="Verdana"/>
                                <w:b/>
                                <w:bCs/>
                                <w:sz w:val="21"/>
                                <w:szCs w:val="21"/>
                                <w:lang w:val="en-US"/>
                              </w:rPr>
                            </w:pPr>
                            <w:r>
                              <w:rPr>
                                <w:rFonts w:hint="default" w:ascii="Verdana" w:hAnsi="Verdana" w:cs="Verdana"/>
                                <w:b/>
                                <w:bCs/>
                                <w:sz w:val="21"/>
                                <w:szCs w:val="21"/>
                                <w:lang w:val="en-US"/>
                              </w:rPr>
                              <w:t>Practice of hand-washing</w:t>
                            </w:r>
                          </w:p>
                        </w:txbxContent>
                      </v:textbox>
                    </v:roundrect>
                  </v:group>
                  <v:group id="_x0000_s1026" o:spid="_x0000_s1026" o:spt="203" style="position:absolute;left:3049;top:299806;height:946;width:6260;" coordorigin="3049,299806" coordsize="6260,946" o:gfxdata="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PGJbqLoAAADbAAAADwAAAAAAAAABACAAAAAiAAAAZHJzL2Rvd25yZXYueG1sUEsB&#10;AhQAFAAAAAgAh07iQDMvBZ47AAAAOQAAABUAAAAAAAAAAQAgAAAACQEAAGRycy9ncm91cHNoYXBl&#10;eG1sLnhtbFBLBQYAAAAABgAGAGABAADGAwAAAAA=&#10;">
                    <o:lock v:ext="edit" aspectratio="f"/>
                    <v:line id="_x0000_s1026" o:spid="_x0000_s1026" o:spt="20" style="position:absolute;left:3049;top:300124;flip:x;height:622;width:8;" filled="f" stroked="t" coordsize="21600,21600" o:gfxdata="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f3zCaugAAANsA&#10;AAAPAAAAAAAAAAEAIAAAACIAAABkcnMvZG93bnJldi54bWxQSwECFAAUAAAACACHTuJAMy8FnjsA&#10;AAA5AAAAEAAAAAAAAAABACAAAAAJAQAAZHJzL3NoYXBleG1sLnhtbFBLBQYAAAAABgAGAFsBAACz&#10;AwAAAAA=&#10;">
                      <v:fill on="f" focussize="0,0"/>
                      <v:stroke weight="0.5pt" color="#000000 [3200]" miterlimit="8" joinstyle="miter"/>
                      <v:imagedata o:title=""/>
                      <o:lock v:ext="edit" aspectratio="f"/>
                    </v:line>
                    <v:line id="_x0000_s1026" o:spid="_x0000_s1026" o:spt="20" style="position:absolute;left:3069;top:300746;height:7;width:6241;" filled="f" stroked="t" coordsize="21600,21600" o:gfxdata="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VzRaivQAA&#10;ANsAAAAPAAAAAAAAAAEAIAAAACIAAABkcnMvZG93bnJldi54bWxQSwECFAAUAAAACACHTuJAMy8F&#10;njsAAAA5AAAAEAAAAAAAAAABACAAAAAMAQAAZHJzL3NoYXBleG1sLnhtbFBLBQYAAAAABgAGAFsB&#10;AAC2AwAAAAA=&#10;">
                      <v:fill on="f" focussize="0,0"/>
                      <v:stroke weight="0.5pt" color="#000000 [3200]" miterlimit="8" joinstyle="miter"/>
                      <v:imagedata o:title=""/>
                      <o:lock v:ext="edit" aspectratio="f"/>
                    </v:line>
                    <v:line id="_x0000_s1026" o:spid="_x0000_s1026" o:spt="20" style="position:absolute;left:9286;top:299806;height:925;width:9;" filled="f" stroked="t" coordsize="21600,21600" o:gfxdata="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6gbM5vQAA&#10;ANsAAAAPAAAAAAAAAAEAIAAAACIAAABkcnMvZG93bnJldi54bWxQSwECFAAUAAAACACHTuJAMy8F&#10;njsAAAA5AAAAEAAAAAAAAAABACAAAAAMAQAAZHJzL3NoYXBleG1sLnhtbFBLBQYAAAAABgAGAFsB&#10;AAC2AwAAAAA=&#10;">
                      <v:fill on="f" focussize="0,0"/>
                      <v:stroke weight="0.5pt" color="#000000 [3200]" miterlimit="8" joinstyle="miter"/>
                      <v:imagedata o:title=""/>
                      <o:lock v:ext="edit" aspectratio="f"/>
                    </v:line>
                  </v:group>
                </v:group>
                <v:group id="_x0000_s1026" o:spid="_x0000_s1026" o:spt="203" style="position:absolute;left:5491;top:299286;height:1229;width:8428;" coordorigin="5491,299286" coordsize="8428,1229" o:gfxdata="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xoDLdr0AAADbAAAADwAAAAAAAAABACAAAAAiAAAAZHJzL2Rvd25yZXYueG1s&#10;UEsBAhQAFAAAAAgAh07iQDMvBZ47AAAAOQAAABUAAAAAAAAAAQAgAAAADAEAAGRycy9ncm91cHNo&#10;YXBleG1sLnhtbFBLBQYAAAAABgAGAGABAADJAwAAAAA=&#10;">
                  <o:lock v:ext="edit" aspectratio="f"/>
                  <v:group id="_x0000_s1026" o:spid="_x0000_s1026" o:spt="203" style="position:absolute;left:5491;top:299286;height:1140;width:1948;" coordorigin="5491,299286" coordsize="1948,1140" o:gfxdata="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JiX2mb0AAADbAAAADwAAAAAAAAABACAAAAAiAAAAZHJzL2Rvd25yZXYueG1s&#10;UEsBAhQAFAAAAAgAh07iQDMvBZ47AAAAOQAAABUAAAAAAAAAAQAgAAAADAEAAGRycy9ncm91cHNo&#10;YXBleG1sLnhtbFBLBQYAAAAABgAGAGABAADJAwAAAAA=&#10;">
                    <o:lock v:ext="edit" aspectratio="f"/>
                    <v:roundrect id="_x0000_s1026" o:spid="_x0000_s1026" o:spt="2" style="position:absolute;left:5491;top:299286;height:661;width:1948;v-text-anchor:middle;" fillcolor="#000000 [3200]" filled="t" stroked="t" coordsize="21600,21600" arcsize="0.166666666666667" o:gfxdata="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jZrsTugAAANsA&#10;AAAPAAAAAAAAAAEAIAAAACIAAABkcnMvZG93bnJldi54bWxQSwECFAAUAAAACACHTuJAMy8FnjsA&#10;AAA5AAAAEAAAAAAAAAABACAAAAAJAQAAZHJzL3NoYXBleG1sLnhtbFBLBQYAAAAABgAGAFsBAACz&#10;AwAAAAA=&#10;">
                      <v:fill on="t" focussize="0,0"/>
                      <v:stroke weight="1.5pt" color="#FFFFFF [3201]"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Independent Variable</w:t>
                            </w:r>
                          </w:p>
                        </w:txbxContent>
                      </v:textbox>
                    </v:roundrect>
                    <v:shape id="_x0000_s1026" o:spid="_x0000_s1026" o:spt="32" type="#_x0000_t32" style="position:absolute;left:6435;top:299988;flip:y;height:438;width:1;" filled="f" stroked="t" coordsize="21600,21600" o:gfxdata="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FqmwHC5AAAA2wAA&#10;AA8AAAAAAAAAAQAgAAAAIgAAAGRycy9kb3ducmV2LnhtbFBLAQIUABQAAAAIAIdO4kAzLwWeOwAA&#10;ADkAAAAQAAAAAAAAAAEAIAAAAAgBAABkcnMvc2hhcGV4bWwueG1sUEsFBgAAAAAGAAYAWwEAALID&#10;AAAAAA==&#10;">
                      <v:fill on="f" focussize="0,0"/>
                      <v:stroke weight="0.5pt" color="#000000 [3200]" miterlimit="8" joinstyle="miter" endarrow="open"/>
                      <v:imagedata o:title=""/>
                      <o:lock v:ext="edit" aspectratio="f"/>
                    </v:shape>
                  </v:group>
                  <v:group id="_x0000_s1026" o:spid="_x0000_s1026" o:spt="203" style="position:absolute;left:11971;top:299331;height:1184;width:1948;" coordorigin="11971,299331" coordsize="1948,1184" o:gfxdata="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ElpUwK+AAAA2wAAAA8AAAAAAAAAAQAgAAAAIgAAAGRycy9kb3ducmV2Lnht&#10;bFBLAQIUABQAAAAIAIdO4kAzLwWeOwAAADkAAAAVAAAAAAAAAAEAIAAAAA0BAABkcnMvZ3JvdXBz&#10;aGFwZXhtbC54bWxQSwUGAAAAAAYABgBgAQAAygMAAAAA&#10;">
                    <o:lock v:ext="edit" aspectratio="f"/>
                    <v:roundrect id="_x0000_s1026" o:spid="_x0000_s1026" o:spt="2" style="position:absolute;left:11971;top:299331;height:661;width:1948;v-text-anchor:middle;" fillcolor="#000000 [3200]" filled="t" stroked="t" coordsize="21600,21600" arcsize="0.166666666666667" o:gfxdata="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wqHoi/&#10;AAAA2wAAAA8AAAAAAAAAAQAgAAAAIgAAAGRycy9kb3ducmV2LnhtbFBLAQIUABQAAAAIAIdO4kAz&#10;LwWeOwAAADkAAAAQAAAAAAAAAAEAIAAAAA4BAABkcnMvc2hhcGV4bWwueG1sUEsFBgAAAAAGAAYA&#10;WwEAALgDAAAAAA==&#10;">
                      <v:fill on="t" focussize="0,0"/>
                      <v:stroke weight="1.5pt" color="#FFFFFF [3201]"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Dependent Variable</w:t>
                            </w:r>
                          </w:p>
                        </w:txbxContent>
                      </v:textbox>
                    </v:roundrect>
                    <v:shape id="_x0000_s1026" o:spid="_x0000_s1026" o:spt="32" type="#_x0000_t32" style="position:absolute;left:12991;top:300093;flip:x y;height:423;width:14;" filled="f" stroked="t" coordsize="21600,21600" o:gfxdata="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T1RF68AAAA&#10;2wAAAA8AAAAAAAAAAQAgAAAAIgAAAGRycy9kb3ducmV2LnhtbFBLAQIUABQAAAAIAIdO4kAzLwWe&#10;OwAAADkAAAAQAAAAAAAAAAEAIAAAAAsBAABkcnMvc2hhcGV4bWwueG1sUEsFBgAAAAAGAAYAWwEA&#10;ALUDAAAAAA==&#10;">
                      <v:fill on="f" focussize="0,0"/>
                      <v:stroke weight="0.5pt" color="#000000 [3200]" miterlimit="8" joinstyle="miter" endarrow="open"/>
                      <v:imagedata o:title=""/>
                      <o:lock v:ext="edit" aspectratio="f"/>
                    </v:shape>
                  </v:group>
                </v:group>
              </v:group>
            </w:pict>
          </mc:Fallback>
        </mc:AlternateContent>
      </w:r>
      <w:r>
        <w:rPr>
          <w:rFonts w:hint="default" w:ascii="Times New Roman" w:hAnsi="Times New Roman" w:cs="Times New Roman"/>
          <w:sz w:val="24"/>
          <w:szCs w:val="24"/>
        </w:rPr>
        <w:t xml:space="preserve">The health belief model aims to forecast health-related behaviours by considering variations in beliefs and attitudes among individuals. Nevertheless, it fails to consider other factors that impact health behaviours. For example, certain health-related behaviours like </w:t>
      </w:r>
      <w:r>
        <w:rPr>
          <w:rFonts w:hint="default" w:ascii="Times New Roman" w:hAnsi="Times New Roman" w:cs="Times New Roman"/>
          <w:sz w:val="24"/>
          <w:szCs w:val="24"/>
          <w:lang w:val="en-US"/>
        </w:rPr>
        <w:t>hand washing</w:t>
      </w:r>
      <w:r>
        <w:rPr>
          <w:rFonts w:hint="default" w:ascii="Times New Roman" w:hAnsi="Times New Roman" w:cs="Times New Roman"/>
          <w:sz w:val="24"/>
          <w:szCs w:val="24"/>
        </w:rPr>
        <w:t xml:space="preserve"> can become automatic and less reliant on conscious decision-making. In addition, people often engage in health-related behaviours for reasons that are not directly related to their physical well-being. For example, some individuals may exercise primarily for aesthetic purposes. There are certain factors beyond an individual's control that can hinder their ability to engage in desired behaviours. Take, for instance, </w:t>
      </w:r>
      <w:r>
        <w:rPr>
          <w:rFonts w:hint="default" w:ascii="Times New Roman" w:hAnsi="Times New Roman" w:cs="Times New Roman"/>
          <w:sz w:val="24"/>
          <w:szCs w:val="24"/>
          <w:lang w:val="en-US"/>
        </w:rPr>
        <w:t>a nurse working in a health facilities with poor or non-existent adequate equipments</w:t>
      </w:r>
      <w:r>
        <w:rPr>
          <w:rFonts w:hint="default" w:ascii="Times New Roman" w:hAnsi="Times New Roman" w:cs="Times New Roman"/>
          <w:sz w:val="24"/>
          <w:szCs w:val="24"/>
        </w:rPr>
        <w:t xml:space="preserve"> may find it impossible to </w:t>
      </w:r>
      <w:r>
        <w:rPr>
          <w:rFonts w:hint="default" w:ascii="Times New Roman" w:hAnsi="Times New Roman" w:cs="Times New Roman"/>
          <w:sz w:val="24"/>
          <w:szCs w:val="24"/>
          <w:lang w:val="en-US"/>
        </w:rPr>
        <w:t>always wash the hands</w:t>
      </w:r>
      <w:r>
        <w:rPr>
          <w:rFonts w:hint="default" w:ascii="Times New Roman" w:hAnsi="Times New Roman" w:cs="Times New Roman"/>
          <w:sz w:val="24"/>
          <w:szCs w:val="24"/>
        </w:rPr>
        <w:t xml:space="preserve"> because of safety worries. In addition, the health belief model fails to take into account the influence of emotions on health-related behaviour. Research indicates that fear plays a significant role in determining health-related behaviour. The theoretical constructs that make up the health belief model are defined in a broad manner. The health belief model does not provide specific information on how the different constructs of the model interact with each other. Thus, it is important to note that the operationalizations of theoretical constructs may vary and may not be directly comparable between studies.</w:t>
      </w:r>
    </w:p>
    <w:p>
      <w:pPr>
        <w:bidi w:val="0"/>
        <w:spacing w:line="480" w:lineRule="auto"/>
        <w:jc w:val="both"/>
        <w:rPr>
          <w:rFonts w:hint="default" w:ascii="Times New Roman" w:hAnsi="Times New Roman" w:cs="Times New Roman"/>
          <w:sz w:val="24"/>
          <w:szCs w:val="24"/>
          <w:lang w:val="en-US"/>
        </w:rPr>
      </w:pPr>
      <w:r>
        <w:rPr>
          <w:sz w:val="20"/>
        </w:rPr>
        <mc:AlternateContent>
          <mc:Choice Requires="wpg">
            <w:drawing>
              <wp:anchor distT="0" distB="0" distL="114300" distR="114300" simplePos="0" relativeHeight="251661312" behindDoc="0" locked="0" layoutInCell="1" allowOverlap="1">
                <wp:simplePos x="0" y="0"/>
                <wp:positionH relativeFrom="column">
                  <wp:posOffset>-90805</wp:posOffset>
                </wp:positionH>
                <wp:positionV relativeFrom="paragraph">
                  <wp:posOffset>40005</wp:posOffset>
                </wp:positionV>
                <wp:extent cx="5474970" cy="2447290"/>
                <wp:effectExtent l="0" t="9525" r="49530" b="19685"/>
                <wp:wrapNone/>
                <wp:docPr id="13" name="Group 13"/>
                <wp:cNvGraphicFramePr/>
                <a:graphic xmlns:a="http://schemas.openxmlformats.org/drawingml/2006/main">
                  <a:graphicData uri="http://schemas.microsoft.com/office/word/2010/wordprocessingGroup">
                    <wpg:wgp>
                      <wpg:cNvGrpSpPr/>
                      <wpg:grpSpPr>
                        <a:xfrm>
                          <a:off x="0" y="0"/>
                          <a:ext cx="5474970" cy="2447290"/>
                          <a:chOff x="5461" y="299286"/>
                          <a:chExt cx="8622" cy="3854"/>
                        </a:xfrm>
                      </wpg:grpSpPr>
                      <wpg:grpSp>
                        <wpg:cNvPr id="14" name="Group 27"/>
                        <wpg:cNvGrpSpPr/>
                        <wpg:grpSpPr>
                          <a:xfrm>
                            <a:off x="5461" y="300426"/>
                            <a:ext cx="8623" cy="2714"/>
                            <a:chOff x="2075" y="298038"/>
                            <a:chExt cx="8623" cy="2714"/>
                          </a:xfrm>
                        </wpg:grpSpPr>
                        <wpg:grpSp>
                          <wpg:cNvPr id="15" name="Group 26"/>
                          <wpg:cNvGrpSpPr/>
                          <wpg:grpSpPr>
                            <a:xfrm>
                              <a:off x="2075" y="298038"/>
                              <a:ext cx="8623" cy="2086"/>
                              <a:chOff x="2075" y="298038"/>
                              <a:chExt cx="8623" cy="2086"/>
                            </a:xfrm>
                          </wpg:grpSpPr>
                          <wpg:grpSp>
                            <wpg:cNvPr id="16" name="Group 25"/>
                            <wpg:cNvGrpSpPr/>
                            <wpg:grpSpPr>
                              <a:xfrm>
                                <a:off x="2075" y="298038"/>
                                <a:ext cx="6446" cy="2086"/>
                                <a:chOff x="2075" y="298038"/>
                                <a:chExt cx="6446" cy="2086"/>
                              </a:xfrm>
                            </wpg:grpSpPr>
                            <wpg:grpSp>
                              <wpg:cNvPr id="22" name="Group 6"/>
                              <wpg:cNvGrpSpPr/>
                              <wpg:grpSpPr>
                                <a:xfrm>
                                  <a:off x="7309" y="298266"/>
                                  <a:ext cx="1213" cy="1197"/>
                                  <a:chOff x="7425" y="298219"/>
                                  <a:chExt cx="1004" cy="1214"/>
                                </a:xfrm>
                              </wpg:grpSpPr>
                              <wps:wsp>
                                <wps:cNvPr id="39" name="Straight Connector 3"/>
                                <wps:cNvCnPr/>
                                <wps:spPr>
                                  <a:xfrm flipH="1">
                                    <a:off x="7440" y="298219"/>
                                    <a:ext cx="975" cy="570"/>
                                  </a:xfrm>
                                  <a:prstGeom prst="line">
                                    <a:avLst/>
                                  </a:prstGeom>
                                </wps:spPr>
                                <wps:style>
                                  <a:lnRef idx="1">
                                    <a:schemeClr val="dk1"/>
                                  </a:lnRef>
                                  <a:fillRef idx="0">
                                    <a:schemeClr val="dk1"/>
                                  </a:fillRef>
                                  <a:effectRef idx="0">
                                    <a:schemeClr val="dk1"/>
                                  </a:effectRef>
                                  <a:fontRef idx="minor">
                                    <a:schemeClr val="tx1"/>
                                  </a:fontRef>
                                </wps:style>
                                <wps:bodyPr/>
                              </wps:wsp>
                              <wps:wsp>
                                <wps:cNvPr id="40" name="Straight Connector 4"/>
                                <wps:cNvCnPr/>
                                <wps:spPr>
                                  <a:xfrm flipH="1" flipV="1">
                                    <a:off x="7425" y="298789"/>
                                    <a:ext cx="1005" cy="645"/>
                                  </a:xfrm>
                                  <a:prstGeom prst="line">
                                    <a:avLst/>
                                  </a:prstGeom>
                                </wps:spPr>
                                <wps:style>
                                  <a:lnRef idx="1">
                                    <a:schemeClr val="dk1"/>
                                  </a:lnRef>
                                  <a:fillRef idx="0">
                                    <a:schemeClr val="dk1"/>
                                  </a:fillRef>
                                  <a:effectRef idx="0">
                                    <a:schemeClr val="dk1"/>
                                  </a:effectRef>
                                  <a:fontRef idx="minor">
                                    <a:schemeClr val="tx1"/>
                                  </a:fontRef>
                                </wps:style>
                                <wps:bodyPr/>
                              </wps:wsp>
                            </wpg:grpSp>
                            <wpg:grpSp>
                              <wpg:cNvPr id="41" name="Group 24"/>
                              <wpg:cNvGrpSpPr/>
                              <wpg:grpSpPr>
                                <a:xfrm>
                                  <a:off x="2075" y="298038"/>
                                  <a:ext cx="5218" cy="2086"/>
                                  <a:chOff x="2075" y="298038"/>
                                  <a:chExt cx="5218" cy="2086"/>
                                </a:xfrm>
                              </wpg:grpSpPr>
                              <wps:wsp>
                                <wps:cNvPr id="42" name="Rectangles 2"/>
                                <wps:cNvSpPr/>
                                <wps:spPr>
                                  <a:xfrm>
                                    <a:off x="5029" y="298209"/>
                                    <a:ext cx="2264" cy="1243"/>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Health</w:t>
                                      </w:r>
                                    </w:p>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Belief</w:t>
                                      </w:r>
                                    </w:p>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Model</w:t>
                                      </w:r>
                                    </w:p>
                                  </w:txbxContent>
                                </wps:txbx>
                                <wps:bodyPr rot="0" spcFirstLastPara="0" vertOverflow="overflow" horzOverflow="overflow" vert="horz" wrap="square" lIns="91440" tIns="45720" rIns="91440" bIns="45720" numCol="1" spcCol="0" rtlCol="0" fromWordArt="0" anchor="ctr" anchorCtr="0" forceAA="0" compatLnSpc="1">
                                  <a:noAutofit/>
                                </wps:bodyPr>
                              </wps:wsp>
                              <wpg:grpSp>
                                <wpg:cNvPr id="43" name="Group 23"/>
                                <wpg:cNvGrpSpPr/>
                                <wpg:grpSpPr>
                                  <a:xfrm>
                                    <a:off x="2075" y="298038"/>
                                    <a:ext cx="2961" cy="2086"/>
                                    <a:chOff x="2075" y="298038"/>
                                    <a:chExt cx="2961" cy="2086"/>
                                  </a:xfrm>
                                </wpg:grpSpPr>
                                <wpg:grpSp>
                                  <wpg:cNvPr id="44" name="Group 5"/>
                                  <wpg:cNvGrpSpPr/>
                                  <wpg:grpSpPr>
                                    <a:xfrm flipH="1">
                                      <a:off x="3992" y="298479"/>
                                      <a:ext cx="1045" cy="1094"/>
                                      <a:chOff x="7425" y="298219"/>
                                      <a:chExt cx="1004" cy="1214"/>
                                    </a:xfrm>
                                  </wpg:grpSpPr>
                                  <wps:wsp>
                                    <wps:cNvPr id="45" name="Straight Connector 3"/>
                                    <wps:cNvCnPr/>
                                    <wps:spPr>
                                      <a:xfrm flipH="1">
                                        <a:off x="7440" y="298219"/>
                                        <a:ext cx="975" cy="570"/>
                                      </a:xfrm>
                                      <a:prstGeom prst="line">
                                        <a:avLst/>
                                      </a:prstGeom>
                                    </wps:spPr>
                                    <wps:style>
                                      <a:lnRef idx="1">
                                        <a:schemeClr val="dk1"/>
                                      </a:lnRef>
                                      <a:fillRef idx="0">
                                        <a:schemeClr val="dk1"/>
                                      </a:fillRef>
                                      <a:effectRef idx="0">
                                        <a:schemeClr val="dk1"/>
                                      </a:effectRef>
                                      <a:fontRef idx="minor">
                                        <a:schemeClr val="tx1"/>
                                      </a:fontRef>
                                    </wps:style>
                                    <wps:bodyPr/>
                                  </wps:wsp>
                                  <wps:wsp>
                                    <wps:cNvPr id="46" name="Straight Connector 4"/>
                                    <wps:cNvCnPr/>
                                    <wps:spPr>
                                      <a:xfrm flipH="1" flipV="1">
                                        <a:off x="7425" y="298789"/>
                                        <a:ext cx="1005" cy="645"/>
                                      </a:xfrm>
                                      <a:prstGeom prst="line">
                                        <a:avLst/>
                                      </a:prstGeom>
                                    </wps:spPr>
                                    <wps:style>
                                      <a:lnRef idx="1">
                                        <a:schemeClr val="dk1"/>
                                      </a:lnRef>
                                      <a:fillRef idx="0">
                                        <a:schemeClr val="dk1"/>
                                      </a:fillRef>
                                      <a:effectRef idx="0">
                                        <a:schemeClr val="dk1"/>
                                      </a:effectRef>
                                      <a:fontRef idx="minor">
                                        <a:schemeClr val="tx1"/>
                                      </a:fontRef>
                                    </wps:style>
                                    <wps:bodyPr/>
                                  </wps:wsp>
                                </wpg:grpSp>
                                <wpg:grpSp>
                                  <wpg:cNvPr id="47" name="Group 21"/>
                                  <wpg:cNvGrpSpPr/>
                                  <wpg:grpSpPr>
                                    <a:xfrm>
                                      <a:off x="2075" y="298038"/>
                                      <a:ext cx="1948" cy="2086"/>
                                      <a:chOff x="2075" y="298038"/>
                                      <a:chExt cx="1948" cy="2086"/>
                                    </a:xfrm>
                                  </wpg:grpSpPr>
                                  <wps:wsp>
                                    <wps:cNvPr id="48" name="Rounded Rectangle 9"/>
                                    <wps:cNvSpPr/>
                                    <wps:spPr>
                                      <a:xfrm>
                                        <a:off x="2075" y="298038"/>
                                        <a:ext cx="1948" cy="661"/>
                                      </a:xfrm>
                                      <a:prstGeom prst="roundRect">
                                        <a:avLst/>
                                      </a:prstGeom>
                                      <a:ln>
                                        <a:noFill/>
                                      </a:ln>
                                    </wps:spPr>
                                    <wps:style>
                                      <a:lnRef idx="1">
                                        <a:schemeClr val="dk1"/>
                                      </a:lnRef>
                                      <a:fillRef idx="2">
                                        <a:schemeClr val="dk1"/>
                                      </a:fillRef>
                                      <a:effectRef idx="1">
                                        <a:schemeClr val="dk1"/>
                                      </a:effectRef>
                                      <a:fontRef idx="minor">
                                        <a:schemeClr val="dk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Knowledge of hand washing</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49" name="Rounded Rectangle 10"/>
                                    <wps:cNvSpPr/>
                                    <wps:spPr>
                                      <a:xfrm>
                                        <a:off x="2105" y="298804"/>
                                        <a:ext cx="1904" cy="615"/>
                                      </a:xfrm>
                                      <a:prstGeom prst="roundRect">
                                        <a:avLst/>
                                      </a:prstGeom>
                                      <a:ln>
                                        <a:noFill/>
                                      </a:ln>
                                    </wps:spPr>
                                    <wps:style>
                                      <a:lnRef idx="1">
                                        <a:schemeClr val="dk1"/>
                                      </a:lnRef>
                                      <a:fillRef idx="2">
                                        <a:schemeClr val="dk1"/>
                                      </a:fillRef>
                                      <a:effectRef idx="1">
                                        <a:schemeClr val="dk1"/>
                                      </a:effectRef>
                                      <a:fontRef idx="minor">
                                        <a:schemeClr val="dk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Barriers to hand-washing</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50" name="Rounded Rectangle 11"/>
                                    <wps:cNvSpPr/>
                                    <wps:spPr>
                                      <a:xfrm>
                                        <a:off x="2120" y="299494"/>
                                        <a:ext cx="1874" cy="630"/>
                                      </a:xfrm>
                                      <a:prstGeom prst="roundRect">
                                        <a:avLst/>
                                      </a:prstGeom>
                                      <a:ln>
                                        <a:noFill/>
                                      </a:ln>
                                    </wps:spPr>
                                    <wps:style>
                                      <a:lnRef idx="1">
                                        <a:schemeClr val="dk1"/>
                                      </a:lnRef>
                                      <a:fillRef idx="2">
                                        <a:schemeClr val="dk1"/>
                                      </a:fillRef>
                                      <a:effectRef idx="1">
                                        <a:schemeClr val="dk1"/>
                                      </a:effectRef>
                                      <a:fontRef idx="minor">
                                        <a:schemeClr val="dk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Years of nursing practice</w:t>
                                          </w:r>
                                        </w:p>
                                      </w:txbxContent>
                                    </wps:txbx>
                                    <wps:bodyPr rot="0" spcFirstLastPara="0" vertOverflow="overflow" horzOverflow="overflow" vert="horz" wrap="square" lIns="91440" tIns="45720" rIns="91440" bIns="45720" numCol="1" spcCol="0" rtlCol="0" fromWordArt="0" anchor="ctr" anchorCtr="0" forceAA="0" compatLnSpc="1">
                                      <a:noAutofit/>
                                    </wps:bodyPr>
                                  </wps:wsp>
                                </wpg:grpSp>
                              </wpg:grpSp>
                            </wpg:grpSp>
                          </wpg:grpSp>
                          <wps:wsp>
                            <wps:cNvPr id="51" name="Rounded Rectangle 12"/>
                            <wps:cNvSpPr/>
                            <wps:spPr>
                              <a:xfrm>
                                <a:off x="8525" y="298128"/>
                                <a:ext cx="2173" cy="1531"/>
                              </a:xfrm>
                              <a:prstGeom prst="roundRect">
                                <a:avLst/>
                              </a:prstGeom>
                              <a:ln>
                                <a:noFill/>
                              </a:ln>
                            </wps:spPr>
                            <wps:style>
                              <a:lnRef idx="0">
                                <a:schemeClr val="accent3"/>
                              </a:lnRef>
                              <a:fillRef idx="3">
                                <a:schemeClr val="accent3"/>
                              </a:fillRef>
                              <a:effectRef idx="3">
                                <a:schemeClr val="accent3"/>
                              </a:effectRef>
                              <a:fontRef idx="minor">
                                <a:schemeClr val="lt1"/>
                              </a:fontRef>
                            </wps:style>
                            <wps:txbx>
                              <w:txbxContent>
                                <w:p>
                                  <w:pPr>
                                    <w:jc w:val="left"/>
                                    <w:rPr>
                                      <w:rFonts w:hint="default" w:ascii="Verdana" w:hAnsi="Verdana" w:cs="Verdana"/>
                                      <w:b/>
                                      <w:bCs/>
                                      <w:sz w:val="21"/>
                                      <w:szCs w:val="21"/>
                                      <w:lang w:val="en-US"/>
                                    </w:rPr>
                                  </w:pPr>
                                  <w:r>
                                    <w:rPr>
                                      <w:rFonts w:hint="default" w:ascii="Verdana" w:hAnsi="Verdana" w:cs="Verdana"/>
                                      <w:b/>
                                      <w:bCs/>
                                      <w:sz w:val="21"/>
                                      <w:szCs w:val="21"/>
                                      <w:lang w:val="en-US"/>
                                    </w:rPr>
                                    <w:t>Practice of hand-washing</w:t>
                                  </w:r>
                                </w:p>
                              </w:txbxContent>
                            </wps:txbx>
                            <wps:bodyPr rot="0" spcFirstLastPara="0" vertOverflow="overflow" horzOverflow="overflow" vert="horz" wrap="square" lIns="91440" tIns="45720" rIns="91440" bIns="45720" numCol="1" spcCol="0" rtlCol="0" fromWordArt="0" anchor="ctr" anchorCtr="0" forceAA="0" compatLnSpc="1">
                              <a:noAutofit/>
                            </wps:bodyPr>
                          </wps:wsp>
                        </wpg:grpSp>
                        <wpg:grpSp>
                          <wpg:cNvPr id="52" name="Group 20"/>
                          <wpg:cNvGrpSpPr/>
                          <wpg:grpSpPr>
                            <a:xfrm>
                              <a:off x="3049" y="299806"/>
                              <a:ext cx="6260" cy="946"/>
                              <a:chOff x="3049" y="299806"/>
                              <a:chExt cx="6260" cy="946"/>
                            </a:xfrm>
                          </wpg:grpSpPr>
                          <wps:wsp>
                            <wps:cNvPr id="53" name="Straight Connector 17"/>
                            <wps:cNvCnPr>
                              <a:stCxn id="11" idx="2"/>
                            </wps:cNvCnPr>
                            <wps:spPr>
                              <a:xfrm flipH="1">
                                <a:off x="3049" y="300124"/>
                                <a:ext cx="8" cy="622"/>
                              </a:xfrm>
                              <a:prstGeom prst="line">
                                <a:avLst/>
                              </a:prstGeom>
                            </wps:spPr>
                            <wps:style>
                              <a:lnRef idx="1">
                                <a:schemeClr val="dk1"/>
                              </a:lnRef>
                              <a:fillRef idx="0">
                                <a:schemeClr val="dk1"/>
                              </a:fillRef>
                              <a:effectRef idx="0">
                                <a:schemeClr val="dk1"/>
                              </a:effectRef>
                              <a:fontRef idx="minor">
                                <a:schemeClr val="tx1"/>
                              </a:fontRef>
                            </wps:style>
                            <wps:bodyPr/>
                          </wps:wsp>
                          <wps:wsp>
                            <wps:cNvPr id="54" name="Straight Connector 18"/>
                            <wps:cNvCnPr/>
                            <wps:spPr>
                              <a:xfrm>
                                <a:off x="3069" y="300746"/>
                                <a:ext cx="6241" cy="7"/>
                              </a:xfrm>
                              <a:prstGeom prst="line">
                                <a:avLst/>
                              </a:prstGeom>
                            </wps:spPr>
                            <wps:style>
                              <a:lnRef idx="1">
                                <a:schemeClr val="dk1"/>
                              </a:lnRef>
                              <a:fillRef idx="0">
                                <a:schemeClr val="dk1"/>
                              </a:fillRef>
                              <a:effectRef idx="0">
                                <a:schemeClr val="dk1"/>
                              </a:effectRef>
                              <a:fontRef idx="minor">
                                <a:schemeClr val="tx1"/>
                              </a:fontRef>
                            </wps:style>
                            <wps:bodyPr/>
                          </wps:wsp>
                          <wps:wsp>
                            <wps:cNvPr id="55" name="Straight Connector 19"/>
                            <wps:cNvCnPr/>
                            <wps:spPr>
                              <a:xfrm>
                                <a:off x="9286" y="299806"/>
                                <a:ext cx="9" cy="925"/>
                              </a:xfrm>
                              <a:prstGeom prst="line">
                                <a:avLst/>
                              </a:prstGeom>
                            </wps:spPr>
                            <wps:style>
                              <a:lnRef idx="1">
                                <a:schemeClr val="dk1"/>
                              </a:lnRef>
                              <a:fillRef idx="0">
                                <a:schemeClr val="dk1"/>
                              </a:fillRef>
                              <a:effectRef idx="0">
                                <a:schemeClr val="dk1"/>
                              </a:effectRef>
                              <a:fontRef idx="minor">
                                <a:schemeClr val="tx1"/>
                              </a:fontRef>
                            </wps:style>
                            <wps:bodyPr/>
                          </wps:wsp>
                        </wpg:grpSp>
                      </wpg:grpSp>
                      <wpg:grpSp>
                        <wpg:cNvPr id="56" name="Group 34"/>
                        <wpg:cNvGrpSpPr/>
                        <wpg:grpSpPr>
                          <a:xfrm>
                            <a:off x="5491" y="299286"/>
                            <a:ext cx="8428" cy="1229"/>
                            <a:chOff x="5491" y="299286"/>
                            <a:chExt cx="8428" cy="1229"/>
                          </a:xfrm>
                        </wpg:grpSpPr>
                        <wpg:grpSp>
                          <wpg:cNvPr id="57" name="Group 32"/>
                          <wpg:cNvGrpSpPr/>
                          <wpg:grpSpPr>
                            <a:xfrm>
                              <a:off x="5491" y="299286"/>
                              <a:ext cx="1948" cy="1140"/>
                              <a:chOff x="5491" y="299286"/>
                              <a:chExt cx="1948" cy="1140"/>
                            </a:xfrm>
                          </wpg:grpSpPr>
                          <wps:wsp>
                            <wps:cNvPr id="58" name="Rounded Rectangle 28"/>
                            <wps:cNvSpPr/>
                            <wps:spPr>
                              <a:xfrm>
                                <a:off x="5491" y="299286"/>
                                <a:ext cx="1948" cy="661"/>
                              </a:xfrm>
                              <a:prstGeom prst="roundRect">
                                <a:avLst/>
                              </a:prstGeom>
                            </wps:spPr>
                            <wps:style>
                              <a:lnRef idx="3">
                                <a:schemeClr val="lt1"/>
                              </a:lnRef>
                              <a:fillRef idx="1">
                                <a:schemeClr val="dk1"/>
                              </a:fillRef>
                              <a:effectRef idx="1">
                                <a:schemeClr val="dk1"/>
                              </a:effectRef>
                              <a:fontRef idx="minor">
                                <a:schemeClr val="lt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Independent Variable</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59" name="Straight Arrow Connector 30"/>
                            <wps:cNvCnPr>
                              <a:stCxn id="9" idx="0"/>
                            </wps:cNvCnPr>
                            <wps:spPr>
                              <a:xfrm flipV="1">
                                <a:off x="6435" y="299988"/>
                                <a:ext cx="1" cy="438"/>
                              </a:xfrm>
                              <a:prstGeom prst="straightConnector1">
                                <a:avLst/>
                              </a:prstGeom>
                              <a:ln>
                                <a:tailEnd type="arrow" w="med" len="med"/>
                              </a:ln>
                            </wps:spPr>
                            <wps:style>
                              <a:lnRef idx="1">
                                <a:schemeClr val="dk1"/>
                              </a:lnRef>
                              <a:fillRef idx="0">
                                <a:schemeClr val="dk1"/>
                              </a:fillRef>
                              <a:effectRef idx="0">
                                <a:schemeClr val="dk1"/>
                              </a:effectRef>
                              <a:fontRef idx="minor">
                                <a:schemeClr val="tx1"/>
                              </a:fontRef>
                            </wps:style>
                            <wps:bodyPr/>
                          </wps:wsp>
                        </wpg:grpSp>
                        <wpg:grpSp>
                          <wpg:cNvPr id="60" name="Group 33"/>
                          <wpg:cNvGrpSpPr/>
                          <wpg:grpSpPr>
                            <a:xfrm>
                              <a:off x="11971" y="299331"/>
                              <a:ext cx="1948" cy="1184"/>
                              <a:chOff x="11971" y="299331"/>
                              <a:chExt cx="1948" cy="1184"/>
                            </a:xfrm>
                          </wpg:grpSpPr>
                          <wps:wsp>
                            <wps:cNvPr id="61" name="Rounded Rectangle 29"/>
                            <wps:cNvSpPr/>
                            <wps:spPr>
                              <a:xfrm>
                                <a:off x="11971" y="299331"/>
                                <a:ext cx="1948" cy="661"/>
                              </a:xfrm>
                              <a:prstGeom prst="roundRect">
                                <a:avLst/>
                              </a:prstGeom>
                            </wps:spPr>
                            <wps:style>
                              <a:lnRef idx="3">
                                <a:schemeClr val="lt1"/>
                              </a:lnRef>
                              <a:fillRef idx="1">
                                <a:schemeClr val="dk1"/>
                              </a:fillRef>
                              <a:effectRef idx="1">
                                <a:schemeClr val="dk1"/>
                              </a:effectRef>
                              <a:fontRef idx="minor">
                                <a:schemeClr val="lt1"/>
                              </a:fontRef>
                            </wps:style>
                            <wps:txb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Dependent Variable</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62" name="Straight Arrow Connector 31"/>
                            <wps:cNvCnPr/>
                            <wps:spPr>
                              <a:xfrm flipH="1" flipV="1">
                                <a:off x="12991" y="300093"/>
                                <a:ext cx="14" cy="423"/>
                              </a:xfrm>
                              <a:prstGeom prst="straightConnector1">
                                <a:avLst/>
                              </a:prstGeom>
                              <a:ln>
                                <a:tailEnd type="arrow" w="med" len="med"/>
                              </a:ln>
                            </wps:spPr>
                            <wps:style>
                              <a:lnRef idx="1">
                                <a:schemeClr val="dk1"/>
                              </a:lnRef>
                              <a:fillRef idx="0">
                                <a:schemeClr val="dk1"/>
                              </a:fillRef>
                              <a:effectRef idx="0">
                                <a:schemeClr val="dk1"/>
                              </a:effectRef>
                              <a:fontRef idx="minor">
                                <a:schemeClr val="tx1"/>
                              </a:fontRef>
                            </wps:style>
                            <wps:bodyPr/>
                          </wps:wsp>
                        </wpg:grpSp>
                      </wpg:grpSp>
                    </wpg:wgp>
                  </a:graphicData>
                </a:graphic>
              </wp:anchor>
            </w:drawing>
          </mc:Choice>
          <mc:Fallback>
            <w:pict>
              <v:group id="_x0000_s1026" o:spid="_x0000_s1026" o:spt="203" style="position:absolute;left:0pt;margin-left:-7.15pt;margin-top:3.15pt;height:192.7pt;width:431.1pt;z-index:251661312;mso-width-relative:page;mso-height-relative:page;" coordorigin="5461,299286" coordsize="8622,3854" o:gfxdata="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">
                <o:lock v:ext="edit" aspectratio="f"/>
                <v:group id="Group 27" o:spid="_x0000_s1026" o:spt="203" style="position:absolute;left:5461;top:300426;height:2714;width:8623;" coordorigin="2075,298038" coordsize="8623,2714" o:gfxdata="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jTWXFr0AAADbAAAADwAAAAAAAAABACAAAAAiAAAAZHJzL2Rvd25yZXYueG1s&#10;UEsBAhQAFAAAAAgAh07iQDMvBZ47AAAAOQAAABUAAAAAAAAAAQAgAAAADAEAAGRycy9ncm91cHNo&#10;YXBleG1sLnhtbFBLBQYAAAAABgAGAGABAADJAwAAAAA=&#10;">
                  <o:lock v:ext="edit" aspectratio="f"/>
                  <v:group id="Group 26" o:spid="_x0000_s1026" o:spt="203" style="position:absolute;left:2075;top:298038;height:2086;width:8623;" coordorigin="2075,298038" coordsize="8623,2086" o:gfxdata="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DieTKNvAAAANsAAAAPAAAAAAAAAAEAIAAAACIAAABkcnMvZG93bnJldi54bWxQ&#10;SwECFAAUAAAACACHTuJAMy8FnjsAAAA5AAAAFQAAAAAAAAABACAAAAALAQAAZHJzL2dyb3Vwc2hh&#10;cGV4bWwueG1sUEsFBgAAAAAGAAYAYAEAAMgDAAAAAA==&#10;">
                    <o:lock v:ext="edit" aspectratio="f"/>
                    <v:group id="Group 25" o:spid="_x0000_s1026" o:spt="203" style="position:absolute;left:2075;top:298038;height:2086;width:6446;" coordorigin="2075,298038" coordsize="6446,2086" o:gfxdata="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KrrPq7AAAA2wAAAA8AAAAAAAAAAQAgAAAAIgAAAGRycy9kb3ducmV2LnhtbFBL&#10;AQIUABQAAAAIAIdO4kAzLwWeOwAAADkAAAAVAAAAAAAAAAEAIAAAAAoBAABkcnMvZ3JvdXBzaGFw&#10;ZXhtbC54bWxQSwUGAAAAAAYABgBgAQAAxwMAAAAA&#10;">
                      <o:lock v:ext="edit" aspectratio="f"/>
                      <v:group id="Group 6" o:spid="_x0000_s1026" o:spt="203" style="position:absolute;left:7309;top:298266;height:1197;width:1213;" coordorigin="7425,298219" coordsize="1004,1214" o:gfxdata="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KP8YES+AAAA2wAAAA8AAAAAAAAAAQAgAAAAIgAAAGRycy9kb3ducmV2Lnht&#10;bFBLAQIUABQAAAAIAIdO4kAzLwWeOwAAADkAAAAVAAAAAAAAAAEAIAAAAA0BAABkcnMvZ3JvdXBz&#10;aGFwZXhtbC54bWxQSwUGAAAAAAYABgBgAQAAygMAAAAA&#10;">
                        <o:lock v:ext="edit" aspectratio="f"/>
                        <v:line id="Straight Connector 3" o:spid="_x0000_s1026" o:spt="20" style="position:absolute;left:7440;top:298219;flip:x;height:570;width:975;" filled="f" stroked="t" coordsize="21600,21600" o:gfxdata="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KuV0TvQAA&#10;ANsAAAAPAAAAAAAAAAEAIAAAACIAAABkcnMvZG93bnJldi54bWxQSwECFAAUAAAACACHTuJAMy8F&#10;njsAAAA5AAAAEAAAAAAAAAABACAAAAAMAQAAZHJzL3NoYXBleG1sLnhtbFBLBQYAAAAABgAGAFsB&#10;AAC2AwAAAAA=&#10;">
                          <v:fill on="f" focussize="0,0"/>
                          <v:stroke weight="0.5pt" color="#000000 [3200]" miterlimit="8" joinstyle="miter"/>
                          <v:imagedata o:title=""/>
                          <o:lock v:ext="edit" aspectratio="f"/>
                        </v:line>
                        <v:line id="Straight Connector 4" o:spid="_x0000_s1026" o:spt="20" style="position:absolute;left:7425;top:298789;flip:x y;height:645;width:1005;" filled="f" stroked="t" coordsize="21600,21600" o:gfxdata="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PZJTiLgAAADbAAAA&#10;DwAAAAAAAAABACAAAAAiAAAAZHJzL2Rvd25yZXYueG1sUEsBAhQAFAAAAAgAh07iQDMvBZ47AAAA&#10;OQAAABAAAAAAAAAAAQAgAAAABwEAAGRycy9zaGFwZXhtbC54bWxQSwUGAAAAAAYABgBbAQAAsQMA&#10;AAAA&#10;">
                          <v:fill on="f" focussize="0,0"/>
                          <v:stroke weight="0.5pt" color="#000000 [3200]" miterlimit="8" joinstyle="miter"/>
                          <v:imagedata o:title=""/>
                          <o:lock v:ext="edit" aspectratio="f"/>
                        </v:line>
                      </v:group>
                      <v:group id="Group 24" o:spid="_x0000_s1026" o:spt="203" style="position:absolute;left:2075;top:298038;height:2086;width:5218;" coordorigin="2075,298038" coordsize="5218,2086" o:gfxdata="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I7xG5O+AAAA2wAAAA8AAAAAAAAAAQAgAAAAIgAAAGRycy9kb3ducmV2Lnht&#10;bFBLAQIUABQAAAAIAIdO4kAzLwWeOwAAADkAAAAVAAAAAAAAAAEAIAAAAA0BAABkcnMvZ3JvdXBz&#10;aGFwZXhtbC54bWxQSwUGAAAAAAYABgBgAQAAygMAAAAA&#10;">
                        <o:lock v:ext="edit" aspectratio="f"/>
                        <v:rect id="Rectangles 2" o:spid="_x0000_s1026" o:spt="1" style="position:absolute;left:5029;top:298209;height:1243;width:2264;v-text-anchor:middle;" fillcolor="#A5A5A5 [3206]" filled="t" stroked="t" coordsize="21600,21600" o:gfxdata="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cqwyr4A&#10;AADbAAAADwAAAAAAAAABACAAAAAiAAAAZHJzL2Rvd25yZXYueG1sUEsBAhQAFAAAAAgAh07iQDMv&#10;BZ47AAAAOQAAABAAAAAAAAAAAQAgAAAADQEAAGRycy9zaGFwZXhtbC54bWxQSwUGAAAAAAYABgBb&#10;AQAAtwMAAAAA&#10;">
                          <v:fill on="t" focussize="0,0"/>
                          <v:stroke weight="1pt" color="#787878 [3206]" miterlimit="8" joinstyle="miter"/>
                          <v:imagedata o:title=""/>
                          <o:lock v:ext="edit" aspectratio="f"/>
                          <v:textbox>
                            <w:txbxContent>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Health</w:t>
                                </w:r>
                              </w:p>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Belief</w:t>
                                </w:r>
                              </w:p>
                              <w:p>
                                <w:pPr>
                                  <w:jc w:val="center"/>
                                  <w:rPr>
                                    <w:rFonts w:hint="default" w:ascii="Exotc350 Bd BT" w:hAnsi="Exotc350 Bd BT" w:cs="Exotc350 Bd BT"/>
                                    <w:b/>
                                    <w:bCs/>
                                    <w:color w:val="000000" w:themeColor="text1"/>
                                    <w:sz w:val="28"/>
                                    <w:szCs w:val="28"/>
                                    <w:lang w:val="en-US"/>
                                    <w14:textFill>
                                      <w14:solidFill>
                                        <w14:schemeClr w14:val="tx1"/>
                                      </w14:solidFill>
                                    </w14:textFill>
                                  </w:rPr>
                                </w:pPr>
                                <w:r>
                                  <w:rPr>
                                    <w:rFonts w:hint="default" w:ascii="Exotc350 Bd BT" w:hAnsi="Exotc350 Bd BT" w:cs="Exotc350 Bd BT"/>
                                    <w:b/>
                                    <w:bCs/>
                                    <w:color w:val="000000" w:themeColor="text1"/>
                                    <w:sz w:val="28"/>
                                    <w:szCs w:val="28"/>
                                    <w:lang w:val="en-US"/>
                                    <w14:textFill>
                                      <w14:solidFill>
                                        <w14:schemeClr w14:val="tx1"/>
                                      </w14:solidFill>
                                    </w14:textFill>
                                  </w:rPr>
                                  <w:t>Model</w:t>
                                </w:r>
                              </w:p>
                            </w:txbxContent>
                          </v:textbox>
                        </v:rect>
                        <v:group id="Group 23" o:spid="_x0000_s1026" o:spt="203" style="position:absolute;left:2075;top:298038;height:2086;width:2961;" coordorigin="2075,298038" coordsize="2961,2086" o:gfxdata="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EW8gf70AAADbAAAADwAAAAAAAAABACAAAAAiAAAAZHJzL2Rvd25yZXYueG1s&#10;UEsBAhQAFAAAAAgAh07iQDMvBZ47AAAAOQAAABUAAAAAAAAAAQAgAAAADAEAAGRycy9ncm91cHNo&#10;YXBleG1sLnhtbFBLBQYAAAAABgAGAGABAADJAwAAAAA=&#10;">
                          <o:lock v:ext="edit" aspectratio="f"/>
                          <v:group id="Group 5" o:spid="_x0000_s1026" o:spt="203" style="position:absolute;left:3992;top:298479;flip:x;height:1094;width:1045;" coordorigin="7425,298219" coordsize="1004,1214" o:gfxdata="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A8UdwhvAAAANsAAAAPAAAAAAAAAAEAIAAAACIAAABkcnMvZG93bnJldi54bWxQ&#10;SwECFAAUAAAACACHTuJAMy8FnjsAAAA5AAAAFQAAAAAAAAABACAAAAALAQAAZHJzL2dyb3Vwc2hh&#10;cGV4bWwueG1sUEsFBgAAAAAGAAYAYAEAAMgDAAAAAA==&#10;">
                            <o:lock v:ext="edit" aspectratio="f"/>
                            <v:line id="Straight Connector 3" o:spid="_x0000_s1026" o:spt="20" style="position:absolute;left:7440;top:298219;flip:x;height:570;width:975;" filled="f" stroked="t" coordsize="21600,21600" o:gfxdata="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T8iRrvQAA&#10;ANsAAAAPAAAAAAAAAAEAIAAAACIAAABkcnMvZG93bnJldi54bWxQSwECFAAUAAAACACHTuJAMy8F&#10;njsAAAA5AAAAEAAAAAAAAAABACAAAAAMAQAAZHJzL3NoYXBleG1sLnhtbFBLBQYAAAAABgAGAFsB&#10;AAC2AwAAAAA=&#10;">
                              <v:fill on="f" focussize="0,0"/>
                              <v:stroke weight="0.5pt" color="#000000 [3200]" miterlimit="8" joinstyle="miter"/>
                              <v:imagedata o:title=""/>
                              <o:lock v:ext="edit" aspectratio="f"/>
                            </v:line>
                            <v:line id="Straight Connector 4" o:spid="_x0000_s1026" o:spt="20" style="position:absolute;left:7425;top:298789;flip:x y;height:645;width:1005;" filled="f" stroked="t" coordsize="21600,21600" o:gfxdata="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03bme8AAAA&#10;2wAAAA8AAAAAAAAAAQAgAAAAIgAAAGRycy9kb3ducmV2LnhtbFBLAQIUABQAAAAIAIdO4kAzLwWe&#10;OwAAADkAAAAQAAAAAAAAAAEAIAAAAAsBAABkcnMvc2hhcGV4bWwueG1sUEsFBgAAAAAGAAYAWwEA&#10;ALUDAAAAAA==&#10;">
                              <v:fill on="f" focussize="0,0"/>
                              <v:stroke weight="0.5pt" color="#000000 [3200]" miterlimit="8" joinstyle="miter"/>
                              <v:imagedata o:title=""/>
                              <o:lock v:ext="edit" aspectratio="f"/>
                            </v:line>
                          </v:group>
                          <v:group id="Group 21" o:spid="_x0000_s1026" o:spt="203" style="position:absolute;left:2075;top:298038;height:2086;width:1948;" coordorigin="2075,298038" coordsize="1948,2086" o:gfxdata="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uVCZ8vwAAANsAAAAPAAAAAAAAAAEAIAAAACIAAABkcnMvZG93bnJldi54&#10;bWxQSwECFAAUAAAACACHTuJAMy8FnjsAAAA5AAAAFQAAAAAAAAABACAAAAAOAQAAZHJzL2dyb3Vw&#10;c2hhcGV4bWwueG1sUEsFBgAAAAAGAAYAYAEAAMsDAAAAAA==&#10;">
                            <o:lock v:ext="edit" aspectratio="f"/>
                            <v:roundrect id="Rounded Rectangle 9" o:spid="_x0000_s1026" o:spt="2" style="position:absolute;left:2075;top:298038;height:661;width:1948;v-text-anchor:middle;" fillcolor="#9B9B9B [3536]" filled="t" stroked="f" coordsize="21600,21600" arcsize="0.166666666666667" o:gfxdata="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J0/forUAAADbAAAADwAA&#10;AAAAAAABACAAAAAiAAAAZHJzL2Rvd25yZXYueG1sUEsBAhQAFAAAAAgAh07iQDMvBZ47AAAAOQAA&#10;ABAAAAAAAAAAAQAgAAAABAEAAGRycy9zaGFwZXhtbC54bWxQSwUGAAAAAAYABgBbAQAArgMAAAAA&#10;">
                              <v:fill type="gradient" on="t" color2="#797979 [3376]" colors="0f #9B9B9B;32768f #8E8E8E;65536f #797979" focus="100%" focussize="0,0" rotate="t">
                                <o:fill type="gradientUnscaled" v:ext="backwardCompatible"/>
                              </v:fill>
                              <v:stroke on="f" weight="0.5pt"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Knowledge of hand washing</w:t>
                                    </w:r>
                                  </w:p>
                                </w:txbxContent>
                              </v:textbox>
                            </v:roundrect>
                            <v:roundrect id="Rounded Rectangle 10" o:spid="_x0000_s1026" o:spt="2" style="position:absolute;left:2105;top:298804;height:615;width:1904;v-text-anchor:middle;" fillcolor="#9B9B9B [3536]" filled="t" stroked="f" coordsize="21600,21600" arcsize="0.166666666666667" o:gfxdata="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IA3o5ugAAANsA&#10;AAAPAAAAAAAAAAEAIAAAACIAAABkcnMvZG93bnJldi54bWxQSwECFAAUAAAACACHTuJAMy8FnjsA&#10;AAA5AAAAEAAAAAAAAAABACAAAAAJAQAAZHJzL3NoYXBleG1sLnhtbFBLBQYAAAAABgAGAFsBAACz&#10;AwAAAAA=&#10;">
                              <v:fill type="gradient" on="t" color2="#797979 [3376]" colors="0f #9B9B9B;32768f #8E8E8E;65536f #797979" focus="100%" focussize="0,0" rotate="t">
                                <o:fill type="gradientUnscaled" v:ext="backwardCompatible"/>
                              </v:fill>
                              <v:stroke on="f" weight="0.5pt"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Barriers to hand-washing</w:t>
                                    </w:r>
                                  </w:p>
                                </w:txbxContent>
                              </v:textbox>
                            </v:roundrect>
                            <v:roundrect id="Rounded Rectangle 11" o:spid="_x0000_s1026" o:spt="2" style="position:absolute;left:2120;top:299494;height:630;width:1874;v-text-anchor:middle;" fillcolor="#9B9B9B [3536]" filled="t" stroked="f" coordsize="21600,21600" arcsize="0.166666666666667" o:gfxdata="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XOBFebUAAADbAAAADwAA&#10;AAAAAAABACAAAAAiAAAAZHJzL2Rvd25yZXYueG1sUEsBAhQAFAAAAAgAh07iQDMvBZ47AAAAOQAA&#10;ABAAAAAAAAAAAQAgAAAABAEAAGRycy9zaGFwZXhtbC54bWxQSwUGAAAAAAYABgBbAQAArgMAAAAA&#10;">
                              <v:fill type="gradient" on="t" color2="#797979 [3376]" colors="0f #9B9B9B;32768f #8E8E8E;65536f #797979" focus="100%" focussize="0,0" rotate="t">
                                <o:fill type="gradientUnscaled" v:ext="backwardCompatible"/>
                              </v:fill>
                              <v:stroke on="f" weight="0.5pt"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Years of nursing practice</w:t>
                                    </w:r>
                                  </w:p>
                                </w:txbxContent>
                              </v:textbox>
                            </v:roundrect>
                          </v:group>
                        </v:group>
                      </v:group>
                    </v:group>
                    <v:roundrect id="Rounded Rectangle 12" o:spid="_x0000_s1026" o:spt="2" style="position:absolute;left:8525;top:298128;height:1531;width:2173;v-text-anchor:middle;" fillcolor="#AFAFAF [3280]" filled="t" stroked="f" coordsize="21600,21600" arcsize="0.166666666666667" o:gfxdata="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hBjaW8AAAA&#10;2wAAAA8AAAAAAAAAAQAgAAAAIgAAAGRycy9kb3ducmV2LnhtbFBLAQIUABQAAAAIAIdO4kAzLwWe&#10;OwAAADkAAAAQAAAAAAAAAAEAIAAAAAsBAABkcnMvc2hhcGV4bWwueG1sUEsFBgAAAAAGAAYAWwEA&#10;ALUDAAAAAA==&#10;">
                      <v:fill type="gradient" on="t" color2="#929292 [3184]" colors="0f #AFAFAF;32768f #A5A5A5;65536f #929292" focus="100%" focussize="0,0" rotate="t">
                        <o:fill type="gradientUnscaled" v:ext="backwardCompatible"/>
                      </v:fill>
                      <v:stroke on="f"/>
                      <v:imagedata o:title=""/>
                      <o:lock v:ext="edit" aspectratio="f"/>
                      <v:shadow on="t" color="#000000" opacity="41287f" offset="0pt,1.5pt" origin="0f,0f" matrix="65536f,0f,0f,65536f"/>
                      <v:textbox>
                        <w:txbxContent>
                          <w:p>
                            <w:pPr>
                              <w:jc w:val="left"/>
                              <w:rPr>
                                <w:rFonts w:hint="default" w:ascii="Verdana" w:hAnsi="Verdana" w:cs="Verdana"/>
                                <w:b/>
                                <w:bCs/>
                                <w:sz w:val="21"/>
                                <w:szCs w:val="21"/>
                                <w:lang w:val="en-US"/>
                              </w:rPr>
                            </w:pPr>
                            <w:r>
                              <w:rPr>
                                <w:rFonts w:hint="default" w:ascii="Verdana" w:hAnsi="Verdana" w:cs="Verdana"/>
                                <w:b/>
                                <w:bCs/>
                                <w:sz w:val="21"/>
                                <w:szCs w:val="21"/>
                                <w:lang w:val="en-US"/>
                              </w:rPr>
                              <w:t>Practice of hand-washing</w:t>
                            </w:r>
                          </w:p>
                        </w:txbxContent>
                      </v:textbox>
                    </v:roundrect>
                  </v:group>
                  <v:group id="Group 20" o:spid="_x0000_s1026" o:spt="203" style="position:absolute;left:3049;top:299806;height:946;width:6260;" coordorigin="3049,299806" coordsize="6260,946" o:gfxdata="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oTOb0AAADbAAAADwAAAAAAAAABACAAAAAiAAAAZHJzL2Rvd25yZXYueG1s&#10;UEsBAhQAFAAAAAgAh07iQDMvBZ47AAAAOQAAABUAAAAAAAAAAQAgAAAADAEAAGRycy9ncm91cHNo&#10;YXBleG1sLnhtbFBLBQYAAAAABgAGAGABAADJAwAAAAA=&#10;">
                    <o:lock v:ext="edit" aspectratio="f"/>
                    <v:line id="Straight Connector 17" o:spid="_x0000_s1026" o:spt="20" style="position:absolute;left:3049;top:300124;flip:x;height:622;width:8;" filled="f" stroked="t" coordsize="21600,21600" o:gfxdata="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o6PWb4A&#10;AADbAAAADwAAAAAAAAABACAAAAAiAAAAZHJzL2Rvd25yZXYueG1sUEsBAhQAFAAAAAgAh07iQDMv&#10;BZ47AAAAOQAAABAAAAAAAAAAAQAgAAAADQEAAGRycy9zaGFwZXhtbC54bWxQSwUGAAAAAAYABgBb&#10;AQAAtwMAAAAA&#10;">
                      <v:fill on="f" focussize="0,0"/>
                      <v:stroke weight="0.5pt" color="#000000 [3200]" miterlimit="8" joinstyle="miter"/>
                      <v:imagedata o:title=""/>
                      <o:lock v:ext="edit" aspectratio="f"/>
                    </v:line>
                    <v:line id="Straight Connector 18" o:spid="_x0000_s1026" o:spt="20" style="position:absolute;left:3069;top:300746;height:7;width:6241;" filled="f" stroked="t" coordsize="21600,21600" o:gfxdata="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C6qVnvQAA&#10;ANsAAAAPAAAAAAAAAAEAIAAAACIAAABkcnMvZG93bnJldi54bWxQSwECFAAUAAAACACHTuJAMy8F&#10;njsAAAA5AAAAEAAAAAAAAAABACAAAAAMAQAAZHJzL3NoYXBleG1sLnhtbFBLBQYAAAAABgAGAFsB&#10;AAC2AwAAAAA=&#10;">
                      <v:fill on="f" focussize="0,0"/>
                      <v:stroke weight="0.5pt" color="#000000 [3200]" miterlimit="8" joinstyle="miter"/>
                      <v:imagedata o:title=""/>
                      <o:lock v:ext="edit" aspectratio="f"/>
                    </v:line>
                    <v:line id="Straight Connector 19" o:spid="_x0000_s1026" o:spt="20" style="position:absolute;left:9286;top:299806;height:925;width:9;" filled="f" stroked="t" coordsize="21600,21600" o:gfxdata="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tpgD8vQAA&#10;ANsAAAAPAAAAAAAAAAEAIAAAACIAAABkcnMvZG93bnJldi54bWxQSwECFAAUAAAACACHTuJAMy8F&#10;njsAAAA5AAAAEAAAAAAAAAABACAAAAAMAQAAZHJzL3NoYXBleG1sLnhtbFBLBQYAAAAABgAGAFsB&#10;AAC2AwAAAAA=&#10;">
                      <v:fill on="f" focussize="0,0"/>
                      <v:stroke weight="0.5pt" color="#000000 [3200]" miterlimit="8" joinstyle="miter"/>
                      <v:imagedata o:title=""/>
                      <o:lock v:ext="edit" aspectratio="f"/>
                    </v:line>
                  </v:group>
                </v:group>
                <v:group id="Group 34" o:spid="_x0000_s1026" o:spt="203" style="position:absolute;left:5491;top:299286;height:1229;width:8428;" coordorigin="5491,299286" coordsize="8428,1229" o:gfxdata="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hMEVOr0AAADbAAAADwAAAAAAAAABACAAAAAiAAAAZHJzL2Rvd25yZXYueG1s&#10;UEsBAhQAFAAAAAgAh07iQDMvBZ47AAAAOQAAABUAAAAAAAAAAQAgAAAADAEAAGRycy9ncm91cHNo&#10;YXBleG1sLnhtbFBLBQYAAAAABgAGAGABAADJAwAAAAA=&#10;">
                  <o:lock v:ext="edit" aspectratio="f"/>
                  <v:group id="Group 32" o:spid="_x0000_s1026" o:spt="203" style="position:absolute;left:5491;top:299286;height:1140;width:1948;" coordorigin="5491,299286" coordsize="1948,1140" o:gfxdata="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642wob0AAADbAAAADwAAAAAAAAABACAAAAAiAAAAZHJzL2Rvd25yZXYueG1s&#10;UEsBAhQAFAAAAAgAh07iQDMvBZ47AAAAOQAAABUAAAAAAAAAAQAgAAAADAEAAGRycy9ncm91cHNo&#10;YXBleG1sLnhtbFBLBQYAAAAABgAGAGABAADJAwAAAAA=&#10;">
                    <o:lock v:ext="edit" aspectratio="f"/>
                    <v:roundrect id="Rounded Rectangle 28" o:spid="_x0000_s1026" o:spt="2" style="position:absolute;left:5491;top:299286;height:661;width:1948;v-text-anchor:middle;" fillcolor="#000000 [3200]" filled="t" stroked="t" coordsize="21600,21600" arcsize="0.166666666666667" o:gfxdata="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7YMhuugAAANsA&#10;AAAPAAAAAAAAAAEAIAAAACIAAABkcnMvZG93bnJldi54bWxQSwECFAAUAAAACACHTuJAMy8FnjsA&#10;AAA5AAAAEAAAAAAAAAABACAAAAAJAQAAZHJzL3NoYXBleG1sLnhtbFBLBQYAAAAABgAGAFsBAACz&#10;AwAAAAA=&#10;">
                      <v:fill on="t" focussize="0,0"/>
                      <v:stroke weight="1.5pt" color="#FFFFFF [3201]"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Independent Variable</w:t>
                            </w:r>
                          </w:p>
                        </w:txbxContent>
                      </v:textbox>
                    </v:roundrect>
                    <v:shape id="Straight Arrow Connector 30" o:spid="_x0000_s1026" o:spt="32" type="#_x0000_t32" style="position:absolute;left:6435;top:299988;flip:y;height:438;width:1;" filled="f" stroked="t" coordsize="21600,21600" o:gfxdata="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ZDjE2/&#10;AAAA2wAAAA8AAAAAAAAAAQAgAAAAIgAAAGRycy9kb3ducmV2LnhtbFBLAQIUABQAAAAIAIdO4kAz&#10;LwWeOwAAADkAAAAQAAAAAAAAAAEAIAAAAA4BAABkcnMvc2hhcGV4bWwueG1sUEsFBgAAAAAGAAYA&#10;WwEAALgDAAAAAA==&#10;">
                      <v:fill on="f" focussize="0,0"/>
                      <v:stroke weight="0.5pt" color="#000000 [3200]" miterlimit="8" joinstyle="miter" endarrow="open"/>
                      <v:imagedata o:title=""/>
                      <o:lock v:ext="edit" aspectratio="f"/>
                    </v:shape>
                  </v:group>
                  <v:group id="Group 33" o:spid="_x0000_s1026" o:spt="203" style="position:absolute;left:11971;top:299331;height:1184;width:1948;" coordorigin="11971,299331" coordsize="1948,1184" o:gfxdata="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qgjiaLoAAADbAAAADwAAAAAAAAABACAAAAAiAAAAZHJzL2Rvd25yZXYueG1sUEsB&#10;AhQAFAAAAAgAh07iQDMvBZ47AAAAOQAAABUAAAAAAAAAAQAgAAAACQEAAGRycy9ncm91cHNoYXBl&#10;eG1sLnhtbFBLBQYAAAAABgAGAGABAADGAwAAAAA=&#10;">
                    <o:lock v:ext="edit" aspectratio="f"/>
                    <v:roundrect id="Rounded Rectangle 29" o:spid="_x0000_s1026" o:spt="2" style="position:absolute;left:11971;top:299331;height:661;width:1948;v-text-anchor:middle;" fillcolor="#000000 [3200]" filled="t" stroked="t" coordsize="21600,21600" arcsize="0.166666666666667" o:gfxdata="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DarTr4A&#10;AADbAAAADwAAAAAAAAABACAAAAAiAAAAZHJzL2Rvd25yZXYueG1sUEsBAhQAFAAAAAgAh07iQDMv&#10;BZ47AAAAOQAAABAAAAAAAAAAAQAgAAAADQEAAGRycy9zaGFwZXhtbC54bWxQSwUGAAAAAAYABgBb&#10;AQAAtwMAAAAA&#10;">
                      <v:fill on="t" focussize="0,0"/>
                      <v:stroke weight="1.5pt" color="#FFFFFF [3201]" miterlimit="8" joinstyle="miter"/>
                      <v:imagedata o:title=""/>
                      <o:lock v:ext="edit" aspectratio="f"/>
                      <v:textbox>
                        <w:txbxContent>
                          <w:p>
                            <w:pPr>
                              <w:jc w:val="left"/>
                              <w:rPr>
                                <w:rFonts w:hint="default" w:ascii="Verdana" w:hAnsi="Verdana" w:cs="Verdana"/>
                                <w:b/>
                                <w:bCs/>
                                <w:sz w:val="16"/>
                                <w:szCs w:val="16"/>
                                <w:lang w:val="en-US"/>
                              </w:rPr>
                            </w:pPr>
                            <w:r>
                              <w:rPr>
                                <w:rFonts w:hint="default" w:ascii="Verdana" w:hAnsi="Verdana" w:cs="Verdana"/>
                                <w:b/>
                                <w:bCs/>
                                <w:sz w:val="16"/>
                                <w:szCs w:val="16"/>
                                <w:lang w:val="en-US"/>
                              </w:rPr>
                              <w:t>Dependent Variable</w:t>
                            </w:r>
                          </w:p>
                        </w:txbxContent>
                      </v:textbox>
                    </v:roundrect>
                    <v:shape id="Straight Arrow Connector 31" o:spid="_x0000_s1026" o:spt="32" type="#_x0000_t32" style="position:absolute;left:12991;top:300093;flip:x y;height:423;width:14;" filled="f" stroked="t" coordsize="21600,21600" o:gfxdata="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eU9TS8AAAA&#10;2wAAAA8AAAAAAAAAAQAgAAAAIgAAAGRycy9kb3ducmV2LnhtbFBLAQIUABQAAAAIAIdO4kAzLwWe&#10;OwAAADkAAAAQAAAAAAAAAAEAIAAAAAsBAABkcnMvc2hhcGV4bWwueG1sUEsFBgAAAAAGAAYAWwEA&#10;ALUDAAAAAA==&#10;">
                      <v:fill on="f" focussize="0,0"/>
                      <v:stroke weight="0.5pt" color="#000000 [3200]" miterlimit="8" joinstyle="miter" endarrow="open"/>
                      <v:imagedata o:title=""/>
                      <o:lock v:ext="edit" aspectratio="f"/>
                    </v:shape>
                  </v:group>
                </v:group>
              </v:group>
            </w:pict>
          </mc:Fallback>
        </mc:AlternateContent>
      </w:r>
    </w:p>
    <w:p>
      <w:pPr>
        <w:bidi w:val="0"/>
        <w:spacing w:line="480" w:lineRule="auto"/>
        <w:jc w:val="both"/>
        <w:rPr>
          <w:rFonts w:hint="default" w:ascii="Times New Roman" w:hAnsi="Times New Roman" w:cs="Times New Roman"/>
          <w:b/>
          <w:bCs/>
          <w:sz w:val="24"/>
          <w:szCs w:val="24"/>
          <w:lang w:val="en-US"/>
        </w:rPr>
      </w:pPr>
    </w:p>
    <w:p>
      <w:pPr>
        <w:bidi w:val="0"/>
        <w:spacing w:line="480" w:lineRule="auto"/>
        <w:jc w:val="both"/>
        <w:rPr>
          <w:rFonts w:hint="default" w:ascii="Times New Roman" w:hAnsi="Times New Roman" w:cs="Times New Roman"/>
          <w:b/>
          <w:bCs/>
          <w:sz w:val="24"/>
          <w:szCs w:val="24"/>
          <w:lang w:val="en-US"/>
        </w:rPr>
      </w:pPr>
    </w:p>
    <w:p>
      <w:pPr>
        <w:bidi w:val="0"/>
        <w:spacing w:line="480" w:lineRule="auto"/>
        <w:jc w:val="both"/>
        <w:rPr>
          <w:rFonts w:hint="default" w:ascii="Times New Roman" w:hAnsi="Times New Roman" w:cs="Times New Roman"/>
          <w:b/>
          <w:bCs/>
          <w:sz w:val="24"/>
          <w:szCs w:val="24"/>
          <w:lang w:val="en-US"/>
        </w:rPr>
      </w:pPr>
    </w:p>
    <w:p>
      <w:pPr>
        <w:bidi w:val="0"/>
        <w:spacing w:line="480" w:lineRule="auto"/>
        <w:jc w:val="both"/>
        <w:rPr>
          <w:rFonts w:hint="default" w:ascii="Times New Roman" w:hAnsi="Times New Roman" w:cs="Times New Roman"/>
          <w:b/>
          <w:bCs/>
          <w:sz w:val="24"/>
          <w:szCs w:val="24"/>
          <w:lang w:val="en-US"/>
        </w:rPr>
      </w:pPr>
    </w:p>
    <w:p>
      <w:pPr>
        <w:bidi w:val="0"/>
        <w:spacing w:line="480" w:lineRule="auto"/>
        <w:jc w:val="both"/>
        <w:rPr>
          <w:rFonts w:hint="default" w:ascii="Times New Roman" w:hAnsi="Times New Roman" w:cs="Times New Roman"/>
          <w:b/>
          <w:bCs/>
          <w:sz w:val="24"/>
          <w:szCs w:val="24"/>
          <w:lang w:val="en-US"/>
        </w:rPr>
      </w:pPr>
    </w:p>
    <w:p>
      <w:pPr>
        <w:bidi w:val="0"/>
        <w:spacing w:line="480" w:lineRule="auto"/>
        <w:jc w:val="both"/>
        <w:rPr>
          <w:rFonts w:hint="default" w:ascii="Times New Roman" w:hAnsi="Times New Roman" w:cs="Times New Roman"/>
          <w:b/>
          <w:bCs/>
          <w:sz w:val="24"/>
          <w:szCs w:val="24"/>
          <w:lang w:val="en-US"/>
        </w:rPr>
      </w:pPr>
    </w:p>
    <w:p>
      <w:pPr>
        <w:bidi w:val="0"/>
        <w:spacing w:line="480" w:lineRule="auto"/>
        <w:jc w:val="both"/>
        <w:rPr>
          <w:rFonts w:hint="default" w:ascii="Times New Roman" w:hAnsi="Times New Roman" w:cs="Times New Roman"/>
          <w:b/>
          <w:bCs/>
          <w:sz w:val="24"/>
          <w:szCs w:val="24"/>
          <w:lang w:val="en-US"/>
        </w:rPr>
      </w:pP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Figure 1: HBM and relationship to study</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Application of theory to the present study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HBM is particularly valuable within the framework of this research, which examines the hand hygiene practices, knowledge, and barriers encountered by nurses in surgical wards. The Health Belief Model has been widely used in studies focusing on health behaviours, including health prevention, promotion, and compliance with infection control guidelines. It is important for nurses to be aware of the susceptibility of surgical patients at FMC Umuahia to healthcare-associated infections and the potential consequences. This knowledge can encourage nurses to diligently follow infection control measures, such as practicing proper handwashing. It has been emphasised in other literature that practicing proper hand hygiene is a straightforward and highly effective way to prevent infections (</w:t>
      </w:r>
      <w:r>
        <w:rPr>
          <w:rFonts w:hint="default" w:ascii="Times New Roman" w:hAnsi="Times New Roman" w:cs="Times New Roman"/>
          <w:sz w:val="24"/>
          <w:szCs w:val="24"/>
          <w:lang w:val="en-US"/>
        </w:rPr>
        <w:t>Setiaman, Samiasih, &amp; Hidayati, 2022</w:t>
      </w:r>
      <w:r>
        <w:rPr>
          <w:rFonts w:hint="default" w:ascii="Times New Roman" w:hAnsi="Times New Roman" w:cs="Times New Roman"/>
          <w:sz w:val="24"/>
          <w:szCs w:val="24"/>
        </w:rPr>
        <w:t>). The study conducted on hand hygiene and its impact on reducing transient flora on the hands of healthcare workers reveals that effective hand hygiene practices significantly eliminate the majority of transient bacteria that may be present on the hands of HCWs (Kapil, Bhavsar &amp; Madan, 2015).</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2.3.</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Empirical</w:t>
      </w:r>
      <w:r>
        <w:rPr>
          <w:rFonts w:hint="default" w:ascii="Times New Roman" w:hAnsi="Times New Roman" w:cs="Times New Roman"/>
          <w:b/>
          <w:bCs/>
          <w:sz w:val="24"/>
          <w:szCs w:val="24"/>
        </w:rPr>
        <w:t xml:space="preserve"> </w:t>
      </w:r>
      <w:r>
        <w:rPr>
          <w:rFonts w:hint="default" w:ascii="Times New Roman" w:hAnsi="Times New Roman" w:cs="Times New Roman"/>
          <w:b/>
          <w:bCs/>
          <w:sz w:val="24"/>
          <w:szCs w:val="24"/>
          <w:lang w:val="en-US"/>
        </w:rPr>
        <w:t>L</w:t>
      </w:r>
      <w:r>
        <w:rPr>
          <w:rFonts w:hint="default" w:ascii="Times New Roman" w:hAnsi="Times New Roman" w:cs="Times New Roman"/>
          <w:b/>
          <w:bCs/>
          <w:sz w:val="24"/>
          <w:szCs w:val="24"/>
        </w:rPr>
        <w:t>iterature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Various studies have been undertaken in different countries to assess nurses' knowledge and practice of hand hygiene in relation to infection control. These research have shown varying results.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Studies on knowledge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Okgün &amp; Dolgun,</w:t>
      </w:r>
      <w:r>
        <w:rPr>
          <w:rFonts w:hint="default" w:ascii="Times New Roman" w:hAnsi="Times New Roman" w:cs="Times New Roman"/>
          <w:sz w:val="24"/>
          <w:szCs w:val="24"/>
        </w:rPr>
        <w:t xml:space="preserve"> (201</w:t>
      </w:r>
      <w:r>
        <w:rPr>
          <w:rFonts w:hint="default" w:ascii="Times New Roman" w:hAnsi="Times New Roman" w:cs="Times New Roman"/>
          <w:sz w:val="24"/>
          <w:szCs w:val="24"/>
          <w:lang w:val="en-US"/>
        </w:rPr>
        <w:t>9</w:t>
      </w:r>
      <w:r>
        <w:rPr>
          <w:rFonts w:hint="default" w:ascii="Times New Roman" w:hAnsi="Times New Roman" w:cs="Times New Roman"/>
          <w:sz w:val="24"/>
          <w:szCs w:val="24"/>
        </w:rPr>
        <w:t>) evaluated the level of knowledge, attitude, and practices about the Five Moments of Hand Hygiene among nursing staff and students in a tertiary care hospital in Karad. The study discovered a moderate level of awareness regarding hand hygiene, with 144 out of 200 participants, accounting for 74% of the overall study population. Out of the 200 participants, only 18 individuals, which accounts for 9% of the total, demonstrated a satisfactory level of knowledge regarding hand hygiene.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cross-sectional study aimed to evaluate the knowledge and practice of hand hygiene among graduate medical students in Asir governmental hospitals in the Asir region. The results of the knowledge assessment revealed varying levels of knowledge. Moderate knowledge was observed regarding the primary mode of transmission of potentially harmful germs between patients. Specifically, 68% of the sample correctly identified that the main route is through the hands of healthcare workers when they are The study revealed a high level of knowledge regarding the importance of hand hygiene actions in preventing the transmission of germs to patients. Specifically, 96% of participants demonstrated a strong understanding of the necessary precautions before touching a patient, while 90% exhibited a similar level of knowledge regarding clean/aseptic procedures. (</w:t>
      </w:r>
      <w:r>
        <w:rPr>
          <w:rFonts w:hint="default" w:ascii="Times New Roman" w:hAnsi="Times New Roman" w:cs="Times New Roman"/>
          <w:sz w:val="24"/>
          <w:szCs w:val="24"/>
          <w:lang w:val="en-US"/>
        </w:rPr>
        <w:t>Mohaithef</w:t>
      </w:r>
      <w:r>
        <w:rPr>
          <w:rFonts w:hint="default" w:ascii="Times New Roman" w:hAnsi="Times New Roman" w:cs="Times New Roman"/>
          <w:sz w:val="24"/>
          <w:szCs w:val="24"/>
        </w:rPr>
        <w:t>, 20</w:t>
      </w:r>
      <w:r>
        <w:rPr>
          <w:rFonts w:hint="default" w:ascii="Times New Roman" w:hAnsi="Times New Roman" w:cs="Times New Roman"/>
          <w:sz w:val="24"/>
          <w:szCs w:val="24"/>
          <w:lang w:val="en-US"/>
        </w:rPr>
        <w:t>20</w:t>
      </w:r>
      <w:r>
        <w:rPr>
          <w:rFonts w:hint="default" w:ascii="Times New Roman" w:hAnsi="Times New Roman" w:cs="Times New Roman"/>
          <w:sz w:val="24"/>
          <w:szCs w:val="24"/>
        </w:rPr>
        <w:t xml:space="preserve">)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The study conducted by </w:t>
      </w:r>
      <w:r>
        <w:rPr>
          <w:rFonts w:hint="default" w:ascii="Times New Roman" w:hAnsi="Times New Roman" w:cs="Times New Roman"/>
          <w:sz w:val="24"/>
          <w:szCs w:val="24"/>
          <w:lang w:val="en-US"/>
        </w:rPr>
        <w:t>Noname, Khaliq, Khurram &amp; Zubair</w:t>
      </w:r>
      <w:r>
        <w:rPr>
          <w:rFonts w:hint="default" w:ascii="Times New Roman" w:hAnsi="Times New Roman" w:cs="Times New Roman"/>
          <w:sz w:val="24"/>
          <w:szCs w:val="24"/>
        </w:rPr>
        <w:t xml:space="preserve"> (20</w:t>
      </w:r>
      <w:r>
        <w:rPr>
          <w:rFonts w:hint="default" w:ascii="Times New Roman" w:hAnsi="Times New Roman" w:cs="Times New Roman"/>
          <w:sz w:val="24"/>
          <w:szCs w:val="24"/>
          <w:lang w:val="en-US"/>
        </w:rPr>
        <w:t>20</w:t>
      </w:r>
      <w:r>
        <w:rPr>
          <w:rFonts w:hint="default" w:ascii="Times New Roman" w:hAnsi="Times New Roman" w:cs="Times New Roman"/>
          <w:sz w:val="24"/>
          <w:szCs w:val="24"/>
        </w:rPr>
        <w:t>) sought to assess the level of knowledge among healthcare workers (HCWs) regarding hand hygiene, as well as to evaluate their hand hygiene practices and identify any obstacles faced by nurses at Armed Forces Military Hospitals in Taif. The findings revealed that only 28% of the nurses correctly recognised that germs already present on or within the patient are the most common source of germs responsible for healthcare-associated infections (HCAIs).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 majority of healthcare workers (82.1%) correctly acknowledged that alcohol-based hand rubbing is faster for cleansing hands compared to handwashing with soap and water. Additionally, most of them (97.1%) accurately reported that alcohol-based hand rubbing does not cause more skin dryness than handwashing with soap and water. Furthermore, it was correctly recognised by a large percentage (94.2%) that handwashing with soap and water and alcohol-based hand rubbing should not be performed consecutively. The majority of healthcare workers (82.1%) correctly acknowledged that a minimum of 20 seconds is required for alcohol-based hand massage to effectively eliminate most germs on the hands (</w:t>
      </w:r>
      <w:r>
        <w:rPr>
          <w:rFonts w:hint="default" w:ascii="Times New Roman" w:hAnsi="Times New Roman" w:cs="Times New Roman"/>
          <w:sz w:val="24"/>
          <w:szCs w:val="24"/>
          <w:lang w:val="en-US"/>
        </w:rPr>
        <w:t>Neto, Campos, Mendes, &amp; Bastos, 2022</w:t>
      </w:r>
      <w:r>
        <w:rPr>
          <w:rFonts w:hint="default" w:ascii="Times New Roman" w:hAnsi="Times New Roman" w:cs="Times New Roman"/>
          <w:sz w:val="24"/>
          <w:szCs w:val="24"/>
        </w:rPr>
        <w: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A further study conducted on the understanding of hand hygiene among healthcare staff in specific primary healthcare centres found that there were differences in knowledge of hand hygiene practices among various categories of primary healthcare personnel. The paramedical staff demonstrated suboptimal awareness regarding hand hygiene practices following exposure to body fluids (71.8%) and immediate patient surroundings (75.0%). Just 27.3% of class IV personnel and 62.5% of paramedical workers have knowledge regarding the superior effectiveness of hand washing compared to hand rubbing in combating germs. Just 43.7% of paramedical personnel and 27.3% of class IV workers possessed knowledge regarding the necessity of hand rubbing prior to palpating the abdomen. According to </w:t>
      </w:r>
      <w:r>
        <w:rPr>
          <w:rFonts w:hint="default" w:ascii="Times New Roman" w:hAnsi="Times New Roman" w:cs="Times New Roman"/>
          <w:sz w:val="24"/>
          <w:szCs w:val="24"/>
          <w:lang w:val="en-US"/>
        </w:rPr>
        <w:t>Najafi Ghezeljeh</w:t>
      </w:r>
      <w:r>
        <w:rPr>
          <w:rFonts w:hint="default" w:ascii="Times New Roman" w:hAnsi="Times New Roman" w:cs="Times New Roman"/>
          <w:sz w:val="24"/>
          <w:szCs w:val="24"/>
        </w:rPr>
        <w:t xml:space="preserve"> (201</w:t>
      </w:r>
      <w:r>
        <w:rPr>
          <w:rFonts w:hint="default" w:ascii="Times New Roman" w:hAnsi="Times New Roman" w:cs="Times New Roman"/>
          <w:sz w:val="24"/>
          <w:szCs w:val="24"/>
          <w:lang w:val="en-US"/>
        </w:rPr>
        <w:t>5</w:t>
      </w:r>
      <w:r>
        <w:rPr>
          <w:rFonts w:hint="default" w:ascii="Times New Roman" w:hAnsi="Times New Roman" w:cs="Times New Roman"/>
          <w:sz w:val="24"/>
          <w:szCs w:val="24"/>
        </w:rPr>
        <w:t>), less than 50% of paramedical staff and class IV workers (specifically, 46.8% and 22.7% respectively) were knowledgeable about the necessity of hand massage prior to administering injections.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Studies on practice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 survey conducted in Palestine revealed that 75.8% of participants shown an intermediate level of competence in this domain. Additionally, approximately half of the sample (53.9%) exhibited a fair level of knowledge, surpassing 80%. Nevertheless, a significant proportion (91.1%) of the examined sample shown commendable adherence (&gt;80%) to infection prevention protocols (Fashafsheh, 2015). Furthermore, a study conducted in Italy by Parmeggiani et al. (2010) aimed to examine the level of awareness among nurses about hand hygiene. The findings revealed that nurses possessed a satisfactory level of knowledge and displayed positive attitudes. However, their adherence to conventional procedures for preventing healthcare-associated infections (HAIs) was found to be inadequate.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Furthermore, a study conducted by </w:t>
      </w:r>
      <w:r>
        <w:rPr>
          <w:rFonts w:hint="default" w:ascii="Times New Roman" w:hAnsi="Times New Roman" w:cs="Times New Roman"/>
          <w:sz w:val="24"/>
          <w:szCs w:val="24"/>
          <w:lang w:val="en-US"/>
        </w:rPr>
        <w:t>Dreidi, Alrimawi, Saifan, Batiha</w:t>
      </w:r>
      <w:r>
        <w:rPr>
          <w:rFonts w:hint="default" w:ascii="Times New Roman" w:hAnsi="Times New Roman" w:cs="Times New Roman"/>
          <w:sz w:val="24"/>
          <w:szCs w:val="24"/>
        </w:rPr>
        <w:t xml:space="preserve"> (2016) examined the level of knowledge regarding hand hygiene among healthcare personnel at specific primary healthcare centres located in Lucknow, Uttar Pradesh. The study found that there were differences in the level of knowledge of hand hygiene practice among various types of primary healthcare personnel. The paramedical staff shown suboptimal understanding regarding the practice of hand hygiene following the risk of body fluid contact (71.8%) and after being exposed to the immediate surroundings of the patient (75.0%). Just 27.3% of class IV personnel and 62.5% of paramedical workers have knowledge regarding the superior effectiveness of hand washing compared to hand rubbing in combating germs. A mere 43.7% of the 13 paramedical professionals and just 27.3% of the class IV workers have the knowledge that hand rubbing is necessary prior to palpating the abdomen. Only 46.8% of paramedical professionals and 22.7% of class IV workers were cognizant of the necessity of hand massage prior to administering injections.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In a </w:t>
      </w:r>
      <w:r>
        <w:rPr>
          <w:rFonts w:hint="default" w:ascii="Times New Roman" w:hAnsi="Times New Roman" w:cs="Times New Roman"/>
          <w:sz w:val="24"/>
          <w:szCs w:val="24"/>
          <w:lang w:val="en-US"/>
        </w:rPr>
        <w:t>later</w:t>
      </w:r>
      <w:r>
        <w:rPr>
          <w:rFonts w:hint="default" w:ascii="Times New Roman" w:hAnsi="Times New Roman" w:cs="Times New Roman"/>
          <w:sz w:val="24"/>
          <w:szCs w:val="24"/>
        </w:rPr>
        <w:t xml:space="preserve"> study conducted by </w:t>
      </w:r>
      <w:r>
        <w:rPr>
          <w:rFonts w:hint="default" w:ascii="Times New Roman" w:hAnsi="Times New Roman" w:cs="Times New Roman"/>
          <w:sz w:val="24"/>
          <w:szCs w:val="24"/>
          <w:lang w:val="en-US"/>
        </w:rPr>
        <w:t>Nedelcu, Zazu, Mazilu, &amp; Grinţescu</w:t>
      </w:r>
      <w:r>
        <w:rPr>
          <w:rFonts w:hint="default" w:ascii="Times New Roman" w:hAnsi="Times New Roman" w:cs="Times New Roman"/>
          <w:sz w:val="24"/>
          <w:szCs w:val="24"/>
        </w:rPr>
        <w:t xml:space="preserve"> (20</w:t>
      </w:r>
      <w:r>
        <w:rPr>
          <w:rFonts w:hint="default" w:ascii="Times New Roman" w:hAnsi="Times New Roman" w:cs="Times New Roman"/>
          <w:sz w:val="24"/>
          <w:szCs w:val="24"/>
          <w:lang w:val="en-US"/>
        </w:rPr>
        <w:t>20</w:t>
      </w:r>
      <w:r>
        <w:rPr>
          <w:rFonts w:hint="default" w:ascii="Times New Roman" w:hAnsi="Times New Roman" w:cs="Times New Roman"/>
          <w:sz w:val="24"/>
          <w:szCs w:val="24"/>
        </w:rPr>
        <w:t>), the objective was to evaluate</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hand hygiene practices following an educational programme. The results indicated a noteworthy decrease in the occurrence of nosocomial bloodstream infections after the programme, with a reduction from 191 out of 429 cases (44.5%) to 99 out of 274 cases (36.1%). The percentage of newborns with two or more occurrences is 8.9% (38 out of 429), compared to 4.4% (12 out of 274).</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Prior to the intervention, the incidence of nosocomial infections was 17.3 per 1000 patients, which</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subsequently fell to 13.5 per 1000 patients.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Studies on barriers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In a clinical context, the implementation of hand hygiene practices may be hindered by many barriers or impacted by multiple factors. A study conducted by </w:t>
      </w:r>
      <w:r>
        <w:rPr>
          <w:rFonts w:hint="default" w:ascii="Times New Roman" w:hAnsi="Times New Roman" w:cs="Times New Roman"/>
          <w:sz w:val="24"/>
          <w:szCs w:val="24"/>
          <w:lang w:val="en-US"/>
        </w:rPr>
        <w:t>Anjum</w:t>
      </w:r>
      <w:r>
        <w:rPr>
          <w:rFonts w:hint="default" w:ascii="Times New Roman" w:hAnsi="Times New Roman" w:cs="Times New Roman"/>
          <w:sz w:val="24"/>
          <w:szCs w:val="24"/>
        </w:rPr>
        <w:t xml:space="preserve"> (20</w:t>
      </w:r>
      <w:r>
        <w:rPr>
          <w:rFonts w:hint="default" w:ascii="Times New Roman" w:hAnsi="Times New Roman" w:cs="Times New Roman"/>
          <w:sz w:val="24"/>
          <w:szCs w:val="24"/>
          <w:lang w:val="en-US"/>
        </w:rPr>
        <w:t>21</w:t>
      </w:r>
      <w:r>
        <w:rPr>
          <w:rFonts w:hint="default" w:ascii="Times New Roman" w:hAnsi="Times New Roman" w:cs="Times New Roman"/>
          <w:sz w:val="24"/>
          <w:szCs w:val="24"/>
        </w:rPr>
        <w:t>) identified three categories of characteristics that impact adherence to hand hygiene. Among these characteristics, there are certain aspects relating to healthcare professionals, including the standing of physicians and nursing assistants, being male, the absence of role models among colleagues or superiors, and not considering or forgetting about it. Clinical factors that contribute to the risk of cross-transmission in an intensive-care unit include working during the week, engaging in high-risk activities, understaffing, patient overcrowding, insufficient time, and prioritising patient needs. Additionally, hand hygiene practices may interfere with the relationships between healthcare workers and patients (</w:t>
      </w:r>
      <w:r>
        <w:rPr>
          <w:rFonts w:hint="default" w:ascii="Times New Roman" w:hAnsi="Times New Roman" w:cs="Times New Roman"/>
          <w:sz w:val="24"/>
          <w:szCs w:val="24"/>
          <w:lang w:val="en-US"/>
        </w:rPr>
        <w:t>Wałaszek et al.</w:t>
      </w:r>
      <w:r>
        <w:rPr>
          <w:rFonts w:hint="default" w:ascii="Times New Roman" w:hAnsi="Times New Roman" w:cs="Times New Roman"/>
          <w:sz w:val="24"/>
          <w:szCs w:val="24"/>
        </w:rPr>
        <w:t>, 20</w:t>
      </w:r>
      <w:r>
        <w:rPr>
          <w:rFonts w:hint="default" w:ascii="Times New Roman" w:hAnsi="Times New Roman" w:cs="Times New Roman"/>
          <w:sz w:val="24"/>
          <w:szCs w:val="24"/>
          <w:lang w:val="en-US"/>
        </w:rPr>
        <w:t>20</w:t>
      </w:r>
      <w:r>
        <w:rPr>
          <w:rFonts w:hint="default" w:ascii="Times New Roman" w:hAnsi="Times New Roman" w:cs="Times New Roman"/>
          <w:sz w:val="24"/>
          <w:szCs w:val="24"/>
        </w:rPr>
        <w: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Finally, other environmental, institutional, and behavioural variables contribute to the issue. These factors include the perception that donning gowns and gloves eliminates the need for hand hygiene, the discomfort and dryness caused by hand washing chemicals, and the inconvenient location or unavailability of sinks. Inadequate provision of soap and paper towels, coupled with the perception of a minimal likelihood of contracting infections from patients. Inadequate familiarity with rules and processes, Doubt over the efficacy of hand hygiene and dissent towards the suggested guidelines. The absence of emphasis on hand-hygiene promotion by institutions, the absence of active engagement in promoting hand-hygiene at an individual or institutional level, and the absence of administrative consequences for those who do not comply or rewards for those who do comply (</w:t>
      </w:r>
      <w:r>
        <w:rPr>
          <w:rFonts w:hint="default" w:ascii="Times New Roman" w:hAnsi="Times New Roman" w:cs="Times New Roman"/>
          <w:sz w:val="24"/>
          <w:szCs w:val="24"/>
          <w:lang w:val="en-US"/>
        </w:rPr>
        <w:t>Mohammed, Yimam, &amp; Kumara</w:t>
      </w:r>
      <w:r>
        <w:rPr>
          <w:rFonts w:hint="default" w:ascii="Times New Roman" w:hAnsi="Times New Roman" w:cs="Times New Roman"/>
          <w:sz w:val="24"/>
          <w:szCs w:val="24"/>
        </w:rPr>
        <w:t>, 20</w:t>
      </w:r>
      <w:r>
        <w:rPr>
          <w:rFonts w:hint="default" w:ascii="Times New Roman" w:hAnsi="Times New Roman" w:cs="Times New Roman"/>
          <w:sz w:val="24"/>
          <w:szCs w:val="24"/>
          <w:lang w:val="en-US"/>
        </w:rPr>
        <w:t>21</w:t>
      </w:r>
      <w:r>
        <w:rPr>
          <w:rFonts w:hint="default" w:ascii="Times New Roman" w:hAnsi="Times New Roman" w:cs="Times New Roman"/>
          <w:sz w:val="24"/>
          <w:szCs w:val="24"/>
        </w:rPr>
        <w:t>).</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CHAPTER THREE</w:t>
      </w:r>
    </w:p>
    <w:p>
      <w:pPr>
        <w:bidi w:val="0"/>
        <w:spacing w:line="48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METHODOLOGY</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3.1.</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lang w:val="en-US"/>
        </w:rPr>
        <w:t xml:space="preserve">Research </w:t>
      </w:r>
      <w:r>
        <w:rPr>
          <w:rFonts w:hint="default" w:ascii="Times New Roman" w:hAnsi="Times New Roman" w:cs="Times New Roman"/>
          <w:b/>
          <w:bCs/>
          <w:sz w:val="24"/>
          <w:szCs w:val="24"/>
        </w:rPr>
        <w:t>Design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utilised a survey research design to investigate the practices and obstacles to hand hygiene among nurses in surgical wards at the federal medical centre in Umuahia. This method is frequently employed by both small and large organisations to gain insights into and evaluate emerging trends, market demands, and opinions. Gathering data through carefully crafted survey research can yield significantly better results compared to a haphazardly conducted survey.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lang w:val="en-US"/>
        </w:rPr>
        <w:t>3.2.</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 xml:space="preserve">Setting - geographical location and characteristics </w:t>
      </w:r>
      <w:r>
        <w:rPr>
          <w:rFonts w:hint="default" w:ascii="Times New Roman" w:hAnsi="Times New Roman" w:cs="Times New Roman"/>
          <w:sz w:val="24"/>
          <w:szCs w:val="24"/>
        </w:rPr>
        <w:tab/>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Federal Medical Centre,Umuahia, Abia State, Nigeria is a 460-bed tertiary hospital and one of the leading health care providers in south eastern Nigeria. The facility is centrally located and readily accessible from Enugu, Imo, Rivers, Ebonyi, Akwa-Ibom and Anambra States. The hospital clients and patients are drawn from all over the country but predominantly from the south-east and south-south part of the country. The facility currently boasts of staff strength of 1300, including 71 consultants in 26 discipline areas. The discipline areas include among others, internal medicine, surgery, paediatrics, obstetrics and gynaecology, community medicine and family medicine. There is also a vibrant residency training and research program in place in the institution. </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3.3.</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Target population</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The population of this study constitute of all the nurses in the male and female surgical ward of </w:t>
      </w:r>
      <w:r>
        <w:rPr>
          <w:rFonts w:hint="default" w:ascii="Times New Roman" w:hAnsi="Times New Roman" w:cs="Times New Roman"/>
          <w:sz w:val="24"/>
          <w:szCs w:val="24"/>
        </w:rPr>
        <w:t>Federal Medical Centre, Umuahia</w:t>
      </w:r>
      <w:r>
        <w:rPr>
          <w:rFonts w:hint="default" w:ascii="Times New Roman" w:hAnsi="Times New Roman" w:cs="Times New Roman"/>
          <w:sz w:val="24"/>
          <w:szCs w:val="24"/>
          <w:lang w:val="en-US"/>
        </w:rPr>
        <w:t>. The total population for this ward is 33 nurses.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3.4.</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Sampling</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 study sample is simply a systematic selected part of a population that infers its result on the population. In essence, it is that part of a whole that represents the whole and its members share characteristics in like similitude (Udoyen</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2019). In this study, the researcher used the Taro Yamane Formula to determine the sample size.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3.5.</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Sampling technique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Yamane (1967:886) provides a simplified formula to calculate sample sizes.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ASSUMPTION: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  95% confidence level </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 P = .5</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drawing>
          <wp:inline distT="0" distB="0" distL="0" distR="0">
            <wp:extent cx="2176145" cy="701040"/>
            <wp:effectExtent l="0" t="0" r="14605" b="3810"/>
            <wp:docPr id="26627" name="Picture 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26627" name="Picture 2"/>
                    <pic:cNvPicPr>
                      <a:picLocks noGrp="1"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2187502" cy="705030"/>
                    </a:xfrm>
                    <a:prstGeom prst="rect">
                      <a:avLst/>
                    </a:prstGeom>
                    <a:noFill/>
                    <a:ln>
                      <a:noFill/>
                    </a:ln>
                  </pic:spPr>
                </pic:pic>
              </a:graphicData>
            </a:graphic>
          </wp:inline>
        </w:drawing>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n= </w:t>
      </w:r>
      <w:r>
        <w:rPr>
          <w:rFonts w:hint="default" w:ascii="Times New Roman" w:hAnsi="Times New Roman" w:cs="Times New Roman"/>
          <w:sz w:val="24"/>
          <w:szCs w:val="24"/>
          <w:lang w:val="en-US"/>
        </w:rPr>
        <w:t>33</w:t>
      </w:r>
      <w:r>
        <w:rPr>
          <w:rFonts w:hint="default" w:ascii="Times New Roman" w:hAnsi="Times New Roman" w:cs="Times New Roman"/>
          <w:sz w:val="24"/>
          <w:szCs w:val="24"/>
        </w:rPr>
        <w:t>/1+</w:t>
      </w:r>
      <w:r>
        <w:rPr>
          <w:rFonts w:hint="default" w:ascii="Times New Roman" w:hAnsi="Times New Roman" w:cs="Times New Roman"/>
          <w:sz w:val="24"/>
          <w:szCs w:val="24"/>
          <w:lang w:val="en-US"/>
        </w:rPr>
        <w:t>33</w:t>
      </w:r>
      <w:r>
        <w:rPr>
          <w:rFonts w:hint="default" w:ascii="Times New Roman" w:hAnsi="Times New Roman" w:cs="Times New Roman"/>
          <w:sz w:val="24"/>
          <w:szCs w:val="24"/>
        </w:rPr>
        <w:t>(0.05)2</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 xml:space="preserve">n= </w:t>
      </w:r>
      <w:r>
        <w:rPr>
          <w:rFonts w:hint="default" w:ascii="Times New Roman" w:hAnsi="Times New Roman" w:cs="Times New Roman"/>
          <w:sz w:val="24"/>
          <w:szCs w:val="24"/>
          <w:lang w:val="en-US"/>
        </w:rPr>
        <w:t>33</w:t>
      </w:r>
      <w:r>
        <w:rPr>
          <w:rFonts w:hint="default" w:ascii="Times New Roman" w:hAnsi="Times New Roman" w:cs="Times New Roman"/>
          <w:sz w:val="24"/>
          <w:szCs w:val="24"/>
        </w:rPr>
        <w:t>/1+</w:t>
      </w:r>
      <w:r>
        <w:rPr>
          <w:rFonts w:hint="default" w:ascii="Times New Roman" w:hAnsi="Times New Roman" w:cs="Times New Roman"/>
          <w:sz w:val="24"/>
          <w:szCs w:val="24"/>
          <w:lang w:val="en-US"/>
        </w:rPr>
        <w:t>33</w:t>
      </w:r>
      <w:r>
        <w:rPr>
          <w:rFonts w:hint="default" w:ascii="Times New Roman" w:hAnsi="Times New Roman" w:cs="Times New Roman"/>
          <w:sz w:val="24"/>
          <w:szCs w:val="24"/>
        </w:rPr>
        <w:t>(0.0025)</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 xml:space="preserve">n= </w:t>
      </w:r>
      <w:r>
        <w:rPr>
          <w:rFonts w:hint="default" w:ascii="Times New Roman" w:hAnsi="Times New Roman" w:cs="Times New Roman"/>
          <w:sz w:val="24"/>
          <w:szCs w:val="24"/>
          <w:lang w:val="en-US"/>
        </w:rPr>
        <w:t>33</w:t>
      </w:r>
      <w:r>
        <w:rPr>
          <w:rFonts w:hint="default" w:ascii="Times New Roman" w:hAnsi="Times New Roman" w:cs="Times New Roman"/>
          <w:sz w:val="24"/>
          <w:szCs w:val="24"/>
        </w:rPr>
        <w:t>/1+0.</w:t>
      </w:r>
      <w:r>
        <w:rPr>
          <w:rFonts w:hint="default" w:ascii="Times New Roman" w:hAnsi="Times New Roman" w:cs="Times New Roman"/>
          <w:sz w:val="24"/>
          <w:szCs w:val="24"/>
          <w:lang w:val="en-US"/>
        </w:rPr>
        <w:t>0825</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n=</w:t>
      </w:r>
      <w:r>
        <w:rPr>
          <w:rFonts w:hint="default" w:ascii="Times New Roman" w:hAnsi="Times New Roman" w:cs="Times New Roman"/>
          <w:sz w:val="24"/>
          <w:szCs w:val="24"/>
          <w:lang w:val="en-US"/>
        </w:rPr>
        <w:t>3</w:t>
      </w:r>
      <w:r>
        <w:rPr>
          <w:rFonts w:hint="default" w:ascii="Times New Roman" w:hAnsi="Times New Roman" w:cs="Times New Roman"/>
          <w:sz w:val="24"/>
          <w:szCs w:val="24"/>
        </w:rPr>
        <w:t>0</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3.5.</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Instruments for data collection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is a tool or method used in getting data from respondents. In this study, questionnaires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instrument</w:t>
      </w:r>
      <w:r>
        <w:rPr>
          <w:rFonts w:hint="default" w:ascii="Times New Roman" w:hAnsi="Times New Roman" w:cs="Times New Roman"/>
          <w:sz w:val="24"/>
          <w:szCs w:val="24"/>
          <w:lang w:val="en-US"/>
        </w:rPr>
        <w:t xml:space="preserve"> was</w:t>
      </w:r>
      <w:r>
        <w:rPr>
          <w:rFonts w:hint="default" w:ascii="Times New Roman" w:hAnsi="Times New Roman" w:cs="Times New Roman"/>
          <w:sz w:val="24"/>
          <w:szCs w:val="24"/>
        </w:rPr>
        <w:t xml:space="preserve"> used. </w:t>
      </w:r>
      <w:r>
        <w:rPr>
          <w:rFonts w:hint="default" w:ascii="Times New Roman" w:hAnsi="Times New Roman" w:cs="Times New Roman"/>
          <w:sz w:val="24"/>
          <w:szCs w:val="24"/>
          <w:lang w:val="en-US"/>
        </w:rPr>
        <w:t>The q</w:t>
      </w:r>
      <w:r>
        <w:rPr>
          <w:rFonts w:hint="default" w:ascii="Times New Roman" w:hAnsi="Times New Roman" w:cs="Times New Roman"/>
          <w:sz w:val="24"/>
          <w:szCs w:val="24"/>
        </w:rPr>
        <w:t>uestionnaire is the main research instrument used for the study to gather necessary data from the sample respondents. The questionnaire is structured type and provides answers to the research questions and hypotheses therein. This instrument is divided and limited into two sections; Section A and B. Section A deals with the personal data of the respondents while Section B contains research statement postulated in line with the research question and hypothesis in chapter one. Options or alternatives are provided for each respondent to pick or tick one of the options.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3.6.</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 xml:space="preserve">Validity </w:t>
      </w:r>
      <w:r>
        <w:rPr>
          <w:rFonts w:hint="default" w:ascii="Times New Roman" w:hAnsi="Times New Roman" w:cs="Times New Roman"/>
          <w:b/>
          <w:bCs/>
          <w:sz w:val="24"/>
          <w:szCs w:val="24"/>
          <w:lang w:val="en-US"/>
        </w:rPr>
        <w:t xml:space="preserve">and </w:t>
      </w:r>
      <w:r>
        <w:rPr>
          <w:rFonts w:hint="default" w:ascii="Times New Roman" w:hAnsi="Times New Roman" w:cs="Times New Roman"/>
          <w:b/>
          <w:bCs/>
          <w:sz w:val="24"/>
          <w:szCs w:val="24"/>
        </w:rPr>
        <w:t>Reliability of Instrument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questionnaire was developed and evaluated for its content and face validity, and subsequently approved by the study supervisor. Eight copies were distributed for the pilot study and subsequently assessed for consistency, resulting in the instrument being deemed reliable.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3.8.</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Method of data collection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researcher personally distributed the questionnaires at FMC, Umuahia wards. Staff nurses with the necessary training were given thirty (30) questionnaires to fill out in the surgical wards. An 83% return rate was achieved after manually collecting the filled-out questionnaires a few hours later and the next day.</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3.9.</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Method of data analysis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The questionnaire was organised and revised to ensure its completeness. The res</w:t>
      </w:r>
      <w:r>
        <w:rPr>
          <w:rFonts w:hint="default" w:ascii="Times New Roman" w:hAnsi="Times New Roman" w:cs="Times New Roman"/>
          <w:sz w:val="24"/>
          <w:szCs w:val="24"/>
          <w:lang w:val="en-US"/>
        </w:rPr>
        <w:t>ponses</w:t>
      </w:r>
      <w:r>
        <w:rPr>
          <w:rFonts w:hint="default" w:ascii="Times New Roman" w:hAnsi="Times New Roman" w:cs="Times New Roman"/>
          <w:sz w:val="24"/>
          <w:szCs w:val="24"/>
        </w:rPr>
        <w:t xml:space="preserve"> were </w:t>
      </w:r>
      <w:r>
        <w:rPr>
          <w:rFonts w:hint="default" w:ascii="Times New Roman" w:hAnsi="Times New Roman" w:cs="Times New Roman"/>
          <w:sz w:val="24"/>
          <w:szCs w:val="24"/>
          <w:lang w:val="en-US"/>
        </w:rPr>
        <w:t xml:space="preserve">analysed using frequency counts and presented </w:t>
      </w:r>
      <w:r>
        <w:rPr>
          <w:rFonts w:hint="default" w:ascii="Times New Roman" w:hAnsi="Times New Roman" w:cs="Times New Roman"/>
          <w:sz w:val="24"/>
          <w:szCs w:val="24"/>
        </w:rPr>
        <w:t>into tables and graphs</w:t>
      </w:r>
      <w:r>
        <w:rPr>
          <w:rFonts w:hint="default" w:ascii="Times New Roman" w:hAnsi="Times New Roman" w:cs="Times New Roman"/>
          <w:sz w:val="24"/>
          <w:szCs w:val="24"/>
          <w:lang w:val="en-US"/>
        </w:rPr>
        <w:t xml:space="preserve"> while the null hypotheses were tested using Pearson Correlation test.</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rPr>
        <w:t>3.10.</w:t>
      </w:r>
      <w:r>
        <w:rPr>
          <w:rFonts w:hint="default" w:ascii="Times New Roman" w:hAnsi="Times New Roman" w:cs="Times New Roman"/>
          <w:b/>
          <w:bCs/>
          <w:sz w:val="24"/>
          <w:szCs w:val="24"/>
          <w:lang w:val="en-US"/>
        </w:rPr>
        <w:tab/>
      </w:r>
      <w:r>
        <w:rPr>
          <w:rFonts w:hint="default" w:ascii="Times New Roman" w:hAnsi="Times New Roman" w:cs="Times New Roman"/>
          <w:b/>
          <w:bCs/>
          <w:sz w:val="24"/>
          <w:szCs w:val="24"/>
        </w:rPr>
        <w:t>Ethical consideration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Permission was obtained from the nursing services department and wards. A comprehensive explanatory note was affixed to each questionnaire to provide guidance for the responders</w:t>
      </w:r>
      <w:r>
        <w:rPr>
          <w:rFonts w:hint="default" w:ascii="Times New Roman" w:hAnsi="Times New Roman" w:cs="Times New Roman"/>
          <w:sz w:val="24"/>
          <w:szCs w:val="24"/>
          <w:lang w:val="en-US"/>
        </w:rPr>
        <w:t xml:space="preserve"> as well as obtain their consent</w:t>
      </w:r>
      <w:r>
        <w:rPr>
          <w:rFonts w:hint="default" w:ascii="Times New Roman" w:hAnsi="Times New Roman" w:cs="Times New Roman"/>
          <w:sz w:val="24"/>
          <w:szCs w:val="24"/>
        </w:rPr>
        <w:t>. The collected data were exclusively utilised for scholarly purposes. Furthermore, the confidentiality and anonymity of the participants were upheld.</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FOUR</w:t>
      </w:r>
    </w:p>
    <w:p>
      <w:pPr>
        <w:bidi w:val="0"/>
        <w:spacing w:line="48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RESULTS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chapter presents and analyses the data collected. Data in this chapter was presented as demographic information and research questions.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Section A</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4.1: Demographic Information</w:t>
      </w:r>
    </w:p>
    <w:tbl>
      <w:tblPr>
        <w:tblStyle w:val="8"/>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9"/>
        <w:gridCol w:w="2840"/>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666" w:type="pct"/>
            <w:shd w:val="clear" w:color="auto" w:fill="4F81BD"/>
          </w:tcPr>
          <w:p>
            <w:pPr>
              <w:widowControl w:val="0"/>
              <w:bidi w:val="0"/>
              <w:spacing w:line="480" w:lineRule="auto"/>
              <w:jc w:val="both"/>
              <w:rPr>
                <w:rFonts w:hint="default" w:ascii="Times New Roman" w:hAnsi="Times New Roman" w:cs="Times New Roman"/>
                <w:color w:val="FFFFFF"/>
                <w:sz w:val="24"/>
                <w:szCs w:val="24"/>
                <w:lang w:val="en-US"/>
              </w:rPr>
            </w:pPr>
            <w:r>
              <w:rPr>
                <w:rFonts w:hint="default" w:ascii="Times New Roman" w:hAnsi="Times New Roman" w:cs="Times New Roman"/>
                <w:color w:val="FFFFFF"/>
                <w:sz w:val="24"/>
                <w:szCs w:val="24"/>
                <w:lang w:val="en-US"/>
              </w:rPr>
              <w:t>Sample (N)</w:t>
            </w:r>
          </w:p>
        </w:tc>
        <w:tc>
          <w:tcPr>
            <w:tcW w:w="1666" w:type="pct"/>
            <w:shd w:val="clear" w:color="auto" w:fill="4F81BD"/>
          </w:tcPr>
          <w:p>
            <w:pPr>
              <w:widowControl w:val="0"/>
              <w:bidi w:val="0"/>
              <w:spacing w:line="480" w:lineRule="auto"/>
              <w:jc w:val="both"/>
              <w:rPr>
                <w:rFonts w:hint="default" w:ascii="Times New Roman" w:hAnsi="Times New Roman" w:cs="Times New Roman"/>
                <w:color w:val="FFFFFF"/>
                <w:sz w:val="24"/>
                <w:szCs w:val="24"/>
                <w:lang w:val="en-US"/>
              </w:rPr>
            </w:pPr>
          </w:p>
        </w:tc>
        <w:tc>
          <w:tcPr>
            <w:tcW w:w="1667" w:type="pct"/>
            <w:shd w:val="clear" w:color="auto" w:fill="4F81BD"/>
          </w:tcPr>
          <w:p>
            <w:pPr>
              <w:widowControl w:val="0"/>
              <w:bidi w:val="0"/>
              <w:spacing w:line="480" w:lineRule="auto"/>
              <w:jc w:val="both"/>
              <w:rPr>
                <w:rFonts w:hint="default" w:ascii="Times New Roman" w:hAnsi="Times New Roman" w:cs="Times New Roman"/>
                <w:color w:val="FFFFFF"/>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Gender</w:t>
            </w:r>
          </w:p>
        </w:tc>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 xml:space="preserve">Male </w:t>
            </w:r>
          </w:p>
        </w:tc>
        <w:tc>
          <w:tcPr>
            <w:tcW w:w="1667"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9 (36%)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Female</w:t>
            </w:r>
          </w:p>
        </w:tc>
        <w:tc>
          <w:tcPr>
            <w:tcW w:w="1667"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16 (64%)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 xml:space="preserve">Age </w:t>
            </w:r>
          </w:p>
        </w:tc>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20-30</w:t>
            </w:r>
          </w:p>
        </w:tc>
        <w:tc>
          <w:tcPr>
            <w:tcW w:w="1667"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16 (64%)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31-40</w:t>
            </w:r>
          </w:p>
        </w:tc>
        <w:tc>
          <w:tcPr>
            <w:tcW w:w="1667"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7 (28%)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p>
        </w:tc>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&gt;40</w:t>
            </w:r>
          </w:p>
        </w:tc>
        <w:tc>
          <w:tcPr>
            <w:tcW w:w="1667"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 (8%)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Hand Hygiene training</w:t>
            </w:r>
          </w:p>
        </w:tc>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Received</w:t>
            </w:r>
          </w:p>
        </w:tc>
        <w:tc>
          <w:tcPr>
            <w:tcW w:w="1667"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17 (68%)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p>
        </w:tc>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No training</w:t>
            </w:r>
          </w:p>
        </w:tc>
        <w:tc>
          <w:tcPr>
            <w:tcW w:w="1667"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8 (32%)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Work Experience</w:t>
            </w:r>
          </w:p>
        </w:tc>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&lt;1 year</w:t>
            </w:r>
          </w:p>
        </w:tc>
        <w:tc>
          <w:tcPr>
            <w:tcW w:w="1667"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8 (32%)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p>
        </w:tc>
        <w:tc>
          <w:tcPr>
            <w:tcW w:w="1666"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1-3 years</w:t>
            </w:r>
          </w:p>
        </w:tc>
        <w:tc>
          <w:tcPr>
            <w:tcW w:w="1667" w:type="pct"/>
            <w:shd w:val="clear" w:color="auto" w:fill="B8CCE4"/>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4 (16%)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1666"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&gt;3 years</w:t>
            </w:r>
          </w:p>
        </w:tc>
        <w:tc>
          <w:tcPr>
            <w:tcW w:w="1667" w:type="pct"/>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13 (52%)</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Field survey, 2024</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drawing>
          <wp:inline distT="0" distB="0" distL="114300" distR="114300">
            <wp:extent cx="5080000" cy="3810000"/>
            <wp:effectExtent l="4445" t="4445" r="20955" b="14605"/>
            <wp:docPr id="36" name="Chart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participants' demographic information is displayed in Table 4.1. The data indicates that there were 16 participants in total, with females comprising 64% (n=16) and males comprising 36% (n=9). The participants ranged in age from 20 to over 40 years. Sixteen respondents, accounting for 64% of the total, were between the ages of 20 and 30. Out of the total respondents, seven individuals (28%) fell between the age range of 31-40 years, whilst two respondents (8%) were older than 40 years. The data indicates that 17 respondents, accounting for 68% of the total, have received hand hygiene instruction, while 8 respondents, representing 32%, have not. Out of the total number of individuals, 8 (32%) have worked in the surgical wards of FMC, Umuahia for less than one year, 4 (16%) have worked for 1-3 years, and 13 (52%) have worked in the surgical wards of FMC Umuahia for more than three years. The data suggests that the respondents possess the necessary knowledge to provide answers for this project.</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Section B: Answer to research questions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What is the level of knowledge of hand hygiene practice among Nurses in surgical wards?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4.2: Hand Hygiene knowledge</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38"/>
        <w:gridCol w:w="1110"/>
        <w:gridCol w:w="1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FFFFFF" w:sz="18" w:space="0"/>
              <w:right w:val="single" w:color="8064A2" w:sz="8" w:space="0"/>
            </w:tcBorders>
            <w:shd w:val="clear" w:color="auto" w:fill="8064A2"/>
          </w:tcPr>
          <w:p>
            <w:pPr>
              <w:widowControl w:val="0"/>
              <w:bidi w:val="0"/>
              <w:spacing w:line="480" w:lineRule="auto"/>
              <w:jc w:val="both"/>
              <w:rPr>
                <w:rFonts w:hint="default" w:ascii="Times New Roman" w:hAnsi="Times New Roman" w:cs="Times New Roman"/>
                <w:color w:val="FFFFFF"/>
                <w:sz w:val="24"/>
                <w:szCs w:val="24"/>
                <w:lang w:val="en-US"/>
              </w:rPr>
            </w:pPr>
            <w:r>
              <w:rPr>
                <w:rFonts w:hint="default" w:ascii="Times New Roman" w:hAnsi="Times New Roman" w:cs="Times New Roman"/>
                <w:color w:val="FFFFFF"/>
                <w:sz w:val="24"/>
                <w:szCs w:val="24"/>
                <w:lang w:val="en-US"/>
              </w:rPr>
              <w:t>Statements</w:t>
            </w:r>
          </w:p>
        </w:tc>
        <w:tc>
          <w:tcPr>
            <w:tcW w:w="0" w:type="auto"/>
            <w:tcBorders>
              <w:top w:val="single" w:color="8064A2" w:sz="8" w:space="0"/>
              <w:left w:val="single" w:color="8064A2" w:sz="8" w:space="0"/>
              <w:bottom w:val="single" w:color="FFFFFF" w:sz="18" w:space="0"/>
              <w:right w:val="single" w:color="8064A2" w:sz="8" w:space="0"/>
            </w:tcBorders>
            <w:shd w:val="clear" w:color="auto" w:fill="8064A2"/>
          </w:tcPr>
          <w:p>
            <w:pPr>
              <w:widowControl w:val="0"/>
              <w:bidi w:val="0"/>
              <w:spacing w:line="480" w:lineRule="auto"/>
              <w:jc w:val="both"/>
              <w:rPr>
                <w:rFonts w:hint="default" w:ascii="Times New Roman" w:hAnsi="Times New Roman" w:cs="Times New Roman"/>
                <w:color w:val="FFFFFF"/>
                <w:sz w:val="24"/>
                <w:szCs w:val="24"/>
                <w:lang w:val="en-US"/>
              </w:rPr>
            </w:pPr>
            <w:r>
              <w:rPr>
                <w:rFonts w:hint="default" w:ascii="Times New Roman" w:hAnsi="Times New Roman" w:cs="Times New Roman"/>
                <w:color w:val="FFFFFF"/>
                <w:sz w:val="24"/>
                <w:szCs w:val="24"/>
                <w:lang w:val="en-US"/>
              </w:rPr>
              <w:t>Yes</w:t>
            </w:r>
          </w:p>
        </w:tc>
        <w:tc>
          <w:tcPr>
            <w:tcW w:w="0" w:type="auto"/>
            <w:tcBorders>
              <w:top w:val="single" w:color="8064A2" w:sz="8" w:space="0"/>
              <w:left w:val="single" w:color="8064A2" w:sz="8" w:space="0"/>
              <w:bottom w:val="single" w:color="FFFFFF" w:sz="18" w:space="0"/>
              <w:right w:val="single" w:color="8064A2" w:sz="8" w:space="0"/>
            </w:tcBorders>
            <w:shd w:val="clear" w:color="auto" w:fill="8064A2"/>
          </w:tcPr>
          <w:p>
            <w:pPr>
              <w:widowControl w:val="0"/>
              <w:bidi w:val="0"/>
              <w:spacing w:line="480" w:lineRule="auto"/>
              <w:jc w:val="both"/>
              <w:rPr>
                <w:rFonts w:hint="default" w:ascii="Times New Roman" w:hAnsi="Times New Roman" w:cs="Times New Roman"/>
                <w:color w:val="FFFFFF"/>
                <w:sz w:val="24"/>
                <w:szCs w:val="24"/>
                <w:lang w:val="en-US"/>
              </w:rPr>
            </w:pPr>
            <w:r>
              <w:rPr>
                <w:rFonts w:hint="default" w:ascii="Times New Roman" w:hAnsi="Times New Roman" w:cs="Times New Roman"/>
                <w:color w:val="FFFFFF"/>
                <w:sz w:val="24"/>
                <w:szCs w:val="24"/>
                <w:lang w:val="en-US"/>
              </w:rPr>
              <w:t>No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FFFFFF" w:sz="1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Germs are spread by droplets in the air.</w:t>
            </w:r>
          </w:p>
        </w:tc>
        <w:tc>
          <w:tcPr>
            <w:tcW w:w="0" w:type="auto"/>
            <w:tcBorders>
              <w:top w:val="single" w:color="FFFFFF" w:sz="1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24(96%)</w:t>
            </w:r>
          </w:p>
        </w:tc>
        <w:tc>
          <w:tcPr>
            <w:tcW w:w="0" w:type="auto"/>
            <w:tcBorders>
              <w:top w:val="single" w:color="FFFFFF" w:sz="1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By washing your hands before handling a patient, you can stop the spread of germs from the healthcare practitioner to the patient.</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 (100%)</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Practising hand hygiene after coming into contact with a patient can help stop the spread of germs from patient to healthcare professional.</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 (100%)</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Alcohol hand rubbing is a faster way to clean your hands than washing them.</w:t>
            </w:r>
            <w:r>
              <w:rPr>
                <w:rFonts w:hint="default" w:ascii="Times New Roman" w:hAnsi="Times New Roman" w:cs="Times New Roman"/>
                <w:color w:val="000000"/>
                <w:sz w:val="24"/>
                <w:szCs w:val="24"/>
                <w:lang w:val="en-US"/>
              </w:rPr>
              <w:tab/>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16 (64%)</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9 (36%)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For the majority of germs on your hands, an alcohol-based hand rub needs at least thirty seconds to destroy them.</w:t>
            </w:r>
            <w:r>
              <w:rPr>
                <w:rFonts w:hint="default" w:ascii="Times New Roman" w:hAnsi="Times New Roman" w:cs="Times New Roman"/>
                <w:color w:val="000000"/>
                <w:sz w:val="24"/>
                <w:szCs w:val="24"/>
                <w:lang w:val="en-US"/>
              </w:rPr>
              <w:tab/>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19 (76%)</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6 (24%)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Wearing jewellery, such as watches and rings, is linked to a higher probability of harbouring hazardous bacteria on the hands and should be abstained from.</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24 (96%)</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 (4%)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The duration of handwashing is inconsequential as long as soap is utilised.</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19 (76%</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6(24%)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Practicing hand hygiene promptly after coming into contact with bodily fluids can effectively prevent the spread of germs from a healthcare professional to a patient.</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20 (80%)</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7 (20%)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The hands of health-care personnel are the primary means by which potentially hazardous germs are transmitted between patients in a health-care facility.</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23 (92%)</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 (8%)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The hospital environment is the primary reservoir of pathogens that cause healthcare-associated illnesses.</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10 (40%)</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15 (60%)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Alcohol rubs result in more skin dryness compared to hand washing.</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18 (72%)</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7 (28%)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Experiencing skin damage increases the probability of hazardous bacteria colonising the hands, hence it is important to prevent such damage.</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20 (80%)</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5 (20%)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Using hot water for hand-washing enhances the efficacy of hand cleansing.</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19 (76%)</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6 (24%)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The most common cause of healthcare-associated illnesses is the presence of germs that are already on or inside the patient.</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15 (60%)</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10 (40%)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In hospitals, germs are spread through colonised surfaces including beds, chairs, tables, and floors.</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24 (96%)</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 (4%)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Post-exposure hand washing helps prevent health care provider-patient germ transmission.</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 (100%)</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Rubbing your hands works better than washing them to get rid of germs.</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20(80%)</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5 (20%)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Practicing hand hygiene right before a clean/aseptic surgery will help stop the spread of germs from the patient to the healthcare professional.</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20(80%)</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5 (20%)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Sharing stethoscopes or pressure cuffs between patients is the most common route of cross transmission of potentially harmful germs between patients in a health-care facility.</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4 (16%)</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21(84%)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Frequent use of hand lotion or cream is linked to a higher risk of dangerous germ colonisation on the hands and is to be avoided.</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10 (40%)</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15 (60%)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It is not necessary to wash your hands as frequently if you use antibacterial soap.</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21 (84%)</w:t>
            </w:r>
          </w:p>
        </w:tc>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4 (16%)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Artificial fingernails should be avoided as they are linked to a higher risk of hand colonisation by pathogenic micro-organisms.</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 (100%)</w:t>
            </w:r>
          </w:p>
        </w:tc>
        <w:tc>
          <w:tcPr>
            <w:tcW w:w="0" w:type="auto"/>
            <w:tcBorders>
              <w:top w:val="single" w:color="8064A2" w:sz="8" w:space="0"/>
              <w:left w:val="single" w:color="8064A2" w:sz="8" w:space="0"/>
              <w:bottom w:val="single" w:color="8064A2" w:sz="8" w:space="0"/>
              <w:right w:val="single" w:color="8064A2"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OVERALL KNOWLEDGE SCORE</w:t>
            </w:r>
            <w:r>
              <w:rPr>
                <w:rFonts w:hint="default" w:ascii="Times New Roman" w:hAnsi="Times New Roman" w:cs="Times New Roman"/>
                <w:color w:val="000000"/>
                <w:sz w:val="24"/>
                <w:szCs w:val="24"/>
                <w:lang w:val="en-US"/>
              </w:rPr>
              <w:tab/>
            </w:r>
          </w:p>
        </w:tc>
        <w:tc>
          <w:tcPr>
            <w:tcW w:w="0" w:type="auto"/>
            <w:gridSpan w:val="2"/>
            <w:tcBorders>
              <w:top w:val="single" w:color="8064A2" w:sz="8" w:space="0"/>
              <w:left w:val="single" w:color="8064A2" w:sz="8" w:space="0"/>
              <w:bottom w:val="single" w:color="8064A2" w:sz="8" w:space="0"/>
              <w:right w:val="single" w:color="8064A2" w:sz="8" w:space="0"/>
            </w:tcBorders>
            <w:shd w:val="clear" w:color="auto" w:fill="CCC1D9"/>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77.5%</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Field survey, 2024</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Evidence presented in table 4.2 above shows that to a significant extent, nurses in the surgical wards of FMC Umuahia have adequate knowledge of hand hygiene.</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What is the level of adherence to hand hygiene practice among nurses in surgical wards?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4.3: Level of hand hygiene practice</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shd w:val="clear" w:color="auto" w:fill="C0504D"/>
          </w:tcPr>
          <w:p>
            <w:pPr>
              <w:widowControl w:val="0"/>
              <w:bidi w:val="0"/>
              <w:spacing w:line="480" w:lineRule="auto"/>
              <w:jc w:val="both"/>
              <w:rPr>
                <w:rFonts w:hint="default" w:ascii="Times New Roman" w:hAnsi="Times New Roman" w:cs="Times New Roman"/>
                <w:color w:val="FFFFFF"/>
                <w:sz w:val="24"/>
                <w:szCs w:val="24"/>
                <w:lang w:val="en-US"/>
              </w:rPr>
            </w:pPr>
            <w:r>
              <w:rPr>
                <w:rFonts w:hint="default" w:ascii="Times New Roman" w:hAnsi="Times New Roman" w:cs="Times New Roman"/>
                <w:color w:val="FFFFFF"/>
                <w:sz w:val="24"/>
                <w:szCs w:val="24"/>
                <w:lang w:val="en-US"/>
              </w:rPr>
              <w:t>Hand Hygiene adherence level</w:t>
            </w:r>
          </w:p>
        </w:tc>
        <w:tc>
          <w:tcPr>
            <w:tcW w:w="4261" w:type="dxa"/>
            <w:shd w:val="clear" w:color="auto" w:fill="C0504D"/>
          </w:tcPr>
          <w:p>
            <w:pPr>
              <w:widowControl w:val="0"/>
              <w:bidi w:val="0"/>
              <w:spacing w:line="480" w:lineRule="auto"/>
              <w:jc w:val="both"/>
              <w:rPr>
                <w:rFonts w:hint="default" w:ascii="Times New Roman" w:hAnsi="Times New Roman" w:cs="Times New Roman"/>
                <w:color w:val="FFFFFF"/>
                <w:sz w:val="24"/>
                <w:szCs w:val="24"/>
                <w:lang w:val="en-US"/>
              </w:rPr>
            </w:pPr>
            <w:r>
              <w:rPr>
                <w:rFonts w:hint="default" w:ascii="Times New Roman" w:hAnsi="Times New Roman" w:cs="Times New Roman"/>
                <w:color w:val="FFFFFF"/>
                <w:sz w:val="24"/>
                <w:szCs w:val="24"/>
                <w:lang w:val="en-US"/>
              </w:rPr>
              <w:t>N(25)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shd w:val="clear" w:color="auto" w:fill="E5B9B7"/>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 xml:space="preserve">Low </w:t>
            </w:r>
          </w:p>
        </w:tc>
        <w:tc>
          <w:tcPr>
            <w:tcW w:w="4261" w:type="dxa"/>
            <w:shd w:val="clear" w:color="auto" w:fill="E5B9B7"/>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7 (28)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 xml:space="preserve">Moderate </w:t>
            </w:r>
          </w:p>
        </w:tc>
        <w:tc>
          <w:tcPr>
            <w:tcW w:w="4261" w:type="dxa"/>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12 (48)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shd w:val="clear" w:color="auto" w:fill="E5B9B7"/>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 xml:space="preserve">Good </w:t>
            </w:r>
          </w:p>
        </w:tc>
        <w:tc>
          <w:tcPr>
            <w:tcW w:w="4261" w:type="dxa"/>
            <w:shd w:val="clear" w:color="auto" w:fill="E5B9B7"/>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6 (24)</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Field survey, 2024</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drawing>
          <wp:inline distT="0" distB="0" distL="114300" distR="114300">
            <wp:extent cx="4968875" cy="2800350"/>
            <wp:effectExtent l="4445" t="4445" r="17780" b="14605"/>
            <wp:docPr id="37" name="Chart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From the data obtained and presented in this chapter, it can be deduced that there is a moderate level of hand hygiene adherence among nurses working in the surgical wards of FMC, Umuahia. This goes to show that there is a need for re-sensitization on the benefits of hand hygiene and also a need for policy enforcement regarding hand hygiene among nurses in surgical wards.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What are the barriers to Nurses' adherence to hand hygiene in surgical wards?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Table 4.4: Barriers to hand hygiene</w:t>
      </w:r>
    </w:p>
    <w:tbl>
      <w:tblPr>
        <w:tblStyle w:val="8"/>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643"/>
        <w:gridCol w:w="1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PrEx>
        <w:tc>
          <w:tcPr>
            <w:tcW w:w="3898" w:type="pct"/>
            <w:tcBorders>
              <w:top w:val="single" w:color="000000" w:sz="8" w:space="0"/>
              <w:left w:val="single" w:color="000000" w:sz="8" w:space="0"/>
              <w:bottom w:val="single" w:color="000000" w:sz="12"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Hand hygiene barriers</w:t>
            </w:r>
          </w:p>
        </w:tc>
        <w:tc>
          <w:tcPr>
            <w:tcW w:w="1101" w:type="pct"/>
            <w:tcBorders>
              <w:top w:val="single" w:color="000000" w:sz="8" w:space="0"/>
              <w:left w:val="single" w:color="000000" w:sz="8" w:space="0"/>
              <w:bottom w:val="single" w:color="000000" w:sz="12"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3898" w:type="pct"/>
            <w:tcBorders>
              <w:top w:val="single" w:color="000000" w:sz="12"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lack of knowledge</w:t>
            </w:r>
          </w:p>
        </w:tc>
        <w:tc>
          <w:tcPr>
            <w:tcW w:w="1101" w:type="pct"/>
            <w:tcBorders>
              <w:top w:val="single" w:color="000000" w:sz="12"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4 (16)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3898"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Incorrect behaviour patterns</w:t>
            </w:r>
          </w:p>
        </w:tc>
        <w:tc>
          <w:tcPr>
            <w:tcW w:w="1101"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5 (20)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3898"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Insufficient training</w:t>
            </w:r>
          </w:p>
        </w:tc>
        <w:tc>
          <w:tcPr>
            <w:tcW w:w="1101"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3 (12)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3898"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Poorly designed wards</w:t>
            </w:r>
          </w:p>
        </w:tc>
        <w:tc>
          <w:tcPr>
            <w:tcW w:w="1101"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9 (36)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3898"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Low-quality hygiene equipment</w:t>
            </w:r>
          </w:p>
        </w:tc>
        <w:tc>
          <w:tcPr>
            <w:tcW w:w="1101"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10 (40)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3898"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Inadequate hygiene supplies</w:t>
            </w:r>
          </w:p>
        </w:tc>
        <w:tc>
          <w:tcPr>
            <w:tcW w:w="1101"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17 (68)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3898"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High workload</w:t>
            </w:r>
          </w:p>
        </w:tc>
        <w:tc>
          <w:tcPr>
            <w:tcW w:w="1101"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14 (56)</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Field survey, 2024</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drawing>
          <wp:inline distT="0" distB="0" distL="114300" distR="114300">
            <wp:extent cx="5154930" cy="2679700"/>
            <wp:effectExtent l="4445" t="4445" r="22225" b="20955"/>
            <wp:docPr id="38" name="Chart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In table 4.4 above, participants identified different factors they consider as barrier to effective hand hygiene. The most reoccurring barriers include Inadequate hygiene supplies (68%), high workload (56), Low-quality hygiene equipment (40%), and poorly designed surgical wards (36%). Other barriers include, lack of knowledge, Incorrect behaviour patterns and Insufficient training.</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Test of research Hypotheses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Ho1:</w:t>
      </w:r>
      <w:r>
        <w:rPr>
          <w:rFonts w:hint="default" w:ascii="Times New Roman" w:hAnsi="Times New Roman" w:cs="Times New Roman"/>
          <w:sz w:val="24"/>
          <w:szCs w:val="24"/>
          <w:lang w:val="en-US"/>
        </w:rPr>
        <w:t xml:space="preserve"> There is no significant correlation between nurses’ knowledge (NK) of hand hygiene and hand washing practice (HWP) among nurses in FMC surgical ward.</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Ha1:</w:t>
      </w:r>
      <w:r>
        <w:rPr>
          <w:rFonts w:hint="default" w:ascii="Times New Roman" w:hAnsi="Times New Roman" w:cs="Times New Roman"/>
          <w:sz w:val="24"/>
          <w:szCs w:val="24"/>
          <w:lang w:val="en-US"/>
        </w:rPr>
        <w:t xml:space="preserve"> There is a significant correlation between nurses’ knowledge (NK) of hand hygiene and hand washing practice  (HWP) among nurses in FMC surgical ward.</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4.5: Pearson Correlation Table showing correlation between nurses’ knowledge (NK) of hand hygiene and hand washing practice (HWP) among nurses in FMC surgical ward</w:t>
      </w:r>
    </w:p>
    <w:tbl>
      <w:tblPr>
        <w:tblStyle w:val="8"/>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4"/>
        <w:gridCol w:w="2197"/>
        <w:gridCol w:w="2118"/>
        <w:gridCol w:w="2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91" w:type="dxa"/>
            <w:gridSpan w:val="2"/>
            <w:tcBorders>
              <w:top w:val="single" w:color="000000" w:sz="8" w:space="0"/>
              <w:left w:val="single" w:color="000000" w:sz="8" w:space="0"/>
              <w:bottom w:val="single" w:color="000000" w:sz="12"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2118" w:type="dxa"/>
            <w:tcBorders>
              <w:top w:val="single" w:color="000000" w:sz="8" w:space="0"/>
              <w:left w:val="single" w:color="000000" w:sz="8" w:space="0"/>
              <w:bottom w:val="single" w:color="000000" w:sz="12"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NK</w:t>
            </w:r>
          </w:p>
        </w:tc>
        <w:tc>
          <w:tcPr>
            <w:tcW w:w="2118" w:type="dxa"/>
            <w:tcBorders>
              <w:top w:val="single" w:color="000000" w:sz="8" w:space="0"/>
              <w:left w:val="single" w:color="000000" w:sz="8" w:space="0"/>
              <w:bottom w:val="single" w:color="000000" w:sz="12"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HWP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4" w:type="dxa"/>
            <w:vMerge w:val="restart"/>
            <w:tcBorders>
              <w:top w:val="single" w:color="000000" w:sz="12" w:space="0"/>
              <w:left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NK</w:t>
            </w:r>
          </w:p>
        </w:tc>
        <w:tc>
          <w:tcPr>
            <w:tcW w:w="2197" w:type="dxa"/>
            <w:tcBorders>
              <w:top w:val="single" w:color="000000" w:sz="12"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Pearson Correlation</w:t>
            </w:r>
          </w:p>
        </w:tc>
        <w:tc>
          <w:tcPr>
            <w:tcW w:w="2118" w:type="dxa"/>
            <w:tcBorders>
              <w:top w:val="single" w:color="000000" w:sz="12"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w:t>
            </w:r>
          </w:p>
        </w:tc>
        <w:tc>
          <w:tcPr>
            <w:tcW w:w="2118" w:type="dxa"/>
            <w:tcBorders>
              <w:top w:val="single" w:color="000000" w:sz="12"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.821**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4" w:type="dxa"/>
            <w:vMerge w:val="continue"/>
            <w:tcBorders>
              <w:left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2197" w:type="dxa"/>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Sig. (2-tailed)</w:t>
            </w:r>
          </w:p>
        </w:tc>
        <w:tc>
          <w:tcPr>
            <w:tcW w:w="2118" w:type="dxa"/>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2118" w:type="dxa"/>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4" w:type="dxa"/>
            <w:vMerge w:val="continue"/>
            <w:tcBorders>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p>
        </w:tc>
        <w:tc>
          <w:tcPr>
            <w:tcW w:w="2197" w:type="dxa"/>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N</w:t>
            </w:r>
          </w:p>
        </w:tc>
        <w:tc>
          <w:tcPr>
            <w:tcW w:w="2118" w:type="dxa"/>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w:t>
            </w:r>
          </w:p>
        </w:tc>
        <w:tc>
          <w:tcPr>
            <w:tcW w:w="2118" w:type="dxa"/>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4" w:type="dxa"/>
            <w:vMerge w:val="restart"/>
            <w:tcBorders>
              <w:top w:val="single" w:color="000000" w:sz="8" w:space="0"/>
              <w:left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HWP</w:t>
            </w:r>
          </w:p>
        </w:tc>
        <w:tc>
          <w:tcPr>
            <w:tcW w:w="2197" w:type="dxa"/>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Pearson Correlation</w:t>
            </w:r>
          </w:p>
        </w:tc>
        <w:tc>
          <w:tcPr>
            <w:tcW w:w="2118" w:type="dxa"/>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.824**</w:t>
            </w:r>
          </w:p>
        </w:tc>
        <w:tc>
          <w:tcPr>
            <w:tcW w:w="2118" w:type="dxa"/>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4" w:type="dxa"/>
            <w:vMerge w:val="continue"/>
            <w:tcBorders>
              <w:left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p>
        </w:tc>
        <w:tc>
          <w:tcPr>
            <w:tcW w:w="2197" w:type="dxa"/>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Sig. (2-tailed)</w:t>
            </w:r>
          </w:p>
        </w:tc>
        <w:tc>
          <w:tcPr>
            <w:tcW w:w="2118" w:type="dxa"/>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.000</w:t>
            </w:r>
          </w:p>
        </w:tc>
        <w:tc>
          <w:tcPr>
            <w:tcW w:w="2118" w:type="dxa"/>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4" w:type="dxa"/>
            <w:vMerge w:val="continue"/>
            <w:tcBorders>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2197" w:type="dxa"/>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 xml:space="preserve">N </w:t>
            </w:r>
          </w:p>
        </w:tc>
        <w:tc>
          <w:tcPr>
            <w:tcW w:w="2118" w:type="dxa"/>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w:t>
            </w:r>
          </w:p>
        </w:tc>
        <w:tc>
          <w:tcPr>
            <w:tcW w:w="2118" w:type="dxa"/>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Source: Survey data, 2024 **. Correlation is significant at the 0.01 level (2-tailed)</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The Pearson Correlation result in Table 4.5 contains the degree of association between Hand washing practice and nurses’ knowledge. From the result, the Pearson correlation coefficient, r, value of 0.821 was positive and statistically significant at (p&lt; 0.000). This indicates that changes in nurses’ knowledge will result in changes in Hand washing practice. Thus, Hand washing practice and  nurses’ knowledge are correlated positively. </w:t>
      </w:r>
    </w:p>
    <w:p>
      <w:pPr>
        <w:bidi w:val="0"/>
        <w:spacing w:line="480" w:lineRule="auto"/>
        <w:jc w:val="both"/>
        <w:rPr>
          <w:rFonts w:hint="default" w:ascii="Times New Roman" w:hAnsi="Times New Roman" w:cs="Times New Roman"/>
          <w:b w:val="0"/>
          <w:bCs w:val="0"/>
          <w:sz w:val="24"/>
          <w:szCs w:val="24"/>
          <w:lang w:val="en-US"/>
        </w:rPr>
      </w:pPr>
    </w:p>
    <w:p>
      <w:pPr>
        <w:bidi w:val="0"/>
        <w:spacing w:line="480" w:lineRule="auto"/>
        <w:jc w:val="both"/>
        <w:rPr>
          <w:rFonts w:hint="default" w:ascii="Times New Roman" w:hAnsi="Times New Roman" w:cs="Times New Roman"/>
          <w:b w:val="0"/>
          <w:bCs w:val="0"/>
          <w:sz w:val="24"/>
          <w:szCs w:val="24"/>
          <w:lang w:val="en-US"/>
        </w:rPr>
      </w:pPr>
      <w:bookmarkStart w:id="0" w:name="_GoBack"/>
      <w:bookmarkEnd w:id="0"/>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Ho2:</w:t>
      </w:r>
      <w:r>
        <w:rPr>
          <w:rFonts w:hint="default" w:ascii="Times New Roman" w:hAnsi="Times New Roman" w:cs="Times New Roman"/>
          <w:sz w:val="24"/>
          <w:szCs w:val="24"/>
          <w:lang w:val="en-US"/>
        </w:rPr>
        <w:t xml:space="preserve"> There is no significant correlation between years of nursing practice (YNP) and hand washing practice (HWP) among nurses in FMC surgical ward.</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b/>
          <w:bCs/>
          <w:sz w:val="24"/>
          <w:szCs w:val="24"/>
          <w:lang w:val="en-US"/>
        </w:rPr>
        <w:t>Ha2:</w:t>
      </w:r>
      <w:r>
        <w:rPr>
          <w:rFonts w:hint="default" w:ascii="Times New Roman" w:hAnsi="Times New Roman" w:cs="Times New Roman"/>
          <w:sz w:val="24"/>
          <w:szCs w:val="24"/>
          <w:lang w:val="en-US"/>
        </w:rPr>
        <w:t xml:space="preserve"> There is a significant correlation between years of nursing practice (YNP) and hand washing practice (HWP) among nurses in FMC surgical ward.</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Table 4.6: Pearson Correlation Table showing the effect of years of nursing practice and hand washing practice.</w:t>
      </w:r>
    </w:p>
    <w:tbl>
      <w:tblPr>
        <w:tblStyle w:val="8"/>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379"/>
        <w:gridCol w:w="3922"/>
        <w:gridCol w:w="1609"/>
        <w:gridCol w:w="160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3110" w:type="pct"/>
            <w:gridSpan w:val="2"/>
            <w:tcBorders>
              <w:top w:val="single" w:color="000000" w:sz="8" w:space="0"/>
              <w:left w:val="single" w:color="000000" w:sz="8" w:space="0"/>
              <w:bottom w:val="single" w:color="000000" w:sz="12"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944" w:type="pct"/>
            <w:tcBorders>
              <w:top w:val="single" w:color="000000" w:sz="8" w:space="0"/>
              <w:left w:val="single" w:color="000000" w:sz="8" w:space="0"/>
              <w:bottom w:val="single" w:color="000000" w:sz="12"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YNP</w:t>
            </w:r>
          </w:p>
        </w:tc>
        <w:tc>
          <w:tcPr>
            <w:tcW w:w="944" w:type="pct"/>
            <w:tcBorders>
              <w:top w:val="single" w:color="000000" w:sz="8" w:space="0"/>
              <w:left w:val="single" w:color="000000" w:sz="8" w:space="0"/>
              <w:bottom w:val="single" w:color="000000" w:sz="12"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HWP</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09" w:type="pct"/>
            <w:vMerge w:val="restart"/>
            <w:tcBorders>
              <w:top w:val="single" w:color="000000" w:sz="12" w:space="0"/>
              <w:left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YNP</w:t>
            </w:r>
          </w:p>
        </w:tc>
        <w:tc>
          <w:tcPr>
            <w:tcW w:w="2300" w:type="pct"/>
            <w:tcBorders>
              <w:top w:val="single" w:color="000000" w:sz="12"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Pearson Correlation</w:t>
            </w:r>
          </w:p>
        </w:tc>
        <w:tc>
          <w:tcPr>
            <w:tcW w:w="944" w:type="pct"/>
            <w:tcBorders>
              <w:top w:val="single" w:color="000000" w:sz="12"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w:t>
            </w:r>
          </w:p>
        </w:tc>
        <w:tc>
          <w:tcPr>
            <w:tcW w:w="944" w:type="pct"/>
            <w:tcBorders>
              <w:top w:val="single" w:color="000000" w:sz="12"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.648**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09" w:type="pct"/>
            <w:vMerge w:val="continue"/>
            <w:tcBorders>
              <w:left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2300"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Sig. (2-tailed)</w:t>
            </w:r>
          </w:p>
        </w:tc>
        <w:tc>
          <w:tcPr>
            <w:tcW w:w="944"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944"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09" w:type="pct"/>
            <w:vMerge w:val="continue"/>
            <w:tcBorders>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p>
        </w:tc>
        <w:tc>
          <w:tcPr>
            <w:tcW w:w="2300"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N</w:t>
            </w:r>
          </w:p>
        </w:tc>
        <w:tc>
          <w:tcPr>
            <w:tcW w:w="944"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w:t>
            </w:r>
          </w:p>
        </w:tc>
        <w:tc>
          <w:tcPr>
            <w:tcW w:w="944"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09" w:type="pct"/>
            <w:vMerge w:val="restart"/>
            <w:tcBorders>
              <w:top w:val="single" w:color="000000" w:sz="8" w:space="0"/>
              <w:left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HWP</w:t>
            </w:r>
          </w:p>
        </w:tc>
        <w:tc>
          <w:tcPr>
            <w:tcW w:w="2300"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Pearson Correlation</w:t>
            </w:r>
          </w:p>
        </w:tc>
        <w:tc>
          <w:tcPr>
            <w:tcW w:w="944"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.648**</w:t>
            </w:r>
          </w:p>
        </w:tc>
        <w:tc>
          <w:tcPr>
            <w:tcW w:w="944"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09" w:type="pct"/>
            <w:vMerge w:val="continue"/>
            <w:tcBorders>
              <w:left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p>
        </w:tc>
        <w:tc>
          <w:tcPr>
            <w:tcW w:w="2300"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Sig. (2-tailed)</w:t>
            </w:r>
          </w:p>
        </w:tc>
        <w:tc>
          <w:tcPr>
            <w:tcW w:w="944"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.000</w:t>
            </w:r>
          </w:p>
        </w:tc>
        <w:tc>
          <w:tcPr>
            <w:tcW w:w="944" w:type="pct"/>
            <w:tcBorders>
              <w:top w:val="single" w:color="000000" w:sz="8" w:space="0"/>
              <w:left w:val="single" w:color="000000" w:sz="8" w:space="0"/>
              <w:bottom w:val="single" w:color="000000" w:sz="8" w:space="0"/>
              <w:right w:val="single" w:color="000000" w:sz="8" w:space="0"/>
            </w:tcBorders>
            <w:shd w:val="clear" w:color="auto" w:fill="CCCCCC"/>
          </w:tcPr>
          <w:p>
            <w:pPr>
              <w:widowControl w:val="0"/>
              <w:bidi w:val="0"/>
              <w:spacing w:line="480" w:lineRule="auto"/>
              <w:jc w:val="both"/>
              <w:rPr>
                <w:rFonts w:hint="default" w:ascii="Times New Roman" w:hAnsi="Times New Roman" w:cs="Times New Roman"/>
                <w:color w:val="000000"/>
                <w:sz w:val="24"/>
                <w:szCs w:val="24"/>
                <w:lang w:val="en-U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09" w:type="pct"/>
            <w:vMerge w:val="continue"/>
            <w:tcBorders>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p>
        </w:tc>
        <w:tc>
          <w:tcPr>
            <w:tcW w:w="2300"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 xml:space="preserve">N </w:t>
            </w:r>
          </w:p>
        </w:tc>
        <w:tc>
          <w:tcPr>
            <w:tcW w:w="944"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w:t>
            </w:r>
          </w:p>
        </w:tc>
        <w:tc>
          <w:tcPr>
            <w:tcW w:w="944" w:type="pct"/>
            <w:tcBorders>
              <w:top w:val="single" w:color="000000" w:sz="8" w:space="0"/>
              <w:left w:val="single" w:color="000000" w:sz="8" w:space="0"/>
              <w:bottom w:val="single" w:color="000000" w:sz="8" w:space="0"/>
              <w:right w:val="single" w:color="000000" w:sz="8" w:space="0"/>
            </w:tcBorders>
            <w:shd w:val="clear" w:color="auto" w:fill="FFFFFF"/>
          </w:tcPr>
          <w:p>
            <w:pPr>
              <w:widowControl w:val="0"/>
              <w:bidi w:val="0"/>
              <w:spacing w:line="480" w:lineRule="auto"/>
              <w:jc w:val="both"/>
              <w:rPr>
                <w:rFonts w:hint="default" w:ascii="Times New Roman" w:hAnsi="Times New Roman" w:cs="Times New Roman"/>
                <w:color w:val="000000"/>
                <w:sz w:val="24"/>
                <w:szCs w:val="24"/>
                <w:lang w:val="en-US"/>
              </w:rPr>
            </w:pPr>
            <w:r>
              <w:rPr>
                <w:rFonts w:hint="default" w:ascii="Times New Roman" w:hAnsi="Times New Roman" w:cs="Times New Roman"/>
                <w:color w:val="000000"/>
                <w:sz w:val="24"/>
                <w:szCs w:val="24"/>
                <w:lang w:val="en-US"/>
              </w:rPr>
              <w:t>25</w:t>
            </w:r>
          </w:p>
        </w:tc>
      </w:tr>
    </w:tbl>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Source: Survey data, 2024 **. Correlation is significant at the 0.01 level (2-tailed)</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Pearson correlation Table 4.6 shows the degree of association between Hand washing practice and years of nursing practice. The result shows that the two variables (Hand washing practice and years of nursing practice) are moderately and positively correlated (r= .648). Furthermore, there exists a statistically significant (p&lt;0.000) relationship between the two variables. Thus, the positive and significant relationship between Hand washing practice and years of nursing practice indicates that an increase in years of practice can bring a corresponding increase in Hand washing practice among nurses.</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CHAPTER FIVE</w:t>
      </w:r>
    </w:p>
    <w:p>
      <w:pPr>
        <w:bidi w:val="0"/>
        <w:spacing w:line="480" w:lineRule="auto"/>
        <w:jc w:val="center"/>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DISCUSSION OF FINDINGS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5.1.</w:t>
      </w:r>
      <w:r>
        <w:rPr>
          <w:rFonts w:hint="default" w:ascii="Times New Roman" w:hAnsi="Times New Roman" w:cs="Times New Roman"/>
          <w:b/>
          <w:bCs/>
          <w:sz w:val="24"/>
          <w:szCs w:val="24"/>
          <w:lang w:val="en-US"/>
        </w:rPr>
        <w:tab/>
        <w:t>Key Findings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survey participants predominantly consist of female nurses in the age range of 20 to 30 years old. The results also indicate that a significant majority of the participants (68%) have undergone training and instruction on hand hygiene. This demonstrates that the participants possess a high level of knowledge and comprehension regarding the main objective of this study, enabling them to provide responses that are grounded on factual information. The study findings demonstrate a notable association between the level of hand wash knowledge among nurses and their actual hand washing practices in the surgical ward of FMC. The study's findings demonstrate that practicing hand washing before patient contact can effectively prevent transmission of pathogens from nurses to patients. Adhering to proper hand washing protocols following patient interaction can effectively prevent the transmission of germs from patients to healthcare professionals. Furthermore, this study has uncovered a notable association between the duration of nursing practice (YNP) and the practice of hand washing (HWP) among nurses in the FMC surgical ward. Among nurses working in the surgical wards of FMC, Umuahia, there is a moderate level of adherence to hand hygiene instructions. However, this study reveals that the practice of hand hygiene is significantly hindered by poorly designed wards, low-quality hygiene equipment, inadequate hygiene supplies, and a high workload.</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5.2.</w:t>
      </w:r>
      <w:r>
        <w:rPr>
          <w:rFonts w:hint="default" w:ascii="Times New Roman" w:hAnsi="Times New Roman" w:cs="Times New Roman"/>
          <w:b/>
          <w:bCs/>
          <w:sz w:val="24"/>
          <w:szCs w:val="24"/>
          <w:lang w:val="en-US"/>
        </w:rPr>
        <w:tab/>
        <w:t>Implications of Findings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Proper hand hygiene is a highly efficient method for reducing the transmission of Healthcare-Associated Infections (HCAIs). Indeed, the effective execution of hand hygiene has been linked to a 50% decrease in infection rates (Chioma, Taib &amp; Yusuf, 2023). According to the World Health Organisation (WHO, 2009), hand hygiene practice below 60% is deemed inadequate. Therefore, it is worrisome that only 48% of the participating nurses in this study were seen practicing hand washing. Three previous studies, conducted by Scheithauer et al. (2013), Muller et al. (2015), and Carter et al. (2016), reported hand washing practice rates of 21%, 29%, and 32.3% respectively, which were similar to each other. However, two other studies by Alshehari, Park, and Rashid (2018) and Mostafazadeh-Bora (2019) reported significantly higher hand washing practice rates of 67% and 89.7% respectively. Several factors, such as overcrowding, a large number of patient contacts, attending to multiple patients at once, the severity of patient conditions, time constraints, staff shortages, and a lack of enforcement of hand hygiene protocols, have been found to contribute to inadequate adherence to handwashing and other hygiene practices among staff in surgical wards (Laskar et al., 2018). Various measures, including consistent teaching and training, monitoring, frequent prompts, feedback on performance, assuring the presence of necessary resources, and administrative backing, have been demonstrated to enhance adherence to hand washing protocols (Akanji, Walker &amp; Christian, 2017). </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5.3.</w:t>
      </w:r>
      <w:r>
        <w:rPr>
          <w:rFonts w:hint="default" w:ascii="Times New Roman" w:hAnsi="Times New Roman" w:cs="Times New Roman"/>
          <w:b/>
          <w:bCs/>
          <w:sz w:val="24"/>
          <w:szCs w:val="24"/>
          <w:lang w:val="en-US"/>
        </w:rPr>
        <w:tab/>
        <w:t>Implication of Findings to Nursing</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Hand washing practice is crucial for the well-being of both health personnel and patients. By engaging in the practice of hand washing, one can effectively halt the transmission of harmful germs, even those that possess resistance to antibiotics. Healthcare personnel may need to clean their hands numerous times throughout a work shift. Maintaining the health and cleanliness of your hands is a task that demands healthcare professionals to possess a deep understanding of hand care and the appropriate times for hand hygiene.</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5.4.</w:t>
      </w:r>
      <w:r>
        <w:rPr>
          <w:rFonts w:hint="default" w:ascii="Times New Roman" w:hAnsi="Times New Roman" w:cs="Times New Roman"/>
          <w:b/>
          <w:bCs/>
          <w:sz w:val="24"/>
          <w:szCs w:val="24"/>
          <w:lang w:val="en-US"/>
        </w:rPr>
        <w:tab/>
        <w:t>Limitations of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There are various constraints to the conclusions drawn from this study. Firstly, data was not collected during night shifts when there is less supervision from senior staff. In addition, it is worth noting that this study did not examine the correlation between the frequency of hand-washing and the occurrence of Healthcare-Associated Infections (HCAIs) at the specific Federal Medical Centre where the research took place. In addition, this study did not consider how external factors, such as the placement of washbasins and the availability of alcohol hand rub, soap, and other supplies, may have influenced the findings of hand washing practices.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5.5.</w:t>
      </w:r>
      <w:r>
        <w:rPr>
          <w:rFonts w:hint="default" w:ascii="Times New Roman" w:hAnsi="Times New Roman" w:cs="Times New Roman"/>
          <w:b/>
          <w:bCs/>
          <w:sz w:val="24"/>
          <w:szCs w:val="24"/>
          <w:lang w:val="en-US"/>
        </w:rPr>
        <w:tab/>
        <w:t>Summary of the study</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This study aimed to evaluate the practices and obstacles to hand hygiene among nurses in surgical wards at the Federal Medical Centre Umuahia (FMC). This study examined the understanding of nurses regarding hand washing practice, the extent to which they follow hand hygiene practices, and the obstacles they face in adhering to these practices in surgical wards. A survey research design was utilised, with a total of 25 nurses from the FMC surgical wards taking part in the study. An assessment was conducted to evaluate their understanding and proficiency in hand washing. The study's findings indicate that there is a moderate level of hand hygiene practice in FMC. This discovery highlights the significance of raising awareness and ensuring compliance with hand hygiene protocols among nurses. Practicing thorough hand hygiene has the potential to greatly reduce the transmission of infections among nurses and from nurses to patients.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5.6.</w:t>
      </w:r>
      <w:r>
        <w:rPr>
          <w:rFonts w:hint="default" w:ascii="Times New Roman" w:hAnsi="Times New Roman" w:cs="Times New Roman"/>
          <w:b/>
          <w:bCs/>
          <w:sz w:val="24"/>
          <w:szCs w:val="24"/>
          <w:lang w:val="en-US"/>
        </w:rPr>
        <w:tab/>
        <w:t>Conclusion</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Direct physical contact has the potential to transmit both minor ailments like the common cold, as well as more serious or potentially fatal illnesses. Contagious illnesses pose a significant threat to vulnerable populations such as infants, seniors, individuals with underlying health conditions, and those with weakened immune systems. By practicing proper hand hygiene, nurses not only protect their own well-being, but also significantly decrease the likelihood of spreading infections to others. If individuals fail to practise proper hand hygiene before interacting with others, they risk spreading infections not only to their patients but also to their loved ones. It is essential for all healthcare personnel to follow the guidelines set by the Centres for Disease Control and Prevention, which emphasise the importance of hand decontamination upon entering and leaving a patient's room. The perceived obstacles to hand washing that are consistently being addressed in research studies are the inaccessibility or inconvenient location of equipment (sinks and dispensers), forgetfulness, heavy workload, lack of awareness of guidelines, and limited scientific knowledge. One possible solution to the problem is to position dispensers right next to each bed. Another approach is to use visually impactful posters that emphasise the importance of hand washing, serving as a reminder for staff to wash their hands.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5.7.</w:t>
      </w:r>
      <w:r>
        <w:rPr>
          <w:rFonts w:hint="default" w:ascii="Times New Roman" w:hAnsi="Times New Roman" w:cs="Times New Roman"/>
          <w:b/>
          <w:bCs/>
          <w:sz w:val="24"/>
          <w:szCs w:val="24"/>
          <w:lang w:val="en-US"/>
        </w:rPr>
        <w:tab/>
        <w:t>Recommendations</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transmission of bacterial flora is significantly more likely to occur through damp hands. Therefore, it is praiseworthy that this study recommends using paper towels to dry hands in nearly all cases when soap and water were utilised. The act of drying hands not only eliminates excessive moisture that promotes bacterial proliferation, but it has also been demonstrated to diminish residual bacteria that may persist even after hand-washing.</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Jewellery has been found to contain rather large amounts of bacteria that can survive for lengthy periods of time. Only 48% of the participants in the current study adhered to the 'bare below the elbows' policy. While the practice of 'bare below the elbows' is commonly advised in therapeutic settings, there is a lack of data about its effectiveness in limiting the spread of pathogens.</w:t>
      </w:r>
    </w:p>
    <w:p>
      <w:pPr>
        <w:numPr>
          <w:ilvl w:val="0"/>
          <w:numId w:val="4"/>
        </w:numPr>
        <w:bidi w:val="0"/>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Nurses must adhere to the regulations on the use of disposable surgical gloves. When putting on gloves, it is important to hold them by the edge to prevent any potential contamination of the gloves' clean surface. It is imperative to avoid washing or reusing disposable surgical gloves. Avoid exhaling into gloves. Inspect the gloves for any signs of damage such as rips or tears.</w:t>
      </w: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5.8</w:t>
      </w:r>
      <w:r>
        <w:rPr>
          <w:rFonts w:hint="default" w:ascii="Times New Roman" w:hAnsi="Times New Roman" w:cs="Times New Roman"/>
          <w:b/>
          <w:bCs/>
          <w:sz w:val="24"/>
          <w:szCs w:val="24"/>
          <w:lang w:val="en-US"/>
        </w:rPr>
        <w:tab/>
        <w:t>Suggestions for further studies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Further studies on this subject can make reference to the outlined limitations of this study and seek empirical ways to fill the gaps.</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References</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Akanji, J., Walker, J., &amp; Christian, R. (2017). Effectiveness of formal hand hygiene education and feedback on healthcare workers' hand hygiene compliance and hospital-associated infections in adult intensive care units: a systematic review protocol. JBI database of systematic reviews and implementation reports, 15(5), 1272–1279.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"https://doi.org/10.11124/JBISRIR-2016-003019" </w:instrText>
      </w:r>
      <w:r>
        <w:rPr>
          <w:rFonts w:hint="default" w:ascii="Times New Roman" w:hAnsi="Times New Roman" w:cs="Times New Roman"/>
          <w:sz w:val="24"/>
          <w:szCs w:val="24"/>
          <w:lang w:val="en-US"/>
        </w:rPr>
        <w:fldChar w:fldCharType="separate"/>
      </w:r>
      <w:r>
        <w:rPr>
          <w:rFonts w:hint="default" w:ascii="Times New Roman" w:hAnsi="Times New Roman" w:cs="Times New Roman"/>
          <w:sz w:val="24"/>
          <w:szCs w:val="24"/>
          <w:lang w:val="en-US"/>
        </w:rPr>
        <w:t>https://doi.org/10.11124/JBISRIR-2016-003019</w:t>
      </w:r>
      <w:r>
        <w:rPr>
          <w:rFonts w:hint="default" w:ascii="Times New Roman" w:hAnsi="Times New Roman" w:cs="Times New Roman"/>
          <w:sz w:val="24"/>
          <w:szCs w:val="24"/>
          <w:lang w:val="en-US"/>
        </w:rPr>
        <w:fldChar w:fldCharType="end"/>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Al-Qahtani, A. (2023). Clean hands, safe care: how knowledge, attitude, and practice impact hand hygiene among nurses in Najran, Saudi Arabia. Frontiers in Public Health. 11. 10.3389/fpubh.2023.1158678.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Al-Qahtani, A. (2023). Clean hands, safe care: how knowledge, attitude, and practice impact hand hygiene among nurses in Najran, Saudi Arabia. Frontiers in Public Health. 11. 10.3389/fpubh.2023.1158678.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Alshehari, A. A., Park, S., &amp; Rashid, H. (2018). Strategies to improve hand hygiene compliance among healthcare workers in adult intensive care units: a mini systematic review. The Journal of hospital infection, 100(2), 152–158.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"https://doi.org/10.1016/j.jhin.2018.03.013" </w:instrText>
      </w:r>
      <w:r>
        <w:rPr>
          <w:rFonts w:hint="default" w:ascii="Times New Roman" w:hAnsi="Times New Roman" w:cs="Times New Roman"/>
          <w:sz w:val="24"/>
          <w:szCs w:val="24"/>
          <w:lang w:val="en-US"/>
        </w:rPr>
        <w:fldChar w:fldCharType="separate"/>
      </w:r>
      <w:r>
        <w:rPr>
          <w:rFonts w:hint="default" w:ascii="Times New Roman" w:hAnsi="Times New Roman" w:cs="Times New Roman"/>
          <w:sz w:val="24"/>
          <w:szCs w:val="24"/>
          <w:lang w:val="en-US"/>
        </w:rPr>
        <w:t>https://doi.org/10.1016/j.jhin.2018.03.013</w:t>
      </w:r>
      <w:r>
        <w:rPr>
          <w:rFonts w:hint="default" w:ascii="Times New Roman" w:hAnsi="Times New Roman" w:cs="Times New Roman"/>
          <w:sz w:val="24"/>
          <w:szCs w:val="24"/>
          <w:lang w:val="en-US"/>
        </w:rPr>
        <w:fldChar w:fldCharType="end"/>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Alwatifi, M. &amp; Hattab, W. (2022). Barriers to Hand Hygiene Performance among Nursing Staff during the Pandemic of Corona Virus Disease. Kufa Journal for Nursing Sciences. 12. 122-129. 10.36321/kjns/2022/120113.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Anjum, U. (2021). Knowledge and Expressed Practice Related to Hand Hygiene among Student Nurses- A Selected College of New Delhi, India. International Journal of Nursing &amp; Midwifery Research. 07. 46-49. 10.24321/2455.9318.202026.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Armstrong-Novak, J., Juan, H., Cooper, K., &amp; Bailey, P. (2023). Healthcare Personnel Hand Hygiene Compliance: Are We There Yet?. Current Infectious Disease Reports. 25. 1-7. 10.1007/s11908-023-00806-8.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Ataiyero, Y., Dyson, J., &amp; Graham, M. (2023). The barriers and facilitators to hand hygiene practices in Nigeria: A qualitative study. 51. 295-303. 10.1016/j.ajic.2022.10.013.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Bakey, S. (2019). Hemodialysis Nurses’ Practices toward Hand Hygiene Performance at Baghdad Teaching Hospitals. Indian Journal of Public Health Research and Development. 10. 615-621. 10.5958/0976-5506.2019.00768.X.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Bankole, K., Ogunlesi, T., Oduwole, O., Oringanje, C., Udoh, E., Bello, S., Horn, D., &amp; Meremikwu, M. (2023). Hand hygiene for the prevention of infections in neonates. The Cochrane database of systematic reviews. 6. CD013326. 10.1002/14651858.CD013326.pub4.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Bayrakdar, S., &amp; Akbaş, D. (2023). Evaluation of Hand Hygiene Practices of İnegöl State Hospital Health care professionals. The Journal of Turkish Family Physician. 14. 54-63. 10.15511/tjtfp.23.00254.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Bhattacharyya, S. (2023). Hand washing and hand hygiene in medical practice and day to day life. Indian Journal of Microbiology Research. 9. 249-251. 10.18231/j.ijmr.2022.043.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Botchwey, C., Agartha A., Brown, R., Acquah, F., Saah, F., Kruh, V., Ekanem, A., &amp; Boatemaa-Yeboah, Yvonne. (2023). Guardians of Health: Exploring Hand Hygiene Practices, Knowledge and Hurdles among Public Health Nurses in Effutu Municipality. Hospital Practices and Research. 8. 224-232. 10.30491/hpr.2023.180891.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Carter, E. J., Wyer, P., Giglio, J., Jia, H., Nelson, G., Kauari, V. E., &amp; Larson, E. L. (2016). Environmental factors and their association with emergency department hand hygiene compliance: an observational study. BMJ quality &amp; safety, 25(5), 372–378.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"https://doi.org/10.1136/bmjqs-2015-004081" </w:instrText>
      </w:r>
      <w:r>
        <w:rPr>
          <w:rFonts w:hint="default" w:ascii="Times New Roman" w:hAnsi="Times New Roman" w:cs="Times New Roman"/>
          <w:sz w:val="24"/>
          <w:szCs w:val="24"/>
          <w:lang w:val="en-US"/>
        </w:rPr>
        <w:fldChar w:fldCharType="separate"/>
      </w:r>
      <w:r>
        <w:rPr>
          <w:rFonts w:hint="default" w:ascii="Times New Roman" w:hAnsi="Times New Roman" w:cs="Times New Roman"/>
          <w:sz w:val="24"/>
          <w:szCs w:val="24"/>
          <w:lang w:val="en-US"/>
        </w:rPr>
        <w:t>https://doi.org/10.1136/bmjqs-2015-004081</w:t>
      </w:r>
      <w:r>
        <w:rPr>
          <w:rFonts w:hint="default" w:ascii="Times New Roman" w:hAnsi="Times New Roman" w:cs="Times New Roman"/>
          <w:sz w:val="24"/>
          <w:szCs w:val="24"/>
          <w:lang w:val="en-US"/>
        </w:rPr>
        <w:fldChar w:fldCharType="end"/>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Çelik, M., Ceylan, M., Dedeoglu, G., Durna, M., Atasoy, P., &amp; Alkan, S. (2023). Opinions of Healthcare Professionals on Hand Hygiene Use and Evaluation of Hand Hygiene Compliance Rates. Annals of Medical Research. 30. 1232-1238. 10.5455/annalsmedres.2023.08.201.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Chioma, O., Taib, F., &amp; Yusuf, A. (2023). Exploring Perceptions of Hand Hygiene Compliance Among Neonatal and Pediatric Care Unit Nurses in Nigeria: A Qualitative Study. Malaysian Journal of Medicine and Health Sciences. 19. 50-57.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DENİZ, S. (2023). Analysis of hand hygiene belief and practices of health care providers using the hand hygiene belief scale and the hand hygiene practices inventory. Dicle Tıp Dergisi. 335-345. 10.5798/dicletip.1360663.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Dreidi, M., Alrimawi, I., Saifan, R., Batiha, A. (2016). Hand Hygiene Knowledge, Practices and Attitudes among Nurses and Physicians. Health. 08. 456-462. 10.4236/health.2016.85048.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Esan, D., Tola, Y., Akingbade, O., Ariyo, S., Ogunniyi, B., &amp; Agbana, R. (2023). Knowledge and Practice of Menstrual Hygiene among Female Undergraduates at a Private Tertiary Institution in Nigeria. Pacific Rim International Journal of Nursing Research. 27. 798-810. 10.60099/prijnr.2023.262984.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Ezike, O., Ada, N., Odikpo, L., &amp; Onyia. O. (2021). Infection control practices among nurses working in neonatal intensive care units (NICU) of two selected tertiary hospitals in Enugu, Nigeria. International Journal of Africa Nursing Sciences. 15. 100344. 10.1016/j.ijans.2021.100344.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Fujita, R., Yoshida, R., &amp; Hori, S. (2023). Longitudinal effects of direct observation of hand hygiene practices and monitoring of alcohol-based handrub consumption. Antimicrobial Stewardship &amp; Healthcare Epidemiology. 3. s72-s73. 10.1017/ash.2023.322.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Gammon, J., Hunt, J., Duffy, L., Humphreys, I., Hinkin, J., &amp; Watkins, A. (2023). Impact of an educational intervention on hand hygiene practice among nursing students, with a focus on hand drying efficacy. Journal of Infection Prevention. 10.1177/17571774231224695.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Guo, M. &amp; Zhang, N. (2022). Behavioral intervention strategies to nudge hand hygiene. Advances in Psychological Science. 30. 863. 10.3724/SP.J.1042.2022.00863.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Hindi, M. &amp; Abd, W. (2022). Barriers to Hand Hygiene Performance among Nursing Staff during the Pandemic of Corona Virus Disease. 2022. 10.36321/kjns/2022.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Höchli, B., Dorn, M., Holenweger, G., Messner, C., Schuller, S. &amp; Rohrbach, H. (2023). Improving Hand Hygiene Adherence in Small Animal Hospitals: A Social Marketing Approach. Social Marketing Quarterly. 29. 10.1177/15245004231191567.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Khalel, F., Abdalla, E., Hassabo, M. (2023). Knowledge and Compliance to Hand Hygiene Among Anesthesiologists in the Operation Room in Sudan 2022. 10.21203/rs.3.rs-3270162/v1.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Laskar, A. M., R, D., Bhat, P., Pottakkat, B., Narayan, S., Sastry, A. S., &amp; Sneha, R. (2018). A multimodal intervention to improve hand hygiene compliance in a tertiary care center. American journal of infection control, 46(7), 775–780.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"https://doi.org/10.1016/j.ajic.2017.12.017" </w:instrText>
      </w:r>
      <w:r>
        <w:rPr>
          <w:rFonts w:hint="default" w:ascii="Times New Roman" w:hAnsi="Times New Roman" w:cs="Times New Roman"/>
          <w:sz w:val="24"/>
          <w:szCs w:val="24"/>
          <w:lang w:val="en-US"/>
        </w:rPr>
        <w:fldChar w:fldCharType="separate"/>
      </w:r>
      <w:r>
        <w:rPr>
          <w:rFonts w:hint="default" w:ascii="Times New Roman" w:hAnsi="Times New Roman" w:cs="Times New Roman"/>
          <w:sz w:val="24"/>
          <w:szCs w:val="24"/>
          <w:lang w:val="en-US"/>
        </w:rPr>
        <w:t>https://doi.org/10.1016/j.ajic.2017.12.017</w:t>
      </w:r>
      <w:r>
        <w:rPr>
          <w:rFonts w:hint="default" w:ascii="Times New Roman" w:hAnsi="Times New Roman" w:cs="Times New Roman"/>
          <w:sz w:val="24"/>
          <w:szCs w:val="24"/>
          <w:lang w:val="en-US"/>
        </w:rPr>
        <w:fldChar w:fldCharType="end"/>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Meengs, M. R., Giles, B. K., Chisholm, C. D., Cordell, W. H., &amp; Nelson, D. R. (1994). Hand washing frequency in an emergency department. Annals of emergency medicine, 23(6), 1307–1312.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"https://doi.org/10.1016/s0196-0644(94)70357-4" </w:instrText>
      </w:r>
      <w:r>
        <w:rPr>
          <w:rFonts w:hint="default" w:ascii="Times New Roman" w:hAnsi="Times New Roman" w:cs="Times New Roman"/>
          <w:sz w:val="24"/>
          <w:szCs w:val="24"/>
          <w:lang w:val="en-US"/>
        </w:rPr>
        <w:fldChar w:fldCharType="separate"/>
      </w:r>
      <w:r>
        <w:rPr>
          <w:rFonts w:hint="default" w:ascii="Times New Roman" w:hAnsi="Times New Roman" w:cs="Times New Roman"/>
          <w:sz w:val="24"/>
          <w:szCs w:val="24"/>
          <w:lang w:val="en-US"/>
        </w:rPr>
        <w:t>https://doi.org/10.1016/s0196-0644(94)70357-4</w:t>
      </w:r>
      <w:r>
        <w:rPr>
          <w:rFonts w:hint="default" w:ascii="Times New Roman" w:hAnsi="Times New Roman" w:cs="Times New Roman"/>
          <w:sz w:val="24"/>
          <w:szCs w:val="24"/>
          <w:lang w:val="en-US"/>
        </w:rPr>
        <w:fldChar w:fldCharType="end"/>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Mohaithef, M. (2020). Assessing Hand Hygiene Practices Among Nurses in the Kingdom of Saudi Arabia. The Open Public Health Journal. 13. 220-226. 10.2174/1874944502013010220.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Mohammed, J., Yimam, W., &amp; Kumara, P. (2021). Acquaintance, Mind-Set And Compliance Of Hand Hygiene Practice Among Nurses At Dessie Referral Hospital, North East Ethiopia.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Mostafazadeh-Bora M. (2019). Hand hygiene and infection control in limited-resource countries: still a big challenge. The Journal of hospital infection, 101(4), 425.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"https://doi.org/10.1016/j.jhin.2018.10.008" </w:instrText>
      </w:r>
      <w:r>
        <w:rPr>
          <w:rFonts w:hint="default" w:ascii="Times New Roman" w:hAnsi="Times New Roman" w:cs="Times New Roman"/>
          <w:sz w:val="24"/>
          <w:szCs w:val="24"/>
          <w:lang w:val="en-US"/>
        </w:rPr>
        <w:fldChar w:fldCharType="separate"/>
      </w:r>
      <w:r>
        <w:rPr>
          <w:rFonts w:hint="default" w:ascii="Times New Roman" w:hAnsi="Times New Roman" w:cs="Times New Roman"/>
          <w:sz w:val="24"/>
          <w:szCs w:val="24"/>
          <w:lang w:val="en-US"/>
        </w:rPr>
        <w:t>https://doi.org/10.1016/j.jhin.2018.10.008</w:t>
      </w:r>
      <w:r>
        <w:rPr>
          <w:rFonts w:hint="default" w:ascii="Times New Roman" w:hAnsi="Times New Roman" w:cs="Times New Roman"/>
          <w:sz w:val="24"/>
          <w:szCs w:val="24"/>
          <w:lang w:val="en-US"/>
        </w:rPr>
        <w:fldChar w:fldCharType="end"/>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Muller, M. P., Carter, E., Siddiqui, N., &amp; Larson, E. (2015). Hand Hygiene Compliance in an Emergency Department: The Effect of Crowding. Academic emergency medicine : official journal of the Society for Academic Emergency Medicine, 22(10), 1218–1221.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"https://doi.org/10.1111/acem.12754" </w:instrText>
      </w:r>
      <w:r>
        <w:rPr>
          <w:rFonts w:hint="default" w:ascii="Times New Roman" w:hAnsi="Times New Roman" w:cs="Times New Roman"/>
          <w:sz w:val="24"/>
          <w:szCs w:val="24"/>
          <w:lang w:val="en-US"/>
        </w:rPr>
        <w:fldChar w:fldCharType="separate"/>
      </w:r>
      <w:r>
        <w:rPr>
          <w:rFonts w:hint="default" w:ascii="Times New Roman" w:hAnsi="Times New Roman" w:cs="Times New Roman"/>
          <w:sz w:val="24"/>
          <w:szCs w:val="24"/>
          <w:lang w:val="en-US"/>
        </w:rPr>
        <w:t>https://doi.org/10.1111/acem.12754</w:t>
      </w:r>
      <w:r>
        <w:rPr>
          <w:rFonts w:hint="default" w:ascii="Times New Roman" w:hAnsi="Times New Roman" w:cs="Times New Roman"/>
          <w:sz w:val="24"/>
          <w:szCs w:val="24"/>
          <w:lang w:val="en-US"/>
        </w:rPr>
        <w:fldChar w:fldCharType="end"/>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Mutshatshi, T. &amp; Rasweswe, M. (2023). ‘We do not wash hands ’: Barriers to the maintenance of five moments of hand hygiene among learner nurses at a university in Limpopo province, South Africa. Journal of Water, Sanitation and Hygiene for Development. 13. 10.2166/washdev.2023.211.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Najafi Ghezeljeh, T., Abbasnejad, Z., Rafii, F., &amp; Haghani, H. (2015). Nurses’ Knowledge, Beliefs and Practices towards Hand Hygiene. HAYAT. 21. 79-93.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Nedelcu, V., Niculiţă, O., Toporaş, E., Zazu, M., Mazilu, D., Jiménez, M., &amp; Grinţescu, I. (2021). Hand hygiene among nurses in pediatric blood and marrow transplantation setting: a best practice implementation project. JBI Evidence Implementation. Publish Ahead of Print. 10.1097/XEB.0000000000000301.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Nedelcu, V., Zazu, M., Mazilu, D., &amp; Grinţescu, I. (2020). Assessment study of the knowledge, attitudes and practices of Nurses in Romania regarding Hand Hygiene and Healthcare-Associated Infections. Management in Health. XXIV. 14-22.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Neto, J., Campos, P., Mendes, F., &amp; Bastos, C. (2022). Hand Hygiene among Paediatric Nurses: Evaluation of Practices and Intervention Perspective. Medical Sciences Forum. 17. 4. 10.3390/msf2022017004.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Noname, A., Khaliq B., Khurram &amp; Zubair, R. (2020). Hand Hygiene Practices In Junior Doctors And Nurses Of Lahore General Hospital. 7. 279-294. 10.5281/zenodo.3710843.</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Nwaogu, E. (2023). 1438. Hand Hygiene Compliance and Monitoring among Healthcare Workers at an Urban Hospital in the Caribbean.. Open Forum Infectious Diseases. 10. 10.1093/ofid/ofad500.1275.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Okgün, A., &amp; Dolgun, E. (2019). Student Nurses’ Hand Hygiene Beliefs and Practices. Turkish Journal of Family Medicine and Primary Care. 13. 279-286. 10.21763/tjfmpc.609778.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Park, S., Kim, J., Yu, Shi, Jeong, Y., Kim, J., Kim, T., Jeon, M., Choo, E., Lee, E., &amp; Kim, T (2023). 1439. Identifying Barriers and Improving Measures for Hand Hygiene Practices Among Healthcare Workers in Korea: A Cross-Sectional Survey. Open Forum Infectious Diseases. 10. 10.1093/ofid/ofad500.1276.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Paskey, A.,Ackerley, L., Buckley, C ., Cooper, S., &amp; Bainbridge, S. (2022). Promoting the key moments of hand hygiene in a Targeted Hygiene intervention at COP26. European Journal of Public Health. 32. 10.1093/eurpub/ckac131.345.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Pittet, D., Hugonnet, S., Harbarth, S., Mourouga, P., Sauvan, V., Touveneau, S., &amp; Perneger, T. V. (2000). Effectiveness of a hospital-wide programme to improve compliance with hand hygiene. Infection Control Programme. Lancet (London, England), 356(9238), 1307–1312.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"https://doi.org/10.1016/s0140-6736(00)02814-2" </w:instrText>
      </w:r>
      <w:r>
        <w:rPr>
          <w:rFonts w:hint="default" w:ascii="Times New Roman" w:hAnsi="Times New Roman" w:cs="Times New Roman"/>
          <w:sz w:val="24"/>
          <w:szCs w:val="24"/>
          <w:lang w:val="en-US"/>
        </w:rPr>
        <w:fldChar w:fldCharType="separate"/>
      </w:r>
      <w:r>
        <w:rPr>
          <w:rFonts w:hint="default" w:ascii="Times New Roman" w:hAnsi="Times New Roman" w:cs="Times New Roman"/>
          <w:sz w:val="24"/>
          <w:szCs w:val="24"/>
          <w:lang w:val="en-US"/>
        </w:rPr>
        <w:t>https://doi.org/10.1016/s0140-6736(00)02814-2</w:t>
      </w:r>
      <w:r>
        <w:rPr>
          <w:rFonts w:hint="default" w:ascii="Times New Roman" w:hAnsi="Times New Roman" w:cs="Times New Roman"/>
          <w:sz w:val="24"/>
          <w:szCs w:val="24"/>
          <w:lang w:val="en-US"/>
        </w:rPr>
        <w:fldChar w:fldCharType="end"/>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Saleh, A., Alrawaili, S., &amp; Kamal, W. (2022). Hand hygiene practices among Jordanian nurses in Amman. African Health Sciences. 22. 710-717. 10.4314/ahs.v22i3.76.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Saleh, A., Alrawaili, S., &amp; Kamal, W. (2022). Hand hygiene practices among Jordanian nurses in Amman. African Health Sciences. 22. 710-717. 10.4314/ahs.v22i3.76.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Scheithauer, S., Kamerseder, V., Petersen, P., Brokmann, J. C., Lopez-Gonzalez, L. A., Mach, C., Schulze-Röbbecke, R., &amp; Lemmen, S. W. (2013). Improving hand hygiene compliance in the emergency department: getting to the point. BMC infectious diseases, 13, 367. </w:t>
      </w:r>
      <w:r>
        <w:rPr>
          <w:rFonts w:hint="default" w:ascii="Times New Roman" w:hAnsi="Times New Roman" w:cs="Times New Roman"/>
          <w:sz w:val="24"/>
          <w:szCs w:val="24"/>
          <w:lang w:val="en-US"/>
        </w:rPr>
        <w:fldChar w:fldCharType="begin"/>
      </w:r>
      <w:r>
        <w:rPr>
          <w:rFonts w:hint="default" w:ascii="Times New Roman" w:hAnsi="Times New Roman" w:cs="Times New Roman"/>
          <w:sz w:val="24"/>
          <w:szCs w:val="24"/>
          <w:lang w:val="en-US"/>
        </w:rPr>
        <w:instrText xml:space="preserve"> HYPERLINK "https://doi.org/10.1186/1471-2334-13-367" </w:instrText>
      </w:r>
      <w:r>
        <w:rPr>
          <w:rFonts w:hint="default" w:ascii="Times New Roman" w:hAnsi="Times New Roman" w:cs="Times New Roman"/>
          <w:sz w:val="24"/>
          <w:szCs w:val="24"/>
          <w:lang w:val="en-US"/>
        </w:rPr>
        <w:fldChar w:fldCharType="separate"/>
      </w:r>
      <w:r>
        <w:rPr>
          <w:rFonts w:hint="default" w:ascii="Times New Roman" w:hAnsi="Times New Roman" w:cs="Times New Roman"/>
          <w:sz w:val="24"/>
          <w:szCs w:val="24"/>
          <w:lang w:val="en-US"/>
        </w:rPr>
        <w:t>https://doi.org/10.1186/1471-2334-13-367</w:t>
      </w:r>
      <w:r>
        <w:rPr>
          <w:rFonts w:hint="default" w:ascii="Times New Roman" w:hAnsi="Times New Roman" w:cs="Times New Roman"/>
          <w:sz w:val="24"/>
          <w:szCs w:val="24"/>
          <w:lang w:val="en-US"/>
        </w:rPr>
        <w:fldChar w:fldCharType="end"/>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Setiaman, S., Samiasih, A., &amp; Hidayati, E. (2022). Relationship between Attitude and Adherence Hand Hygiene Practices among Nurses in Patient District Hospital of Semarang. Saudi Journal of Nursing and Health Care. 5. 71-75. 10.36348/sjnhc.2022.v05i04.001.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Setiaman, S., Samiasih, A., &amp; Hidayati, E. (2022). Relationship between Attitude and Adherence Hand Hygiene Practices among Nurses in Patient District Hospital of Semarang. Saudi Journal of Nursing and Health Care. 5. 71-75. 10.36348/sjnhc.2022.v05i04.001.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Singh, A., &amp; Barnard, T. (2023). Health Science Students’ Perceptions of Hand Hygiene Education and Practice in a South African University: Introducing the University Hand Hygiene Improvement Model. Healthcare. 11. 10.3390/healthcare11182553.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Singh, G., Singh, R., &amp; Burri, R. (2023). Barriers to hand hygiene compliance in intensive care units to prevent the spread of healthcare-associated infections. MGM Journal of Medical Sciences. 10. 667-674. 10.4103/mgmj.mgmj_259_23.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Soy, F., Çakır, D., Cevheroğlu, S., &amp; Pehlivan, O. (2023). Hand hygiene beliefs and practices and five indications-oriented hand hygiene observation results among healthcare professionals: a retrospective study. Journal of Translational and Practical Medicine. 2. 101-106. 10.51271/JTPM-0050.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Speth, J. (2023). Guidelines in Practice: Hand Hygiene. AORN Journal. 118. 101-108. 10.1002/aorn.13964.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Swathi, B., Gandham, P., Manick, S. (2023). Hand Hygiene Audit To Study Adherence To Hand Hygiene In a Tertiary Care Hospital. International Journal of Advanced Research. 11. 107-110. 10.21474/IJAR01/16628.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Wałaszek, M., Kołpa, M., Rózańska, A., Jagiencarz-Starzec, B. &amp; Wolak, Z. (2020). Hospital knowledge and practice of doctors and nurses regarding hand hygiene in a survey. Przeglad epidemiologiczny. 74. 119-132. 10.32394/pe.74.09. </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WHO Guidelines on Hand Hygiene in Health Care: First Global Patient Safety Challenge Clean Care Is Safer Care. (2009). World Health Organization.</w:t>
      </w:r>
    </w:p>
    <w:p>
      <w:pPr>
        <w:bidi w:val="0"/>
        <w:spacing w:line="480" w:lineRule="auto"/>
        <w:ind w:left="799" w:leftChars="0" w:hanging="799" w:hangingChars="333"/>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Yeboah, C., Yaw-Opoku, S., &amp; Henneh, R. (2023). Hand Hygiene Practices among Nurses and Midwives at the Hospital in the Covid-19 Era. 4. 1-11. 10.53075/Ijmsirq/745353463. </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 xml:space="preserve">Appendix </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QUESTIONNAIRE</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Hello, kindly afford me few minutes of your time in providing answers to the statements in this questionnaire. Please, kindly know that all responses shall be treated with utmost confidentiality and the information provided here shall be used for academic purposes only.</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Section A</w:t>
      </w:r>
    </w:p>
    <w:p>
      <w:pPr>
        <w:numPr>
          <w:ilvl w:val="0"/>
          <w:numId w:val="5"/>
        </w:numPr>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Gender</w:t>
      </w:r>
      <w:r>
        <w:rPr>
          <w:rFonts w:hint="default" w:ascii="Times New Roman" w:hAnsi="Times New Roman" w:cs="Times New Roman"/>
          <w:sz w:val="24"/>
          <w:szCs w:val="24"/>
        </w:rPr>
        <w:tab/>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Male</w:t>
      </w:r>
      <w:r>
        <w:rPr>
          <w:rFonts w:hint="default" w:ascii="Times New Roman" w:hAnsi="Times New Roman" w:cs="Times New Roman"/>
          <w:sz w:val="24"/>
          <w:szCs w:val="24"/>
          <w:lang w:val="en-US"/>
        </w:rPr>
        <w:t xml:space="preserve"> (  )</w:t>
      </w:r>
      <w:r>
        <w:rPr>
          <w:rFonts w:hint="default" w:ascii="Times New Roman" w:hAnsi="Times New Roman" w:cs="Times New Roman"/>
          <w:sz w:val="24"/>
          <w:szCs w:val="24"/>
        </w:rPr>
        <w:t xml:space="preserve"> </w:t>
      </w:r>
      <w:r>
        <w:rPr>
          <w:rFonts w:hint="default" w:ascii="Times New Roman" w:hAnsi="Times New Roman" w:cs="Times New Roman"/>
          <w:sz w:val="24"/>
          <w:szCs w:val="24"/>
          <w:lang w:val="en-US"/>
        </w:rPr>
        <w:tab/>
      </w:r>
      <w:r>
        <w:rPr>
          <w:rFonts w:hint="default" w:ascii="Times New Roman" w:hAnsi="Times New Roman" w:cs="Times New Roman"/>
          <w:sz w:val="24"/>
          <w:szCs w:val="24"/>
        </w:rPr>
        <w:t>Female</w:t>
      </w:r>
      <w:r>
        <w:rPr>
          <w:rFonts w:hint="default" w:ascii="Times New Roman" w:hAnsi="Times New Roman" w:cs="Times New Roman"/>
          <w:sz w:val="24"/>
          <w:szCs w:val="24"/>
          <w:lang w:val="en-US"/>
        </w:rPr>
        <w:t xml:space="preserve"> (  )</w:t>
      </w:r>
      <w:r>
        <w:rPr>
          <w:rFonts w:hint="default" w:ascii="Times New Roman" w:hAnsi="Times New Roman" w:cs="Times New Roman"/>
          <w:sz w:val="24"/>
          <w:szCs w:val="24"/>
        </w:rPr>
        <w:t xml:space="preserve"> </w:t>
      </w:r>
    </w:p>
    <w:p>
      <w:pPr>
        <w:numPr>
          <w:ilvl w:val="0"/>
          <w:numId w:val="5"/>
        </w:numPr>
        <w:spacing w:line="480" w:lineRule="auto"/>
        <w:ind w:left="0" w:leftChars="0" w:firstLine="0" w:firstLineChars="0"/>
        <w:jc w:val="both"/>
        <w:rPr>
          <w:rFonts w:hint="default" w:ascii="Times New Roman" w:hAnsi="Times New Roman" w:cs="Times New Roman"/>
          <w:sz w:val="24"/>
          <w:szCs w:val="24"/>
        </w:rPr>
      </w:pPr>
      <w:r>
        <w:rPr>
          <w:rFonts w:hint="default" w:ascii="Times New Roman" w:hAnsi="Times New Roman" w:cs="Times New Roman"/>
          <w:sz w:val="24"/>
          <w:szCs w:val="24"/>
        </w:rPr>
        <w:t xml:space="preserve">Age </w:t>
      </w:r>
      <w:r>
        <w:rPr>
          <w:rFonts w:hint="default" w:ascii="Times New Roman" w:hAnsi="Times New Roman" w:cs="Times New Roman"/>
          <w:sz w:val="24"/>
          <w:szCs w:val="24"/>
        </w:rPr>
        <w:tab/>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20-30</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  )</w:t>
      </w:r>
      <w:r>
        <w:rPr>
          <w:rFonts w:hint="default" w:ascii="Times New Roman" w:hAnsi="Times New Roman" w:cs="Times New Roman"/>
          <w:sz w:val="24"/>
          <w:szCs w:val="24"/>
        </w:rPr>
        <w:t xml:space="preserve"> </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31-40</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  )</w:t>
      </w:r>
      <w:r>
        <w:rPr>
          <w:rFonts w:hint="default" w:ascii="Times New Roman" w:hAnsi="Times New Roman" w:cs="Times New Roman"/>
          <w:sz w:val="24"/>
          <w:szCs w:val="24"/>
        </w:rPr>
        <w:t xml:space="preserve"> </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&gt;40</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  )</w:t>
      </w:r>
      <w:r>
        <w:rPr>
          <w:rFonts w:hint="default" w:ascii="Times New Roman" w:hAnsi="Times New Roman" w:cs="Times New Roman"/>
          <w:sz w:val="24"/>
          <w:szCs w:val="24"/>
        </w:rPr>
        <w:t xml:space="preserve"> </w:t>
      </w:r>
    </w:p>
    <w:p>
      <w:pPr>
        <w:numPr>
          <w:ilvl w:val="0"/>
          <w:numId w:val="5"/>
        </w:numPr>
        <w:spacing w:line="480" w:lineRule="auto"/>
        <w:ind w:left="0" w:leftChars="0" w:firstLine="0" w:firstLineChars="0"/>
        <w:jc w:val="both"/>
        <w:rPr>
          <w:rFonts w:hint="default" w:ascii="Times New Roman" w:hAnsi="Times New Roman" w:cs="Times New Roman"/>
          <w:sz w:val="24"/>
          <w:szCs w:val="24"/>
        </w:rPr>
      </w:pPr>
      <w:r>
        <w:rPr>
          <w:rFonts w:hint="default" w:ascii="Times New Roman" w:hAnsi="Times New Roman" w:cs="Times New Roman"/>
          <w:sz w:val="24"/>
          <w:szCs w:val="24"/>
          <w:lang w:val="en-US"/>
        </w:rPr>
        <w:t xml:space="preserve">Have you received any form of training on </w:t>
      </w:r>
      <w:r>
        <w:rPr>
          <w:rFonts w:hint="default" w:ascii="Times New Roman" w:hAnsi="Times New Roman" w:cs="Times New Roman"/>
          <w:sz w:val="24"/>
          <w:szCs w:val="24"/>
        </w:rPr>
        <w:t>Hand Hygiene training</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Received</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  )</w:t>
      </w:r>
      <w:r>
        <w:rPr>
          <w:rFonts w:hint="default" w:ascii="Times New Roman" w:hAnsi="Times New Roman" w:cs="Times New Roman"/>
          <w:sz w:val="24"/>
          <w:szCs w:val="24"/>
        </w:rPr>
        <w:t xml:space="preserve"> </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No training</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  )</w:t>
      </w:r>
      <w:r>
        <w:rPr>
          <w:rFonts w:hint="default" w:ascii="Times New Roman" w:hAnsi="Times New Roman" w:cs="Times New Roman"/>
          <w:sz w:val="24"/>
          <w:szCs w:val="24"/>
        </w:rPr>
        <w:t xml:space="preserve"> </w:t>
      </w:r>
    </w:p>
    <w:p>
      <w:pPr>
        <w:numPr>
          <w:ilvl w:val="0"/>
          <w:numId w:val="5"/>
        </w:numPr>
        <w:spacing w:line="480" w:lineRule="auto"/>
        <w:ind w:left="0" w:leftChars="0" w:firstLine="0" w:firstLineChars="0"/>
        <w:jc w:val="both"/>
        <w:rPr>
          <w:rFonts w:hint="default" w:ascii="Times New Roman" w:hAnsi="Times New Roman" w:cs="Times New Roman"/>
          <w:sz w:val="24"/>
          <w:szCs w:val="24"/>
        </w:rPr>
      </w:pPr>
      <w:r>
        <w:rPr>
          <w:rFonts w:hint="default" w:ascii="Times New Roman" w:hAnsi="Times New Roman" w:cs="Times New Roman"/>
          <w:sz w:val="24"/>
          <w:szCs w:val="24"/>
          <w:lang w:val="en-US"/>
        </w:rPr>
        <w:t xml:space="preserve">Please indicate </w:t>
      </w:r>
      <w:r>
        <w:rPr>
          <w:rFonts w:hint="default" w:ascii="Times New Roman" w:hAnsi="Times New Roman" w:cs="Times New Roman"/>
          <w:sz w:val="24"/>
          <w:szCs w:val="24"/>
        </w:rPr>
        <w:t>Work Experience</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&lt;1 year</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  )</w:t>
      </w:r>
      <w:r>
        <w:rPr>
          <w:rFonts w:hint="default" w:ascii="Times New Roman" w:hAnsi="Times New Roman" w:cs="Times New Roman"/>
          <w:sz w:val="24"/>
          <w:szCs w:val="24"/>
        </w:rPr>
        <w:t xml:space="preserve"> </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1-3 years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  )</w:t>
      </w:r>
      <w:r>
        <w:rPr>
          <w:rFonts w:hint="default" w:ascii="Times New Roman" w:hAnsi="Times New Roman" w:cs="Times New Roman"/>
          <w:sz w:val="24"/>
          <w:szCs w:val="24"/>
        </w:rPr>
        <w:t xml:space="preserve"> </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&gt;3 years</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  )</w:t>
      </w:r>
      <w:r>
        <w:rPr>
          <w:rFonts w:hint="default" w:ascii="Times New Roman" w:hAnsi="Times New Roman" w:cs="Times New Roman"/>
          <w:sz w:val="24"/>
          <w:szCs w:val="24"/>
        </w:rPr>
        <w:t xml:space="preserve"> </w:t>
      </w:r>
    </w:p>
    <w:p>
      <w:pPr>
        <w:spacing w:line="480" w:lineRule="auto"/>
        <w:jc w:val="both"/>
        <w:rPr>
          <w:rFonts w:hint="default" w:ascii="Times New Roman" w:hAnsi="Times New Roman" w:cs="Times New Roman"/>
          <w:b/>
          <w:bCs/>
          <w:sz w:val="24"/>
          <w:szCs w:val="24"/>
          <w:lang w:val="en-US"/>
        </w:rPr>
      </w:pPr>
      <w:r>
        <w:rPr>
          <w:rFonts w:hint="default" w:ascii="Times New Roman" w:hAnsi="Times New Roman" w:cs="Times New Roman"/>
          <w:b/>
          <w:bCs/>
          <w:sz w:val="24"/>
          <w:szCs w:val="24"/>
          <w:lang w:val="en-US"/>
        </w:rPr>
        <w:t>SECTION B</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Kindly tick an option that best describes your opinion to the statements</w:t>
      </w:r>
    </w:p>
    <w:p>
      <w:pPr>
        <w:numPr>
          <w:ilvl w:val="0"/>
          <w:numId w:val="6"/>
        </w:num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 xml:space="preserve">Germs are spread by droplets in the air. </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By washing your hands before handling a patient, you can stop the spread of germs from the healthcare practitioner to the patient.</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Practising hand hygiene after coming into contact with a patient can help stop the spread of germs from patient to healthcare professional.</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Alcohol hand rubbing is a faster way to clean your hands than washing them.</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r>
        <w:rPr>
          <w:rFonts w:hint="default" w:ascii="Times New Roman" w:hAnsi="Times New Roman" w:cs="Times New Roman"/>
          <w:sz w:val="24"/>
          <w:szCs w:val="24"/>
          <w:lang w:val="en-US"/>
        </w:rPr>
        <w:tab/>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For the majority of germs on your hands, an alcohol-based hand rub needs at least thirty seconds to destroy them.</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r>
        <w:rPr>
          <w:rFonts w:hint="default" w:ascii="Times New Roman" w:hAnsi="Times New Roman" w:cs="Times New Roman"/>
          <w:sz w:val="24"/>
          <w:szCs w:val="24"/>
          <w:lang w:val="en-US"/>
        </w:rPr>
        <w:tab/>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Wearing jewellery, such as watches and rings, is linked to a higher probability of harbouring hazardous bacteria on the hands and should be abstained from.</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duration of handwashing is inconsequential as long as soap is utilised.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Practising hand hygiene promptly after coming into contact with bodily fluids can effectively prevent the spread of germs from a healthcare professional to a patient.</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hands of health-care personnel are the primary means by which potentially hazardous germs are transmitted between patients in a health-care facility.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hospital environment is the primary reservoir of pathogens that cause healthcare-associated illnesses.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Alcohol rubs result in more skin dryness compared to hand washing.</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Experiencing skin damage increases the probability of hazardous bacteria colonising the hands, hence it is important to prevent such damage.</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Using hot water for hand-washing enhances the efficacy of hand cleansing.</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The most common cause of healthcare-associated illnesses is the presence of germs that are already on or inside the patient.</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In hospitals, germs are spread through colonised surfaces including beds, chairs, tables, and floors.</w:t>
      </w:r>
    </w:p>
    <w:p>
      <w:pPr>
        <w:numPr>
          <w:ilvl w:val="0"/>
          <w:numId w:val="0"/>
        </w:numPr>
        <w:spacing w:line="480" w:lineRule="auto"/>
        <w:ind w:left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Post-exposure hand washing helps prevent health care provider-patient germ transmission.</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Rubbing your hands works better than washing them to get rid of germs.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Practicing hand hygiene right before a clean/aseptic surgery will help stop the spread of germs from the patient to the healthcare professional.</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Sharing stethoscopes or pressure cuffs between patients is the most common route of cross transmission of potentially harmful germs between patients in a health-care facility.</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Frequent use of hand lotion or cream is linked to a higher risk of dangerous germ colonisation on the hands and is to be avoided.</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It is not necessary to wash your hands as frequently if you use antibacterial soap.</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Artificial fingernails should be avoided as they are linked to a higher risk of hand colonisation by pathogenic micro-organisms.</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Yes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No (  )</w:t>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How would you describe the level of nurses adherence to hand hygiene?</w:t>
      </w:r>
    </w:p>
    <w:p>
      <w:pPr>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Low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Moderate (  )</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Good(  )</w:t>
      </w:r>
      <w:r>
        <w:rPr>
          <w:rFonts w:hint="default" w:ascii="Times New Roman" w:hAnsi="Times New Roman" w:cs="Times New Roman"/>
          <w:sz w:val="24"/>
          <w:szCs w:val="24"/>
          <w:lang w:val="en-US"/>
        </w:rPr>
        <w:tab/>
      </w:r>
    </w:p>
    <w:p>
      <w:pPr>
        <w:numPr>
          <w:ilvl w:val="0"/>
          <w:numId w:val="6"/>
        </w:numPr>
        <w:spacing w:line="480" w:lineRule="auto"/>
        <w:ind w:left="0" w:leftChars="0" w:firstLine="0"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Which of these do you consider a barrier to effective hand hygiene in Federal medical centre, Umuahia?</w:t>
      </w:r>
    </w:p>
    <w:p>
      <w:pPr>
        <w:numPr>
          <w:ilvl w:val="0"/>
          <w:numId w:val="7"/>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lack of knowledge (  )</w:t>
      </w:r>
      <w:r>
        <w:rPr>
          <w:rFonts w:hint="default" w:ascii="Times New Roman" w:hAnsi="Times New Roman" w:cs="Times New Roman"/>
          <w:sz w:val="24"/>
          <w:szCs w:val="24"/>
          <w:lang w:val="en-US"/>
        </w:rPr>
        <w:tab/>
      </w:r>
    </w:p>
    <w:p>
      <w:pPr>
        <w:numPr>
          <w:ilvl w:val="0"/>
          <w:numId w:val="7"/>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Incorrect behaviour patterns (  )</w:t>
      </w:r>
      <w:r>
        <w:rPr>
          <w:rFonts w:hint="default" w:ascii="Times New Roman" w:hAnsi="Times New Roman" w:cs="Times New Roman"/>
          <w:sz w:val="24"/>
          <w:szCs w:val="24"/>
          <w:lang w:val="en-US"/>
        </w:rPr>
        <w:tab/>
      </w:r>
    </w:p>
    <w:p>
      <w:pPr>
        <w:numPr>
          <w:ilvl w:val="0"/>
          <w:numId w:val="7"/>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Insufficient training</w:t>
      </w:r>
      <w:r>
        <w:rPr>
          <w:rFonts w:hint="default" w:ascii="Times New Roman" w:hAnsi="Times New Roman" w:cs="Times New Roman"/>
          <w:sz w:val="24"/>
          <w:szCs w:val="24"/>
          <w:lang w:val="en-US"/>
        </w:rPr>
        <w:tab/>
      </w:r>
      <w:r>
        <w:rPr>
          <w:rFonts w:hint="default" w:ascii="Times New Roman" w:hAnsi="Times New Roman" w:cs="Times New Roman"/>
          <w:sz w:val="24"/>
          <w:szCs w:val="24"/>
          <w:lang w:val="en-US"/>
        </w:rPr>
        <w:t>(  )</w:t>
      </w:r>
      <w:r>
        <w:rPr>
          <w:rFonts w:hint="default" w:ascii="Times New Roman" w:hAnsi="Times New Roman" w:cs="Times New Roman"/>
          <w:sz w:val="24"/>
          <w:szCs w:val="24"/>
          <w:lang w:val="en-US"/>
        </w:rPr>
        <w:tab/>
      </w:r>
    </w:p>
    <w:p>
      <w:pPr>
        <w:numPr>
          <w:ilvl w:val="0"/>
          <w:numId w:val="7"/>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Poorly designed wards(  )</w:t>
      </w:r>
      <w:r>
        <w:rPr>
          <w:rFonts w:hint="default" w:ascii="Times New Roman" w:hAnsi="Times New Roman" w:cs="Times New Roman"/>
          <w:sz w:val="24"/>
          <w:szCs w:val="24"/>
          <w:lang w:val="en-US"/>
        </w:rPr>
        <w:tab/>
      </w:r>
    </w:p>
    <w:p>
      <w:pPr>
        <w:numPr>
          <w:ilvl w:val="0"/>
          <w:numId w:val="7"/>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Low-quality hygiene equipment(  )</w:t>
      </w:r>
      <w:r>
        <w:rPr>
          <w:rFonts w:hint="default" w:ascii="Times New Roman" w:hAnsi="Times New Roman" w:cs="Times New Roman"/>
          <w:sz w:val="24"/>
          <w:szCs w:val="24"/>
          <w:lang w:val="en-US"/>
        </w:rPr>
        <w:tab/>
      </w:r>
    </w:p>
    <w:p>
      <w:pPr>
        <w:numPr>
          <w:ilvl w:val="0"/>
          <w:numId w:val="7"/>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Inadequate hygiene supplies(  )</w:t>
      </w:r>
      <w:r>
        <w:rPr>
          <w:rFonts w:hint="default" w:ascii="Times New Roman" w:hAnsi="Times New Roman" w:cs="Times New Roman"/>
          <w:sz w:val="24"/>
          <w:szCs w:val="24"/>
          <w:lang w:val="en-US"/>
        </w:rPr>
        <w:tab/>
      </w:r>
    </w:p>
    <w:p>
      <w:pPr>
        <w:numPr>
          <w:ilvl w:val="0"/>
          <w:numId w:val="7"/>
        </w:numPr>
        <w:spacing w:line="480" w:lineRule="auto"/>
        <w:ind w:left="425" w:leftChars="0" w:hanging="425" w:firstLineChars="0"/>
        <w:jc w:val="both"/>
        <w:rPr>
          <w:rFonts w:hint="default" w:ascii="Times New Roman" w:hAnsi="Times New Roman" w:cs="Times New Roman"/>
          <w:sz w:val="24"/>
          <w:szCs w:val="24"/>
          <w:lang w:val="en-US"/>
        </w:rPr>
      </w:pPr>
      <w:r>
        <w:rPr>
          <w:rFonts w:hint="default" w:ascii="Times New Roman" w:hAnsi="Times New Roman" w:cs="Times New Roman"/>
          <w:sz w:val="24"/>
          <w:szCs w:val="24"/>
          <w:lang w:val="en-US"/>
        </w:rPr>
        <w:t>High workload(  )</w:t>
      </w:r>
      <w:r>
        <w:rPr>
          <w:rFonts w:hint="default" w:ascii="Times New Roman" w:hAnsi="Times New Roman" w:cs="Times New Roman"/>
          <w:sz w:val="24"/>
          <w:szCs w:val="24"/>
          <w:lang w:val="en-US"/>
        </w:rPr>
        <w:tab/>
      </w:r>
    </w:p>
    <w:sectPr>
      <w:footerReference r:id="rId3" w:type="default"/>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Exotc350 Bd BT">
    <w:panose1 w:val="04030805050B02020A03"/>
    <w:charset w:val="00"/>
    <w:family w:val="auto"/>
    <w:pitch w:val="default"/>
    <w:sig w:usb0="800000AF" w:usb1="1000204A" w:usb2="00000000" w:usb3="00000000" w:csb0="00000011" w:csb1="00000000"/>
  </w:font>
  <w:font w:name="Verdana">
    <w:panose1 w:val="020B0604030504040204"/>
    <w:charset w:val="00"/>
    <w:family w:val="auto"/>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zSVju0AAAAAUBAAAP&#10;AAAAAAAAAAEAIAAAACIAAABkcnMvZG93bnJldi54bWxQSwECFAAUAAAACACHTuJAXC3l+iACAABg&#10;BAAADgAAAAAAAAABACAAAAAfAQAAZHJzL2Uyb0RvYy54bWxQSwUGAAAAAAYABgBZAQAAsQU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E4762C"/>
    <w:multiLevelType w:val="singleLevel"/>
    <w:tmpl w:val="C5E4762C"/>
    <w:lvl w:ilvl="0" w:tentative="0">
      <w:start w:val="1"/>
      <w:numFmt w:val="lowerRoman"/>
      <w:lvlText w:val="%1."/>
      <w:lvlJc w:val="left"/>
      <w:pPr>
        <w:tabs>
          <w:tab w:val="left" w:pos="425"/>
        </w:tabs>
        <w:ind w:left="425" w:leftChars="0" w:hanging="425" w:firstLineChars="0"/>
      </w:pPr>
      <w:rPr>
        <w:rFonts w:hint="default"/>
      </w:rPr>
    </w:lvl>
  </w:abstractNum>
  <w:abstractNum w:abstractNumId="1">
    <w:nsid w:val="D50A06D4"/>
    <w:multiLevelType w:val="multilevel"/>
    <w:tmpl w:val="D50A06D4"/>
    <w:lvl w:ilvl="0" w:tentative="0">
      <w:start w:val="1"/>
      <w:numFmt w:val="decimal"/>
      <w:lvlText w:val="%1."/>
      <w:lvlJc w:val="left"/>
      <w:pPr>
        <w:tabs>
          <w:tab w:val="left" w:pos="312"/>
        </w:tabs>
        <w:ind w:left="0" w:leftChars="0" w:firstLine="0" w:firstLineChars="0"/>
      </w:pPr>
      <w:rPr>
        <w:rFonts w:hint="default"/>
      </w:rPr>
    </w:lvl>
    <w:lvl w:ilvl="1" w:tentative="0">
      <w:start w:val="1"/>
      <w:numFmt w:val="decimal"/>
      <w:lvlText w:val="%1.%2."/>
      <w:lvlJc w:val="left"/>
      <w:pPr>
        <w:tabs>
          <w:tab w:val="left" w:pos="312"/>
        </w:tabs>
        <w:ind w:left="0" w:leftChars="0" w:firstLine="0" w:firstLineChars="0"/>
      </w:pPr>
      <w:rPr>
        <w:rFonts w:hint="default"/>
      </w:rPr>
    </w:lvl>
    <w:lvl w:ilvl="2" w:tentative="0">
      <w:start w:val="1"/>
      <w:numFmt w:val="decimal"/>
      <w:lvlText w:val="%1.%2.%3."/>
      <w:lvlJc w:val="left"/>
      <w:pPr>
        <w:tabs>
          <w:tab w:val="left" w:pos="312"/>
        </w:tabs>
        <w:ind w:left="0" w:leftChars="0" w:firstLine="0" w:firstLineChars="0"/>
      </w:pPr>
      <w:rPr>
        <w:rFonts w:hint="default"/>
      </w:rPr>
    </w:lvl>
    <w:lvl w:ilvl="3" w:tentative="0">
      <w:start w:val="1"/>
      <w:numFmt w:val="decimal"/>
      <w:lvlText w:val="%1.%2.%3.%4."/>
      <w:lvlJc w:val="left"/>
      <w:pPr>
        <w:tabs>
          <w:tab w:val="left" w:pos="312"/>
        </w:tabs>
        <w:ind w:left="0" w:leftChars="0" w:firstLine="0" w:firstLineChars="0"/>
      </w:pPr>
      <w:rPr>
        <w:rFonts w:hint="default"/>
      </w:rPr>
    </w:lvl>
    <w:lvl w:ilvl="4" w:tentative="0">
      <w:start w:val="1"/>
      <w:numFmt w:val="decimal"/>
      <w:lvlText w:val="%1.%2.%3.%4.%5."/>
      <w:lvlJc w:val="left"/>
      <w:pPr>
        <w:tabs>
          <w:tab w:val="left" w:pos="312"/>
        </w:tabs>
        <w:ind w:left="0" w:leftChars="0" w:firstLine="0" w:firstLineChars="0"/>
      </w:pPr>
      <w:rPr>
        <w:rFonts w:hint="default"/>
      </w:rPr>
    </w:lvl>
    <w:lvl w:ilvl="5" w:tentative="0">
      <w:start w:val="1"/>
      <w:numFmt w:val="decimal"/>
      <w:lvlText w:val="%1.%2.%3.%4.%5.%6."/>
      <w:lvlJc w:val="left"/>
      <w:pPr>
        <w:tabs>
          <w:tab w:val="left" w:pos="312"/>
        </w:tabs>
        <w:ind w:left="0" w:leftChars="0" w:firstLine="0" w:firstLineChars="0"/>
      </w:pPr>
      <w:rPr>
        <w:rFonts w:hint="default"/>
      </w:rPr>
    </w:lvl>
    <w:lvl w:ilvl="6" w:tentative="0">
      <w:start w:val="1"/>
      <w:numFmt w:val="decimal"/>
      <w:lvlText w:val="%1.%2.%3.%4.%5.%6.%7."/>
      <w:lvlJc w:val="left"/>
      <w:pPr>
        <w:tabs>
          <w:tab w:val="left" w:pos="312"/>
        </w:tabs>
        <w:ind w:left="0" w:leftChars="0" w:firstLine="0" w:firstLineChars="0"/>
      </w:pPr>
      <w:rPr>
        <w:rFonts w:hint="default"/>
      </w:rPr>
    </w:lvl>
    <w:lvl w:ilvl="7" w:tentative="0">
      <w:start w:val="1"/>
      <w:numFmt w:val="decimal"/>
      <w:lvlText w:val="%1.%2.%3.%4.%5.%6.%7.%8."/>
      <w:lvlJc w:val="left"/>
      <w:pPr>
        <w:tabs>
          <w:tab w:val="left" w:pos="312"/>
        </w:tabs>
        <w:ind w:left="0" w:leftChars="0" w:firstLine="0" w:firstLineChars="0"/>
      </w:pPr>
      <w:rPr>
        <w:rFonts w:hint="default"/>
      </w:rPr>
    </w:lvl>
    <w:lvl w:ilvl="8" w:tentative="0">
      <w:start w:val="1"/>
      <w:numFmt w:val="decimal"/>
      <w:lvlText w:val="%1.%2.%3.%4.%5.%6.%7.%8.%9."/>
      <w:lvlJc w:val="left"/>
      <w:pPr>
        <w:tabs>
          <w:tab w:val="left" w:pos="312"/>
        </w:tabs>
        <w:ind w:left="0" w:leftChars="0" w:firstLine="0" w:firstLineChars="0"/>
      </w:pPr>
      <w:rPr>
        <w:rFonts w:hint="default"/>
      </w:rPr>
    </w:lvl>
  </w:abstractNum>
  <w:abstractNum w:abstractNumId="2">
    <w:nsid w:val="E287C4BF"/>
    <w:multiLevelType w:val="singleLevel"/>
    <w:tmpl w:val="E287C4BF"/>
    <w:lvl w:ilvl="0" w:tentative="0">
      <w:start w:val="1"/>
      <w:numFmt w:val="decimal"/>
      <w:suff w:val="space"/>
      <w:lvlText w:val="%1."/>
      <w:lvlJc w:val="left"/>
    </w:lvl>
  </w:abstractNum>
  <w:abstractNum w:abstractNumId="3">
    <w:nsid w:val="E4BB800A"/>
    <w:multiLevelType w:val="singleLevel"/>
    <w:tmpl w:val="E4BB800A"/>
    <w:lvl w:ilvl="0" w:tentative="0">
      <w:start w:val="1"/>
      <w:numFmt w:val="decimal"/>
      <w:lvlText w:val="%1."/>
      <w:lvlJc w:val="left"/>
      <w:pPr>
        <w:tabs>
          <w:tab w:val="left" w:pos="425"/>
        </w:tabs>
        <w:ind w:left="425" w:leftChars="0" w:hanging="425" w:firstLineChars="0"/>
      </w:pPr>
      <w:rPr>
        <w:rFonts w:hint="default"/>
      </w:rPr>
    </w:lvl>
  </w:abstractNum>
  <w:abstractNum w:abstractNumId="4">
    <w:nsid w:val="3A333AA5"/>
    <w:multiLevelType w:val="singleLevel"/>
    <w:tmpl w:val="3A333AA5"/>
    <w:lvl w:ilvl="0" w:tentative="0">
      <w:start w:val="1"/>
      <w:numFmt w:val="lowerRoman"/>
      <w:lvlText w:val="%1."/>
      <w:lvlJc w:val="left"/>
      <w:pPr>
        <w:tabs>
          <w:tab w:val="left" w:pos="425"/>
        </w:tabs>
        <w:ind w:left="425" w:leftChars="0" w:hanging="425" w:firstLineChars="0"/>
      </w:pPr>
      <w:rPr>
        <w:rFonts w:hint="default"/>
      </w:rPr>
    </w:lvl>
  </w:abstractNum>
  <w:abstractNum w:abstractNumId="5">
    <w:nsid w:val="50967B05"/>
    <w:multiLevelType w:val="singleLevel"/>
    <w:tmpl w:val="50967B05"/>
    <w:lvl w:ilvl="0" w:tentative="0">
      <w:start w:val="1"/>
      <w:numFmt w:val="decimal"/>
      <w:suff w:val="space"/>
      <w:lvlText w:val="%1."/>
      <w:lvlJc w:val="left"/>
    </w:lvl>
  </w:abstractNum>
  <w:abstractNum w:abstractNumId="6">
    <w:nsid w:val="50DAA137"/>
    <w:multiLevelType w:val="singleLevel"/>
    <w:tmpl w:val="50DAA137"/>
    <w:lvl w:ilvl="0" w:tentative="0">
      <w:start w:val="1"/>
      <w:numFmt w:val="lowerRoman"/>
      <w:lvlText w:val="%1."/>
      <w:lvlJc w:val="left"/>
      <w:pPr>
        <w:tabs>
          <w:tab w:val="left" w:pos="425"/>
        </w:tabs>
        <w:ind w:left="425" w:leftChars="0" w:hanging="425" w:firstLineChars="0"/>
      </w:pPr>
      <w:rPr>
        <w:rFonts w:hint="default"/>
      </w:rPr>
    </w:lvl>
  </w:abstractNum>
  <w:num w:numId="1">
    <w:abstractNumId w:val="1"/>
  </w:num>
  <w:num w:numId="2">
    <w:abstractNumId w:val="0"/>
  </w:num>
  <w:num w:numId="3">
    <w:abstractNumId w:val="4"/>
  </w:num>
  <w:num w:numId="4">
    <w:abstractNumId w:val="3"/>
  </w:num>
  <w:num w:numId="5">
    <w:abstractNumId w:val="5"/>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BA5F47"/>
    <w:rsid w:val="00411E37"/>
    <w:rsid w:val="0224089E"/>
    <w:rsid w:val="0B3D18E7"/>
    <w:rsid w:val="107D6C1D"/>
    <w:rsid w:val="10FE3E3A"/>
    <w:rsid w:val="114C5FFC"/>
    <w:rsid w:val="141E15F4"/>
    <w:rsid w:val="17EE16B8"/>
    <w:rsid w:val="187D763D"/>
    <w:rsid w:val="1AEF4BA4"/>
    <w:rsid w:val="1CD661EB"/>
    <w:rsid w:val="20E93F65"/>
    <w:rsid w:val="267E04ED"/>
    <w:rsid w:val="27B04BAD"/>
    <w:rsid w:val="2C060731"/>
    <w:rsid w:val="2D0D7134"/>
    <w:rsid w:val="2D8A61D5"/>
    <w:rsid w:val="330A5007"/>
    <w:rsid w:val="35EE2B08"/>
    <w:rsid w:val="36151587"/>
    <w:rsid w:val="38923464"/>
    <w:rsid w:val="42BA5F47"/>
    <w:rsid w:val="42D72163"/>
    <w:rsid w:val="45D848B4"/>
    <w:rsid w:val="46777E7C"/>
    <w:rsid w:val="4E576000"/>
    <w:rsid w:val="4E5F2F7B"/>
    <w:rsid w:val="554051FA"/>
    <w:rsid w:val="554E6AE1"/>
    <w:rsid w:val="55F76DCF"/>
    <w:rsid w:val="56950ADE"/>
    <w:rsid w:val="57C8621B"/>
    <w:rsid w:val="58353317"/>
    <w:rsid w:val="59FA6C27"/>
    <w:rsid w:val="63702F31"/>
    <w:rsid w:val="65C6361E"/>
    <w:rsid w:val="677C4750"/>
    <w:rsid w:val="701B3321"/>
    <w:rsid w:val="7E942A46"/>
    <w:rsid w:val="7FD022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paragraph" w:styleId="2">
    <w:name w:val="heading 1"/>
    <w:next w:val="1"/>
    <w:unhideWhenUsed/>
    <w:qFormat/>
    <w:uiPriority w:val="9"/>
    <w:pPr>
      <w:keepNext/>
      <w:keepLines/>
      <w:spacing w:after="249" w:line="247" w:lineRule="auto"/>
      <w:ind w:left="43" w:hanging="10"/>
      <w:jc w:val="both"/>
      <w:outlineLvl w:val="0"/>
    </w:pPr>
    <w:rPr>
      <w:rFonts w:ascii="Arial" w:hAnsi="Arial" w:eastAsia="Arial" w:cs="Arial"/>
      <w:b/>
      <w:color w:val="000000"/>
      <w:sz w:val="23"/>
      <w:szCs w:val="22"/>
      <w:lang w:val="en-US" w:eastAsia="en-US" w:bidi="ar-SA"/>
    </w:rPr>
  </w:style>
  <w:style w:type="character" w:default="1" w:styleId="3">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tabs>
        <w:tab w:val="center" w:pos="4153"/>
        <w:tab w:val="right" w:pos="8306"/>
      </w:tabs>
      <w:snapToGrid w:val="0"/>
    </w:pPr>
    <w:rPr>
      <w:sz w:val="18"/>
      <w:szCs w:val="18"/>
    </w:rPr>
  </w:style>
  <w:style w:type="character" w:styleId="7">
    <w:name w:val="Hyperlink"/>
    <w:basedOn w:val="3"/>
    <w:qFormat/>
    <w:uiPriority w:val="0"/>
    <w:rPr>
      <w:color w:val="0000FF"/>
      <w:u w:val="single"/>
    </w:rPr>
  </w:style>
  <w:style w:type="table" w:styleId="8">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9">
    <w:name w:val="No Spacing"/>
    <w:qFormat/>
    <w:uiPriority w:val="1"/>
    <w:pPr>
      <w:spacing w:after="0" w:line="240" w:lineRule="auto"/>
    </w:pPr>
    <w:rPr>
      <w:rFonts w:asciiTheme="minorHAnsi" w:hAnsiTheme="minorHAnsi" w:eastAsiaTheme="minorHAnsi" w:cstheme="minorBidi"/>
      <w:sz w:val="22"/>
      <w:szCs w:val="2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package" Target="../embeddings/Workbook2.xlsx"/></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Workbook1.xlsx"/></Relationships>
</file>

<file path=word/charts/_rels/chart3.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package" Target="../embeddings/Workbook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en-US" sz="1400" b="0" i="0" u="none" strike="noStrike" kern="1200" spc="0" baseline="0">
                <a:solidFill>
                  <a:schemeClr val="tx1">
                    <a:lumMod val="65000"/>
                    <a:lumOff val="35000"/>
                  </a:schemeClr>
                </a:solidFill>
                <a:latin typeface="+mn-lt"/>
                <a:ea typeface="+mn-ea"/>
                <a:cs typeface="+mn-cs"/>
              </a:defRPr>
            </a:pPr>
            <a:r>
              <a:t>Participants information</a:t>
            </a:r>
          </a:p>
        </c:rich>
      </c:tx>
      <c:layout/>
      <c:overlay val="0"/>
      <c:spPr>
        <a:noFill/>
        <a:ln>
          <a:noFill/>
        </a:ln>
        <a:effectLst/>
      </c:spPr>
    </c:title>
    <c:autoTitleDeleted val="0"/>
    <c:plotArea>
      <c:layout/>
      <c:barChart>
        <c:barDir val="bar"/>
        <c:grouping val="clustered"/>
        <c:varyColors val="0"/>
        <c:ser>
          <c:idx val="0"/>
          <c:order val="0"/>
          <c:tx>
            <c:strRef>
              <c:f>Sheet1!$B$1</c:f>
              <c:strCache>
                <c:ptCount val="1"/>
                <c:pt idx="0">
                  <c:v>Series 1</c:v>
                </c:pt>
              </c:strCache>
            </c:strRef>
          </c:tx>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en-US"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1"/>
                </a:solidFill>
                <a:prstDash val="sysDot"/>
              </a:ln>
              <a:effectLst/>
            </c:spPr>
            <c:trendlineType val="linear"/>
            <c:dispRSqr val="0"/>
            <c:dispEq val="0"/>
          </c:trendline>
          <c:cat>
            <c:strRef>
              <c:f>Sheet1!$A$2:$A$5</c:f>
              <c:strCache>
                <c:ptCount val="4"/>
                <c:pt idx="0">
                  <c:v>Gender</c:v>
                </c:pt>
                <c:pt idx="1">
                  <c:v>Age</c:v>
                </c:pt>
                <c:pt idx="2">
                  <c:v>Training</c:v>
                </c:pt>
                <c:pt idx="3">
                  <c:v>Work experience</c:v>
                </c:pt>
              </c:strCache>
            </c:strRef>
          </c:cat>
          <c:val>
            <c:numRef>
              <c:f>Sheet1!$B$2:$B$5</c:f>
              <c:numCache>
                <c:formatCode>General</c:formatCode>
                <c:ptCount val="4"/>
                <c:pt idx="0">
                  <c:v>36</c:v>
                </c:pt>
                <c:pt idx="1">
                  <c:v>64</c:v>
                </c:pt>
                <c:pt idx="2">
                  <c:v>68</c:v>
                </c:pt>
                <c:pt idx="3">
                  <c:v>32</c:v>
                </c:pt>
              </c:numCache>
            </c:numRef>
          </c:val>
        </c:ser>
        <c:ser>
          <c:idx val="1"/>
          <c:order val="1"/>
          <c:tx>
            <c:strRef>
              <c:f>Sheet1!$C$1</c:f>
              <c:strCache>
                <c:ptCount val="1"/>
                <c:pt idx="0">
                  <c:v>Series 2</c:v>
                </c:pt>
              </c:strCache>
            </c:strRef>
          </c:tx>
          <c:spPr>
            <a:solidFill>
              <a:schemeClr val="accent2"/>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en-US"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2"/>
                </a:solidFill>
                <a:prstDash val="sysDot"/>
              </a:ln>
              <a:effectLst/>
            </c:spPr>
            <c:trendlineType val="poly"/>
            <c:order val="2"/>
            <c:dispRSqr val="0"/>
            <c:dispEq val="0"/>
          </c:trendline>
          <c:cat>
            <c:strRef>
              <c:f>Sheet1!$A$2:$A$5</c:f>
              <c:strCache>
                <c:ptCount val="4"/>
                <c:pt idx="0">
                  <c:v>Gender</c:v>
                </c:pt>
                <c:pt idx="1">
                  <c:v>Age</c:v>
                </c:pt>
                <c:pt idx="2">
                  <c:v>Training</c:v>
                </c:pt>
                <c:pt idx="3">
                  <c:v>Work experience</c:v>
                </c:pt>
              </c:strCache>
            </c:strRef>
          </c:cat>
          <c:val>
            <c:numRef>
              <c:f>Sheet1!$C$2:$C$5</c:f>
              <c:numCache>
                <c:formatCode>General</c:formatCode>
                <c:ptCount val="4"/>
                <c:pt idx="0">
                  <c:v>64</c:v>
                </c:pt>
                <c:pt idx="1">
                  <c:v>28</c:v>
                </c:pt>
                <c:pt idx="2">
                  <c:v>32</c:v>
                </c:pt>
                <c:pt idx="3">
                  <c:v>16</c:v>
                </c:pt>
              </c:numCache>
            </c:numRef>
          </c:val>
        </c:ser>
        <c:ser>
          <c:idx val="2"/>
          <c:order val="2"/>
          <c:tx>
            <c:strRef>
              <c:f>Sheet1!$D$1</c:f>
              <c:strCache>
                <c:ptCount val="1"/>
                <c:pt idx="0">
                  <c:v>Series 3</c:v>
                </c:pt>
              </c:strCache>
            </c:strRef>
          </c:tx>
          <c:spPr>
            <a:solidFill>
              <a:schemeClr val="accent3"/>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en-US"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trendline>
            <c:spPr>
              <a:ln w="19050" cap="rnd">
                <a:solidFill>
                  <a:schemeClr val="accent3"/>
                </a:solidFill>
                <a:prstDash val="sysDot"/>
              </a:ln>
              <a:effectLst/>
            </c:spPr>
            <c:trendlineType val="poly"/>
            <c:order val="2"/>
            <c:dispRSqr val="0"/>
            <c:dispEq val="0"/>
          </c:trendline>
          <c:cat>
            <c:strRef>
              <c:f>Sheet1!$A$2:$A$5</c:f>
              <c:strCache>
                <c:ptCount val="4"/>
                <c:pt idx="0">
                  <c:v>Gender</c:v>
                </c:pt>
                <c:pt idx="1">
                  <c:v>Age</c:v>
                </c:pt>
                <c:pt idx="2">
                  <c:v>Training</c:v>
                </c:pt>
                <c:pt idx="3">
                  <c:v>Work experience</c:v>
                </c:pt>
              </c:strCache>
            </c:strRef>
          </c:cat>
          <c:val>
            <c:numRef>
              <c:f>Sheet1!$D$2:$D$5</c:f>
              <c:numCache>
                <c:formatCode>General</c:formatCode>
                <c:ptCount val="4"/>
                <c:pt idx="0">
                  <c:v>0</c:v>
                </c:pt>
                <c:pt idx="1">
                  <c:v>8</c:v>
                </c:pt>
                <c:pt idx="2">
                  <c:v>0</c:v>
                </c:pt>
                <c:pt idx="3">
                  <c:v>52</c:v>
                </c:pt>
              </c:numCache>
            </c:numRef>
          </c:val>
        </c:ser>
        <c:dLbls>
          <c:showLegendKey val="0"/>
          <c:showVal val="1"/>
          <c:showCatName val="0"/>
          <c:showSerName val="0"/>
          <c:showPercent val="0"/>
          <c:showBubbleSize val="0"/>
        </c:dLbls>
        <c:gapWidth val="182"/>
        <c:overlap val="0"/>
        <c:axId val="907325189"/>
        <c:axId val="945600317"/>
      </c:barChart>
      <c:catAx>
        <c:axId val="907325189"/>
        <c:scaling>
          <c:orientation val="minMax"/>
        </c:scaling>
        <c:delete val="0"/>
        <c:axPos val="l"/>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p>
        </c:txPr>
        <c:crossAx val="945600317"/>
        <c:crosses val="autoZero"/>
        <c:auto val="1"/>
        <c:lblAlgn val="ctr"/>
        <c:lblOffset val="100"/>
        <c:noMultiLvlLbl val="0"/>
      </c:catAx>
      <c:valAx>
        <c:axId val="945600317"/>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p>
        </c:txPr>
        <c:crossAx val="90732518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en-US"/>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effectLst/>
      </c:spPr>
    </c:floor>
    <c:sideWall>
      <c:thickness val="0"/>
      <c:spPr>
        <a:noFill/>
        <a:effectLst/>
      </c:spPr>
    </c:sideWall>
    <c:backWall>
      <c:thickness val="0"/>
      <c:spPr>
        <a:noFill/>
        <a:effectLst/>
      </c:spPr>
    </c:backWall>
    <c:plotArea>
      <c:layout>
        <c:manualLayout>
          <c:layoutTarget val="inner"/>
          <c:xMode val="edge"/>
          <c:yMode val="edge"/>
          <c:x val="0.0155312389692905"/>
          <c:y val="0.0121212121212121"/>
          <c:w val="0.883515707730321"/>
          <c:h val="0.975757575757576"/>
        </c:manualLayout>
      </c:layout>
      <c:pie3DChart>
        <c:varyColors val="1"/>
        <c:ser>
          <c:idx val="0"/>
          <c:order val="0"/>
          <c:tx>
            <c:strRef>
              <c:f>Sheet1!$B$1</c:f>
              <c:strCache>
                <c:ptCount val="1"/>
                <c:pt idx="0">
                  <c:v>Column1</c:v>
                </c:pt>
              </c:strCache>
            </c:strRef>
          </c:tx>
          <c:spPr>
            <a:scene3d>
              <a:camera prst="orthographicFront"/>
              <a:lightRig rig="threePt" dir="t"/>
            </a:scene3d>
            <a:sp3d contourW="25400"/>
          </c:spPr>
          <c:explosion val="0"/>
          <c:dPt>
            <c:idx val="0"/>
            <c:bubble3D val="0"/>
            <c:spPr>
              <a:solidFill>
                <a:schemeClr val="accent2"/>
              </a:solidFill>
              <a:ln w="25400">
                <a:solidFill>
                  <a:schemeClr val="lt1"/>
                </a:solidFill>
              </a:ln>
              <a:effectLst/>
              <a:scene3d>
                <a:camera prst="orthographicFront"/>
                <a:lightRig rig="threePt" dir="t"/>
              </a:scene3d>
              <a:sp3d contourW="25400"/>
            </c:spPr>
          </c:dPt>
          <c:dPt>
            <c:idx val="1"/>
            <c:bubble3D val="0"/>
            <c:spPr>
              <a:solidFill>
                <a:schemeClr val="accent4"/>
              </a:solidFill>
              <a:ln w="25400">
                <a:solidFill>
                  <a:schemeClr val="lt1"/>
                </a:solidFill>
              </a:ln>
              <a:effectLst/>
              <a:scene3d>
                <a:camera prst="orthographicFront"/>
                <a:lightRig rig="threePt" dir="t"/>
              </a:scene3d>
              <a:sp3d contourW="25400"/>
            </c:spPr>
          </c:dPt>
          <c:dPt>
            <c:idx val="2"/>
            <c:bubble3D val="0"/>
            <c:spPr>
              <a:solidFill>
                <a:schemeClr val="accent6"/>
              </a:solidFill>
              <a:ln w="25400">
                <a:solidFill>
                  <a:schemeClr val="lt1"/>
                </a:solidFill>
              </a:ln>
              <a:effectLst/>
              <a:scene3d>
                <a:camera prst="orthographicFront"/>
                <a:lightRig rig="threePt" dir="t"/>
              </a:scene3d>
              <a:sp3d contourW="25400"/>
            </c:spPr>
          </c:dPt>
          <c:dLbls>
            <c:delete val="1"/>
          </c:dLbls>
          <c:cat>
            <c:strRef>
              <c:f>Sheet1!$A$2:$A$4</c:f>
              <c:strCache>
                <c:ptCount val="3"/>
                <c:pt idx="0">
                  <c:v>Low</c:v>
                </c:pt>
                <c:pt idx="1">
                  <c:v>Moderate</c:v>
                </c:pt>
                <c:pt idx="2">
                  <c:v>Good</c:v>
                </c:pt>
              </c:strCache>
            </c:strRef>
          </c:cat>
          <c:val>
            <c:numRef>
              <c:f>Sheet1!$B$2:$B$4</c:f>
              <c:numCache>
                <c:formatCode>General</c:formatCode>
                <c:ptCount val="3"/>
                <c:pt idx="0">
                  <c:v>28</c:v>
                </c:pt>
                <c:pt idx="1">
                  <c:v>48</c:v>
                </c:pt>
                <c:pt idx="2">
                  <c:v>24</c:v>
                </c:pt>
              </c:numCache>
            </c:numRef>
          </c:val>
        </c:ser>
        <c:dLbls>
          <c:showLegendKey val="0"/>
          <c:showVal val="0"/>
          <c:showCatName val="0"/>
          <c:showSerName val="0"/>
          <c:showPercent val="0"/>
          <c:showBubbleSize val="0"/>
        </c:dLbls>
      </c:pie3DChart>
      <c:spPr>
        <a:noFill/>
        <a:ln>
          <a:noFill/>
        </a:ln>
        <a:effectLst/>
      </c:spPr>
    </c:plotArea>
    <c:legend>
      <c:legendPos val="r"/>
      <c:layout/>
      <c:overlay val="0"/>
      <c:spPr>
        <a:noFill/>
        <a:ln>
          <a:noFill/>
        </a:ln>
        <a:effectLst/>
      </c:spPr>
      <c:txPr>
        <a:bodyPr rot="0" spcFirstLastPara="0" vertOverflow="ellipsis" vert="horz" wrap="square" anchor="ctr" anchorCtr="1"/>
        <a:lstStyle/>
        <a:p>
          <a:pPr>
            <a:defRPr lang="en-US"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en-US"/>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percentStacked"/>
        <c:varyColors val="0"/>
        <c:ser>
          <c:idx val="0"/>
          <c:order val="0"/>
          <c:tx>
            <c:strRef>
              <c:f>Sheet1!$B$1</c:f>
              <c:strCache>
                <c:ptCount val="1"/>
                <c:pt idx="0">
                  <c:v>Series 1</c:v>
                </c:pt>
              </c:strCache>
            </c:strRef>
          </c:tx>
          <c:spPr>
            <a:gradFill rotWithShape="1">
              <a:gsLst>
                <a:gs pos="0">
                  <a:schemeClr val="accent1">
                    <a:lumMod val="110000"/>
                    <a:satMod val="105000"/>
                    <a:tint val="67000"/>
                  </a:schemeClr>
                </a:gs>
                <a:gs pos="50000">
                  <a:schemeClr val="accent1">
                    <a:lumMod val="105000"/>
                    <a:satMod val="103000"/>
                    <a:tint val="73000"/>
                  </a:schemeClr>
                </a:gs>
                <a:gs pos="100000">
                  <a:schemeClr val="accent1">
                    <a:lumMod val="105000"/>
                    <a:satMod val="109000"/>
                    <a:tint val="81000"/>
                  </a:schemeClr>
                </a:gs>
              </a:gsLst>
              <a:lin ang="5400000" scaled="0"/>
            </a:gradFill>
            <a:ln w="9525" cap="flat" cmpd="sng" algn="ctr">
              <a:solidFill>
                <a:schemeClr val="accent1">
                  <a:shade val="95000"/>
                </a:schemeClr>
              </a:solidFill>
              <a:round/>
            </a:ln>
            <a:effectLst/>
          </c:spPr>
          <c:invertIfNegative val="0"/>
          <c:dLbls>
            <c:delete val="1"/>
          </c:dLbls>
          <c:cat>
            <c:strRef>
              <c:f>Sheet1!$A$2:$A$8</c:f>
              <c:strCache>
                <c:ptCount val="7"/>
                <c:pt idx="0">
                  <c:v>Knowledge</c:v>
                </c:pt>
                <c:pt idx="1">
                  <c:v>Behaviour</c:v>
                </c:pt>
                <c:pt idx="2">
                  <c:v>Training</c:v>
                </c:pt>
                <c:pt idx="3">
                  <c:v>Poor dsigned wards</c:v>
                </c:pt>
                <c:pt idx="4">
                  <c:v>Hygiene equipments</c:v>
                </c:pt>
                <c:pt idx="5">
                  <c:v>Inadequate supplies</c:v>
                </c:pt>
                <c:pt idx="6">
                  <c:v>High workload</c:v>
                </c:pt>
              </c:strCache>
            </c:strRef>
          </c:cat>
          <c:val>
            <c:numRef>
              <c:f>Sheet1!$B$2:$B$8</c:f>
              <c:numCache>
                <c:formatCode>General</c:formatCode>
                <c:ptCount val="7"/>
                <c:pt idx="0">
                  <c:v>16</c:v>
                </c:pt>
                <c:pt idx="1">
                  <c:v>20</c:v>
                </c:pt>
                <c:pt idx="2">
                  <c:v>12</c:v>
                </c:pt>
                <c:pt idx="3">
                  <c:v>36</c:v>
                </c:pt>
                <c:pt idx="4">
                  <c:v>40</c:v>
                </c:pt>
                <c:pt idx="5">
                  <c:v>68</c:v>
                </c:pt>
                <c:pt idx="6">
                  <c:v>56</c:v>
                </c:pt>
              </c:numCache>
            </c:numRef>
          </c:val>
        </c:ser>
        <c:dLbls>
          <c:showLegendKey val="0"/>
          <c:showVal val="0"/>
          <c:showCatName val="0"/>
          <c:showSerName val="0"/>
          <c:showPercent val="0"/>
          <c:showBubbleSize val="0"/>
        </c:dLbls>
        <c:gapWidth val="150"/>
        <c:overlap val="100"/>
        <c:axId val="98292553"/>
        <c:axId val="916660797"/>
      </c:barChart>
      <c:catAx>
        <c:axId val="98292553"/>
        <c:scaling>
          <c:orientation val="minMax"/>
        </c:scaling>
        <c:delete val="0"/>
        <c:axPos val="l"/>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en-US" sz="900" b="0" i="0" u="none" strike="noStrike" kern="1200" baseline="0">
                <a:solidFill>
                  <a:schemeClr val="tx1">
                    <a:lumMod val="50000"/>
                    <a:lumOff val="50000"/>
                  </a:schemeClr>
                </a:solidFill>
                <a:latin typeface="+mn-lt"/>
                <a:ea typeface="+mn-ea"/>
                <a:cs typeface="+mn-cs"/>
              </a:defRPr>
            </a:pPr>
          </a:p>
        </c:txPr>
        <c:crossAx val="916660797"/>
        <c:crosses val="autoZero"/>
        <c:auto val="1"/>
        <c:lblAlgn val="ctr"/>
        <c:lblOffset val="100"/>
        <c:noMultiLvlLbl val="0"/>
      </c:catAx>
      <c:valAx>
        <c:axId val="916660797"/>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0" vertOverflow="ellipsis" vert="horz" wrap="square" anchor="ctr" anchorCtr="1"/>
          <a:lstStyle/>
          <a:p>
            <a:pPr>
              <a:defRPr lang="en-US" sz="900" b="0" i="0" u="none" strike="noStrike" kern="1200" baseline="0">
                <a:solidFill>
                  <a:schemeClr val="tx1">
                    <a:lumMod val="50000"/>
                    <a:lumOff val="50000"/>
                  </a:schemeClr>
                </a:solidFill>
                <a:latin typeface="+mn-lt"/>
                <a:ea typeface="+mn-ea"/>
                <a:cs typeface="+mn-cs"/>
              </a:defRPr>
            </a:pPr>
          </a:p>
        </c:txPr>
        <c:crossAx val="98292553"/>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en-US"/>
      </a:pPr>
    </a:p>
  </c:txPr>
  <c:externalData r:id="rId1">
    <c:autoUpdate val="0"/>
  </c:externalData>
</c:chartSpace>
</file>

<file path=word/charts/colors1.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01">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2024-01-03T08:38:00Z</dcterms:created>
  <dc:creator>drprinxe</dc:creator>
  <cp:lastModifiedBy>user</cp:lastModifiedBy>
  <dcterms:modified xsi:type="dcterms:W3CDTF">2024-01-10T14:11:03Z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69A0E3AED0E3491998E7A7A5CE7E4C6E</vt:lpwstr>
  </property>
</Properties>
</file>