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8" w:lineRule="auto"/>
        <w:jc w:val="center"/>
        <w:rPr>
          <w:color w:val="auto"/>
          <w:sz w:val="20"/>
          <w:szCs w:val="20"/>
        </w:rPr>
      </w:pPr>
      <w:bookmarkStart w:id="85" w:name="_GoBack"/>
      <w:r>
        <w:rPr>
          <w:rFonts w:ascii="Times New Roman" w:hAnsi="Times New Roman" w:eastAsia="Times New Roman" w:cs="Times New Roman"/>
          <w:b/>
          <w:bCs/>
          <w:color w:val="auto"/>
          <w:sz w:val="24"/>
          <w:szCs w:val="24"/>
        </w:rPr>
        <w:t xml:space="preserve">MOLECULAR CHARACTERIZATION OF PATHOGENIC </w:t>
      </w:r>
      <w:r>
        <w:rPr>
          <w:rFonts w:ascii="Times New Roman" w:hAnsi="Times New Roman" w:eastAsia="Times New Roman" w:cs="Times New Roman"/>
          <w:b/>
          <w:bCs/>
          <w:i/>
          <w:iCs/>
          <w:color w:val="auto"/>
          <w:sz w:val="24"/>
          <w:szCs w:val="24"/>
        </w:rPr>
        <w:t>ESCHERICHIA COLI</w:t>
      </w:r>
      <w:bookmarkEnd w:id="85"/>
      <w:r>
        <w:rPr>
          <w:rFonts w:ascii="Times New Roman" w:hAnsi="Times New Roman" w:eastAsia="Times New Roman" w:cs="Times New Roman"/>
          <w:b/>
          <w:bCs/>
          <w:color w:val="auto"/>
          <w:sz w:val="24"/>
          <w:szCs w:val="24"/>
        </w:rPr>
        <w:t xml:space="preserve"> IN</w:t>
      </w:r>
      <w:r>
        <w:rPr>
          <w:rFonts w:hint="default" w:ascii="Times New Roman" w:hAnsi="Times New Roman" w:eastAsia="Times New Roman" w:cs="Times New Roman"/>
          <w:b/>
          <w:bCs/>
          <w:color w:val="auto"/>
          <w:sz w:val="24"/>
          <w:szCs w:val="24"/>
          <w:lang w:val="en-US"/>
        </w:rPr>
        <w:t xml:space="preserve"> </w:t>
      </w:r>
      <w:r>
        <w:rPr>
          <w:rFonts w:ascii="Times New Roman" w:hAnsi="Times New Roman" w:eastAsia="Times New Roman" w:cs="Times New Roman"/>
          <w:b/>
          <w:bCs/>
          <w:color w:val="auto"/>
          <w:sz w:val="24"/>
          <w:szCs w:val="24"/>
        </w:rPr>
        <w:t>READY-TO-EAT GAME MEAT AND FRESH PRODUCE FROM SOUTHWESTERN REGION OF NIGERIA</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400" w:lineRule="exact"/>
        <w:rPr>
          <w:color w:val="auto"/>
          <w:sz w:val="24"/>
          <w:szCs w:val="24"/>
        </w:rPr>
      </w:pPr>
    </w:p>
    <w:tbl>
      <w:tblPr>
        <w:tblStyle w:val="3"/>
        <w:tblW w:w="0" w:type="auto"/>
        <w:tblInd w:w="0" w:type="dxa"/>
        <w:tblLayout w:type="fixed"/>
        <w:tblCellMar>
          <w:top w:w="0" w:type="dxa"/>
          <w:left w:w="0" w:type="dxa"/>
          <w:bottom w:w="0" w:type="dxa"/>
          <w:right w:w="0" w:type="dxa"/>
        </w:tblCellMar>
      </w:tblPr>
      <w:tblGrid>
        <w:gridCol w:w="140"/>
        <w:gridCol w:w="700"/>
        <w:gridCol w:w="8280"/>
        <w:gridCol w:w="260"/>
      </w:tblGrid>
      <w:tr>
        <w:tblPrEx>
          <w:tblCellMar>
            <w:top w:w="0" w:type="dxa"/>
            <w:left w:w="0" w:type="dxa"/>
            <w:bottom w:w="0" w:type="dxa"/>
            <w:right w:w="0" w:type="dxa"/>
          </w:tblCellMar>
        </w:tblPrEx>
        <w:trPr>
          <w:trHeight w:val="276" w:hRule="atLeast"/>
        </w:trPr>
        <w:tc>
          <w:tcPr>
            <w:tcW w:w="140" w:type="dxa"/>
            <w:vAlign w:val="bottom"/>
          </w:tcPr>
          <w:p>
            <w:pPr>
              <w:spacing w:after="0"/>
              <w:rPr>
                <w:color w:val="auto"/>
                <w:sz w:val="23"/>
                <w:szCs w:val="23"/>
              </w:rPr>
            </w:pPr>
            <w:bookmarkStart w:id="0" w:name="page6"/>
            <w:bookmarkEnd w:id="0"/>
          </w:p>
        </w:tc>
        <w:tc>
          <w:tcPr>
            <w:tcW w:w="700" w:type="dxa"/>
            <w:vAlign w:val="bottom"/>
          </w:tcPr>
          <w:p>
            <w:pPr>
              <w:spacing w:after="0"/>
              <w:rPr>
                <w:color w:val="auto"/>
                <w:sz w:val="23"/>
                <w:szCs w:val="23"/>
              </w:rPr>
            </w:pPr>
          </w:p>
        </w:tc>
        <w:tc>
          <w:tcPr>
            <w:tcW w:w="8280" w:type="dxa"/>
            <w:vAlign w:val="bottom"/>
          </w:tcPr>
          <w:p>
            <w:pPr>
              <w:spacing w:after="0"/>
              <w:ind w:right="3119"/>
              <w:jc w:val="right"/>
              <w:rPr>
                <w:color w:val="auto"/>
                <w:sz w:val="20"/>
                <w:szCs w:val="20"/>
              </w:rPr>
            </w:pPr>
            <w:r>
              <w:rPr>
                <w:rFonts w:ascii="Times New Roman" w:hAnsi="Times New Roman" w:eastAsia="Times New Roman" w:cs="Times New Roman"/>
                <w:color w:val="auto"/>
                <w:sz w:val="24"/>
                <w:szCs w:val="24"/>
              </w:rPr>
              <w:t>TABLE OF CONTENTS</w:t>
            </w:r>
          </w:p>
        </w:tc>
        <w:tc>
          <w:tcPr>
            <w:tcW w:w="260" w:type="dxa"/>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"page2" \h </w:instrText>
            </w:r>
            <w:r>
              <w:fldChar w:fldCharType="separate"/>
            </w:r>
            <w:r>
              <w:rPr>
                <w:rFonts w:ascii="Times New Roman" w:hAnsi="Times New Roman" w:eastAsia="Times New Roman" w:cs="Times New Roman"/>
                <w:color w:val="auto"/>
                <w:w w:val="98"/>
                <w:sz w:val="20"/>
                <w:szCs w:val="20"/>
              </w:rPr>
              <w:t>DECLARATION</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 \h </w:instrText>
            </w:r>
            <w:r>
              <w:fldChar w:fldCharType="separate"/>
            </w:r>
            <w:r>
              <w:rPr>
                <w:rFonts w:ascii="Calibri" w:hAnsi="Calibri" w:eastAsia="Calibri" w:cs="Calibri"/>
                <w:color w:val="auto"/>
                <w:sz w:val="20"/>
                <w:szCs w:val="20"/>
              </w:rPr>
              <w:t>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"page3" \h </w:instrText>
            </w:r>
            <w:r>
              <w:fldChar w:fldCharType="separate"/>
            </w:r>
            <w:r>
              <w:rPr>
                <w:rFonts w:ascii="Times New Roman" w:hAnsi="Times New Roman" w:eastAsia="Times New Roman" w:cs="Times New Roman"/>
                <w:color w:val="auto"/>
                <w:w w:val="98"/>
                <w:sz w:val="20"/>
                <w:szCs w:val="20"/>
              </w:rPr>
              <w:t>CERTIFICATION</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 \h </w:instrText>
            </w:r>
            <w:r>
              <w:fldChar w:fldCharType="separate"/>
            </w:r>
            <w:r>
              <w:rPr>
                <w:rFonts w:ascii="Calibri" w:hAnsi="Calibri" w:eastAsia="Calibri" w:cs="Calibri"/>
                <w:color w:val="auto"/>
                <w:sz w:val="20"/>
                <w:szCs w:val="20"/>
              </w:rPr>
              <w:t>ii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 \h </w:instrText>
            </w:r>
            <w:r>
              <w:fldChar w:fldCharType="separate"/>
            </w:r>
            <w:r>
              <w:rPr>
                <w:rFonts w:ascii="Times New Roman" w:hAnsi="Times New Roman" w:eastAsia="Times New Roman" w:cs="Times New Roman"/>
                <w:color w:val="auto"/>
                <w:w w:val="99"/>
                <w:sz w:val="20"/>
                <w:szCs w:val="20"/>
              </w:rPr>
              <w:t>DEDICATION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 \h </w:instrText>
            </w:r>
            <w:r>
              <w:fldChar w:fldCharType="separate"/>
            </w:r>
            <w:r>
              <w:rPr>
                <w:rFonts w:ascii="Calibri" w:hAnsi="Calibri" w:eastAsia="Calibri" w:cs="Calibri"/>
                <w:color w:val="auto"/>
                <w:sz w:val="20"/>
                <w:szCs w:val="20"/>
              </w:rPr>
              <w:t>iii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"page5" \h </w:instrText>
            </w:r>
            <w:r>
              <w:fldChar w:fldCharType="separate"/>
            </w:r>
            <w:r>
              <w:rPr>
                <w:rFonts w:ascii="Times New Roman" w:hAnsi="Times New Roman" w:eastAsia="Times New Roman" w:cs="Times New Roman"/>
                <w:color w:val="auto"/>
                <w:w w:val="98"/>
                <w:sz w:val="20"/>
                <w:szCs w:val="20"/>
              </w:rPr>
              <w:t>ACKNOWLEDGEMENT</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"page5" \h </w:instrText>
            </w:r>
            <w:r>
              <w:fldChar w:fldCharType="separate"/>
            </w:r>
            <w:r>
              <w:rPr>
                <w:rFonts w:ascii="Calibri" w:hAnsi="Calibri" w:eastAsia="Calibri" w:cs="Calibri"/>
                <w:color w:val="auto"/>
                <w:sz w:val="20"/>
                <w:szCs w:val="20"/>
              </w:rPr>
              <w:t>iv</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"page6" \h </w:instrText>
            </w:r>
            <w:r>
              <w:fldChar w:fldCharType="separate"/>
            </w:r>
            <w:r>
              <w:rPr>
                <w:rFonts w:ascii="Times New Roman" w:hAnsi="Times New Roman" w:eastAsia="Times New Roman" w:cs="Times New Roman"/>
                <w:color w:val="auto"/>
                <w:w w:val="98"/>
                <w:sz w:val="20"/>
                <w:szCs w:val="20"/>
              </w:rPr>
              <w:t>TABLE OF CONTENTS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"page6" \h </w:instrText>
            </w:r>
            <w:r>
              <w:fldChar w:fldCharType="separate"/>
            </w:r>
            <w:r>
              <w:rPr>
                <w:rFonts w:ascii="Calibri" w:hAnsi="Calibri" w:eastAsia="Calibri" w:cs="Calibri"/>
                <w:color w:val="auto"/>
                <w:sz w:val="20"/>
                <w:szCs w:val="20"/>
              </w:rPr>
              <w:t>v</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"page9" \h </w:instrText>
            </w:r>
            <w:r>
              <w:fldChar w:fldCharType="separate"/>
            </w:r>
            <w:r>
              <w:rPr>
                <w:rFonts w:ascii="Times New Roman" w:hAnsi="Times New Roman" w:eastAsia="Times New Roman" w:cs="Times New Roman"/>
                <w:color w:val="auto"/>
                <w:w w:val="99"/>
                <w:sz w:val="20"/>
                <w:szCs w:val="20"/>
              </w:rPr>
              <w:t>LIST OF FIGURES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w w:val="96"/>
                <w:sz w:val="20"/>
                <w:szCs w:val="20"/>
              </w:rPr>
            </w:pPr>
            <w:r>
              <w:fldChar w:fldCharType="begin"/>
            </w:r>
            <w:r>
              <w:instrText xml:space="preserve"> HYPERLINK \l "page9" \h </w:instrText>
            </w:r>
            <w:r>
              <w:fldChar w:fldCharType="separate"/>
            </w:r>
            <w:r>
              <w:rPr>
                <w:rFonts w:ascii="Calibri" w:hAnsi="Calibri" w:eastAsia="Calibri" w:cs="Calibri"/>
                <w:color w:val="auto"/>
                <w:w w:val="96"/>
                <w:sz w:val="20"/>
                <w:szCs w:val="20"/>
              </w:rPr>
              <w:t>viii</w:t>
            </w:r>
            <w:r>
              <w:rPr>
                <w:rFonts w:ascii="Calibri" w:hAnsi="Calibri" w:eastAsia="Calibri" w:cs="Calibri"/>
                <w:color w:val="auto"/>
                <w:w w:val="96"/>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"page10" \h </w:instrText>
            </w:r>
            <w:r>
              <w:fldChar w:fldCharType="separate"/>
            </w:r>
            <w:r>
              <w:rPr>
                <w:rFonts w:ascii="Times New Roman" w:hAnsi="Times New Roman" w:eastAsia="Times New Roman" w:cs="Times New Roman"/>
                <w:color w:val="auto"/>
                <w:w w:val="98"/>
                <w:sz w:val="20"/>
                <w:szCs w:val="20"/>
              </w:rPr>
              <w:t>LIST OF PLATES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"page10" \h </w:instrText>
            </w:r>
            <w:r>
              <w:fldChar w:fldCharType="separate"/>
            </w:r>
            <w:r>
              <w:rPr>
                <w:rFonts w:ascii="Calibri" w:hAnsi="Calibri" w:eastAsia="Calibri" w:cs="Calibri"/>
                <w:color w:val="auto"/>
                <w:sz w:val="20"/>
                <w:szCs w:val="20"/>
              </w:rPr>
              <w:t>ix</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"page11" \h </w:instrText>
            </w:r>
            <w:r>
              <w:fldChar w:fldCharType="separate"/>
            </w:r>
            <w:r>
              <w:rPr>
                <w:rFonts w:ascii="Times New Roman" w:hAnsi="Times New Roman" w:eastAsia="Times New Roman" w:cs="Times New Roman"/>
                <w:color w:val="auto"/>
                <w:w w:val="98"/>
                <w:sz w:val="20"/>
                <w:szCs w:val="20"/>
              </w:rPr>
              <w:t>ABSTRACT</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"page11" \h </w:instrText>
            </w:r>
            <w:r>
              <w:fldChar w:fldCharType="separate"/>
            </w:r>
            <w:r>
              <w:rPr>
                <w:rFonts w:ascii="Calibri" w:hAnsi="Calibri" w:eastAsia="Calibri" w:cs="Calibri"/>
                <w:color w:val="auto"/>
                <w:sz w:val="20"/>
                <w:szCs w:val="20"/>
              </w:rPr>
              <w:t>x</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98"/>
                <w:sz w:val="20"/>
                <w:szCs w:val="20"/>
              </w:rPr>
              <w:t>CHAPTER ONE</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jc w:val="right"/>
              <w:rPr>
                <w:rFonts w:ascii="Times New Roman" w:hAnsi="Times New Roman" w:eastAsia="Times New Roman" w:cs="Times New Roman"/>
                <w:color w:val="auto"/>
                <w:w w:val="79"/>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79"/>
                <w:sz w:val="20"/>
                <w:szCs w:val="20"/>
              </w:rPr>
              <w:t>1</w:t>
            </w:r>
            <w:r>
              <w:rPr>
                <w:rFonts w:ascii="Times New Roman" w:hAnsi="Times New Roman" w:eastAsia="Times New Roman" w:cs="Times New Roman"/>
                <w:color w:val="auto"/>
                <w:w w:val="79"/>
                <w:sz w:val="20"/>
                <w:szCs w:val="20"/>
              </w:rPr>
              <w:fldChar w:fldCharType="end"/>
            </w:r>
          </w:p>
        </w:tc>
        <w:tc>
          <w:tcPr>
            <w:tcW w:w="898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sz w:val="20"/>
                <w:szCs w:val="20"/>
              </w:rPr>
              <w:t>INTRODUCTION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98"/>
                <w:sz w:val="20"/>
                <w:szCs w:val="20"/>
              </w:rPr>
              <w:t>Background of Study</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"page13" \h </w:instrText>
            </w:r>
            <w:r>
              <w:fldChar w:fldCharType="separate"/>
            </w:r>
            <w:r>
              <w:rPr>
                <w:rFonts w:ascii="Times New Roman" w:hAnsi="Times New Roman" w:eastAsia="Times New Roman" w:cs="Times New Roman"/>
                <w:color w:val="auto"/>
                <w:w w:val="98"/>
                <w:sz w:val="20"/>
                <w:szCs w:val="20"/>
              </w:rPr>
              <w:t>Statement of the Problem</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"page13" \h </w:instrText>
            </w:r>
            <w:r>
              <w:fldChar w:fldCharType="separate"/>
            </w:r>
            <w:r>
              <w:rPr>
                <w:rFonts w:ascii="Calibri" w:hAnsi="Calibri" w:eastAsia="Calibri" w:cs="Calibri"/>
                <w:color w:val="auto"/>
                <w:sz w:val="20"/>
                <w:szCs w:val="20"/>
              </w:rPr>
              <w:t>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"page13" \h </w:instrText>
            </w:r>
            <w:r>
              <w:fldChar w:fldCharType="separate"/>
            </w:r>
            <w:r>
              <w:rPr>
                <w:rFonts w:ascii="Times New Roman" w:hAnsi="Times New Roman" w:eastAsia="Times New Roman" w:cs="Times New Roman"/>
                <w:color w:val="auto"/>
                <w:w w:val="98"/>
                <w:sz w:val="20"/>
                <w:szCs w:val="20"/>
              </w:rPr>
              <w:t>Significance of the Study</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"page13" \h </w:instrText>
            </w:r>
            <w:r>
              <w:fldChar w:fldCharType="separate"/>
            </w:r>
            <w:r>
              <w:rPr>
                <w:rFonts w:ascii="Calibri" w:hAnsi="Calibri" w:eastAsia="Calibri" w:cs="Calibri"/>
                <w:color w:val="auto"/>
                <w:sz w:val="20"/>
                <w:szCs w:val="20"/>
              </w:rPr>
              <w:t>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"page14" \h </w:instrText>
            </w:r>
            <w:r>
              <w:fldChar w:fldCharType="separate"/>
            </w:r>
            <w:r>
              <w:rPr>
                <w:rFonts w:ascii="Times New Roman" w:hAnsi="Times New Roman" w:eastAsia="Times New Roman" w:cs="Times New Roman"/>
                <w:color w:val="auto"/>
                <w:w w:val="98"/>
                <w:sz w:val="20"/>
                <w:szCs w:val="20"/>
              </w:rPr>
              <w:t>Aims and Objectives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"page14" \h </w:instrText>
            </w:r>
            <w:r>
              <w:fldChar w:fldCharType="separate"/>
            </w:r>
            <w:r>
              <w:rPr>
                <w:rFonts w:ascii="Calibri" w:hAnsi="Calibri" w:eastAsia="Calibri" w:cs="Calibri"/>
                <w:color w:val="auto"/>
                <w:sz w:val="20"/>
                <w:szCs w:val="20"/>
              </w:rPr>
              <w:t>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98"/>
                <w:sz w:val="20"/>
                <w:szCs w:val="20"/>
              </w:rPr>
              <w:t>CHAPTER TWO</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98"/>
                <w:sz w:val="20"/>
                <w:szCs w:val="20"/>
              </w:rPr>
              <w:t>LITERATURE REVIEW</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jc w:val="right"/>
              <w:rPr>
                <w:rFonts w:ascii="Times New Roman" w:hAnsi="Times New Roman" w:eastAsia="Times New Roman" w:cs="Times New Roman"/>
                <w:color w:val="auto"/>
                <w:w w:val="79"/>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79"/>
                <w:sz w:val="20"/>
                <w:szCs w:val="20"/>
              </w:rPr>
              <w:t>2</w:t>
            </w:r>
            <w:r>
              <w:rPr>
                <w:rFonts w:ascii="Times New Roman" w:hAnsi="Times New Roman" w:eastAsia="Times New Roman" w:cs="Times New Roman"/>
                <w:color w:val="auto"/>
                <w:w w:val="79"/>
                <w:sz w:val="20"/>
                <w:szCs w:val="20"/>
              </w:rPr>
              <w:fldChar w:fldCharType="end"/>
            </w:r>
          </w:p>
        </w:tc>
        <w:tc>
          <w:tcPr>
            <w:tcW w:w="898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sz w:val="20"/>
                <w:szCs w:val="20"/>
              </w:rPr>
              <w:t>BACKGROUND</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sz w:val="20"/>
                <w:szCs w:val="20"/>
              </w:rPr>
              <w:t>2.1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w w:val="98"/>
                <w:sz w:val="20"/>
                <w:szCs w:val="20"/>
              </w:rPr>
              <w:t>Fresh Produce</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"page17" \h </w:instrText>
            </w:r>
            <w:r>
              <w:fldChar w:fldCharType="separate"/>
            </w:r>
            <w:r>
              <w:rPr>
                <w:rFonts w:ascii="Calibri" w:hAnsi="Calibri" w:eastAsia="Calibri" w:cs="Calibri"/>
                <w:color w:val="auto"/>
                <w:sz w:val="20"/>
                <w:szCs w:val="20"/>
              </w:rPr>
              <w:t>6</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sz w:val="20"/>
                <w:szCs w:val="20"/>
              </w:rPr>
              <w:t>2.2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w w:val="98"/>
                <w:sz w:val="20"/>
                <w:szCs w:val="20"/>
              </w:rPr>
              <w:t>Potential Sources of Produce Contamination</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"page17" \h </w:instrText>
            </w:r>
            <w:r>
              <w:fldChar w:fldCharType="separate"/>
            </w:r>
            <w:r>
              <w:rPr>
                <w:rFonts w:ascii="Calibri" w:hAnsi="Calibri" w:eastAsia="Calibri" w:cs="Calibri"/>
                <w:color w:val="auto"/>
                <w:sz w:val="20"/>
                <w:szCs w:val="20"/>
              </w:rPr>
              <w:t>6</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2.2.1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Pre-harvest contamination of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"page18" \h </w:instrText>
            </w:r>
            <w:r>
              <w:fldChar w:fldCharType="separate"/>
            </w:r>
            <w:r>
              <w:rPr>
                <w:rFonts w:ascii="Calibri" w:hAnsi="Calibri" w:eastAsia="Calibri" w:cs="Calibri"/>
                <w:color w:val="auto"/>
                <w:sz w:val="20"/>
                <w:szCs w:val="20"/>
              </w:rPr>
              <w:t>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2.2.2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Post-harvest contamination of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"page18" \h </w:instrText>
            </w:r>
            <w:r>
              <w:fldChar w:fldCharType="separate"/>
            </w:r>
            <w:r>
              <w:rPr>
                <w:rFonts w:ascii="Calibri" w:hAnsi="Calibri" w:eastAsia="Calibri" w:cs="Calibri"/>
                <w:color w:val="auto"/>
                <w:sz w:val="20"/>
                <w:szCs w:val="20"/>
              </w:rPr>
              <w:t>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"page20" \h </w:instrText>
            </w:r>
            <w:r>
              <w:fldChar w:fldCharType="separate"/>
            </w:r>
            <w:r>
              <w:rPr>
                <w:rFonts w:ascii="Times New Roman" w:hAnsi="Times New Roman" w:eastAsia="Times New Roman" w:cs="Times New Roman"/>
                <w:color w:val="auto"/>
                <w:sz w:val="20"/>
                <w:szCs w:val="20"/>
              </w:rPr>
              <w:t>2.2.3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"page20" \h </w:instrText>
            </w:r>
            <w:r>
              <w:fldChar w:fldCharType="separate"/>
            </w:r>
            <w:r>
              <w:rPr>
                <w:rFonts w:ascii="Times New Roman" w:hAnsi="Times New Roman" w:eastAsia="Times New Roman" w:cs="Times New Roman"/>
                <w:color w:val="auto"/>
                <w:sz w:val="20"/>
                <w:szCs w:val="20"/>
              </w:rPr>
              <w:t>Outbreaks Linked to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"page20" \h </w:instrText>
            </w:r>
            <w:r>
              <w:fldChar w:fldCharType="separate"/>
            </w:r>
            <w:r>
              <w:rPr>
                <w:rFonts w:ascii="Calibri" w:hAnsi="Calibri" w:eastAsia="Calibri" w:cs="Calibri"/>
                <w:color w:val="auto"/>
                <w:sz w:val="20"/>
                <w:szCs w:val="20"/>
              </w:rPr>
              <w:t>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"page22" \h </w:instrText>
            </w:r>
            <w:r>
              <w:fldChar w:fldCharType="separate"/>
            </w:r>
            <w:r>
              <w:rPr>
                <w:rFonts w:ascii="Times New Roman" w:hAnsi="Times New Roman" w:eastAsia="Times New Roman" w:cs="Times New Roman"/>
                <w:color w:val="auto"/>
                <w:sz w:val="20"/>
                <w:szCs w:val="20"/>
              </w:rPr>
              <w:t>2.3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"page22" \h </w:instrText>
            </w:r>
            <w:r>
              <w:fldChar w:fldCharType="separate"/>
            </w:r>
            <w:r>
              <w:rPr>
                <w:rFonts w:ascii="Times New Roman" w:hAnsi="Times New Roman" w:eastAsia="Times New Roman" w:cs="Times New Roman"/>
                <w:color w:val="auto"/>
                <w:w w:val="99"/>
                <w:sz w:val="20"/>
                <w:szCs w:val="20"/>
              </w:rPr>
              <w:t>Game Meat</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"page22" \h </w:instrText>
            </w:r>
            <w:r>
              <w:fldChar w:fldCharType="separate"/>
            </w:r>
            <w:r>
              <w:rPr>
                <w:rFonts w:ascii="Calibri" w:hAnsi="Calibri" w:eastAsia="Calibri" w:cs="Calibri"/>
                <w:color w:val="auto"/>
                <w:sz w:val="20"/>
                <w:szCs w:val="20"/>
              </w:rPr>
              <w:t>11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"page23" \h </w:instrText>
            </w:r>
            <w:r>
              <w:fldChar w:fldCharType="separate"/>
            </w:r>
            <w:r>
              <w:rPr>
                <w:rFonts w:ascii="Times New Roman" w:hAnsi="Times New Roman" w:eastAsia="Times New Roman" w:cs="Times New Roman"/>
                <w:color w:val="auto"/>
                <w:sz w:val="20"/>
                <w:szCs w:val="20"/>
              </w:rPr>
              <w:t>2.4</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"page23" \h </w:instrText>
            </w:r>
            <w:r>
              <w:fldChar w:fldCharType="separate"/>
            </w:r>
            <w:r>
              <w:rPr>
                <w:rFonts w:ascii="Times New Roman" w:hAnsi="Times New Roman" w:eastAsia="Times New Roman" w:cs="Times New Roman"/>
                <w:color w:val="auto"/>
                <w:w w:val="99"/>
                <w:sz w:val="20"/>
                <w:szCs w:val="20"/>
              </w:rPr>
              <w:t>Zoonotic Diseases and Risks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"page23" \h </w:instrText>
            </w:r>
            <w:r>
              <w:fldChar w:fldCharType="separate"/>
            </w:r>
            <w:r>
              <w:rPr>
                <w:rFonts w:ascii="Calibri" w:hAnsi="Calibri" w:eastAsia="Calibri" w:cs="Calibri"/>
                <w:color w:val="auto"/>
                <w:sz w:val="20"/>
                <w:szCs w:val="20"/>
              </w:rPr>
              <w:t>12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2.5</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i/>
                <w:iCs/>
                <w:color w:val="auto"/>
                <w:w w:val="99"/>
                <w:sz w:val="20"/>
                <w:szCs w:val="20"/>
              </w:rPr>
            </w:pPr>
            <w:r>
              <w:fldChar w:fldCharType="begin"/>
            </w:r>
            <w:r>
              <w:instrText xml:space="preserve"> HYPERLINK \l "page24" \h </w:instrText>
            </w:r>
            <w:r>
              <w:fldChar w:fldCharType="separate"/>
            </w:r>
            <w:r>
              <w:rPr>
                <w:rFonts w:ascii="Times New Roman" w:hAnsi="Times New Roman" w:eastAsia="Times New Roman" w:cs="Times New Roman"/>
                <w:i/>
                <w:iCs/>
                <w:color w:val="auto"/>
                <w:w w:val="99"/>
                <w:sz w:val="20"/>
                <w:szCs w:val="20"/>
              </w:rPr>
              <w:t>Escherichia coli</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"page24" \h </w:instrText>
            </w:r>
            <w:r>
              <w:fldChar w:fldCharType="separate"/>
            </w:r>
            <w:r>
              <w:rPr>
                <w:rFonts w:ascii="Calibri" w:hAnsi="Calibri" w:eastAsia="Calibri" w:cs="Calibri"/>
                <w:color w:val="auto"/>
                <w:sz w:val="20"/>
                <w:szCs w:val="20"/>
              </w:rPr>
              <w:t>13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2.5.1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Epidemiology</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"page24" \h </w:instrText>
            </w:r>
            <w:r>
              <w:fldChar w:fldCharType="separate"/>
            </w:r>
            <w:r>
              <w:rPr>
                <w:rFonts w:ascii="Calibri" w:hAnsi="Calibri" w:eastAsia="Calibri" w:cs="Calibri"/>
                <w:color w:val="auto"/>
                <w:sz w:val="20"/>
                <w:szCs w:val="20"/>
              </w:rPr>
              <w:t>13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"page26" \h </w:instrText>
            </w:r>
            <w:r>
              <w:fldChar w:fldCharType="separate"/>
            </w:r>
            <w:r>
              <w:rPr>
                <w:rFonts w:ascii="Times New Roman" w:hAnsi="Times New Roman" w:eastAsia="Times New Roman" w:cs="Times New Roman"/>
                <w:color w:val="auto"/>
                <w:sz w:val="20"/>
                <w:szCs w:val="20"/>
              </w:rPr>
              <w:t>2.5.2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"page26" \h </w:instrText>
            </w:r>
            <w:r>
              <w:fldChar w:fldCharType="separate"/>
            </w:r>
            <w:r>
              <w:rPr>
                <w:rFonts w:ascii="Times New Roman" w:hAnsi="Times New Roman" w:eastAsia="Times New Roman" w:cs="Times New Roman"/>
                <w:color w:val="auto"/>
                <w:sz w:val="20"/>
                <w:szCs w:val="20"/>
              </w:rPr>
              <w:t xml:space="preserve">Classification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"page26" \h </w:instrText>
            </w:r>
            <w:r>
              <w:fldChar w:fldCharType="separate"/>
            </w:r>
            <w:r>
              <w:rPr>
                <w:rFonts w:ascii="Calibri" w:hAnsi="Calibri" w:eastAsia="Calibri" w:cs="Calibri"/>
                <w:color w:val="auto"/>
                <w:sz w:val="20"/>
                <w:szCs w:val="20"/>
              </w:rPr>
              <w:t>15</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"page32" \h </w:instrText>
            </w:r>
            <w:r>
              <w:fldChar w:fldCharType="separate"/>
            </w:r>
            <w:r>
              <w:rPr>
                <w:rFonts w:ascii="Times New Roman" w:hAnsi="Times New Roman" w:eastAsia="Times New Roman" w:cs="Times New Roman"/>
                <w:color w:val="auto"/>
                <w:sz w:val="20"/>
                <w:szCs w:val="20"/>
              </w:rPr>
              <w:t>2.5.3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"page32" \h </w:instrText>
            </w:r>
            <w:r>
              <w:fldChar w:fldCharType="separate"/>
            </w:r>
            <w:r>
              <w:rPr>
                <w:rFonts w:ascii="Times New Roman" w:hAnsi="Times New Roman" w:eastAsia="Times New Roman" w:cs="Times New Roman"/>
                <w:color w:val="auto"/>
                <w:sz w:val="20"/>
                <w:szCs w:val="20"/>
              </w:rPr>
              <w:t>STEC as a Zoonotic Pathogen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"page32" \h </w:instrText>
            </w:r>
            <w:r>
              <w:fldChar w:fldCharType="separate"/>
            </w:r>
            <w:r>
              <w:rPr>
                <w:rFonts w:ascii="Calibri" w:hAnsi="Calibri" w:eastAsia="Calibri" w:cs="Calibri"/>
                <w:color w:val="auto"/>
                <w:sz w:val="20"/>
                <w:szCs w:val="20"/>
              </w:rPr>
              <w:t>21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"page34" \h </w:instrText>
            </w:r>
            <w:r>
              <w:fldChar w:fldCharType="separate"/>
            </w:r>
            <w:r>
              <w:rPr>
                <w:rFonts w:ascii="Times New Roman" w:hAnsi="Times New Roman" w:eastAsia="Times New Roman" w:cs="Times New Roman"/>
                <w:color w:val="auto"/>
                <w:sz w:val="20"/>
                <w:szCs w:val="20"/>
              </w:rPr>
              <w:t>2.5.4</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"page34" \h </w:instrText>
            </w:r>
            <w:r>
              <w:fldChar w:fldCharType="separate"/>
            </w:r>
            <w:r>
              <w:rPr>
                <w:rFonts w:ascii="Times New Roman" w:hAnsi="Times New Roman" w:eastAsia="Times New Roman" w:cs="Times New Roman"/>
                <w:color w:val="auto"/>
                <w:sz w:val="20"/>
                <w:szCs w:val="20"/>
              </w:rPr>
              <w:t xml:space="preserve">Ecology of Pathogenic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"page34" \h </w:instrText>
            </w:r>
            <w:r>
              <w:fldChar w:fldCharType="separate"/>
            </w:r>
            <w:r>
              <w:rPr>
                <w:rFonts w:ascii="Calibri" w:hAnsi="Calibri" w:eastAsia="Calibri" w:cs="Calibri"/>
                <w:color w:val="auto"/>
                <w:sz w:val="20"/>
                <w:szCs w:val="20"/>
              </w:rPr>
              <w:t>23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"page36" \h </w:instrText>
            </w:r>
            <w:r>
              <w:fldChar w:fldCharType="separate"/>
            </w:r>
            <w:r>
              <w:rPr>
                <w:rFonts w:ascii="Times New Roman" w:hAnsi="Times New Roman" w:eastAsia="Times New Roman" w:cs="Times New Roman"/>
                <w:color w:val="auto"/>
                <w:sz w:val="20"/>
                <w:szCs w:val="20"/>
              </w:rPr>
              <w:t>2.5.5</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"page36" \h </w:instrText>
            </w:r>
            <w:r>
              <w:fldChar w:fldCharType="separate"/>
            </w:r>
            <w:r>
              <w:rPr>
                <w:rFonts w:ascii="Times New Roman" w:hAnsi="Times New Roman" w:eastAsia="Times New Roman" w:cs="Times New Roman"/>
                <w:color w:val="auto"/>
                <w:sz w:val="20"/>
                <w:szCs w:val="20"/>
              </w:rPr>
              <w:t xml:space="preserve">Virulence Factors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"page36" \h </w:instrText>
            </w:r>
            <w:r>
              <w:fldChar w:fldCharType="separate"/>
            </w:r>
            <w:r>
              <w:rPr>
                <w:rFonts w:ascii="Calibri" w:hAnsi="Calibri" w:eastAsia="Calibri" w:cs="Calibri"/>
                <w:color w:val="auto"/>
                <w:sz w:val="20"/>
                <w:szCs w:val="20"/>
              </w:rPr>
              <w:t>25</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"page38" \h </w:instrText>
            </w:r>
            <w:r>
              <w:fldChar w:fldCharType="separate"/>
            </w:r>
            <w:r>
              <w:rPr>
                <w:rFonts w:ascii="Times New Roman" w:hAnsi="Times New Roman" w:eastAsia="Times New Roman" w:cs="Times New Roman"/>
                <w:color w:val="auto"/>
                <w:sz w:val="20"/>
                <w:szCs w:val="20"/>
              </w:rPr>
              <w:t>2.5.6</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"page38" \h </w:instrText>
            </w:r>
            <w:r>
              <w:fldChar w:fldCharType="separate"/>
            </w:r>
            <w:r>
              <w:rPr>
                <w:rFonts w:ascii="Times New Roman" w:hAnsi="Times New Roman" w:eastAsia="Times New Roman" w:cs="Times New Roman"/>
                <w:color w:val="auto"/>
                <w:sz w:val="20"/>
                <w:szCs w:val="20"/>
              </w:rPr>
              <w:t>Clinical Manifestations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"page38" \h </w:instrText>
            </w:r>
            <w:r>
              <w:fldChar w:fldCharType="separate"/>
            </w:r>
            <w:r>
              <w:rPr>
                <w:rFonts w:ascii="Calibri" w:hAnsi="Calibri" w:eastAsia="Calibri" w:cs="Calibri"/>
                <w:color w:val="auto"/>
                <w:sz w:val="20"/>
                <w:szCs w:val="20"/>
              </w:rPr>
              <w:t>27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2.5.7</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 xml:space="preserve">Diagnosis of </w:t>
            </w:r>
            <w:r>
              <w:rPr>
                <w:rFonts w:ascii="Times New Roman" w:hAnsi="Times New Roman" w:eastAsia="Times New Roman" w:cs="Times New Roman"/>
                <w:i/>
                <w:iCs/>
                <w:color w:val="auto"/>
                <w:sz w:val="20"/>
                <w:szCs w:val="20"/>
              </w:rPr>
              <w:t>E. 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"page40" \h </w:instrText>
            </w:r>
            <w:r>
              <w:fldChar w:fldCharType="separate"/>
            </w:r>
            <w:r>
              <w:rPr>
                <w:rFonts w:ascii="Calibri" w:hAnsi="Calibri" w:eastAsia="Calibri" w:cs="Calibri"/>
                <w:color w:val="auto"/>
                <w:sz w:val="20"/>
                <w:szCs w:val="20"/>
              </w:rPr>
              <w:t>29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2.5.8</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 xml:space="preserve">Treatment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"page40" \h </w:instrText>
            </w:r>
            <w:r>
              <w:fldChar w:fldCharType="separate"/>
            </w:r>
            <w:r>
              <w:rPr>
                <w:rFonts w:ascii="Calibri" w:hAnsi="Calibri" w:eastAsia="Calibri" w:cs="Calibri"/>
                <w:color w:val="auto"/>
                <w:sz w:val="20"/>
                <w:szCs w:val="20"/>
              </w:rPr>
              <w:t>29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"page41" \h </w:instrText>
            </w:r>
            <w:r>
              <w:fldChar w:fldCharType="separate"/>
            </w:r>
            <w:r>
              <w:rPr>
                <w:rFonts w:ascii="Times New Roman" w:hAnsi="Times New Roman" w:eastAsia="Times New Roman" w:cs="Times New Roman"/>
                <w:color w:val="auto"/>
                <w:sz w:val="20"/>
                <w:szCs w:val="20"/>
              </w:rPr>
              <w:t>2.5.9</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"page41" \h </w:instrText>
            </w:r>
            <w:r>
              <w:fldChar w:fldCharType="separate"/>
            </w:r>
            <w:r>
              <w:rPr>
                <w:rFonts w:ascii="Times New Roman" w:hAnsi="Times New Roman" w:eastAsia="Times New Roman" w:cs="Times New Roman"/>
                <w:color w:val="auto"/>
                <w:sz w:val="20"/>
                <w:szCs w:val="20"/>
              </w:rPr>
              <w:t>Prevention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"page41" \h </w:instrText>
            </w:r>
            <w:r>
              <w:fldChar w:fldCharType="separate"/>
            </w:r>
            <w:r>
              <w:rPr>
                <w:rFonts w:ascii="Calibri" w:hAnsi="Calibri" w:eastAsia="Calibri" w:cs="Calibri"/>
                <w:color w:val="auto"/>
                <w:sz w:val="20"/>
                <w:szCs w:val="20"/>
              </w:rPr>
              <w:t>30</w:t>
            </w:r>
            <w:r>
              <w:rPr>
                <w:rFonts w:ascii="Calibri" w:hAnsi="Calibri" w:eastAsia="Calibri" w:cs="Calibri"/>
                <w:color w:val="auto"/>
                <w:sz w:val="20"/>
                <w:szCs w:val="20"/>
              </w:rPr>
              <w:fldChar w:fldCharType="end"/>
            </w:r>
          </w:p>
        </w:tc>
      </w:tr>
    </w:tbl>
    <w:p>
      <w:pPr>
        <w:spacing w:after="0" w:line="200" w:lineRule="exact"/>
        <w:rPr>
          <w:color w:val="auto"/>
          <w:sz w:val="20"/>
          <w:szCs w:val="20"/>
        </w:rPr>
      </w:pPr>
    </w:p>
    <w:p>
      <w:pPr>
        <w:spacing w:after="0" w:line="28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w:t>
      </w:r>
    </w:p>
    <w:p>
      <w:pPr>
        <w:sectPr>
          <w:pgSz w:w="12240" w:h="15840"/>
          <w:pgMar w:top="1432" w:right="1440" w:bottom="403"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140"/>
        <w:gridCol w:w="700"/>
        <w:gridCol w:w="160"/>
        <w:gridCol w:w="8140"/>
        <w:gridCol w:w="220"/>
        <w:gridCol w:w="20"/>
      </w:tblGrid>
      <w:tr>
        <w:tblPrEx>
          <w:tblCellMar>
            <w:top w:w="0" w:type="dxa"/>
            <w:left w:w="0" w:type="dxa"/>
            <w:bottom w:w="0" w:type="dxa"/>
            <w:right w:w="0" w:type="dxa"/>
          </w:tblCellMar>
        </w:tblPrEx>
        <w:trPr>
          <w:trHeight w:val="244" w:hRule="atLeast"/>
        </w:trPr>
        <w:tc>
          <w:tcPr>
            <w:tcW w:w="140" w:type="dxa"/>
            <w:vAlign w:val="bottom"/>
          </w:tcPr>
          <w:p>
            <w:pPr>
              <w:spacing w:after="0"/>
              <w:rPr>
                <w:color w:val="auto"/>
                <w:sz w:val="21"/>
                <w:szCs w:val="21"/>
              </w:rPr>
            </w:pPr>
            <w:bookmarkStart w:id="1" w:name="page7"/>
            <w:bookmarkEnd w:id="1"/>
          </w:p>
        </w:tc>
        <w:tc>
          <w:tcPr>
            <w:tcW w:w="860" w:type="dxa"/>
            <w:gridSpan w:val="2"/>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"page42" \h </w:instrText>
            </w:r>
            <w:r>
              <w:fldChar w:fldCharType="separate"/>
            </w:r>
            <w:r>
              <w:rPr>
                <w:rFonts w:ascii="Times New Roman" w:hAnsi="Times New Roman" w:eastAsia="Times New Roman" w:cs="Times New Roman"/>
                <w:color w:val="auto"/>
                <w:sz w:val="20"/>
                <w:szCs w:val="20"/>
              </w:rPr>
              <w:t>2.5.10</w:t>
            </w:r>
            <w:r>
              <w:rPr>
                <w:rFonts w:ascii="Times New Roman" w:hAnsi="Times New Roman" w:eastAsia="Times New Roman" w:cs="Times New Roman"/>
                <w:color w:val="auto"/>
                <w:sz w:val="20"/>
                <w:szCs w:val="20"/>
              </w:rPr>
              <w:fldChar w:fldCharType="end"/>
            </w: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"page42" \h </w:instrText>
            </w:r>
            <w:r>
              <w:fldChar w:fldCharType="separate"/>
            </w:r>
            <w:r>
              <w:rPr>
                <w:rFonts w:ascii="Times New Roman" w:hAnsi="Times New Roman" w:eastAsia="Times New Roman" w:cs="Times New Roman"/>
                <w:color w:val="auto"/>
                <w:sz w:val="20"/>
                <w:szCs w:val="20"/>
              </w:rPr>
              <w:t xml:space="preserve">Antimicrobial Resistance of </w:t>
            </w:r>
            <w:r>
              <w:rPr>
                <w:rFonts w:ascii="Times New Roman" w:hAnsi="Times New Roman" w:eastAsia="Times New Roman" w:cs="Times New Roman"/>
                <w:i/>
                <w:iCs/>
                <w:color w:val="auto"/>
                <w:sz w:val="20"/>
                <w:szCs w:val="20"/>
              </w:rPr>
              <w:t>E. 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"page42" \h </w:instrText>
            </w:r>
            <w:r>
              <w:fldChar w:fldCharType="separate"/>
            </w:r>
            <w:r>
              <w:rPr>
                <w:rFonts w:ascii="Calibri" w:hAnsi="Calibri" w:eastAsia="Calibri" w:cs="Calibri"/>
                <w:color w:val="auto"/>
                <w:w w:val="98"/>
                <w:sz w:val="20"/>
                <w:szCs w:val="20"/>
              </w:rPr>
              <w:t>31</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w:t>
            </w:r>
            <w:r>
              <w:rPr>
                <w:rFonts w:ascii="Times New Roman" w:hAnsi="Times New Roman" w:eastAsia="Times New Roman" w:cs="Times New Roman"/>
                <w:color w:val="auto"/>
                <w:sz w:val="20"/>
                <w:szCs w:val="20"/>
              </w:rPr>
              <w:fldChar w:fldCharType="end"/>
            </w:r>
          </w:p>
        </w:tc>
        <w:tc>
          <w:tcPr>
            <w:tcW w:w="9000" w:type="dxa"/>
            <w:gridSpan w:val="3"/>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Study Area</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w w:val="99"/>
                <w:sz w:val="20"/>
                <w:szCs w:val="20"/>
              </w:rPr>
              <w:t>Sample Collection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w w:val="99"/>
                <w:sz w:val="20"/>
                <w:szCs w:val="20"/>
              </w:rPr>
              <w:t>MATERIALS, REAGENTS AND EQUIPMENTS USED</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Preparation of Culture media</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3.3.1</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Buffered Peptone water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3.3.2</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Sorbitol-MacConkey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3.3.3</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MacConkey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"page46" \h </w:instrText>
            </w:r>
            <w:r>
              <w:fldChar w:fldCharType="separate"/>
            </w:r>
            <w:r>
              <w:rPr>
                <w:rFonts w:ascii="Calibri" w:hAnsi="Calibri" w:eastAsia="Calibri" w:cs="Calibri"/>
                <w:color w:val="auto"/>
                <w:w w:val="98"/>
                <w:sz w:val="20"/>
                <w:szCs w:val="20"/>
              </w:rPr>
              <w:t>35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3.3.4</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Nutrient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"page46" \h </w:instrText>
            </w:r>
            <w:r>
              <w:fldChar w:fldCharType="separate"/>
            </w:r>
            <w:r>
              <w:rPr>
                <w:rFonts w:ascii="Calibri" w:hAnsi="Calibri" w:eastAsia="Calibri" w:cs="Calibri"/>
                <w:color w:val="auto"/>
                <w:w w:val="98"/>
                <w:sz w:val="20"/>
                <w:szCs w:val="20"/>
              </w:rPr>
              <w:t>35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Primary Enrichment</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3.5</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w w:val="99"/>
                <w:sz w:val="20"/>
                <w:szCs w:val="20"/>
              </w:rPr>
              <w:t>Serial Dilution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3.6</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w w:val="99"/>
                <w:sz w:val="20"/>
                <w:szCs w:val="20"/>
              </w:rPr>
              <w:t>Sub-Culturing</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3.7</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w w:val="99"/>
                <w:sz w:val="20"/>
                <w:szCs w:val="20"/>
              </w:rPr>
              <w:t>Preservation of Cultures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3.8</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DNA Extraction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3.9</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Antimicrobial Susceptibility Testing</w:t>
            </w:r>
            <w:r>
              <w:rPr>
                <w:rFonts w:ascii="Calibri" w:hAnsi="Calibri" w:eastAsia="Calibri" w:cs="Calibri"/>
                <w:color w:val="auto"/>
                <w:sz w:val="20"/>
                <w:szCs w:val="20"/>
              </w:rPr>
              <w:t>..........................................................................................................</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i/>
                <w:iCs/>
                <w:color w:val="auto"/>
                <w:sz w:val="20"/>
                <w:szCs w:val="20"/>
              </w:rPr>
            </w:pPr>
            <w:r>
              <w:fldChar w:fldCharType="begin"/>
            </w:r>
            <w:r>
              <w:instrText xml:space="preserve"> HYPERLINK \l "page49" \h </w:instrText>
            </w:r>
            <w:r>
              <w:fldChar w:fldCharType="separate"/>
            </w:r>
            <w:r>
              <w:rPr>
                <w:rFonts w:ascii="Times New Roman" w:hAnsi="Times New Roman" w:eastAsia="Times New Roman" w:cs="Times New Roman"/>
                <w:i/>
                <w:iCs/>
                <w:color w:val="auto"/>
                <w:sz w:val="20"/>
                <w:szCs w:val="20"/>
              </w:rPr>
              <w:t>3.10</w:t>
            </w:r>
            <w:r>
              <w:rPr>
                <w:rFonts w:ascii="Times New Roman" w:hAnsi="Times New Roman" w:eastAsia="Times New Roman" w:cs="Times New Roman"/>
                <w:i/>
                <w:iCs/>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"page49" \h </w:instrText>
            </w:r>
            <w:r>
              <w:fldChar w:fldCharType="separate"/>
            </w:r>
            <w:r>
              <w:rPr>
                <w:rFonts w:ascii="Times New Roman" w:hAnsi="Times New Roman" w:eastAsia="Times New Roman" w:cs="Times New Roman"/>
                <w:color w:val="auto"/>
                <w:sz w:val="20"/>
                <w:szCs w:val="20"/>
              </w:rPr>
              <w:t xml:space="preserve">Molecular Identification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"page49" \h </w:instrText>
            </w:r>
            <w:r>
              <w:fldChar w:fldCharType="separate"/>
            </w:r>
            <w:r>
              <w:rPr>
                <w:rFonts w:ascii="Calibri" w:hAnsi="Calibri" w:eastAsia="Calibri" w:cs="Calibri"/>
                <w:color w:val="auto"/>
                <w:w w:val="98"/>
                <w:sz w:val="20"/>
                <w:szCs w:val="20"/>
              </w:rPr>
              <w:t>38</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9140" w:type="dxa"/>
            <w:gridSpan w:val="4"/>
            <w:vAlign w:val="bottom"/>
          </w:tcPr>
          <w:p>
            <w:pPr>
              <w:spacing w:after="0"/>
              <w:rPr>
                <w:rFonts w:ascii="Times New Roman" w:hAnsi="Times New Roman" w:eastAsia="Times New Roman" w:cs="Times New Roman"/>
                <w:color w:val="auto"/>
                <w:w w:val="99"/>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w w:val="99"/>
                <w:sz w:val="20"/>
                <w:szCs w:val="20"/>
              </w:rPr>
              <w:t>CHAPTER FOUR</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4</w:t>
            </w:r>
            <w:r>
              <w:rPr>
                <w:rFonts w:ascii="Times New Roman" w:hAnsi="Times New Roman" w:eastAsia="Times New Roman" w:cs="Times New Roman"/>
                <w:color w:val="auto"/>
                <w:sz w:val="20"/>
                <w:szCs w:val="20"/>
              </w:rPr>
              <w:fldChar w:fldCharType="end"/>
            </w:r>
          </w:p>
        </w:tc>
        <w:tc>
          <w:tcPr>
            <w:tcW w:w="860" w:type="dxa"/>
            <w:gridSpan w:val="2"/>
            <w:vAlign w:val="bottom"/>
          </w:tcPr>
          <w:p>
            <w:pPr>
              <w:spacing w:after="0"/>
              <w:ind w:left="260"/>
              <w:rPr>
                <w:rFonts w:ascii="Times New Roman" w:hAnsi="Times New Roman" w:eastAsia="Times New Roman" w:cs="Times New Roman"/>
                <w:color w:val="auto"/>
                <w:w w:val="98"/>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w w:val="98"/>
                <w:sz w:val="20"/>
                <w:szCs w:val="20"/>
              </w:rPr>
              <w:t>Results</w:t>
            </w:r>
            <w:r>
              <w:rPr>
                <w:rFonts w:ascii="Times New Roman" w:hAnsi="Times New Roman" w:eastAsia="Times New Roman" w:cs="Times New Roman"/>
                <w:color w:val="auto"/>
                <w:w w:val="98"/>
                <w:sz w:val="20"/>
                <w:szCs w:val="20"/>
              </w:rPr>
              <w:fldChar w:fldCharType="end"/>
            </w:r>
          </w:p>
        </w:tc>
        <w:tc>
          <w:tcPr>
            <w:tcW w:w="8140" w:type="dxa"/>
            <w:vAlign w:val="bottom"/>
          </w:tcPr>
          <w:p>
            <w:pPr>
              <w:spacing w:after="0"/>
              <w:jc w:val="right"/>
              <w:rPr>
                <w:rFonts w:ascii="Calibri" w:hAnsi="Calibri" w:eastAsia="Calibri" w:cs="Calibri"/>
                <w:color w:val="auto"/>
                <w:sz w:val="20"/>
                <w:szCs w:val="20"/>
              </w:rPr>
            </w:pPr>
            <w:r>
              <w:fldChar w:fldCharType="begin"/>
            </w:r>
            <w:r>
              <w:instrText xml:space="preserve"> HYPERLINK \l "page53" \h </w:instrText>
            </w:r>
            <w:r>
              <w:fldChar w:fldCharType="separate"/>
            </w:r>
            <w:r>
              <w:rPr>
                <w:rFonts w:ascii="Calibri" w:hAnsi="Calibri" w:eastAsia="Calibri" w:cs="Calibri"/>
                <w:color w:val="auto"/>
                <w:sz w:val="20"/>
                <w:szCs w:val="20"/>
              </w:rPr>
              <w:t>.................................................................................................................................................................</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4.1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Total Viable Counts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"page55" \h </w:instrText>
            </w:r>
            <w:r>
              <w:fldChar w:fldCharType="separate"/>
            </w:r>
            <w:r>
              <w:rPr>
                <w:rFonts w:ascii="Times New Roman" w:hAnsi="Times New Roman" w:eastAsia="Times New Roman" w:cs="Times New Roman"/>
                <w:color w:val="auto"/>
                <w:sz w:val="20"/>
                <w:szCs w:val="20"/>
              </w:rPr>
              <w:t>4.2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"page55" \h </w:instrText>
            </w:r>
            <w:r>
              <w:fldChar w:fldCharType="separate"/>
            </w:r>
            <w:r>
              <w:rPr>
                <w:rFonts w:ascii="Times New Roman" w:hAnsi="Times New Roman" w:eastAsia="Times New Roman" w:cs="Times New Roman"/>
                <w:color w:val="auto"/>
                <w:w w:val="99"/>
                <w:sz w:val="20"/>
                <w:szCs w:val="20"/>
              </w:rPr>
              <w:t>Microbial Analysis of Ready-to-eat Game Meat</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"page55" \h </w:instrText>
            </w:r>
            <w:r>
              <w:fldChar w:fldCharType="separate"/>
            </w:r>
            <w:r>
              <w:rPr>
                <w:rFonts w:ascii="Calibri" w:hAnsi="Calibri" w:eastAsia="Calibri" w:cs="Calibri"/>
                <w:color w:val="auto"/>
                <w:w w:val="98"/>
                <w:sz w:val="20"/>
                <w:szCs w:val="20"/>
              </w:rPr>
              <w:t>44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4.3</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Microbial Analysis of Fresh Produce Samples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"page56" \h </w:instrText>
            </w:r>
            <w:r>
              <w:fldChar w:fldCharType="separate"/>
            </w:r>
            <w:r>
              <w:rPr>
                <w:rFonts w:ascii="Calibri" w:hAnsi="Calibri" w:eastAsia="Calibri" w:cs="Calibri"/>
                <w:color w:val="auto"/>
                <w:w w:val="98"/>
                <w:sz w:val="20"/>
                <w:szCs w:val="20"/>
              </w:rPr>
              <w:t>45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gridAfter w:val="1"/>
          <w:trHeight w:val="354"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4.4</w:t>
            </w:r>
            <w:r>
              <w:rPr>
                <w:rFonts w:ascii="Times New Roman" w:hAnsi="Times New Roman" w:eastAsia="Times New Roman" w:cs="Times New Roman"/>
                <w:color w:val="auto"/>
                <w:sz w:val="20"/>
                <w:szCs w:val="20"/>
              </w:rPr>
              <w:fldChar w:fldCharType="end"/>
            </w:r>
          </w:p>
        </w:tc>
        <w:tc>
          <w:tcPr>
            <w:tcW w:w="8520" w:type="dxa"/>
            <w:gridSpan w:val="3"/>
            <w:vAlign w:val="bottom"/>
          </w:tcPr>
          <w:p>
            <w:pPr>
              <w:spacing w:after="0"/>
              <w:ind w:right="40"/>
              <w:jc w:val="right"/>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Antimicrobial susceptibility pattern of Pathogenic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color w:val="auto"/>
                <w:sz w:val="20"/>
                <w:szCs w:val="20"/>
              </w:rPr>
              <w:t xml:space="preserve"> isolates from ready-to-eat game meat and fresh</w:t>
            </w:r>
            <w:r>
              <w:rPr>
                <w:rFonts w:ascii="Times New Roman" w:hAnsi="Times New Roman" w:eastAsia="Times New Roman" w:cs="Times New Roman"/>
                <w:color w:val="auto"/>
                <w:sz w:val="20"/>
                <w:szCs w:val="20"/>
              </w:rPr>
              <w:fldChar w:fldCharType="end"/>
            </w:r>
          </w:p>
        </w:tc>
      </w:tr>
      <w:tr>
        <w:tblPrEx>
          <w:tblCellMar>
            <w:top w:w="0" w:type="dxa"/>
            <w:left w:w="0" w:type="dxa"/>
            <w:bottom w:w="0" w:type="dxa"/>
            <w:right w:w="0" w:type="dxa"/>
          </w:tblCellMar>
        </w:tblPrEx>
        <w:trPr>
          <w:trHeight w:val="268" w:hRule="atLeast"/>
        </w:trPr>
        <w:tc>
          <w:tcPr>
            <w:tcW w:w="140" w:type="dxa"/>
            <w:vAlign w:val="bottom"/>
          </w:tcPr>
          <w:p>
            <w:pPr>
              <w:spacing w:after="0"/>
              <w:rPr>
                <w:color w:val="auto"/>
                <w:sz w:val="23"/>
                <w:szCs w:val="23"/>
              </w:rPr>
            </w:pPr>
          </w:p>
        </w:tc>
        <w:tc>
          <w:tcPr>
            <w:tcW w:w="900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w w:val="99"/>
                <w:sz w:val="20"/>
                <w:szCs w:val="20"/>
              </w:rPr>
              <w:t>produce from Southwestern region of Nigeria.</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"page57" \h </w:instrText>
            </w:r>
            <w:r>
              <w:fldChar w:fldCharType="separate"/>
            </w:r>
            <w:r>
              <w:rPr>
                <w:rFonts w:ascii="Calibri" w:hAnsi="Calibri" w:eastAsia="Calibri" w:cs="Calibri"/>
                <w:color w:val="auto"/>
                <w:w w:val="98"/>
                <w:sz w:val="20"/>
                <w:szCs w:val="20"/>
              </w:rPr>
              <w:t>46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"page58" \h </w:instrText>
            </w:r>
            <w:r>
              <w:fldChar w:fldCharType="separate"/>
            </w:r>
            <w:r>
              <w:rPr>
                <w:rFonts w:ascii="Times New Roman" w:hAnsi="Times New Roman" w:eastAsia="Times New Roman" w:cs="Times New Roman"/>
                <w:color w:val="auto"/>
                <w:sz w:val="20"/>
                <w:szCs w:val="20"/>
              </w:rPr>
              <w:t>4.5</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"page58" \h </w:instrText>
            </w:r>
            <w:r>
              <w:fldChar w:fldCharType="separate"/>
            </w:r>
            <w:r>
              <w:rPr>
                <w:rFonts w:ascii="Times New Roman" w:hAnsi="Times New Roman" w:eastAsia="Times New Roman" w:cs="Times New Roman"/>
                <w:color w:val="auto"/>
                <w:sz w:val="20"/>
                <w:szCs w:val="20"/>
              </w:rPr>
              <w:t>ESBL Identification of E.coli using Double disc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"page58" \h </w:instrText>
            </w:r>
            <w:r>
              <w:fldChar w:fldCharType="separate"/>
            </w:r>
            <w:r>
              <w:rPr>
                <w:rFonts w:ascii="Calibri" w:hAnsi="Calibri" w:eastAsia="Calibri" w:cs="Calibri"/>
                <w:color w:val="auto"/>
                <w:w w:val="98"/>
                <w:sz w:val="20"/>
                <w:szCs w:val="20"/>
              </w:rPr>
              <w:t>47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i/>
                <w:iCs/>
                <w:color w:val="auto"/>
                <w:sz w:val="20"/>
                <w:szCs w:val="20"/>
              </w:rPr>
            </w:pPr>
            <w:r>
              <w:fldChar w:fldCharType="begin"/>
            </w:r>
            <w:r>
              <w:instrText xml:space="preserve"> HYPERLINK \l "page60" \h </w:instrText>
            </w:r>
            <w:r>
              <w:fldChar w:fldCharType="separate"/>
            </w:r>
            <w:r>
              <w:rPr>
                <w:rFonts w:ascii="Times New Roman" w:hAnsi="Times New Roman" w:eastAsia="Times New Roman" w:cs="Times New Roman"/>
                <w:i/>
                <w:iCs/>
                <w:color w:val="auto"/>
                <w:sz w:val="20"/>
                <w:szCs w:val="20"/>
              </w:rPr>
              <w:t>4.6</w:t>
            </w:r>
            <w:r>
              <w:rPr>
                <w:rFonts w:ascii="Times New Roman" w:hAnsi="Times New Roman" w:eastAsia="Times New Roman" w:cs="Times New Roman"/>
                <w:i/>
                <w:iCs/>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"page60" \h </w:instrText>
            </w:r>
            <w:r>
              <w:fldChar w:fldCharType="separate"/>
            </w:r>
            <w:r>
              <w:rPr>
                <w:rFonts w:ascii="Times New Roman" w:hAnsi="Times New Roman" w:eastAsia="Times New Roman" w:cs="Times New Roman"/>
                <w:color w:val="auto"/>
                <w:w w:val="99"/>
                <w:sz w:val="20"/>
                <w:szCs w:val="20"/>
              </w:rPr>
              <w:t xml:space="preserve">Molecular Identification of </w:t>
            </w:r>
            <w:r>
              <w:rPr>
                <w:rFonts w:ascii="Times New Roman" w:hAnsi="Times New Roman" w:eastAsia="Times New Roman" w:cs="Times New Roman"/>
                <w:i/>
                <w:iCs/>
                <w:color w:val="auto"/>
                <w:w w:val="99"/>
                <w:sz w:val="20"/>
                <w:szCs w:val="20"/>
              </w:rPr>
              <w:t>E. coli using Multiplex PCR</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"page60" \h </w:instrText>
            </w:r>
            <w:r>
              <w:fldChar w:fldCharType="separate"/>
            </w:r>
            <w:r>
              <w:rPr>
                <w:rFonts w:ascii="Calibri" w:hAnsi="Calibri" w:eastAsia="Calibri" w:cs="Calibri"/>
                <w:color w:val="auto"/>
                <w:w w:val="98"/>
                <w:sz w:val="20"/>
                <w:szCs w:val="20"/>
              </w:rPr>
              <w:t>49</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"page61" \h </w:instrText>
            </w:r>
            <w:r>
              <w:fldChar w:fldCharType="separate"/>
            </w:r>
            <w:r>
              <w:rPr>
                <w:rFonts w:ascii="Times New Roman" w:hAnsi="Times New Roman" w:eastAsia="Times New Roman" w:cs="Times New Roman"/>
                <w:color w:val="auto"/>
                <w:sz w:val="20"/>
                <w:szCs w:val="20"/>
              </w:rPr>
              <w:t>4.7</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"page61" \h </w:instrText>
            </w:r>
            <w:r>
              <w:fldChar w:fldCharType="separate"/>
            </w:r>
            <w:r>
              <w:rPr>
                <w:rFonts w:ascii="Times New Roman" w:hAnsi="Times New Roman" w:eastAsia="Times New Roman" w:cs="Times New Roman"/>
                <w:color w:val="auto"/>
                <w:sz w:val="20"/>
                <w:szCs w:val="20"/>
              </w:rPr>
              <w:t>ESBL Identification using Simplex PCR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"page61" \h </w:instrText>
            </w:r>
            <w:r>
              <w:fldChar w:fldCharType="separate"/>
            </w:r>
            <w:r>
              <w:rPr>
                <w:rFonts w:ascii="Calibri" w:hAnsi="Calibri" w:eastAsia="Calibri" w:cs="Calibri"/>
                <w:color w:val="auto"/>
                <w:w w:val="98"/>
                <w:sz w:val="20"/>
                <w:szCs w:val="20"/>
              </w:rPr>
              <w:t>50</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"page62" \h </w:instrText>
            </w:r>
            <w:r>
              <w:fldChar w:fldCharType="separate"/>
            </w:r>
            <w:r>
              <w:rPr>
                <w:rFonts w:ascii="Times New Roman" w:hAnsi="Times New Roman" w:eastAsia="Times New Roman" w:cs="Times New Roman"/>
                <w:color w:val="auto"/>
                <w:sz w:val="20"/>
                <w:szCs w:val="20"/>
              </w:rPr>
              <w:t>4.8</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"page62" \h </w:instrText>
            </w:r>
            <w:r>
              <w:fldChar w:fldCharType="separate"/>
            </w:r>
            <w:r>
              <w:rPr>
                <w:rFonts w:ascii="Times New Roman" w:hAnsi="Times New Roman" w:eastAsia="Times New Roman" w:cs="Times New Roman"/>
                <w:color w:val="auto"/>
                <w:w w:val="99"/>
                <w:sz w:val="20"/>
                <w:szCs w:val="20"/>
              </w:rPr>
              <w:t>Discussion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"page62" \h </w:instrText>
            </w:r>
            <w:r>
              <w:fldChar w:fldCharType="separate"/>
            </w:r>
            <w:r>
              <w:rPr>
                <w:rFonts w:ascii="Calibri" w:hAnsi="Calibri" w:eastAsia="Calibri" w:cs="Calibri"/>
                <w:color w:val="auto"/>
                <w:w w:val="98"/>
                <w:sz w:val="20"/>
                <w:szCs w:val="20"/>
              </w:rPr>
              <w:t>51</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w:t>
            </w:r>
            <w:r>
              <w:rPr>
                <w:rFonts w:ascii="Times New Roman" w:hAnsi="Times New Roman" w:eastAsia="Times New Roman" w:cs="Times New Roman"/>
                <w:color w:val="auto"/>
                <w:sz w:val="20"/>
                <w:szCs w:val="20"/>
              </w:rPr>
              <w:fldChar w:fldCharType="end"/>
            </w:r>
          </w:p>
        </w:tc>
        <w:tc>
          <w:tcPr>
            <w:tcW w:w="9000" w:type="dxa"/>
            <w:gridSpan w:val="3"/>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Conclusions and Recommendations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Conclusion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w w:val="99"/>
                <w:sz w:val="20"/>
                <w:szCs w:val="20"/>
              </w:rPr>
              <w:t>Recommendations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9140" w:type="dxa"/>
            <w:gridSpan w:val="4"/>
            <w:vAlign w:val="bottom"/>
          </w:tcPr>
          <w:p>
            <w:pPr>
              <w:spacing w:after="0"/>
              <w:rPr>
                <w:rFonts w:ascii="Times New Roman" w:hAnsi="Times New Roman" w:eastAsia="Times New Roman" w:cs="Times New Roman"/>
                <w:color w:val="auto"/>
                <w:w w:val="99"/>
                <w:sz w:val="20"/>
                <w:szCs w:val="20"/>
              </w:rPr>
            </w:pPr>
            <w:r>
              <w:fldChar w:fldCharType="begin"/>
            </w:r>
            <w:r>
              <w:instrText xml:space="preserve"> HYPERLINK \l "page65" \h </w:instrText>
            </w:r>
            <w:r>
              <w:fldChar w:fldCharType="separate"/>
            </w:r>
            <w:r>
              <w:rPr>
                <w:rFonts w:ascii="Times New Roman" w:hAnsi="Times New Roman" w:eastAsia="Times New Roman" w:cs="Times New Roman"/>
                <w:color w:val="auto"/>
                <w:w w:val="99"/>
                <w:sz w:val="20"/>
                <w:szCs w:val="20"/>
              </w:rPr>
              <w:t>REFERENCES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"page65" \h </w:instrText>
            </w:r>
            <w:r>
              <w:fldChar w:fldCharType="separate"/>
            </w:r>
            <w:r>
              <w:rPr>
                <w:rFonts w:ascii="Calibri" w:hAnsi="Calibri" w:eastAsia="Calibri" w:cs="Calibri"/>
                <w:color w:val="auto"/>
                <w:w w:val="98"/>
                <w:sz w:val="20"/>
                <w:szCs w:val="20"/>
              </w:rPr>
              <w:t>54</w:t>
            </w:r>
            <w:r>
              <w:rPr>
                <w:rFonts w:ascii="Calibri" w:hAnsi="Calibri" w:eastAsia="Calibri" w:cs="Calibri"/>
                <w:color w:val="auto"/>
                <w:w w:val="98"/>
                <w:sz w:val="20"/>
                <w:szCs w:val="20"/>
              </w:rPr>
              <w:fldChar w:fldCharType="end"/>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w:t>
      </w:r>
    </w:p>
    <w:p>
      <w:pPr>
        <w:sectPr>
          <w:pgSz w:w="12240" w:h="15840"/>
          <w:pgMar w:top="1433" w:right="1440" w:bottom="403" w:left="1440" w:header="0" w:footer="0" w:gutter="0"/>
          <w:cols w:equalWidth="0" w:num="1">
            <w:col w:w="9360"/>
          </w:cols>
        </w:sectPr>
      </w:pPr>
    </w:p>
    <w:p>
      <w:pPr>
        <w:spacing w:after="0"/>
        <w:ind w:left="3700"/>
        <w:rPr>
          <w:color w:val="auto"/>
          <w:sz w:val="20"/>
          <w:szCs w:val="20"/>
        </w:rPr>
      </w:pPr>
      <w:bookmarkStart w:id="2" w:name="page8"/>
      <w:bookmarkEnd w:id="2"/>
      <w:r>
        <w:rPr>
          <w:rFonts w:ascii="Times New Roman" w:hAnsi="Times New Roman" w:eastAsia="Times New Roman" w:cs="Times New Roman"/>
          <w:b/>
          <w:bCs/>
          <w:color w:val="auto"/>
          <w:sz w:val="24"/>
          <w:szCs w:val="24"/>
        </w:rPr>
        <w:t>LIST OF TABLES</w:t>
      </w:r>
    </w:p>
    <w:p>
      <w:pPr>
        <w:spacing w:after="0" w:line="238"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Table 2.1: Contamination Sources during the Pre and Post Harvest Stages in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Table 2.2: Outbreaks Linked to Fresh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10</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Table 2.3: Classification of E. coli Associated with Diarrhoea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"page33" \h </w:instrText>
      </w:r>
      <w:r>
        <w:fldChar w:fldCharType="separate"/>
      </w:r>
      <w:r>
        <w:rPr>
          <w:rFonts w:ascii="Times New Roman" w:hAnsi="Times New Roman" w:eastAsia="Times New Roman" w:cs="Times New Roman"/>
          <w:color w:val="auto"/>
          <w:sz w:val="23"/>
          <w:szCs w:val="23"/>
        </w:rPr>
        <w:t>22</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 xml:space="preserve">Table 2.4: Virulence Factors in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Table 3.1: PCR Reaction Components used for pathogenic E.coli amplification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39</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 xml:space="preserve">Table 3.2: PCR reaction components used for pathogenic </w:t>
      </w:r>
      <w:r>
        <w:rPr>
          <w:rFonts w:ascii="Times New Roman" w:hAnsi="Times New Roman" w:eastAsia="Times New Roman" w:cs="Times New Roman"/>
          <w:i/>
          <w:iCs/>
          <w:color w:val="auto"/>
          <w:sz w:val="24"/>
          <w:szCs w:val="24"/>
        </w:rPr>
        <w:t>E.coli. a</w:t>
      </w:r>
      <w:r>
        <w:rPr>
          <w:rFonts w:ascii="Times New Roman" w:hAnsi="Times New Roman" w:eastAsia="Times New Roman" w:cs="Times New Roman"/>
          <w:color w:val="auto"/>
          <w:sz w:val="24"/>
          <w:szCs w:val="24"/>
        </w:rPr>
        <w:t>mplification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39</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Table 3.34: Gene targets, primer sequences, primer concentrations and amplicon sizes for the</w:t>
      </w:r>
      <w:r>
        <w:rPr>
          <w:rFonts w:ascii="Times New Roman" w:hAnsi="Times New Roman" w:eastAsia="Times New Roman" w:cs="Times New Roman"/>
          <w:color w:val="auto"/>
          <w:sz w:val="24"/>
          <w:szCs w:val="24"/>
        </w:rPr>
        <w:fldChar w:fldCharType="end"/>
      </w:r>
    </w:p>
    <w:p>
      <w:pPr>
        <w:spacing w:after="0" w:line="140"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 xml:space="preserve">multiplex PCR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40</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"page51" \h </w:instrText>
      </w:r>
      <w:r>
        <w:fldChar w:fldCharType="separate"/>
      </w:r>
      <w:r>
        <w:rPr>
          <w:rFonts w:ascii="Times New Roman" w:hAnsi="Times New Roman" w:eastAsia="Times New Roman" w:cs="Times New Roman"/>
          <w:color w:val="auto"/>
          <w:sz w:val="24"/>
          <w:szCs w:val="24"/>
        </w:rPr>
        <w:t xml:space="preserve">Table 3.4: Protocol for Thermal cycler for Amplification of Diarrheagenic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"page51" \h </w:instrText>
      </w:r>
      <w:r>
        <w:fldChar w:fldCharType="separate"/>
      </w:r>
      <w:r>
        <w:rPr>
          <w:rFonts w:ascii="Times New Roman" w:hAnsi="Times New Roman" w:eastAsia="Times New Roman" w:cs="Times New Roman"/>
          <w:color w:val="auto"/>
          <w:sz w:val="23"/>
          <w:szCs w:val="23"/>
        </w:rPr>
        <w:t>41</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"page52" \h </w:instrText>
      </w:r>
      <w:r>
        <w:fldChar w:fldCharType="separate"/>
      </w:r>
      <w:r>
        <w:rPr>
          <w:rFonts w:ascii="Times New Roman" w:hAnsi="Times New Roman" w:eastAsia="Times New Roman" w:cs="Times New Roman"/>
          <w:color w:val="auto"/>
          <w:sz w:val="24"/>
          <w:szCs w:val="24"/>
        </w:rPr>
        <w:t>Table 3.5: ESBL Primer sequence (Oduro-Mensah</w:t>
      </w:r>
      <w:r>
        <w:rPr>
          <w:rFonts w:ascii="Times New Roman" w:hAnsi="Times New Roman" w:eastAsia="Times New Roman" w:cs="Times New Roman"/>
          <w:i/>
          <w:iCs/>
          <w:color w:val="auto"/>
          <w:sz w:val="24"/>
          <w:szCs w:val="24"/>
        </w:rPr>
        <w:t>et al., 2016)</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"page52" \h </w:instrText>
      </w:r>
      <w:r>
        <w:fldChar w:fldCharType="separate"/>
      </w:r>
      <w:r>
        <w:rPr>
          <w:rFonts w:ascii="Times New Roman" w:hAnsi="Times New Roman" w:eastAsia="Times New Roman" w:cs="Times New Roman"/>
          <w:color w:val="auto"/>
          <w:sz w:val="23"/>
          <w:szCs w:val="23"/>
        </w:rPr>
        <w:t>41</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"page54" \h </w:instrText>
      </w:r>
      <w:r>
        <w:fldChar w:fldCharType="separate"/>
      </w:r>
      <w:r>
        <w:rPr>
          <w:rFonts w:ascii="Times New Roman" w:hAnsi="Times New Roman" w:eastAsia="Times New Roman" w:cs="Times New Roman"/>
          <w:color w:val="auto"/>
          <w:sz w:val="24"/>
          <w:szCs w:val="24"/>
        </w:rPr>
        <w:t xml:space="preserve">Table 4.1: Total Viable Counts for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"page54" \h </w:instrText>
      </w:r>
      <w:r>
        <w:fldChar w:fldCharType="separate"/>
      </w:r>
      <w:r>
        <w:rPr>
          <w:rFonts w:ascii="Times New Roman" w:hAnsi="Times New Roman" w:eastAsia="Times New Roman" w:cs="Times New Roman"/>
          <w:color w:val="auto"/>
          <w:sz w:val="23"/>
          <w:szCs w:val="23"/>
        </w:rPr>
        <w:t>43</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b/>
          <w:bCs/>
          <w:color w:val="auto"/>
          <w:sz w:val="24"/>
          <w:szCs w:val="24"/>
        </w:rPr>
      </w:pPr>
      <w:r>
        <w:fldChar w:fldCharType="begin"/>
      </w:r>
      <w:r>
        <w:instrText xml:space="preserve"> HYPERLINK \l "page57" \h </w:instrText>
      </w:r>
      <w:r>
        <w:fldChar w:fldCharType="separate"/>
      </w: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"page57" \h </w:instrText>
      </w:r>
      <w:r>
        <w:fldChar w:fldCharType="separate"/>
      </w:r>
      <w:r>
        <w:rPr>
          <w:rFonts w:ascii="Times New Roman" w:hAnsi="Times New Roman" w:eastAsia="Times New Roman" w:cs="Times New Roman"/>
          <w:color w:val="auto"/>
          <w:sz w:val="24"/>
          <w:szCs w:val="24"/>
        </w:rPr>
        <w:t>game meat and fresh produce from Southwestern region of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"page57"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"page59" \h </w:instrText>
      </w:r>
      <w:r>
        <w:fldChar w:fldCharType="separate"/>
      </w:r>
      <w:r>
        <w:rPr>
          <w:rFonts w:ascii="Times New Roman" w:hAnsi="Times New Roman" w:eastAsia="Times New Roman" w:cs="Times New Roman"/>
          <w:color w:val="auto"/>
          <w:sz w:val="24"/>
          <w:szCs w:val="24"/>
        </w:rPr>
        <w:t xml:space="preserve">Table 4.3: ESBL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using Double disc (Fresh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"page59" \h </w:instrText>
      </w:r>
      <w:r>
        <w:fldChar w:fldCharType="separate"/>
      </w:r>
      <w:r>
        <w:rPr>
          <w:rFonts w:ascii="Times New Roman" w:hAnsi="Times New Roman" w:eastAsia="Times New Roman" w:cs="Times New Roman"/>
          <w:color w:val="auto"/>
          <w:sz w:val="23"/>
          <w:szCs w:val="23"/>
        </w:rPr>
        <w:t>48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vii</w:t>
      </w:r>
    </w:p>
    <w:p>
      <w:pPr>
        <w:sectPr>
          <w:pgSz w:w="12240" w:h="15840"/>
          <w:pgMar w:top="1437" w:right="1440" w:bottom="403" w:left="1440" w:header="0" w:footer="0" w:gutter="0"/>
          <w:cols w:equalWidth="0" w:num="1">
            <w:col w:w="9360"/>
          </w:cols>
        </w:sectPr>
      </w:pPr>
    </w:p>
    <w:p>
      <w:pPr>
        <w:spacing w:after="0"/>
        <w:ind w:left="3640"/>
        <w:rPr>
          <w:color w:val="auto"/>
          <w:sz w:val="20"/>
          <w:szCs w:val="20"/>
        </w:rPr>
      </w:pPr>
      <w:bookmarkStart w:id="3" w:name="page9"/>
      <w:bookmarkEnd w:id="3"/>
      <w:r>
        <w:rPr>
          <w:rFonts w:ascii="Times New Roman" w:hAnsi="Times New Roman" w:eastAsia="Times New Roman" w:cs="Times New Roman"/>
          <w:b/>
          <w:bCs/>
          <w:color w:val="auto"/>
          <w:sz w:val="24"/>
          <w:szCs w:val="24"/>
        </w:rPr>
        <w:t>LIST OF FIGURES</w:t>
      </w:r>
    </w:p>
    <w:p>
      <w:pPr>
        <w:spacing w:after="0" w:line="8"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"page25" \h </w:instrText>
      </w:r>
      <w:r>
        <w:fldChar w:fldCharType="separate"/>
      </w:r>
      <w:r>
        <w:rPr>
          <w:rFonts w:ascii="Times New Roman" w:hAnsi="Times New Roman" w:eastAsia="Times New Roman" w:cs="Times New Roman"/>
          <w:color w:val="auto"/>
          <w:sz w:val="20"/>
          <w:szCs w:val="20"/>
        </w:rPr>
        <w:t xml:space="preserve">Figure 2.1: Typical Structure of Pathogenic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i/>
          <w:iCs/>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"page25" \h </w:instrText>
      </w:r>
      <w:r>
        <w:fldChar w:fldCharType="separate"/>
      </w:r>
      <w:r>
        <w:rPr>
          <w:rFonts w:ascii="Calibri" w:hAnsi="Calibri" w:eastAsia="Calibri" w:cs="Calibri"/>
          <w:color w:val="auto"/>
          <w:sz w:val="19"/>
          <w:szCs w:val="19"/>
        </w:rPr>
        <w:t>14</w:t>
      </w:r>
      <w:r>
        <w:rPr>
          <w:rFonts w:ascii="Calibri" w:hAnsi="Calibri" w:eastAsia="Calibri" w:cs="Calibri"/>
          <w:color w:val="auto"/>
          <w:sz w:val="19"/>
          <w:szCs w:val="19"/>
        </w:rPr>
        <w:fldChar w:fldCharType="end"/>
      </w:r>
    </w:p>
    <w:p>
      <w:pPr>
        <w:spacing w:after="0" w:line="29" w:lineRule="exact"/>
        <w:rPr>
          <w:color w:val="auto"/>
          <w:sz w:val="20"/>
          <w:szCs w:val="20"/>
        </w:rPr>
      </w:pPr>
    </w:p>
    <w:p>
      <w:pPr>
        <w:spacing w:after="0"/>
        <w:rPr>
          <w:rFonts w:ascii="Times New Roman" w:hAnsi="Times New Roman" w:eastAsia="Times New Roman" w:cs="Times New Roman"/>
          <w:color w:val="auto"/>
          <w:sz w:val="20"/>
          <w:szCs w:val="20"/>
        </w:rPr>
      </w:pPr>
      <w:r>
        <w:fldChar w:fldCharType="begin"/>
      </w:r>
      <w:r>
        <w:instrText xml:space="preserve"> HYPERLINK \l "page31" \h </w:instrText>
      </w:r>
      <w:r>
        <w:fldChar w:fldCharType="separate"/>
      </w:r>
      <w:r>
        <w:rPr>
          <w:rFonts w:ascii="Times New Roman" w:hAnsi="Times New Roman" w:eastAsia="Times New Roman" w:cs="Times New Roman"/>
          <w:color w:val="auto"/>
          <w:sz w:val="20"/>
          <w:szCs w:val="20"/>
        </w:rPr>
        <w:t xml:space="preserve">Figure 2.2: Classification of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into three main groups: commensal, intestinal pathogenic and extraintestinal</w:t>
      </w:r>
      <w:r>
        <w:rPr>
          <w:rFonts w:ascii="Times New Roman" w:hAnsi="Times New Roman" w:eastAsia="Times New Roman" w:cs="Times New Roman"/>
          <w:color w:val="auto"/>
          <w:sz w:val="20"/>
          <w:szCs w:val="20"/>
        </w:rPr>
        <w:fldChar w:fldCharType="end"/>
      </w:r>
    </w:p>
    <w:p>
      <w:pPr>
        <w:spacing w:after="0" w:line="10"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"page31" \h </w:instrText>
      </w:r>
      <w:r>
        <w:fldChar w:fldCharType="separate"/>
      </w:r>
      <w:r>
        <w:rPr>
          <w:rFonts w:ascii="Times New Roman" w:hAnsi="Times New Roman" w:eastAsia="Times New Roman" w:cs="Times New Roman"/>
          <w:color w:val="auto"/>
          <w:sz w:val="20"/>
          <w:szCs w:val="20"/>
        </w:rPr>
        <w:t>pathogenic adapted</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"page31" \h </w:instrText>
      </w:r>
      <w:r>
        <w:fldChar w:fldCharType="separate"/>
      </w:r>
      <w:r>
        <w:rPr>
          <w:rFonts w:ascii="Calibri" w:hAnsi="Calibri" w:eastAsia="Calibri" w:cs="Calibri"/>
          <w:color w:val="auto"/>
          <w:sz w:val="19"/>
          <w:szCs w:val="19"/>
        </w:rPr>
        <w:t>20</w:t>
      </w:r>
      <w:r>
        <w:rPr>
          <w:rFonts w:ascii="Calibri" w:hAnsi="Calibri" w:eastAsia="Calibri" w:cs="Calibri"/>
          <w:color w:val="auto"/>
          <w:sz w:val="19"/>
          <w:szCs w:val="19"/>
        </w:rPr>
        <w:fldChar w:fldCharType="end"/>
      </w:r>
    </w:p>
    <w:p>
      <w:pPr>
        <w:spacing w:after="0" w:line="15"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"page35" \h </w:instrText>
      </w:r>
      <w:r>
        <w:fldChar w:fldCharType="separate"/>
      </w:r>
      <w:r>
        <w:rPr>
          <w:rFonts w:ascii="Times New Roman" w:hAnsi="Times New Roman" w:eastAsia="Times New Roman" w:cs="Times New Roman"/>
          <w:color w:val="auto"/>
          <w:sz w:val="20"/>
          <w:szCs w:val="20"/>
        </w:rPr>
        <w:t xml:space="preserve">Figure 2.3: Ecology of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i/>
          <w:iCs/>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"page35" \h </w:instrText>
      </w:r>
      <w:r>
        <w:fldChar w:fldCharType="separate"/>
      </w:r>
      <w:r>
        <w:rPr>
          <w:rFonts w:ascii="Calibri" w:hAnsi="Calibri" w:eastAsia="Calibri" w:cs="Calibri"/>
          <w:color w:val="auto"/>
          <w:sz w:val="19"/>
          <w:szCs w:val="19"/>
        </w:rPr>
        <w:t>24</w:t>
      </w:r>
      <w:r>
        <w:rPr>
          <w:rFonts w:ascii="Calibri" w:hAnsi="Calibri" w:eastAsia="Calibri" w:cs="Calibri"/>
          <w:color w:val="auto"/>
          <w:sz w:val="19"/>
          <w:szCs w:val="19"/>
        </w:rPr>
        <w:fldChar w:fldCharType="end"/>
      </w:r>
    </w:p>
    <w:p>
      <w:pPr>
        <w:spacing w:after="0" w:line="15"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"page55" \h </w:instrText>
      </w:r>
      <w:r>
        <w:fldChar w:fldCharType="separate"/>
      </w:r>
      <w:r>
        <w:rPr>
          <w:rFonts w:ascii="Times New Roman" w:hAnsi="Times New Roman" w:eastAsia="Times New Roman" w:cs="Times New Roman"/>
          <w:color w:val="auto"/>
          <w:sz w:val="20"/>
          <w:szCs w:val="20"/>
        </w:rPr>
        <w:t>Figure 4.1: A Chart Representation of Microbial analysis of all Positive Game meat Samples</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"page55" \h </w:instrText>
      </w:r>
      <w:r>
        <w:fldChar w:fldCharType="separate"/>
      </w:r>
      <w:r>
        <w:rPr>
          <w:rFonts w:ascii="Calibri" w:hAnsi="Calibri" w:eastAsia="Calibri" w:cs="Calibri"/>
          <w:color w:val="auto"/>
          <w:sz w:val="19"/>
          <w:szCs w:val="19"/>
        </w:rPr>
        <w:t>44</w:t>
      </w:r>
      <w:r>
        <w:rPr>
          <w:rFonts w:ascii="Calibri" w:hAnsi="Calibri" w:eastAsia="Calibri" w:cs="Calibri"/>
          <w:color w:val="auto"/>
          <w:sz w:val="19"/>
          <w:szCs w:val="19"/>
        </w:rPr>
        <w:fldChar w:fldCharType="end"/>
      </w:r>
    </w:p>
    <w:p>
      <w:pPr>
        <w:spacing w:after="0" w:line="13"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Figure 4.2: A Chart Representation of Microbial Analysis of all Positive Fresh Produce</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"page56" \h </w:instrText>
      </w:r>
      <w:r>
        <w:fldChar w:fldCharType="separate"/>
      </w:r>
      <w:r>
        <w:rPr>
          <w:rFonts w:ascii="Calibri" w:hAnsi="Calibri" w:eastAsia="Calibri" w:cs="Calibri"/>
          <w:color w:val="auto"/>
          <w:sz w:val="19"/>
          <w:szCs w:val="19"/>
        </w:rPr>
        <w:t>45</w:t>
      </w:r>
      <w:r>
        <w:rPr>
          <w:rFonts w:ascii="Calibri" w:hAnsi="Calibri" w:eastAsia="Calibri" w:cs="Calibri"/>
          <w:color w:val="auto"/>
          <w:sz w:val="19"/>
          <w:szCs w:val="19"/>
        </w:rPr>
        <w:fldChar w:fldCharType="end"/>
      </w:r>
    </w:p>
    <w:p>
      <w:pPr>
        <w:spacing w:after="0" w:line="29" w:lineRule="exact"/>
        <w:rPr>
          <w:color w:val="auto"/>
          <w:sz w:val="20"/>
          <w:szCs w:val="20"/>
        </w:rPr>
      </w:pPr>
    </w:p>
    <w:p>
      <w:pPr>
        <w:spacing w:after="0"/>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Figure 4.3: AMR profile among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game meat and Fresh Produce isolates. This shows the resistance profile of</w:t>
      </w:r>
      <w:r>
        <w:rPr>
          <w:rFonts w:ascii="Times New Roman" w:hAnsi="Times New Roman" w:eastAsia="Times New Roman" w:cs="Times New Roman"/>
          <w:color w:val="auto"/>
          <w:sz w:val="20"/>
          <w:szCs w:val="20"/>
        </w:rPr>
        <w:fldChar w:fldCharType="end"/>
      </w:r>
    </w:p>
    <w:p>
      <w:pPr>
        <w:spacing w:after="0" w:line="10"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all the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isolates recovered in the study</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"page57" \h </w:instrText>
      </w:r>
      <w:r>
        <w:fldChar w:fldCharType="separate"/>
      </w:r>
      <w:r>
        <w:rPr>
          <w:rFonts w:ascii="Calibri" w:hAnsi="Calibri" w:eastAsia="Calibri" w:cs="Calibri"/>
          <w:color w:val="auto"/>
          <w:sz w:val="19"/>
          <w:szCs w:val="19"/>
        </w:rPr>
        <w:t>46</w:t>
      </w:r>
      <w:r>
        <w:rPr>
          <w:rFonts w:ascii="Calibri" w:hAnsi="Calibri" w:eastAsia="Calibri" w:cs="Calibri"/>
          <w:color w:val="auto"/>
          <w:sz w:val="19"/>
          <w:szCs w:val="19"/>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viii</w:t>
      </w:r>
    </w:p>
    <w:p>
      <w:pPr>
        <w:sectPr>
          <w:pgSz w:w="12240" w:h="15840"/>
          <w:pgMar w:top="1437" w:right="1440" w:bottom="403" w:left="1440" w:header="0" w:footer="0" w:gutter="0"/>
          <w:cols w:equalWidth="0" w:num="1">
            <w:col w:w="9360"/>
          </w:cols>
        </w:sectPr>
      </w:pPr>
    </w:p>
    <w:p>
      <w:pPr>
        <w:spacing w:after="0"/>
        <w:ind w:left="3920"/>
        <w:rPr>
          <w:color w:val="auto"/>
          <w:sz w:val="20"/>
          <w:szCs w:val="20"/>
        </w:rPr>
      </w:pPr>
      <w:bookmarkStart w:id="4" w:name="page10"/>
      <w:bookmarkEnd w:id="4"/>
      <w:r>
        <w:rPr>
          <w:rFonts w:ascii="Times New Roman" w:hAnsi="Times New Roman" w:eastAsia="Times New Roman" w:cs="Times New Roman"/>
          <w:b/>
          <w:bCs/>
          <w:color w:val="auto"/>
          <w:sz w:val="24"/>
          <w:szCs w:val="24"/>
        </w:rPr>
        <w:t>LIST OF PLATES</w:t>
      </w:r>
    </w:p>
    <w:p>
      <w:pPr>
        <w:spacing w:after="0" w:line="20" w:lineRule="exact"/>
        <w:rPr>
          <w:color w:val="auto"/>
          <w:sz w:val="20"/>
          <w:szCs w:val="20"/>
        </w:rPr>
      </w:pPr>
    </w:p>
    <w:p>
      <w:pPr>
        <w:tabs>
          <w:tab w:val="left" w:pos="1140"/>
        </w:tabs>
        <w:spacing w:after="0"/>
        <w:rPr>
          <w:color w:val="auto"/>
          <w:sz w:val="20"/>
          <w:szCs w:val="20"/>
        </w:rPr>
      </w:pPr>
      <w:r>
        <w:rPr>
          <w:rFonts w:ascii="Times New Roman" w:hAnsi="Times New Roman" w:eastAsia="Times New Roman" w:cs="Times New Roman"/>
          <w:color w:val="auto"/>
          <w:sz w:val="24"/>
          <w:szCs w:val="24"/>
        </w:rPr>
        <w:t>Plate 4.1: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Illustrative agarose gel electrophoresis image of multiplex-PCR products (Human</w:t>
      </w:r>
    </w:p>
    <w:p>
      <w:pPr>
        <w:spacing w:after="0" w:line="1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28: </w:t>
      </w:r>
      <w:r>
        <w:rPr>
          <w:rFonts w:ascii="Times New Roman" w:hAnsi="Times New Roman" w:eastAsia="Times New Roman" w:cs="Times New Roman"/>
          <w:i/>
          <w:iCs/>
          <w:color w:val="auto"/>
          <w:sz w:val="24"/>
          <w:szCs w:val="24"/>
        </w:rPr>
        <w:t xml:space="preserve">E.coli </w:t>
      </w:r>
      <w:r>
        <w:rPr>
          <w:rFonts w:ascii="Times New Roman" w:hAnsi="Times New Roman" w:eastAsia="Times New Roman" w:cs="Times New Roman"/>
          <w:color w:val="auto"/>
          <w:sz w:val="24"/>
          <w:szCs w:val="24"/>
        </w:rPr>
        <w:t xml:space="preserve">isolate (Human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lane 30:(</w:t>
      </w:r>
      <w:r>
        <w:rPr>
          <w:rFonts w:ascii="Times New Roman" w:hAnsi="Times New Roman" w:eastAsia="Times New Roman" w:cs="Times New Roman"/>
          <w:i/>
          <w:iCs/>
          <w:color w:val="auto"/>
          <w:sz w:val="24"/>
          <w:szCs w:val="24"/>
        </w:rPr>
        <w:t>vtx1</w:t>
      </w:r>
      <w:r>
        <w:rPr>
          <w:rFonts w:ascii="Times New Roman" w:hAnsi="Times New Roman" w:eastAsia="Times New Roman" w:cs="Times New Roman"/>
          <w:color w:val="auto"/>
          <w:sz w:val="24"/>
          <w:szCs w:val="24"/>
        </w:rPr>
        <w:t>)…………………………………………………………….49</w:t>
      </w:r>
    </w:p>
    <w:p>
      <w:pPr>
        <w:spacing w:after="0" w:line="201" w:lineRule="exact"/>
        <w:rPr>
          <w:color w:val="auto"/>
          <w:sz w:val="20"/>
          <w:szCs w:val="20"/>
        </w:rPr>
      </w:pPr>
    </w:p>
    <w:p>
      <w:pPr>
        <w:tabs>
          <w:tab w:val="left" w:pos="1140"/>
        </w:tabs>
        <w:spacing w:after="0"/>
        <w:rPr>
          <w:color w:val="auto"/>
          <w:sz w:val="20"/>
          <w:szCs w:val="20"/>
        </w:rPr>
      </w:pPr>
      <w:r>
        <w:rPr>
          <w:rFonts w:ascii="Times New Roman" w:hAnsi="Times New Roman" w:eastAsia="Times New Roman" w:cs="Times New Roman"/>
          <w:color w:val="auto"/>
          <w:sz w:val="24"/>
          <w:szCs w:val="24"/>
        </w:rPr>
        <w:t>Plate 4.2: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Illustrative agarose gel electrophoresis image of multiplex-PCR products (Human</w:t>
      </w:r>
    </w:p>
    <w:p>
      <w:pPr>
        <w:spacing w:after="0" w:line="1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22: </w:t>
      </w:r>
      <w:r>
        <w:rPr>
          <w:rFonts w:ascii="Times New Roman" w:hAnsi="Times New Roman" w:eastAsia="Times New Roman" w:cs="Times New Roman"/>
          <w:i/>
          <w:iCs/>
          <w:color w:val="auto"/>
          <w:sz w:val="24"/>
          <w:szCs w:val="24"/>
        </w:rPr>
        <w:t xml:space="preserve">E.coli </w:t>
      </w:r>
      <w:r>
        <w:rPr>
          <w:rFonts w:ascii="Times New Roman" w:hAnsi="Times New Roman" w:eastAsia="Times New Roman" w:cs="Times New Roman"/>
          <w:color w:val="auto"/>
          <w:sz w:val="24"/>
          <w:szCs w:val="24"/>
        </w:rPr>
        <w:t xml:space="preserve">isolate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xml:space="preserve">), lane 30:(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))………………………………………………….49</w:t>
      </w:r>
    </w:p>
    <w:p>
      <w:pPr>
        <w:spacing w:after="0" w:line="1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Plate 4.3: Illustrative agarose gel electrophoresis image of multiplex-PCR products (</w:t>
      </w:r>
      <w:r>
        <w:rPr>
          <w:rFonts w:ascii="Times New Roman" w:hAnsi="Times New Roman" w:eastAsia="Times New Roman" w:cs="Times New Roman"/>
          <w:i/>
          <w:iCs/>
          <w:color w:val="auto"/>
          <w:sz w:val="24"/>
          <w:szCs w:val="24"/>
        </w:rPr>
        <w:t>Bla-TEM,</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Bla-SHV</w:t>
      </w:r>
      <w:r>
        <w:rPr>
          <w:rFonts w:ascii="Times New Roman" w:hAnsi="Times New Roman" w:eastAsia="Times New Roman" w:cs="Times New Roman"/>
          <w:color w:val="auto"/>
          <w:sz w:val="24"/>
          <w:szCs w:val="24"/>
        </w:rPr>
        <w:t>); Lane L: marker (100-bp ladder)……………………………………………………..50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ix</w:t>
      </w:r>
    </w:p>
    <w:p>
      <w:pPr>
        <w:sectPr>
          <w:pgSz w:w="12240" w:h="15840"/>
          <w:pgMar w:top="1437" w:right="1440" w:bottom="403" w:left="1440" w:header="0" w:footer="0" w:gutter="0"/>
          <w:cols w:equalWidth="0" w:num="1">
            <w:col w:w="9360"/>
          </w:cols>
        </w:sectPr>
      </w:pPr>
    </w:p>
    <w:p>
      <w:pPr>
        <w:spacing w:after="0" w:line="278" w:lineRule="exact"/>
        <w:rPr>
          <w:color w:val="auto"/>
          <w:sz w:val="20"/>
          <w:szCs w:val="20"/>
        </w:rPr>
      </w:pPr>
      <w:bookmarkStart w:id="5" w:name="page11"/>
      <w:bookmarkEnd w:id="5"/>
    </w:p>
    <w:p>
      <w:pPr>
        <w:spacing w:after="0"/>
        <w:jc w:val="center"/>
        <w:rPr>
          <w:color w:val="auto"/>
          <w:sz w:val="20"/>
          <w:szCs w:val="20"/>
        </w:rPr>
      </w:pPr>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31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consumption of ready-to-eat (RTE) game meat and fresh produce has increased and it serves as a very important part of human diet. Foodborne diseases linked to contaminated RTE game meat and fresh produce is a public health concern. This study investigated the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these RTE foods sold in various cities in south western, Nigeria. The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were performed using sorbitol MacConkey agar (SMAC) and molecular characterization of virulence genes. The Kirk-Bauer disk diffusion test was used to determine antibiotics susceptibility tests of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A total of 55 samples RTE game meat and 11 samples of fresh produce were analyzed for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All thirty (30) isolates from fresh produce were identified as potential pathogenic E. coli. Further identification with multiplex PCR revealed that four of the isolates were positive based on the band size (as compared with the predicted band size) which directly linked them to potential pathotypes. Overall, 4 out of 30 isolates coded for 3 genes which are; </w:t>
      </w:r>
      <w:r>
        <w:rPr>
          <w:rFonts w:ascii="Times New Roman" w:hAnsi="Times New Roman" w:eastAsia="Times New Roman" w:cs="Times New Roman"/>
          <w:i/>
          <w:iCs/>
          <w:color w:val="auto"/>
          <w:sz w:val="24"/>
          <w:szCs w:val="24"/>
        </w:rPr>
        <w:t>Vtx</w:t>
      </w:r>
      <w:r>
        <w:rPr>
          <w:rFonts w:ascii="Times New Roman" w:hAnsi="Times New Roman" w:eastAsia="Times New Roman" w:cs="Times New Roman"/>
          <w:color w:val="auto"/>
          <w:sz w:val="24"/>
          <w:szCs w:val="24"/>
        </w:rPr>
        <w:t xml:space="preserve"> 1 coded for verotoxigenic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while </w:t>
      </w:r>
      <w:r>
        <w:rPr>
          <w:rFonts w:ascii="Times New Roman" w:hAnsi="Times New Roman" w:eastAsia="Times New Roman" w:cs="Times New Roman"/>
          <w:i/>
          <w:iCs/>
          <w:color w:val="auto"/>
          <w:sz w:val="24"/>
          <w:szCs w:val="24"/>
        </w:rPr>
        <w:t>est</w:t>
      </w:r>
      <w:r>
        <w:rPr>
          <w:rFonts w:ascii="Times New Roman" w:hAnsi="Times New Roman" w:eastAsia="Times New Roman" w:cs="Times New Roman"/>
          <w:color w:val="auto"/>
          <w:sz w:val="24"/>
          <w:szCs w:val="24"/>
        </w:rPr>
        <w:t xml:space="preserve">A porcine and human </w:t>
      </w:r>
      <w:r>
        <w:rPr>
          <w:rFonts w:ascii="Times New Roman" w:hAnsi="Times New Roman" w:eastAsia="Times New Roman" w:cs="Times New Roman"/>
          <w:i/>
          <w:iCs/>
          <w:color w:val="auto"/>
          <w:sz w:val="24"/>
          <w:szCs w:val="24"/>
        </w:rPr>
        <w:t>est</w:t>
      </w:r>
      <w:r>
        <w:rPr>
          <w:rFonts w:ascii="Times New Roman" w:hAnsi="Times New Roman" w:eastAsia="Times New Roman" w:cs="Times New Roman"/>
          <w:color w:val="auto"/>
          <w:sz w:val="24"/>
          <w:szCs w:val="24"/>
        </w:rPr>
        <w:t xml:space="preserve">A coded for enterotoxigenic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It was observed that the total viable count for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from game meat and fresh produce were respectively high. The isolates were confirmed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using multiplex PCR for the game meat and using simplex PCR to determine the ESBL of the fresh produce. The presence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 RTE game meat and fresh produce in south western part of Nigeria poses publc health concerns which could lead to food borne 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Ready-to-eat game-meat, Fresh produce,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Food borne 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x</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6" w:name="page12"/>
      <w:bookmarkEnd w:id="6"/>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ONE</w:t>
      </w:r>
    </w:p>
    <w:p>
      <w:pPr>
        <w:spacing w:after="0" w:line="200" w:lineRule="exact"/>
        <w:rPr>
          <w:color w:val="auto"/>
          <w:sz w:val="20"/>
          <w:szCs w:val="20"/>
        </w:rPr>
      </w:pPr>
    </w:p>
    <w:p>
      <w:pPr>
        <w:spacing w:after="0" w:line="314" w:lineRule="exact"/>
        <w:rPr>
          <w:color w:val="auto"/>
          <w:sz w:val="20"/>
          <w:szCs w:val="20"/>
        </w:rPr>
      </w:pPr>
    </w:p>
    <w:p>
      <w:pPr>
        <w:numPr>
          <w:ilvl w:val="0"/>
          <w:numId w:val="1"/>
        </w:numPr>
        <w:tabs>
          <w:tab w:val="left" w:pos="432"/>
        </w:tabs>
        <w:spacing w:after="0" w:line="456" w:lineRule="auto"/>
        <w:ind w:right="7120"/>
        <w:rPr>
          <w:rFonts w:ascii="Times New Roman" w:hAnsi="Times New Roman" w:eastAsia="Times New Roman" w:cs="Times New Roman"/>
          <w:b/>
          <w:bCs/>
          <w:color w:val="auto"/>
          <w:sz w:val="23"/>
          <w:szCs w:val="23"/>
        </w:rPr>
      </w:pPr>
      <w:r>
        <w:rPr>
          <w:rFonts w:ascii="Times New Roman" w:hAnsi="Times New Roman" w:eastAsia="Times New Roman" w:cs="Times New Roman"/>
          <w:color w:val="auto"/>
          <w:sz w:val="23"/>
          <w:szCs w:val="23"/>
        </w:rPr>
        <w:t>INTRODUCTION Background of Study</w:t>
      </w:r>
    </w:p>
    <w:p>
      <w:pPr>
        <w:spacing w:after="0" w:line="8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Outbreaks and foodborne pathogens pose a significant threat to human public health, leading to a substantial economic burden both in developed and less developed countries(Akhtar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 More than 250 known foodborne diseases could be caused by food contaminated with bacteria, viruses, parasites, and toxins, which continue to be a public health problem in the world. Bacteria cause a large proportion (approximately 90%) of all foodborne illnesses(Bari and Yeasmin, 2018).The bacterial pathogens are commonly found in slaughtered livestock (cattle, sheep, and swine) and poultry (chicken and turkey), as well as ready-to-eat (RTE) foods including smoked/dried game meats and fresh produce (fruits and vegetables). Meat and poultry carcasses and their offal are frequently contaminated with pathogens which contaminate the carcasses from fecal material (Smith and Fratamico, 2018).</w:t>
      </w:r>
    </w:p>
    <w:p>
      <w:pPr>
        <w:spacing w:after="0" w:line="30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Shiga-toxin 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O157:H7 (STEC), is a strain of the </w:t>
      </w:r>
      <w:r>
        <w:rPr>
          <w:rFonts w:ascii="Times New Roman" w:hAnsi="Times New Roman" w:eastAsia="Times New Roman" w:cs="Times New Roman"/>
          <w:i/>
          <w:iCs/>
          <w:color w:val="auto"/>
          <w:sz w:val="24"/>
          <w:szCs w:val="24"/>
        </w:rPr>
        <w:t>Enterohemorrhagic E. coli</w:t>
      </w:r>
      <w:r>
        <w:rPr>
          <w:rFonts w:ascii="Times New Roman" w:hAnsi="Times New Roman" w:eastAsia="Times New Roman" w:cs="Times New Roman"/>
          <w:color w:val="auto"/>
          <w:sz w:val="24"/>
          <w:szCs w:val="24"/>
        </w:rPr>
        <w:t xml:space="preserve"> group, is recognized as an organism whose presence in any food material can lead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serious disease outbreak (Abreham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In the human gastrointestinal tract (GIT),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O157:H7 is known to produce large quantity of Shiga-toxins, which can cause severe damage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to the lining of the intestine and other organs of the body (Ingber, 2022). The organism is particularly associated with the development of hemolytic uremic syndrome, known to result in a mortality rate of 2 - 10% (Kim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 potentially high mortality associated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infection, therefore make its presence in any food material worrisome and of</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serious public health concern. Most outbreaks recorded has been traced to consumption of beef and vegetables (lettuce) contaminated with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strain (Bedasa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Although, undercooked ground beef meat has been identified as a leading food vehicle of </w:t>
      </w:r>
      <w:r>
        <w:rPr>
          <w:rFonts w:ascii="Times New Roman" w:hAnsi="Times New Roman" w:eastAsia="Times New Roman" w:cs="Times New Roman"/>
          <w:i/>
          <w:iCs/>
          <w:color w:val="auto"/>
          <w:sz w:val="24"/>
          <w:szCs w:val="24"/>
        </w:rPr>
        <w:t>E</w:t>
      </w:r>
    </w:p>
    <w:p>
      <w:pPr>
        <w:spacing w:after="0" w:line="12"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auto"/>
          <w:sz w:val="24"/>
          <w:szCs w:val="24"/>
        </w:rPr>
        <w:t>.coli</w:t>
      </w:r>
      <w:r>
        <w:rPr>
          <w:rFonts w:ascii="Times New Roman" w:hAnsi="Times New Roman" w:eastAsia="Times New Roman" w:cs="Times New Roman"/>
          <w:color w:val="auto"/>
          <w:sz w:val="24"/>
          <w:szCs w:val="24"/>
        </w:rPr>
        <w:t xml:space="preserve">O157:H7, fresh raw vegetables are also becoming increasingly important vehicle of transmission (Ngene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Many outbreaks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O157:H7 infections were associated with contaminated leafy lettuce, radish sprout, alfalfa sprout, potatoes. Contamination of vegetables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may occur at different stages from cultivation to transportation</w:t>
      </w: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 w:name="page13"/>
      <w:bookmarkEnd w:id="7"/>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(Mostafidi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Vegetables grown in soil fertilized by animal manure have a great chance to be contaminated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(Iwu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can enter the lettuce tissue when lettuce seeds are grown in manure fertilized soil or by irrigation with water mixed with sewage or by contaminated surface water irrigation (Bintsis, 2018).</w:t>
      </w:r>
    </w:p>
    <w:p>
      <w:pPr>
        <w:spacing w:after="0" w:line="300"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 present study aims to investigate the presence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ready-to-eat fresh produce and RTE game meats sold at open markets from various locations in Southwest, Nigeria. The prevalence of STEC and other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RTE game meat and fresh produce will be determined with the selection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based on the virulence genes and antimicrobial resistance patterns (Patterson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2022;Hozzari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Statement of the Problem</w:t>
      </w:r>
    </w:p>
    <w:p>
      <w:pPr>
        <w:spacing w:after="0" w:line="31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particularly 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 are capable of causing severe foodborne illness (Park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Raw or undercooked ground meat products, raw milk, and fecal contamination of vegetables are the primary causes of STEC outbreaks (Gourama, 2020).Ready-to-eat foods including game meat and fresh produce have been known to be a source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infections as several strains are known to produce toxins that can cause diarrhea (Abebe, 2020). Therefore, the need to know the prevalence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in RTE foods sold in open markets in various locations in Nigeria exists. Antimicrobial resistant bacteria is a source of concern, it will be essential determine the antimicrobial resistance of the</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food in RTE foods in these areas in order to determine the public health risks for consumers (Duze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Significance of the Study</w:t>
      </w:r>
    </w:p>
    <w:p>
      <w:pPr>
        <w:spacing w:after="0" w:line="31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serovar is frequently used as the target organism in studies describing the survival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foods (Duc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Ready-to-eat street food is a potential source of spreading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which are resistant to antimicrobial agents (Zurita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The presence of this organism in RTE game meat and fresh produce would indicate the food safety levels of these food in terms of hygiene and fecal contamination.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w:t>
      </w:r>
    </w:p>
    <w:p>
      <w:pPr>
        <w:sectPr>
          <w:pgSz w:w="12240" w:h="15840"/>
          <w:pgMar w:top="1440" w:right="1440" w:bottom="403" w:left="1440" w:header="0" w:footer="0" w:gutter="0"/>
          <w:cols w:equalWidth="0" w:num="1">
            <w:col w:w="9360"/>
          </w:cols>
        </w:sectPr>
      </w:pPr>
    </w:p>
    <w:p>
      <w:pPr>
        <w:spacing w:after="0"/>
        <w:rPr>
          <w:color w:val="auto"/>
          <w:sz w:val="20"/>
          <w:szCs w:val="20"/>
        </w:rPr>
      </w:pPr>
      <w:bookmarkStart w:id="8" w:name="page14"/>
      <w:bookmarkEnd w:id="8"/>
      <w:r>
        <w:rPr>
          <w:rFonts w:ascii="Times New Roman" w:hAnsi="Times New Roman" w:eastAsia="Times New Roman" w:cs="Times New Roman"/>
          <w:b/>
          <w:bCs/>
          <w:color w:val="auto"/>
          <w:sz w:val="24"/>
          <w:szCs w:val="24"/>
        </w:rPr>
        <w:t>Aims and Objectives</w:t>
      </w:r>
    </w:p>
    <w:p>
      <w:pPr>
        <w:spacing w:after="0" w:line="332" w:lineRule="exact"/>
        <w:rPr>
          <w:color w:val="auto"/>
          <w:sz w:val="20"/>
          <w:szCs w:val="20"/>
        </w:rPr>
      </w:pPr>
    </w:p>
    <w:p>
      <w:pPr>
        <w:numPr>
          <w:ilvl w:val="0"/>
          <w:numId w:val="2"/>
        </w:numPr>
        <w:tabs>
          <w:tab w:val="left" w:pos="720"/>
        </w:tabs>
        <w:spacing w:after="0" w:line="334"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To isolate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found in RTE game meat and fresh produce food samples sold in open markets in Southwest, Nigeria.</w:t>
      </w:r>
    </w:p>
    <w:p>
      <w:pPr>
        <w:spacing w:after="0" w:line="51" w:lineRule="exact"/>
        <w:rPr>
          <w:rFonts w:ascii="Symbol" w:hAnsi="Symbol" w:eastAsia="Symbol" w:cs="Symbol"/>
          <w:color w:val="auto"/>
          <w:sz w:val="24"/>
          <w:szCs w:val="24"/>
        </w:rPr>
      </w:pPr>
    </w:p>
    <w:p>
      <w:pPr>
        <w:numPr>
          <w:ilvl w:val="0"/>
          <w:numId w:val="2"/>
        </w:numPr>
        <w:tabs>
          <w:tab w:val="left" w:pos="720"/>
        </w:tabs>
        <w:spacing w:after="0" w:line="334"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To characterize the various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pathotypes isolated from these food samples using culture-based and molecular techniques.</w:t>
      </w:r>
    </w:p>
    <w:p>
      <w:pPr>
        <w:spacing w:after="0" w:line="21" w:lineRule="exact"/>
        <w:rPr>
          <w:rFonts w:ascii="Symbol" w:hAnsi="Symbol" w:eastAsia="Symbol" w:cs="Symbol"/>
          <w:color w:val="auto"/>
          <w:sz w:val="24"/>
          <w:szCs w:val="24"/>
        </w:rPr>
      </w:pPr>
    </w:p>
    <w:p>
      <w:pPr>
        <w:numPr>
          <w:ilvl w:val="0"/>
          <w:numId w:val="2"/>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Determine the antimicrobial resistance patterns of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w:t>
      </w:r>
    </w:p>
    <w:p>
      <w:pPr>
        <w:sectPr>
          <w:pgSz w:w="12240" w:h="15840"/>
          <w:pgMar w:top="1437" w:right="1440" w:bottom="403" w:left="1440" w:header="0" w:footer="0" w:gutter="0"/>
          <w:cols w:equalWidth="0" w:num="1">
            <w:col w:w="9360"/>
          </w:cols>
        </w:sectPr>
      </w:pPr>
    </w:p>
    <w:p>
      <w:pPr>
        <w:spacing w:after="0"/>
        <w:jc w:val="center"/>
        <w:rPr>
          <w:color w:val="auto"/>
          <w:sz w:val="20"/>
          <w:szCs w:val="20"/>
        </w:rPr>
      </w:pPr>
      <w:bookmarkStart w:id="9" w:name="page15"/>
      <w:bookmarkEnd w:id="9"/>
      <w:r>
        <w:rPr>
          <w:rFonts w:ascii="Times New Roman" w:hAnsi="Times New Roman" w:eastAsia="Times New Roman" w:cs="Times New Roman"/>
          <w:b/>
          <w:bCs/>
          <w:color w:val="auto"/>
          <w:sz w:val="24"/>
          <w:szCs w:val="24"/>
        </w:rPr>
        <w:t>CHAPTER TWO</w:t>
      </w: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304" w:lineRule="exact"/>
        <w:rPr>
          <w:color w:val="auto"/>
          <w:sz w:val="20"/>
          <w:szCs w:val="20"/>
        </w:rPr>
      </w:pPr>
    </w:p>
    <w:p>
      <w:pPr>
        <w:numPr>
          <w:ilvl w:val="0"/>
          <w:numId w:val="3"/>
        </w:numPr>
        <w:tabs>
          <w:tab w:val="left" w:pos="440"/>
        </w:tabs>
        <w:spacing w:after="0"/>
        <w:ind w:left="440" w:hanging="44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BACKGROUND</w:t>
      </w:r>
    </w:p>
    <w:p>
      <w:pPr>
        <w:spacing w:after="0" w:line="31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Foodborne illnesses affect an estimated one-third of the population annually in developed nations (Fouladkhah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According to the World Health Organization, food can cause or spread more than 200 different diseases or illnesses (Yang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But among the most prevalent foodborne pathogens are </w:t>
      </w:r>
      <w:r>
        <w:rPr>
          <w:rFonts w:ascii="Times New Roman" w:hAnsi="Times New Roman" w:eastAsia="Times New Roman" w:cs="Times New Roman"/>
          <w:i/>
          <w:iCs/>
          <w:color w:val="auto"/>
          <w:sz w:val="24"/>
          <w:szCs w:val="24"/>
        </w:rPr>
        <w:t>Campylobacter</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Bacillus cereus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Clostridium botulinum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spp.,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Clostridium botulinum</w:t>
      </w:r>
      <w:r>
        <w:rPr>
          <w:rFonts w:ascii="Times New Roman" w:hAnsi="Times New Roman" w:eastAsia="Times New Roman" w:cs="Times New Roman"/>
          <w:color w:val="auto"/>
          <w:sz w:val="24"/>
          <w:szCs w:val="24"/>
        </w:rPr>
        <w:t xml:space="preserve"> (Gourama, 2020). The incidence of foodborne illness, which includes a wide range of illnesses brought on by pathogenic microorganisms, is currently increasing globally and raising public health concerns. Each year, these microorganisms cause an estimated 48 million illnesses and 3000 deaths in the United States (Sinkel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Ready-to-eat foods do not require any additional preparation, and these foods are frequently eaten as it is; whether raw, cold or pre-cooked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9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Ready-to-eat foods do not require any additional preparation, and these foods are frequently eaten as it is; whether raw, cold or pre-cooked (Ehuwa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All over the world, people regularly eat various ready-to-eat foods in public settings (Adeosun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.,2022). Due to the critical role that food plays in human life, it is crucial to maintain food safety in order to protect people from foodborne illnesses and other related health risks (Kamboj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2020).In addition to being valued by consumers for their accessibility, affordability, variety, and distinctive organoleptic properties, ready-to-eat foods play a significant role in meeting the nutritional needs of many consumers (Mengistu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Ready-to-eat foods, however, can act as an ideal environment for a number of pathogenic microorganisms of public health concern to grow and multiply if they are not handled safely and in a hygienic manner (Mahros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prevalent poor hygienic and sanitation conditions or practices, lax food safety and regulatory systems, lack of resources, and lack of education, however, make foodborne diseases common and one of the main causes of illness in developing nations (Aluh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Health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10" w:name="page16"/>
      <w:bookmarkEnd w:id="10"/>
    </w:p>
    <w:p>
      <w:pPr>
        <w:spacing w:after="0" w:line="348" w:lineRule="auto"/>
        <w:jc w:val="both"/>
        <w:rPr>
          <w:color w:val="auto"/>
          <w:sz w:val="20"/>
          <w:szCs w:val="20"/>
        </w:rPr>
      </w:pPr>
      <w:r>
        <w:rPr>
          <w:rFonts w:ascii="Times New Roman" w:hAnsi="Times New Roman" w:eastAsia="Times New Roman" w:cs="Times New Roman"/>
          <w:color w:val="auto"/>
          <w:sz w:val="24"/>
          <w:szCs w:val="24"/>
        </w:rPr>
        <w:t>organizations and other concerned groups are working harder to improve food quality and safety and prevent foodborne illness as a result of these issues. (Todd, 2020).</w:t>
      </w:r>
    </w:p>
    <w:p>
      <w:pPr>
        <w:spacing w:after="0" w:line="30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In many countries, bacterial food-borne zoonotic infections are the leading cause of human intestinal disease (Heredia and Garcia, 2018). As a result, increased research and surveillance efforts from government agencies are required, as well as special attention and awareness from the food industry (Kerr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Shiga toxin-producing Escherichia coli (STEC) are currently thought to be an important group of food-borne zoonotic pathogens that cause diarrhoea, haemorrhagic colitis (HC), and the potentially fatal haemolyticuraemic syndrome (HUS) in humans. Domestic ruminants, particularly cattle, are thought to be a major reservoir of STEC (Chen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Large game animals such as red deer (Cervuselaphus) and wild boar (Susscrofa) are also known to be healthy carriers of O157:H7 and non-O157 STEC (Dias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2022).Fresh meat and ready-to-eat meat products derived from deer have been identified as a significant source of food-borne E. coli O157:H7 and non-STEC O157 to humans (Meng and Doyle, 2020). Despite this, the microbiological contamination levels allowed for large game meat and meat products are not subject to any official regulation. Furthermore, data on the microbiological quality of game meat for some pathogens is limited (Soare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 complicating factor is that efforts to monitor the health of wild game rely on disease detection through visual inspection and recommended hygienic practices to limit the spread and multiplication of biological hazards (Jamwal and Phulia, 2021).</w:t>
      </w:r>
    </w:p>
    <w:p>
      <w:pPr>
        <w:spacing w:after="0" w:line="30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Escherichia coli can cause health problems primarily during the preparation and storage of contaminated RTE meat and fruits and vegetables (Giri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Ready to eat (RTE) meats, on the other hand, have been identified as transmission routes for foodborne bacteria such as E. coli, posing a significant microbiological risk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As a result, food-traceability systems are urgently needed, particularly for meat and meat-derived products, to improve the quality of food-processing events and ensure safe food for final consumers (Ema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E. coli 0157:H7 has been connected to life-threatening illnesses like hemorrhagic colitis (HC), hemolytic uremic syndrome (HUS), and thrombotic thrombocytopenic purpura (Koolebogile, 2020). Majority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are non-pathogenic, a few are very pathogenic and cause watery and bloody diarrhea (Schuetz, 2019). The contamination of RTE foods with E. coli has been discovered (Wilson et al., 2018). It is simple to transfer this species from surfaces, like hands, to</w:t>
      </w:r>
    </w:p>
    <w:p>
      <w:pPr>
        <w:spacing w:after="0" w:line="22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11" w:name="page17"/>
      <w:bookmarkEnd w:id="11"/>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foods. The likelihood of contracting diseases of animal origin, like pathogenic E. coli, has increased as more people consume beef, milk, and poultry. E. coli, an Enterobacteriaceae family member, is the most common organism found in the digestive tracts of both humans and animals (Ekici and Dumen, 2019). The enteric and faecal pathogen E. coli has been identified as an indicator species (Devane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2020).HC and HUS are two serious human gastrointestinal disorders that have been linked to some E. coli strains, despite the fact that the majority of these strains are not pathogenic (Liu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Enterohemolysin (hlyA), intimin (eaeA), and shiga toxins (stx1 and stx2) are virulence factors that are important in the emergence of these disorders (Elsyaed and Mounir., 2020). Additional research has been done on E. coli and other pathogens in RTE foods.</w:t>
      </w:r>
    </w:p>
    <w:p>
      <w:pPr>
        <w:spacing w:after="0" w:line="21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2.1</w:t>
      </w:r>
      <w:r>
        <w:rPr>
          <w:color w:val="auto"/>
          <w:sz w:val="20"/>
          <w:szCs w:val="20"/>
        </w:rPr>
        <w:tab/>
      </w:r>
      <w:r>
        <w:rPr>
          <w:rFonts w:ascii="Times New Roman" w:hAnsi="Times New Roman" w:eastAsia="Times New Roman" w:cs="Times New Roman"/>
          <w:color w:val="auto"/>
          <w:sz w:val="23"/>
          <w:szCs w:val="23"/>
        </w:rPr>
        <w:t>Fresh Produce</w:t>
      </w:r>
    </w:p>
    <w:p>
      <w:pPr>
        <w:spacing w:after="0" w:line="41"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Fruits are the edible parts formed from leaves of plants. They are rich in vitamins, fibres, anti-oxidants, minerals and carbohydrates (Muronga </w:t>
      </w:r>
      <w:r>
        <w:rPr>
          <w:rFonts w:ascii="Times New Roman" w:hAnsi="Times New Roman" w:eastAsia="Times New Roman" w:cs="Times New Roman"/>
          <w:i/>
          <w:iCs/>
          <w:color w:val="auto"/>
          <w:sz w:val="24"/>
          <w:szCs w:val="24"/>
        </w:rPr>
        <w:t>et at</w:t>
      </w:r>
      <w:r>
        <w:rPr>
          <w:rFonts w:ascii="Times New Roman" w:hAnsi="Times New Roman" w:eastAsia="Times New Roman" w:cs="Times New Roman"/>
          <w:color w:val="auto"/>
          <w:sz w:val="24"/>
          <w:szCs w:val="24"/>
        </w:rPr>
        <w:t xml:space="preserve">., 2021). Fruits and vegetables have been reported to be vectors of pathogens and other contaminants and this can be traced to fact that they are always consumed without further processing (or even minor heat processing) and most of the time they contain pathogens from harvesting practices, transportation channel and human handling(Ehuwa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8"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2.2</w:t>
      </w:r>
      <w:r>
        <w:rPr>
          <w:color w:val="auto"/>
          <w:sz w:val="20"/>
          <w:szCs w:val="20"/>
        </w:rPr>
        <w:tab/>
      </w:r>
      <w:r>
        <w:rPr>
          <w:rFonts w:ascii="Times New Roman" w:hAnsi="Times New Roman" w:eastAsia="Times New Roman" w:cs="Times New Roman"/>
          <w:color w:val="auto"/>
          <w:sz w:val="23"/>
          <w:szCs w:val="23"/>
        </w:rPr>
        <w:t>Potential Sources of Produce Contamination</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Due to the fact that fresh produce cultivation is an open system, it is vulnerable to contamination from a variety of sources (Alegbeleye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This is due to the fact that each farm has its own unique set of environmental risk factors, including topography, land-use interactions, and climate. The prevalence and transmission of foodborne pathogens, as well as the danger of produce contamination, are influenced by a combination of these unique environmental risk variables (Rasool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2021).Pathogens can contaminate produce ‘on-field' through different mechanisms, including air deposition, uptake from contaminated soils, and groundwater contamination (Gong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use of raw (or poorly treated) manure and compost, exposure to contaminated water (irrigation or flooding), insect transfer, or fecal contamination caused by cattle or wild animals (Pradhan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Several researchers have looked at the source of contamination, with soil, water, biological amendments, and wild animal activities all being mentioned as possible routesfor human infections (Angelici and Karanis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2019); (Olaimat&amp;</w:t>
      </w:r>
      <w:r>
        <w:rPr>
          <w:rFonts w:ascii="Times New Roman" w:hAnsi="Times New Roman" w:eastAsia="Times New Roman" w:cs="Times New Roman"/>
          <w:i/>
          <w:iCs/>
          <w:color w:val="auto"/>
          <w:sz w:val="24"/>
          <w:szCs w:val="24"/>
        </w:rPr>
        <w:t>Holley</w:t>
      </w:r>
      <w:r>
        <w:rPr>
          <w:rFonts w:ascii="Times New Roman" w:hAnsi="Times New Roman" w:eastAsia="Times New Roman" w:cs="Times New Roman"/>
          <w:color w:val="auto"/>
          <w:sz w:val="24"/>
          <w:szCs w:val="24"/>
        </w:rPr>
        <w:t>, 2012). In perfect conditions, pathogens would be absent from the soil, water,</w:t>
      </w:r>
    </w:p>
    <w:p>
      <w:pPr>
        <w:spacing w:after="0" w:line="18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12" w:name="page18"/>
      <w:bookmarkEnd w:id="12"/>
    </w:p>
    <w:p>
      <w:pPr>
        <w:spacing w:after="0" w:line="354" w:lineRule="auto"/>
        <w:jc w:val="both"/>
        <w:rPr>
          <w:color w:val="auto"/>
          <w:sz w:val="20"/>
          <w:szCs w:val="20"/>
        </w:rPr>
      </w:pPr>
      <w:r>
        <w:rPr>
          <w:rFonts w:ascii="Times New Roman" w:hAnsi="Times New Roman" w:eastAsia="Times New Roman" w:cs="Times New Roman"/>
          <w:color w:val="auto"/>
          <w:sz w:val="24"/>
          <w:szCs w:val="24"/>
        </w:rPr>
        <w:t xml:space="preserve">and biological modifications, preventing contamination (Zhang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Pathogens, on the other hand, can survive in the environment for long periods of time and become extensively spread (Suleyman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20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2.2.1</w:t>
      </w:r>
      <w:r>
        <w:rPr>
          <w:color w:val="auto"/>
          <w:sz w:val="20"/>
          <w:szCs w:val="20"/>
        </w:rPr>
        <w:tab/>
      </w:r>
      <w:r>
        <w:rPr>
          <w:rFonts w:ascii="Times New Roman" w:hAnsi="Times New Roman" w:eastAsia="Times New Roman" w:cs="Times New Roman"/>
          <w:color w:val="auto"/>
          <w:sz w:val="23"/>
          <w:szCs w:val="23"/>
        </w:rPr>
        <w:t>Pre-harvest contamination of Fresh Produce</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main sources of pre-harvest contamination are soil and inadequately composted animal dung used as organic manure (Ramos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Due to use of animal feces as manure, the soil is prone to be a natural reservoir for a diversity of human pathogens, including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pathogens (Jonas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w:t>
      </w:r>
      <w:r>
        <w:rPr>
          <w:rFonts w:ascii="Times New Roman" w:hAnsi="Times New Roman" w:eastAsia="Times New Roman" w:cs="Times New Roman"/>
          <w:i/>
          <w:iCs/>
          <w:color w:val="auto"/>
          <w:sz w:val="24"/>
          <w:szCs w:val="24"/>
        </w:rPr>
        <w:t>E. coli O157: H7</w:t>
      </w:r>
      <w:r>
        <w:rPr>
          <w:rFonts w:ascii="Times New Roman" w:hAnsi="Times New Roman" w:eastAsia="Times New Roman" w:cs="Times New Roman"/>
          <w:color w:val="auto"/>
          <w:sz w:val="24"/>
          <w:szCs w:val="24"/>
        </w:rPr>
        <w:t xml:space="preserve"> can live in the soil for 7 to 25 weeks, depending on the soil type, humidity level, and temperature (Luna-Guevara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This bacterium can also survive during the storage and distribution of crops. According to [Launders et al., 2016], the presence of STEC O157 in potatoes poses a risk because it may cause cross contamination </w:t>
      </w:r>
      <w:r>
        <w:rPr>
          <w:rFonts w:ascii="Times New Roman" w:hAnsi="Times New Roman" w:eastAsia="Times New Roman" w:cs="Times New Roman"/>
          <w:i/>
          <w:iCs/>
          <w:color w:val="auto"/>
          <w:sz w:val="24"/>
          <w:szCs w:val="24"/>
        </w:rPr>
        <w:t>E. coli O157: H7</w:t>
      </w:r>
      <w:r>
        <w:rPr>
          <w:rFonts w:ascii="Times New Roman" w:hAnsi="Times New Roman" w:eastAsia="Times New Roman" w:cs="Times New Roman"/>
          <w:color w:val="auto"/>
          <w:sz w:val="24"/>
          <w:szCs w:val="24"/>
        </w:rPr>
        <w:t xml:space="preserve"> with other raw foods (Ngene et al., 2020). Furthermore, animal manure is widely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used in the production of organic foods (Khalil et al., 2019).</w:t>
      </w:r>
    </w:p>
    <w:p>
      <w:pPr>
        <w:spacing w:after="0" w:line="21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2.2.2</w:t>
      </w:r>
      <w:r>
        <w:rPr>
          <w:color w:val="auto"/>
          <w:sz w:val="20"/>
          <w:szCs w:val="20"/>
        </w:rPr>
        <w:tab/>
      </w:r>
      <w:r>
        <w:rPr>
          <w:rFonts w:ascii="Times New Roman" w:hAnsi="Times New Roman" w:eastAsia="Times New Roman" w:cs="Times New Roman"/>
          <w:color w:val="auto"/>
          <w:sz w:val="23"/>
          <w:szCs w:val="23"/>
        </w:rPr>
        <w:t>Post-harvest contamination of Fresh Produce</w:t>
      </w:r>
    </w:p>
    <w:p>
      <w:pPr>
        <w:spacing w:after="0" w:line="238"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In some circumstances, the presence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vegetables such as alfalfa sprouts, fresh spinach, and raw clover sprouts is much higher at the end of the postharvest process than at the beginning (Iwu and Okoh, 2019). This could be due to later direct contamination or pathogen proliferation during raw vegetable postharvest operations (Lenzi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presence of E. coli in postharvest packing stages could imply fecal contamination and the presence of enteric pathogens from feces (Allende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When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 H7 was isolated from specific types of fresh vegetables, the prevalence was rather low, these bacteria can cause disease in consumers (Zada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w:t>
      </w:r>
    </w:p>
    <w:p>
      <w:pPr>
        <w:sectPr>
          <w:pgSz w:w="12240" w:h="15840"/>
          <w:pgMar w:top="1440" w:right="1440" w:bottom="403" w:left="1440" w:header="0" w:footer="0" w:gutter="0"/>
          <w:cols w:equalWidth="0" w:num="1">
            <w:col w:w="9360"/>
          </w:cols>
        </w:sectPr>
      </w:pPr>
    </w:p>
    <w:p>
      <w:pPr>
        <w:spacing w:after="0"/>
        <w:rPr>
          <w:color w:val="auto"/>
          <w:sz w:val="20"/>
          <w:szCs w:val="20"/>
        </w:rPr>
      </w:pPr>
      <w:bookmarkStart w:id="13" w:name="page19"/>
      <w:bookmarkEnd w:id="13"/>
      <w:r>
        <w:rPr>
          <w:rFonts w:ascii="Times New Roman" w:hAnsi="Times New Roman" w:eastAsia="Times New Roman" w:cs="Times New Roman"/>
          <w:b/>
          <w:bCs/>
          <w:color w:val="auto"/>
          <w:sz w:val="24"/>
          <w:szCs w:val="24"/>
        </w:rPr>
        <w:t>Table 2.1:</w:t>
      </w:r>
      <w:r>
        <w:rPr>
          <w:rFonts w:ascii="Times New Roman" w:hAnsi="Times New Roman" w:eastAsia="Times New Roman" w:cs="Times New Roman"/>
          <w:color w:val="auto"/>
          <w:sz w:val="24"/>
          <w:szCs w:val="24"/>
        </w:rPr>
        <w:t xml:space="preserve"> Contamination Sources during the Pre and Post-Harvest Stages in produce</w:t>
      </w:r>
    </w:p>
    <w:p>
      <w:pPr>
        <w:spacing w:after="0" w:line="187"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20"/>
        <w:gridCol w:w="4500"/>
        <w:gridCol w:w="468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45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Stage</w:t>
            </w:r>
          </w:p>
        </w:tc>
        <w:tc>
          <w:tcPr>
            <w:tcW w:w="4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Contamination sources</w:t>
            </w:r>
          </w:p>
        </w:tc>
      </w:tr>
      <w:tr>
        <w:tblPrEx>
          <w:tblCellMar>
            <w:top w:w="0" w:type="dxa"/>
            <w:left w:w="0" w:type="dxa"/>
            <w:bottom w:w="0" w:type="dxa"/>
            <w:right w:w="0" w:type="dxa"/>
          </w:tblCellMar>
        </w:tblPrEx>
        <w:trPr>
          <w:trHeight w:val="142" w:hRule="atLeast"/>
        </w:trPr>
        <w:tc>
          <w:tcPr>
            <w:tcW w:w="20" w:type="dxa"/>
            <w:vAlign w:val="bottom"/>
          </w:tcPr>
          <w:p>
            <w:pPr>
              <w:spacing w:after="0"/>
              <w:rPr>
                <w:color w:val="auto"/>
                <w:sz w:val="12"/>
                <w:szCs w:val="12"/>
              </w:rPr>
            </w:pPr>
          </w:p>
        </w:tc>
        <w:tc>
          <w:tcPr>
            <w:tcW w:w="4500" w:type="dxa"/>
            <w:tcBorders>
              <w:bottom w:val="single" w:color="auto" w:sz="8" w:space="0"/>
              <w:right w:val="single" w:color="auto" w:sz="8" w:space="0"/>
            </w:tcBorders>
            <w:vAlign w:val="bottom"/>
          </w:tcPr>
          <w:p>
            <w:pPr>
              <w:spacing w:after="0"/>
              <w:rPr>
                <w:color w:val="auto"/>
                <w:sz w:val="12"/>
                <w:szCs w:val="12"/>
              </w:rPr>
            </w:pPr>
          </w:p>
        </w:tc>
        <w:tc>
          <w:tcPr>
            <w:tcW w:w="46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4500" w:type="dxa"/>
            <w:tcBorders>
              <w:right w:val="single" w:color="auto" w:sz="8" w:space="0"/>
            </w:tcBorders>
            <w:vAlign w:val="bottom"/>
          </w:tcPr>
          <w:p>
            <w:pPr>
              <w:spacing w:after="0"/>
              <w:rPr>
                <w:color w:val="auto"/>
                <w:sz w:val="22"/>
                <w:szCs w:val="22"/>
              </w:rPr>
            </w:pPr>
          </w:p>
        </w:tc>
        <w:tc>
          <w:tcPr>
            <w:tcW w:w="46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Insecticides, fungicides, irrigation water,</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Pre-harvest</w:t>
            </w: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manure that has not been properly composted,</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human handling, and seasons are all factors to</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consider (fall, winter, and spring)</w:t>
            </w:r>
          </w:p>
        </w:tc>
      </w:tr>
      <w:tr>
        <w:tblPrEx>
          <w:tblCellMar>
            <w:top w:w="0" w:type="dxa"/>
            <w:left w:w="0" w:type="dxa"/>
            <w:bottom w:w="0" w:type="dxa"/>
            <w:right w:w="0" w:type="dxa"/>
          </w:tblCellMar>
        </w:tblPrEx>
        <w:trPr>
          <w:trHeight w:val="828"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Poor hygiene in harvesting and transporting</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Post-harvest</w:t>
            </w: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equipment, contaminated water for washing</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and distributing equipment, grimy cutlery,</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and dirty processing equipment</w:t>
            </w:r>
          </w:p>
        </w:tc>
      </w:tr>
      <w:tr>
        <w:tblPrEx>
          <w:tblCellMar>
            <w:top w:w="0" w:type="dxa"/>
            <w:left w:w="0" w:type="dxa"/>
            <w:bottom w:w="0" w:type="dxa"/>
            <w:right w:w="0" w:type="dxa"/>
          </w:tblCellMar>
        </w:tblPrEx>
        <w:trPr>
          <w:trHeight w:val="147" w:hRule="atLeast"/>
        </w:trPr>
        <w:tc>
          <w:tcPr>
            <w:tcW w:w="20" w:type="dxa"/>
            <w:tcBorders>
              <w:bottom w:val="single" w:color="auto" w:sz="8" w:space="0"/>
            </w:tcBorders>
            <w:vAlign w:val="bottom"/>
          </w:tcPr>
          <w:p>
            <w:pPr>
              <w:spacing w:after="0"/>
              <w:rPr>
                <w:color w:val="auto"/>
                <w:sz w:val="12"/>
                <w:szCs w:val="12"/>
              </w:rPr>
            </w:pPr>
          </w:p>
        </w:tc>
        <w:tc>
          <w:tcPr>
            <w:tcW w:w="4500" w:type="dxa"/>
            <w:tcBorders>
              <w:bottom w:val="single" w:color="auto" w:sz="8" w:space="0"/>
              <w:right w:val="single" w:color="auto" w:sz="8" w:space="0"/>
            </w:tcBorders>
            <w:vAlign w:val="bottom"/>
          </w:tcPr>
          <w:p>
            <w:pPr>
              <w:spacing w:after="0"/>
              <w:rPr>
                <w:color w:val="auto"/>
                <w:sz w:val="12"/>
                <w:szCs w:val="12"/>
              </w:rPr>
            </w:pPr>
          </w:p>
        </w:tc>
        <w:tc>
          <w:tcPr>
            <w:tcW w:w="4680" w:type="dxa"/>
            <w:tcBorders>
              <w:bottom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8</w:t>
      </w:r>
    </w:p>
    <w:p>
      <w:pPr>
        <w:sectPr>
          <w:pgSz w:w="12240" w:h="15840"/>
          <w:pgMar w:top="1432" w:right="1440" w:bottom="403" w:left="1440" w:header="0" w:footer="0" w:gutter="0"/>
          <w:cols w:equalWidth="0" w:num="1">
            <w:col w:w="9360"/>
          </w:cols>
        </w:sectPr>
      </w:pPr>
    </w:p>
    <w:p>
      <w:pPr>
        <w:tabs>
          <w:tab w:val="left" w:pos="700"/>
        </w:tabs>
        <w:spacing w:after="0"/>
        <w:rPr>
          <w:color w:val="auto"/>
          <w:sz w:val="20"/>
          <w:szCs w:val="20"/>
        </w:rPr>
      </w:pPr>
      <w:bookmarkStart w:id="14" w:name="page20"/>
      <w:bookmarkEnd w:id="14"/>
      <w:r>
        <w:rPr>
          <w:rFonts w:ascii="Times New Roman" w:hAnsi="Times New Roman" w:eastAsia="Times New Roman" w:cs="Times New Roman"/>
          <w:b/>
          <w:bCs/>
          <w:color w:val="auto"/>
          <w:sz w:val="24"/>
          <w:szCs w:val="24"/>
        </w:rPr>
        <w:t>2.2.3</w:t>
      </w:r>
      <w:r>
        <w:rPr>
          <w:color w:val="auto"/>
          <w:sz w:val="20"/>
          <w:szCs w:val="20"/>
        </w:rPr>
        <w:tab/>
      </w:r>
      <w:r>
        <w:rPr>
          <w:rFonts w:ascii="Times New Roman" w:hAnsi="Times New Roman" w:eastAsia="Times New Roman" w:cs="Times New Roman"/>
          <w:b/>
          <w:bCs/>
          <w:color w:val="auto"/>
          <w:sz w:val="23"/>
          <w:szCs w:val="23"/>
        </w:rPr>
        <w:t>Outbreaks Linked to Fresh Produce</w:t>
      </w:r>
    </w:p>
    <w:p>
      <w:pPr>
        <w:spacing w:after="0" w:line="3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Foodborne disease outbreaks linked to fruits and vegetables have increased dramatically (Fig. 2.1).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are the most dangerous pathogens. </w:t>
      </w:r>
      <w:r>
        <w:rPr>
          <w:rFonts w:ascii="Times New Roman" w:hAnsi="Times New Roman" w:eastAsia="Times New Roman" w:cs="Times New Roman"/>
          <w:i/>
          <w:iCs/>
          <w:color w:val="auto"/>
          <w:sz w:val="24"/>
          <w:szCs w:val="24"/>
        </w:rPr>
        <w:t>E.coli O157:H</w:t>
      </w:r>
      <w:r>
        <w:rPr>
          <w:rFonts w:ascii="Times New Roman" w:hAnsi="Times New Roman" w:eastAsia="Times New Roman" w:cs="Times New Roman"/>
          <w:color w:val="auto"/>
          <w:sz w:val="24"/>
          <w:szCs w:val="24"/>
        </w:rPr>
        <w:t xml:space="preserve">7, despite the fact that a wide spectrum of dangerous bacteria exists in theory (Lin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At any step in the supply chain, microorganisms can taint fresh produce. Sprouting seeds, tomatoes, and leafy greens have all been linked to high-profile foodborne disease outbreaks, with sprouted seeds, tomatoes, and leafy greens being the most prevalent. (Riggio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underlying causes for certain product kinds being linked to the bulk of outbreaks can be explained in part by market volume (Bugos and Ivanov, 2021).The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outbreak related to baby spinach in America in 2006 was unique in that the pathogen's strain was isolated from affected patients, spinach in unopened bags, and the farm where the outbreak occurred (Mulaosmanovic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source of the spinach contamination was thought to be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transmission from a nearby cow ranch by infected wild pigs that gained access to the crop through a damaged fence (Lama and Bachoon, 2018). However, a survey of the Salinas valley in the summer of 2006 discovered a significant incidence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indicating that the true route might have been via polluted irrigation water (Coulombe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9</w:t>
      </w:r>
    </w:p>
    <w:p>
      <w:pPr>
        <w:sectPr>
          <w:pgSz w:w="12240" w:h="15840"/>
          <w:pgMar w:top="1437" w:right="1440" w:bottom="403" w:left="1440" w:header="0" w:footer="0" w:gutter="0"/>
          <w:cols w:equalWidth="0" w:num="1">
            <w:col w:w="9360"/>
          </w:cols>
        </w:sectPr>
      </w:pPr>
    </w:p>
    <w:p>
      <w:pPr>
        <w:spacing w:after="0"/>
        <w:ind w:left="520"/>
        <w:rPr>
          <w:color w:val="auto"/>
          <w:sz w:val="20"/>
          <w:szCs w:val="20"/>
        </w:rPr>
      </w:pPr>
      <w:bookmarkStart w:id="15" w:name="page21"/>
      <w:bookmarkEnd w:id="15"/>
      <w:r>
        <w:rPr>
          <w:rFonts w:ascii="Times New Roman" w:hAnsi="Times New Roman" w:eastAsia="Times New Roman" w:cs="Times New Roman"/>
          <w:b/>
          <w:bCs/>
          <w:color w:val="auto"/>
          <w:sz w:val="24"/>
          <w:szCs w:val="24"/>
        </w:rPr>
        <w:t>Table 2.2:</w:t>
      </w:r>
      <w:r>
        <w:rPr>
          <w:rFonts w:ascii="Times New Roman" w:hAnsi="Times New Roman" w:eastAsia="Times New Roman" w:cs="Times New Roman"/>
          <w:color w:val="auto"/>
          <w:sz w:val="24"/>
          <w:szCs w:val="24"/>
        </w:rPr>
        <w:t xml:space="preserve"> Outbreaks Linked to Fresh Produce</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900"/>
        <w:gridCol w:w="2620"/>
        <w:gridCol w:w="2280"/>
        <w:gridCol w:w="3620"/>
        <w:gridCol w:w="360"/>
      </w:tblGrid>
      <w:tr>
        <w:tblPrEx>
          <w:tblCellMar>
            <w:top w:w="0" w:type="dxa"/>
            <w:left w:w="0" w:type="dxa"/>
            <w:bottom w:w="0" w:type="dxa"/>
            <w:right w:w="0" w:type="dxa"/>
          </w:tblCellMar>
        </w:tblPrEx>
        <w:trPr>
          <w:trHeight w:val="283" w:hRule="atLeast"/>
        </w:trPr>
        <w:tc>
          <w:tcPr>
            <w:tcW w:w="19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Date</w:t>
            </w:r>
          </w:p>
        </w:tc>
        <w:tc>
          <w:tcPr>
            <w:tcW w:w="26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Pathogen</w:t>
            </w:r>
          </w:p>
        </w:tc>
        <w:tc>
          <w:tcPr>
            <w:tcW w:w="22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Produce</w:t>
            </w:r>
          </w:p>
        </w:tc>
        <w:tc>
          <w:tcPr>
            <w:tcW w:w="36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Comments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1900" w:type="dxa"/>
            <w:tcBorders>
              <w:bottom w:val="single" w:color="auto" w:sz="8" w:space="0"/>
            </w:tcBorders>
            <w:vAlign w:val="bottom"/>
          </w:tcPr>
          <w:p>
            <w:pPr>
              <w:spacing w:after="0"/>
              <w:rPr>
                <w:color w:val="auto"/>
                <w:sz w:val="13"/>
                <w:szCs w:val="13"/>
              </w:rPr>
            </w:pPr>
          </w:p>
        </w:tc>
        <w:tc>
          <w:tcPr>
            <w:tcW w:w="2620" w:type="dxa"/>
            <w:tcBorders>
              <w:bottom w:val="single" w:color="auto" w:sz="8" w:space="0"/>
            </w:tcBorders>
            <w:vAlign w:val="bottom"/>
          </w:tcPr>
          <w:p>
            <w:pPr>
              <w:spacing w:after="0"/>
              <w:rPr>
                <w:color w:val="auto"/>
                <w:sz w:val="13"/>
                <w:szCs w:val="13"/>
              </w:rPr>
            </w:pPr>
          </w:p>
        </w:tc>
        <w:tc>
          <w:tcPr>
            <w:tcW w:w="2280" w:type="dxa"/>
            <w:tcBorders>
              <w:bottom w:val="single" w:color="auto" w:sz="8" w:space="0"/>
            </w:tcBorders>
            <w:vAlign w:val="bottom"/>
          </w:tcPr>
          <w:p>
            <w:pPr>
              <w:spacing w:after="0"/>
              <w:rPr>
                <w:color w:val="auto"/>
                <w:sz w:val="13"/>
                <w:szCs w:val="13"/>
              </w:rPr>
            </w:pPr>
          </w:p>
        </w:tc>
        <w:tc>
          <w:tcPr>
            <w:tcW w:w="3620" w:type="dxa"/>
            <w:tcBorders>
              <w:bottom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December 2005</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Mung bean sprouts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Canada,618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February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Alfalfa sprouts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sprout recall due to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suspected contamination.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900" w:type="dxa"/>
            <w:tcBorders>
              <w:bottom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2280" w:type="dxa"/>
            <w:tcBorders>
              <w:bottom w:val="single" w:color="auto" w:sz="8" w:space="0"/>
            </w:tcBorders>
            <w:vAlign w:val="bottom"/>
          </w:tcPr>
          <w:p>
            <w:pPr>
              <w:spacing w:after="0"/>
              <w:rPr>
                <w:color w:val="auto"/>
                <w:sz w:val="16"/>
                <w:szCs w:val="16"/>
              </w:rPr>
            </w:pPr>
          </w:p>
        </w:tc>
        <w:tc>
          <w:tcPr>
            <w:tcW w:w="3620" w:type="dxa"/>
            <w:tcBorders>
              <w:bottom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February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Alfalfa sprouts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Australia,100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June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E. coli</w:t>
            </w:r>
            <w:r>
              <w:rPr>
                <w:rFonts w:ascii="Times New Roman" w:hAnsi="Times New Roman" w:eastAsia="Times New Roman" w:cs="Times New Roman"/>
                <w:color w:val="auto"/>
                <w:w w:val="99"/>
                <w:sz w:val="24"/>
                <w:szCs w:val="24"/>
              </w:rPr>
              <w:t>O121:H9</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United states ,4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2"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July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Fruit salad</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U.S.A and Canada ,41 confirmed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1900" w:type="dxa"/>
            <w:tcBorders>
              <w:bottom w:val="single" w:color="auto" w:sz="8" w:space="0"/>
            </w:tcBorders>
            <w:vAlign w:val="bottom"/>
          </w:tcPr>
          <w:p>
            <w:pPr>
              <w:spacing w:after="0"/>
              <w:rPr>
                <w:color w:val="auto"/>
                <w:sz w:val="15"/>
                <w:szCs w:val="15"/>
              </w:rPr>
            </w:pPr>
          </w:p>
        </w:tc>
        <w:tc>
          <w:tcPr>
            <w:tcW w:w="2620" w:type="dxa"/>
            <w:tcBorders>
              <w:bottom w:val="single" w:color="auto" w:sz="8" w:space="0"/>
            </w:tcBorders>
            <w:vAlign w:val="bottom"/>
          </w:tcPr>
          <w:p>
            <w:pPr>
              <w:spacing w:after="0"/>
              <w:rPr>
                <w:color w:val="auto"/>
                <w:sz w:val="15"/>
                <w:szCs w:val="15"/>
              </w:rPr>
            </w:pPr>
          </w:p>
        </w:tc>
        <w:tc>
          <w:tcPr>
            <w:tcW w:w="2280" w:type="dxa"/>
            <w:tcBorders>
              <w:bottom w:val="single" w:color="auto" w:sz="8" w:space="0"/>
            </w:tcBorders>
            <w:vAlign w:val="bottom"/>
          </w:tcPr>
          <w:p>
            <w:pPr>
              <w:spacing w:after="0"/>
              <w:rPr>
                <w:color w:val="auto"/>
                <w:sz w:val="15"/>
                <w:szCs w:val="15"/>
              </w:rPr>
            </w:pPr>
          </w:p>
        </w:tc>
        <w:tc>
          <w:tcPr>
            <w:tcW w:w="3620" w:type="dxa"/>
            <w:tcBorders>
              <w:bottom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September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O157:H7</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Spinach</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U.S.A ,205 confirmed cases;3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deaths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2"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4"/>
                <w:szCs w:val="24"/>
              </w:rPr>
              <w:t>September 2006</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Clostridium botulinum</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Carrot juice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U.S.A and Canada; 6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7" w:hRule="atLeast"/>
        </w:trPr>
        <w:tc>
          <w:tcPr>
            <w:tcW w:w="1900" w:type="dxa"/>
            <w:tcBorders>
              <w:bottom w:val="single" w:color="auto" w:sz="8" w:space="0"/>
            </w:tcBorders>
            <w:vAlign w:val="bottom"/>
          </w:tcPr>
          <w:p>
            <w:pPr>
              <w:spacing w:after="0"/>
              <w:rPr>
                <w:color w:val="auto"/>
                <w:sz w:val="24"/>
                <w:szCs w:val="24"/>
              </w:rPr>
            </w:pPr>
          </w:p>
        </w:tc>
        <w:tc>
          <w:tcPr>
            <w:tcW w:w="2620" w:type="dxa"/>
            <w:tcBorders>
              <w:bottom w:val="single" w:color="auto" w:sz="8" w:space="0"/>
            </w:tcBorders>
            <w:vAlign w:val="bottom"/>
          </w:tcPr>
          <w:p>
            <w:pPr>
              <w:spacing w:after="0"/>
              <w:rPr>
                <w:color w:val="auto"/>
                <w:sz w:val="24"/>
                <w:szCs w:val="24"/>
              </w:rPr>
            </w:pPr>
          </w:p>
        </w:tc>
        <w:tc>
          <w:tcPr>
            <w:tcW w:w="2280" w:type="dxa"/>
            <w:tcBorders>
              <w:bottom w:val="single" w:color="auto" w:sz="8" w:space="0"/>
            </w:tcBorders>
            <w:vAlign w:val="bottom"/>
          </w:tcPr>
          <w:p>
            <w:pPr>
              <w:spacing w:after="0"/>
              <w:rPr>
                <w:color w:val="auto"/>
                <w:sz w:val="24"/>
                <w:szCs w:val="24"/>
              </w:rPr>
            </w:pPr>
          </w:p>
        </w:tc>
        <w:tc>
          <w:tcPr>
            <w:tcW w:w="36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 xml:space="preserve"> 0157:H7</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U.S.A:81 confirmed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 xml:space="preserve"> 0157:H7</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recall for suspected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contamination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Tomatoes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U.S.A:183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August 2007</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4"/>
                <w:szCs w:val="24"/>
              </w:rPr>
              <w:t>Shigella sonnei</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Carrots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4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900" w:type="dxa"/>
            <w:tcBorders>
              <w:bottom w:val="single" w:color="auto" w:sz="8" w:space="0"/>
            </w:tcBorders>
            <w:vAlign w:val="bottom"/>
          </w:tcPr>
          <w:p>
            <w:pPr>
              <w:spacing w:after="0"/>
              <w:rPr>
                <w:color w:val="auto"/>
                <w:sz w:val="13"/>
                <w:szCs w:val="13"/>
              </w:rPr>
            </w:pPr>
          </w:p>
        </w:tc>
        <w:tc>
          <w:tcPr>
            <w:tcW w:w="2620" w:type="dxa"/>
            <w:tcBorders>
              <w:bottom w:val="single" w:color="auto" w:sz="8" w:space="0"/>
            </w:tcBorders>
            <w:vAlign w:val="bottom"/>
          </w:tcPr>
          <w:p>
            <w:pPr>
              <w:spacing w:after="0"/>
              <w:rPr>
                <w:color w:val="auto"/>
                <w:sz w:val="13"/>
                <w:szCs w:val="13"/>
              </w:rPr>
            </w:pPr>
          </w:p>
        </w:tc>
        <w:tc>
          <w:tcPr>
            <w:tcW w:w="2280" w:type="dxa"/>
            <w:tcBorders>
              <w:bottom w:val="single" w:color="auto" w:sz="8" w:space="0"/>
            </w:tcBorders>
            <w:vAlign w:val="bottom"/>
          </w:tcPr>
          <w:p>
            <w:pPr>
              <w:spacing w:after="0"/>
              <w:rPr>
                <w:color w:val="auto"/>
                <w:sz w:val="13"/>
                <w:szCs w:val="13"/>
              </w:rPr>
            </w:pPr>
          </w:p>
        </w:tc>
        <w:tc>
          <w:tcPr>
            <w:tcW w:w="3620" w:type="dxa"/>
            <w:tcBorders>
              <w:bottom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June 2008</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Tomatoes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Unitedstate and Canada 1442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confirmed cases.</w:t>
            </w:r>
          </w:p>
        </w:tc>
        <w:tc>
          <w:tcPr>
            <w:tcW w:w="0" w:type="dxa"/>
            <w:vAlign w:val="bottom"/>
          </w:tcPr>
          <w:p>
            <w:pPr>
              <w:spacing w:after="0"/>
              <w:rPr>
                <w:color w:val="auto"/>
                <w:sz w:val="1"/>
                <w:szCs w:val="1"/>
              </w:rPr>
            </w:pPr>
          </w:p>
        </w:tc>
      </w:tr>
    </w:tbl>
    <w:p>
      <w:pPr>
        <w:spacing w:after="0" w:line="146" w:lineRule="exact"/>
        <w:rPr>
          <w:color w:val="auto"/>
          <w:sz w:val="20"/>
          <w:szCs w:val="20"/>
        </w:rPr>
      </w:pPr>
    </w:p>
    <w:p>
      <w:pPr>
        <w:sectPr>
          <w:pgSz w:w="12240" w:h="15840"/>
          <w:pgMar w:top="1432" w:right="920" w:bottom="403" w:left="920" w:header="0" w:footer="0" w:gutter="0"/>
          <w:cols w:equalWidth="0" w:num="1">
            <w:col w:w="10400"/>
          </w:cols>
        </w:sectPr>
      </w:pPr>
    </w:p>
    <w:p>
      <w:pPr>
        <w:spacing w:after="0" w:line="120" w:lineRule="exact"/>
        <w:rPr>
          <w:color w:val="auto"/>
          <w:sz w:val="20"/>
          <w:szCs w:val="20"/>
        </w:rPr>
      </w:pPr>
    </w:p>
    <w:tbl>
      <w:tblPr>
        <w:tblStyle w:val="3"/>
        <w:tblW w:w="0" w:type="auto"/>
        <w:tblInd w:w="120" w:type="dxa"/>
        <w:tblLayout w:type="fixed"/>
        <w:tblCellMar>
          <w:top w:w="0" w:type="dxa"/>
          <w:left w:w="0" w:type="dxa"/>
          <w:bottom w:w="0" w:type="dxa"/>
          <w:right w:w="0" w:type="dxa"/>
        </w:tblCellMar>
      </w:tblPr>
      <w:tblGrid>
        <w:gridCol w:w="1900"/>
        <w:gridCol w:w="2460"/>
        <w:gridCol w:w="1920"/>
      </w:tblGrid>
      <w:tr>
        <w:tblPrEx>
          <w:tblCellMar>
            <w:top w:w="0" w:type="dxa"/>
            <w:left w:w="0" w:type="dxa"/>
            <w:bottom w:w="0" w:type="dxa"/>
            <w:right w:w="0" w:type="dxa"/>
          </w:tblCellMar>
        </w:tblPrEx>
        <w:trPr>
          <w:trHeight w:val="276" w:hRule="atLeast"/>
        </w:trPr>
        <w:tc>
          <w:tcPr>
            <w:tcW w:w="1900" w:type="dxa"/>
            <w:vAlign w:val="bottom"/>
          </w:tcPr>
          <w:p>
            <w:pPr>
              <w:spacing w:after="0"/>
              <w:rPr>
                <w:color w:val="auto"/>
                <w:sz w:val="20"/>
                <w:szCs w:val="20"/>
              </w:rPr>
            </w:pPr>
            <w:r>
              <w:rPr>
                <w:rFonts w:ascii="Times New Roman" w:hAnsi="Times New Roman" w:eastAsia="Times New Roman" w:cs="Times New Roman"/>
                <w:color w:val="auto"/>
                <w:sz w:val="24"/>
                <w:szCs w:val="24"/>
              </w:rPr>
              <w:t>September 2008</w:t>
            </w:r>
          </w:p>
        </w:tc>
        <w:tc>
          <w:tcPr>
            <w:tcW w:w="2460" w:type="dxa"/>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0157:H7</w:t>
            </w:r>
          </w:p>
        </w:tc>
        <w:tc>
          <w:tcPr>
            <w:tcW w:w="1920" w:type="dxa"/>
            <w:vAlign w:val="bottom"/>
          </w:tcPr>
          <w:p>
            <w:pPr>
              <w:spacing w:after="0"/>
              <w:ind w:left="380"/>
              <w:jc w:val="center"/>
              <w:rPr>
                <w:color w:val="auto"/>
                <w:sz w:val="20"/>
                <w:szCs w:val="20"/>
              </w:rPr>
            </w:pPr>
            <w:r>
              <w:rPr>
                <w:rFonts w:ascii="Times New Roman" w:hAnsi="Times New Roman" w:eastAsia="Times New Roman" w:cs="Times New Roman"/>
                <w:color w:val="auto"/>
                <w:w w:val="99"/>
                <w:sz w:val="24"/>
                <w:szCs w:val="24"/>
              </w:rPr>
              <w:t>Lettuce</w:t>
            </w:r>
          </w:p>
        </w:tc>
      </w:tr>
      <w:tr>
        <w:tblPrEx>
          <w:tblCellMar>
            <w:top w:w="0" w:type="dxa"/>
            <w:left w:w="0" w:type="dxa"/>
            <w:bottom w:w="0" w:type="dxa"/>
            <w:right w:w="0" w:type="dxa"/>
          </w:tblCellMar>
        </w:tblPrEx>
        <w:trPr>
          <w:trHeight w:val="425" w:hRule="atLeast"/>
        </w:trPr>
        <w:tc>
          <w:tcPr>
            <w:tcW w:w="1900" w:type="dxa"/>
            <w:vAlign w:val="bottom"/>
          </w:tcPr>
          <w:p>
            <w:pPr>
              <w:spacing w:after="0"/>
              <w:rPr>
                <w:color w:val="auto"/>
                <w:sz w:val="20"/>
                <w:szCs w:val="20"/>
              </w:rPr>
            </w:pPr>
            <w:r>
              <w:rPr>
                <w:rFonts w:ascii="Times New Roman" w:hAnsi="Times New Roman" w:eastAsia="Times New Roman" w:cs="Times New Roman"/>
                <w:color w:val="auto"/>
                <w:sz w:val="24"/>
                <w:szCs w:val="24"/>
              </w:rPr>
              <w:t>September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rPr>
                <w:color w:val="auto"/>
                <w:sz w:val="24"/>
                <w:szCs w:val="24"/>
              </w:rPr>
            </w:pPr>
          </w:p>
        </w:tc>
      </w:tr>
      <w:tr>
        <w:tblPrEx>
          <w:tblCellMar>
            <w:top w:w="0" w:type="dxa"/>
            <w:left w:w="0" w:type="dxa"/>
            <w:bottom w:w="0" w:type="dxa"/>
            <w:right w:w="0" w:type="dxa"/>
          </w:tblCellMar>
        </w:tblPrEx>
        <w:trPr>
          <w:trHeight w:val="422" w:hRule="atLeast"/>
        </w:trPr>
        <w:tc>
          <w:tcPr>
            <w:tcW w:w="1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November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w w:val="99"/>
                <w:sz w:val="24"/>
                <w:szCs w:val="24"/>
              </w:rPr>
              <w:t>Alfalfa sprouts</w:t>
            </w:r>
          </w:p>
        </w:tc>
      </w:tr>
      <w:tr>
        <w:tblPrEx>
          <w:tblCellMar>
            <w:top w:w="0" w:type="dxa"/>
            <w:left w:w="0" w:type="dxa"/>
            <w:bottom w:w="0" w:type="dxa"/>
            <w:right w:w="0" w:type="dxa"/>
          </w:tblCellMar>
        </w:tblPrEx>
        <w:trPr>
          <w:trHeight w:val="425" w:hRule="atLeast"/>
        </w:trPr>
        <w:tc>
          <w:tcPr>
            <w:tcW w:w="1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December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sz w:val="24"/>
                <w:szCs w:val="24"/>
              </w:rPr>
              <w:t>Basil</w:t>
            </w:r>
          </w:p>
        </w:tc>
      </w:tr>
      <w:tr>
        <w:tblPrEx>
          <w:tblCellMar>
            <w:top w:w="0" w:type="dxa"/>
            <w:left w:w="0" w:type="dxa"/>
            <w:bottom w:w="0" w:type="dxa"/>
            <w:right w:w="0" w:type="dxa"/>
          </w:tblCellMar>
        </w:tblPrEx>
        <w:trPr>
          <w:trHeight w:val="422" w:hRule="atLeast"/>
        </w:trPr>
        <w:tc>
          <w:tcPr>
            <w:tcW w:w="1900" w:type="dxa"/>
            <w:vAlign w:val="bottom"/>
          </w:tcPr>
          <w:p>
            <w:pPr>
              <w:spacing w:after="0"/>
              <w:rPr>
                <w:color w:val="auto"/>
                <w:sz w:val="24"/>
                <w:szCs w:val="24"/>
              </w:rPr>
            </w:pPr>
          </w:p>
        </w:tc>
        <w:tc>
          <w:tcPr>
            <w:tcW w:w="2460" w:type="dxa"/>
            <w:vAlign w:val="bottom"/>
          </w:tcPr>
          <w:p>
            <w:pPr>
              <w:spacing w:after="0"/>
              <w:rPr>
                <w:color w:val="auto"/>
                <w:sz w:val="24"/>
                <w:szCs w:val="24"/>
              </w:rPr>
            </w:pP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w w:val="99"/>
                <w:sz w:val="24"/>
                <w:szCs w:val="24"/>
              </w:rPr>
              <w:t>Alfalfa sprouts</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142240</wp:posOffset>
                </wp:positionV>
                <wp:extent cx="6611620" cy="0"/>
                <wp:effectExtent l="0" t="0" r="0" b="0"/>
                <wp:wrapNone/>
                <wp:docPr id="5" name="Shape 5"/>
                <wp:cNvGraphicFramePr/>
                <a:graphic xmlns:a="http://schemas.openxmlformats.org/drawingml/2006/main">
                  <a:graphicData uri="http://schemas.microsoft.com/office/word/2010/wordprocessingShape">
                    <wps:wsp>
                      <wps:cNvCnPr/>
                      <wps:spPr>
                        <a:xfrm>
                          <a:off x="0" y="0"/>
                          <a:ext cx="6611620" cy="4763"/>
                        </a:xfrm>
                        <a:prstGeom prst="line">
                          <a:avLst/>
                        </a:prstGeom>
                        <a:solidFill>
                          <a:srgbClr val="FFFFFF"/>
                        </a:solidFill>
                        <a:ln w="6096">
                          <a:solidFill>
                            <a:srgbClr val="000000"/>
                          </a:solidFill>
                          <a:miter lim="800000"/>
                        </a:ln>
                      </wps:spPr>
                      <wps:bodyPr/>
                    </wps:wsp>
                  </a:graphicData>
                </a:graphic>
              </wp:anchor>
            </w:drawing>
          </mc:Choice>
          <mc:Fallback>
            <w:pict>
              <v:line id="Shape 5" o:spid="_x0000_s1026" o:spt="20" style="position:absolute;left:0pt;margin-left:-0.6pt;margin-top:11.2pt;height:0pt;width:520.6pt;z-index:-251657216;mso-width-relative:page;mso-height-relative:page;" fillcolor="#FFFFFF" filled="t" stroked="t" coordsize="21600,21600" o:allowincell="f" o:gfxdata="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rAMc&#10;1wAAAAkBAAAPAAAAAAAAAAEAIAAAACIAAABkcnMvZG93bnJldi54bWxQSwECFAAUAAAACACHTuJA&#10;pNS4ErABAACZAwAADgAAAAAAAAABACAAAAAmAQAAZHJzL2Uyb0RvYy54bWxQSwUGAAAAAAYABgBZ&#10;AQAASAUAAAAA&#10;">
                <v:fill on="t" focussize="0,0"/>
                <v:stroke weight="0.48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ind w:right="200"/>
        <w:jc w:val="center"/>
        <w:rPr>
          <w:color w:val="auto"/>
          <w:sz w:val="20"/>
          <w:szCs w:val="20"/>
        </w:rPr>
      </w:pPr>
      <w:r>
        <w:rPr>
          <w:rFonts w:ascii="Times New Roman" w:hAnsi="Times New Roman" w:eastAsia="Times New Roman" w:cs="Times New Roman"/>
          <w:color w:val="auto"/>
          <w:sz w:val="24"/>
          <w:szCs w:val="24"/>
        </w:rPr>
        <w:t>United state and Canada,134</w:t>
      </w:r>
    </w:p>
    <w:p>
      <w:pPr>
        <w:spacing w:after="0" w:line="29"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confirmed cases.</w:t>
      </w:r>
    </w:p>
    <w:p>
      <w:pPr>
        <w:spacing w:after="0" w:line="146"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United states,14 confirmed cases</w:t>
      </w:r>
    </w:p>
    <w:p>
      <w:pPr>
        <w:spacing w:after="0" w:line="149"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UK, 32 confirmed cases</w:t>
      </w:r>
    </w:p>
    <w:p>
      <w:pPr>
        <w:spacing w:after="0" w:line="146" w:lineRule="exact"/>
        <w:rPr>
          <w:color w:val="auto"/>
          <w:sz w:val="20"/>
          <w:szCs w:val="20"/>
        </w:rPr>
      </w:pPr>
    </w:p>
    <w:p>
      <w:pPr>
        <w:spacing w:after="0"/>
        <w:ind w:right="200"/>
        <w:jc w:val="center"/>
        <w:rPr>
          <w:color w:val="auto"/>
          <w:sz w:val="20"/>
          <w:szCs w:val="20"/>
        </w:rPr>
      </w:pPr>
      <w:r>
        <w:rPr>
          <w:rFonts w:ascii="Times New Roman" w:hAnsi="Times New Roman" w:eastAsia="Times New Roman" w:cs="Times New Roman"/>
          <w:color w:val="auto"/>
          <w:sz w:val="24"/>
          <w:szCs w:val="24"/>
        </w:rPr>
        <w:t>United states, recall for the</w:t>
      </w:r>
    </w:p>
    <w:p>
      <w:pPr>
        <w:spacing w:after="0" w:line="29" w:lineRule="exact"/>
        <w:rPr>
          <w:color w:val="auto"/>
          <w:sz w:val="20"/>
          <w:szCs w:val="20"/>
        </w:rPr>
      </w:pPr>
    </w:p>
    <w:p>
      <w:pPr>
        <w:spacing w:after="0"/>
        <w:ind w:right="200"/>
        <w:jc w:val="center"/>
        <w:rPr>
          <w:color w:val="auto"/>
          <w:sz w:val="20"/>
          <w:szCs w:val="20"/>
        </w:rPr>
      </w:pPr>
      <w:r>
        <w:rPr>
          <w:rFonts w:ascii="Times New Roman" w:hAnsi="Times New Roman" w:eastAsia="Times New Roman" w:cs="Times New Roman"/>
          <w:color w:val="auto"/>
          <w:sz w:val="24"/>
          <w:szCs w:val="24"/>
        </w:rPr>
        <w:t>suspected contamination.</w:t>
      </w:r>
    </w:p>
    <w:p>
      <w:pPr>
        <w:spacing w:after="0" w:line="200" w:lineRule="exact"/>
        <w:rPr>
          <w:color w:val="auto"/>
          <w:sz w:val="20"/>
          <w:szCs w:val="20"/>
        </w:rPr>
      </w:pPr>
    </w:p>
    <w:p>
      <w:pPr>
        <w:sectPr>
          <w:type w:val="continuous"/>
          <w:pgSz w:w="12240" w:h="15840"/>
          <w:pgMar w:top="1432" w:right="920" w:bottom="403" w:left="920" w:header="0" w:footer="0" w:gutter="0"/>
          <w:cols w:equalWidth="0" w:num="2">
            <w:col w:w="6380" w:space="640"/>
            <w:col w:w="33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10</w:t>
      </w:r>
    </w:p>
    <w:p>
      <w:pPr>
        <w:sectPr>
          <w:type w:val="continuous"/>
          <w:pgSz w:w="12240" w:h="15840"/>
          <w:pgMar w:top="1432" w:right="920" w:bottom="403" w:left="920" w:header="0" w:footer="0" w:gutter="0"/>
          <w:cols w:equalWidth="0" w:num="1">
            <w:col w:w="10400"/>
          </w:cols>
        </w:sectPr>
      </w:pPr>
    </w:p>
    <w:p>
      <w:pPr>
        <w:tabs>
          <w:tab w:val="left" w:pos="560"/>
        </w:tabs>
        <w:spacing w:after="0"/>
        <w:rPr>
          <w:color w:val="auto"/>
          <w:sz w:val="20"/>
          <w:szCs w:val="20"/>
        </w:rPr>
      </w:pPr>
      <w:bookmarkStart w:id="16" w:name="page22"/>
      <w:bookmarkEnd w:id="16"/>
      <w:r>
        <w:rPr>
          <w:rFonts w:ascii="Times New Roman" w:hAnsi="Times New Roman" w:eastAsia="Times New Roman" w:cs="Times New Roman"/>
          <w:color w:val="auto"/>
          <w:sz w:val="24"/>
          <w:szCs w:val="24"/>
        </w:rPr>
        <w:t>2.3</w:t>
      </w:r>
      <w:r>
        <w:rPr>
          <w:color w:val="auto"/>
          <w:sz w:val="20"/>
          <w:szCs w:val="20"/>
        </w:rPr>
        <w:tab/>
      </w:r>
      <w:r>
        <w:rPr>
          <w:rFonts w:ascii="Times New Roman" w:hAnsi="Times New Roman" w:eastAsia="Times New Roman" w:cs="Times New Roman"/>
          <w:color w:val="auto"/>
          <w:sz w:val="23"/>
          <w:szCs w:val="23"/>
        </w:rPr>
        <w:t>Game Meat</w:t>
      </w:r>
    </w:p>
    <w:p>
      <w:pPr>
        <w:spacing w:after="0" w:line="3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majority of ready-to-eat game meats, particularly in West Africa, are typically those that are produced locally by smoking and drying (Ikoafe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Therefore, the method does not completely protect the meat from microbial attack by bacteria, fungi, or the toxic substances these bacteria produce (Gokoglu, 2019). When this type of meat is used as a source of food by an individual or group of people, especially when it is not properly cooked before consumption, it poses a serious threat to their health (Zupo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2020).The vast variety of species that make up game meat includes donkeys, leopards, monkeys, grass cutters (Thryonomys and Swindenanns), African elephants, and antelope (Alcalaphinae) (MIkeh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13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Similar to ready-to-eat meat, bush meat is typically used as a source of income because it can be sold for money or capital, is a cheaper source of protein than other sources, and can be exported or sold domestically (Tang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2019). When bush meat is properly dried, which is a labor-intensive process involving many important steps beginning with the slaughter of the animal, carcass trimming selection of the raw material, proper cutting and pre-treatment of the pieces to be dried, the meat can be consumed (Hassan, 2020).</w:t>
      </w:r>
    </w:p>
    <w:p>
      <w:pPr>
        <w:spacing w:after="0" w:line="13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Additionally, to prevent severe rancidity, ready-to-eat bush-meat with a high fat content should be consumed as soon as possible after cooking (Otoo, 2019). These game meats must also be regularly checked for spoilage-related off odor, which results from improper handling and/or drying of the meat (Charmpi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It is imperative to thoroughly sort out any deteriorating bush meat and not cook it (Chaves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2019).The availability of water, its activity, pH value, redox potentials, moisture content, temperature, relative humidity, and nutrient content are all important factors that contribute to the microbial contamination of ready-to-eat bush meat (Nowshad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Because of the meat's nutritive value or other characteristics, bush-meats are frequently consumed by a variety of people, especially in Nigeria, irrespective of their age and race (Onyekuru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But they are also vulnerable to microbial attack, bacterial growth, and fungal proliferation when not handled properly, which could cause food-borne illnesses or diseases in consumers because these microbes are pervasive and cause bush-meat to deteriorate, lowering its acceptability and economic benefits to people (Chi mang, 2021).When these microorganisms infiltrate game meat, they have the potential to ruin its appealing appearance, turn its pleasant smell foul, and perhaps even change its flavor to one that is soured and unappealing to the consumer (Niman, 2021).</w:t>
      </w:r>
    </w:p>
    <w:p>
      <w:pPr>
        <w:spacing w:after="0" w:line="23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11</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17" w:name="page23"/>
      <w:bookmarkEnd w:id="17"/>
      <w:r>
        <w:rPr>
          <w:rFonts w:ascii="Times New Roman" w:hAnsi="Times New Roman" w:eastAsia="Times New Roman" w:cs="Times New Roman"/>
          <w:color w:val="auto"/>
          <w:sz w:val="24"/>
          <w:szCs w:val="24"/>
        </w:rPr>
        <w:t>2.4</w:t>
      </w:r>
      <w:r>
        <w:rPr>
          <w:color w:val="auto"/>
          <w:sz w:val="20"/>
          <w:szCs w:val="20"/>
        </w:rPr>
        <w:tab/>
      </w:r>
      <w:r>
        <w:rPr>
          <w:rFonts w:ascii="Times New Roman" w:hAnsi="Times New Roman" w:eastAsia="Times New Roman" w:cs="Times New Roman"/>
          <w:color w:val="auto"/>
          <w:sz w:val="23"/>
          <w:szCs w:val="23"/>
        </w:rPr>
        <w:t>Zoonotic Diseases and Risks</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Animal species consumed as bushmeat can be natural reservoirs for diseases that can be passed on to humans (zoonoses) (Hilderink and Winter, 2021). Indeed, many pathogens (viruses, bacteria, protozoa, and parasites) found in a range of bushmeat species are transmissible to humans (Rahman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In Africa, there are twenty-five different parasites (including </w:t>
      </w:r>
      <w:r>
        <w:rPr>
          <w:rFonts w:ascii="Times New Roman" w:hAnsi="Times New Roman" w:eastAsia="Times New Roman" w:cs="Times New Roman"/>
          <w:i/>
          <w:iCs/>
          <w:color w:val="auto"/>
          <w:sz w:val="24"/>
          <w:szCs w:val="24"/>
        </w:rPr>
        <w:t>Trichuris</w:t>
      </w:r>
      <w:r>
        <w:rPr>
          <w:rFonts w:ascii="Times New Roman" w:hAnsi="Times New Roman" w:eastAsia="Times New Roman" w:cs="Times New Roman"/>
          <w:color w:val="auto"/>
          <w:sz w:val="24"/>
          <w:szCs w:val="24"/>
        </w:rPr>
        <w:t xml:space="preserve"> sp., </w:t>
      </w:r>
      <w:r>
        <w:rPr>
          <w:rFonts w:ascii="Times New Roman" w:hAnsi="Times New Roman" w:eastAsia="Times New Roman" w:cs="Times New Roman"/>
          <w:i/>
          <w:iCs/>
          <w:color w:val="auto"/>
          <w:sz w:val="24"/>
          <w:szCs w:val="24"/>
        </w:rPr>
        <w:t>Ancylostoma</w:t>
      </w:r>
      <w:r>
        <w:rPr>
          <w:rFonts w:ascii="Times New Roman" w:hAnsi="Times New Roman" w:eastAsia="Times New Roman" w:cs="Times New Roman"/>
          <w:color w:val="auto"/>
          <w:sz w:val="24"/>
          <w:szCs w:val="24"/>
        </w:rPr>
        <w:t xml:space="preserve"> sp., roundworms, </w:t>
      </w:r>
      <w:r>
        <w:rPr>
          <w:rFonts w:ascii="Times New Roman" w:hAnsi="Times New Roman" w:eastAsia="Times New Roman" w:cs="Times New Roman"/>
          <w:i/>
          <w:iCs/>
          <w:color w:val="auto"/>
          <w:sz w:val="24"/>
          <w:szCs w:val="24"/>
        </w:rPr>
        <w:t>Toxoplasma gondii</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Strongyloidesfuelleborni</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nine major virus types (including SIV, HTLV, Marburg virus, Lassa virus, Ebola virus, Nipah virus, and herpes), and eight types of bacteria (including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spp., and </w:t>
      </w:r>
      <w:r>
        <w:rPr>
          <w:rFonts w:ascii="Times New Roman" w:hAnsi="Times New Roman" w:eastAsia="Times New Roman" w:cs="Times New Roman"/>
          <w:i/>
          <w:iCs/>
          <w:color w:val="auto"/>
          <w:sz w:val="24"/>
          <w:szCs w:val="24"/>
        </w:rPr>
        <w:t>Campylobacter</w:t>
      </w:r>
      <w:r>
        <w:rPr>
          <w:rFonts w:ascii="Times New Roman" w:hAnsi="Times New Roman" w:eastAsia="Times New Roman" w:cs="Times New Roman"/>
          <w:color w:val="auto"/>
          <w:sz w:val="24"/>
          <w:szCs w:val="24"/>
        </w:rPr>
        <w:t xml:space="preserve"> spp.) that have been detected in bushmeat and can be spread to humans (Fa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2019).Not all transmissions happen via ingestion. In actuality, the majority of zoonoses are transmitted to people by coming into contact with an animal's bodily fluids and excrement during the preparation and butchering of raw meat before cooking (Schweon and Vitale, 2020). In cases of zoonosis transmission between animals and humans, rodents, rats, monkeys, and small antelope (duikers and chevrotains) are the most frequently mentioned species (Fa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While viral zoonotic disease outbreaks like HIV and Ebola typically receive the most media attention, bacterial and parasitic infections acquired through bushmeat consumption are a significant cause of serious illness among populations residing in tropical and subtropical forest regions (Milbank and Vira, 2022).</w:t>
      </w:r>
    </w:p>
    <w:p>
      <w:pPr>
        <w:spacing w:after="0" w:line="142"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Greater focus is needed on these widespread illnesses, which are frequently correlated with unkempt conditions in areas where meat is butchered and prepared (Mensah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Two potential tactics for preventing this kind of transmission are increased access to clean water and the use of gloves and contemporary utensils (Murray and Saiman, 2022). Given the likelihood that bushmeat consumption will increase in the future, it is becoming more and more urgent to think about the best methods for growing, transporting, and processing bushmeat in accordance with culturally appropriate health and hygiene standards (Saylors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12</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18" w:name="page24"/>
      <w:bookmarkEnd w:id="18"/>
      <w:r>
        <w:rPr>
          <w:rFonts w:ascii="Times New Roman" w:hAnsi="Times New Roman" w:eastAsia="Times New Roman" w:cs="Times New Roman"/>
          <w:b/>
          <w:bCs/>
          <w:color w:val="auto"/>
          <w:sz w:val="24"/>
          <w:szCs w:val="24"/>
        </w:rPr>
        <w:t>2.5</w:t>
      </w:r>
      <w:r>
        <w:rPr>
          <w:color w:val="auto"/>
          <w:sz w:val="20"/>
          <w:szCs w:val="20"/>
        </w:rPr>
        <w:tab/>
      </w:r>
      <w:r>
        <w:rPr>
          <w:rFonts w:ascii="Times New Roman" w:hAnsi="Times New Roman" w:eastAsia="Times New Roman" w:cs="Times New Roman"/>
          <w:b/>
          <w:bCs/>
          <w:i/>
          <w:iCs/>
          <w:color w:val="auto"/>
          <w:sz w:val="23"/>
          <w:szCs w:val="23"/>
        </w:rPr>
        <w:t>Escherichia coli</w:t>
      </w:r>
    </w:p>
    <w:p>
      <w:pPr>
        <w:spacing w:after="0" w:line="31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Escherichia coli are typical inhabitant of the human large intestine (Cieplak</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majority of strains are non-pathogenic; however some strains can develop enterotoxins or invasion factors from bacteriophages or plasmid DNA and become pathogenic (Yim et al., 2021). These virulent strains are responsible for diarrheal diseases globally, including neonatal meningitis, septicemia and urinary tract infections (UTIs) (Riley, 2020).E coli are gram-negative bacilli in the Enterobacteriaceae family (Azimi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They are nonsporulating facultative anaerobes. Ecoli strains containing the K1 capsular polysaccharide antigen cause approximately 40% of septicemia and 80% of meningitis (Rahim, 2019). Different strains of E coli are linked to a variety of different diarrheal illnesses. Enterotoxigenic E coli (ETEC), enteroinvasive E coli (EIEC), and Shiga toxin-producing E coli (STEC) are among them. The prototypic strain of STEC is E coli O157:H7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Each E coli class has unique somatic (O) and flagellar (H) antigens as well as virulence characteristics(Gebisa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8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Epidemiology</w:t>
      </w:r>
    </w:p>
    <w:p>
      <w:pPr>
        <w:spacing w:after="0" w:line="31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Diarrheogenic E coli strains are found worldwide. The infection is spread through the fecal-oral route, primarily through contaminated water and food (Puvaca and Frutos, 2021). STEC, particularly E coli O157:H7, is shed in ruminant feces such as cattle, sheep, deer, and goats. Infection in humans is spread through contaminated food or water, or through direct contact with an infected person (Kim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Ground beef, animal exposure in public settings (petting zoos), contaminated apple cider, and water contamination in recreational areas have all been linked to outbreaks (Rani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Most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require 10 hours to 6 days incubation. The incubation period for E coli O157:H7 is typically 3 to 4 days (Song and Kang, 2022). In neonatal infections,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and other gram-negative bacterial pathogens are frequently transmitted through the maternal genital tract (Viet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2021).Person-to-person transmission from nursery personnel or environmental sites can result in hospital acquisition of gram-negative organisms (Berhanu and Pal, 2020). The incubation period varies, with the onset of infection ranging from birth to several weeks after birth (Puopolo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13</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19" w:name="page25"/>
      <w:bookmarkEnd w:id="19"/>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914400</wp:posOffset>
            </wp:positionV>
            <wp:extent cx="5599430" cy="27724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599430" cy="27724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Figure 2.1:</w:t>
      </w:r>
      <w:r>
        <w:rPr>
          <w:rFonts w:ascii="Times New Roman" w:hAnsi="Times New Roman" w:eastAsia="Times New Roman" w:cs="Times New Roman"/>
          <w:color w:val="auto"/>
          <w:sz w:val="23"/>
          <w:szCs w:val="23"/>
        </w:rPr>
        <w:t xml:space="preserve"> Typical Structure of Pathogenic </w:t>
      </w:r>
      <w:r>
        <w:rPr>
          <w:rFonts w:ascii="Times New Roman" w:hAnsi="Times New Roman" w:eastAsia="Times New Roman" w:cs="Times New Roman"/>
          <w:i/>
          <w:iCs/>
          <w:color w:val="auto"/>
          <w:sz w:val="23"/>
          <w:szCs w:val="23"/>
        </w:rPr>
        <w:t>E.coli</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14</w:t>
      </w:r>
    </w:p>
    <w:p>
      <w:pPr>
        <w:sectPr>
          <w:type w:val="continuous"/>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20" w:name="page26"/>
      <w:bookmarkEnd w:id="20"/>
      <w:r>
        <w:rPr>
          <w:rFonts w:ascii="Times New Roman" w:hAnsi="Times New Roman" w:eastAsia="Times New Roman" w:cs="Times New Roman"/>
          <w:b/>
          <w:bCs/>
          <w:color w:val="auto"/>
          <w:sz w:val="24"/>
          <w:szCs w:val="24"/>
        </w:rPr>
        <w:t>2.5.2</w:t>
      </w:r>
      <w:r>
        <w:rPr>
          <w:color w:val="auto"/>
          <w:sz w:val="20"/>
          <w:szCs w:val="20"/>
        </w:rPr>
        <w:tab/>
      </w:r>
      <w:r>
        <w:rPr>
          <w:rFonts w:ascii="Times New Roman" w:hAnsi="Times New Roman" w:eastAsia="Times New Roman" w:cs="Times New Roman"/>
          <w:b/>
          <w:bCs/>
          <w:color w:val="auto"/>
          <w:sz w:val="23"/>
          <w:szCs w:val="23"/>
        </w:rPr>
        <w:t xml:space="preserve">Classification of </w:t>
      </w:r>
      <w:r>
        <w:rPr>
          <w:rFonts w:ascii="Times New Roman" w:hAnsi="Times New Roman" w:eastAsia="Times New Roman" w:cs="Times New Roman"/>
          <w:b/>
          <w:bCs/>
          <w:i/>
          <w:iCs/>
          <w:color w:val="auto"/>
          <w:sz w:val="23"/>
          <w:szCs w:val="23"/>
        </w:rPr>
        <w:t>E.coli</w:t>
      </w:r>
    </w:p>
    <w:p>
      <w:pPr>
        <w:spacing w:after="0" w:line="3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are Gram-negative facultative anaerobic rods that are part of the typical gut microbiota in humans and animals (Okposhi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Although the majority are nontoxic, pathogenic variations cause either enteric (diarrhoeagenic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(DEC)) or extra-intestinal (extra-intestinal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infections in humans (ExPEC). ExPEC cause urinary tract infections, as well as mastitis, septicemia, peritonitis, Gram-negative pneumonia, and meningitis to a lesser extent (Solorzano</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13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 xml:space="preserve">The diarrhoeagenic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are divided into seven groups based on virulence traits and mechanism of pathogenicity and include;</w:t>
      </w:r>
    </w:p>
    <w:p>
      <w:pPr>
        <w:spacing w:after="0" w:line="130" w:lineRule="exact"/>
        <w:rPr>
          <w:color w:val="auto"/>
          <w:sz w:val="20"/>
          <w:szCs w:val="20"/>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(ETEC).</w:t>
      </w:r>
    </w:p>
    <w:p>
      <w:pPr>
        <w:spacing w:after="0" w:line="229"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Enteroinvasive</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(EIEC).</w:t>
      </w:r>
    </w:p>
    <w:p>
      <w:pPr>
        <w:spacing w:after="0" w:line="229"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Enteroaggregative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(EAEC).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Diffusely Adherent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(DAEC).</w:t>
      </w:r>
    </w:p>
    <w:p>
      <w:pPr>
        <w:spacing w:after="0" w:line="227"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Adherent Invasive </w:t>
      </w:r>
      <w:r>
        <w:rPr>
          <w:rFonts w:ascii="Times New Roman" w:hAnsi="Times New Roman" w:eastAsia="Times New Roman" w:cs="Times New Roman"/>
          <w:i/>
          <w:iCs/>
          <w:color w:val="auto"/>
          <w:sz w:val="24"/>
          <w:szCs w:val="24"/>
        </w:rPr>
        <w:t>E. coli (</w:t>
      </w:r>
      <w:r>
        <w:rPr>
          <w:rFonts w:ascii="Times New Roman" w:hAnsi="Times New Roman" w:eastAsia="Times New Roman" w:cs="Times New Roman"/>
          <w:color w:val="auto"/>
          <w:sz w:val="24"/>
          <w:szCs w:val="24"/>
        </w:rPr>
        <w:t>AIEC).</w:t>
      </w:r>
    </w:p>
    <w:p>
      <w:pPr>
        <w:spacing w:after="0" w:line="200" w:lineRule="exact"/>
        <w:rPr>
          <w:rFonts w:ascii="Arial" w:hAnsi="Arial" w:eastAsia="Arial" w:cs="Arial"/>
          <w:color w:val="auto"/>
          <w:sz w:val="24"/>
          <w:szCs w:val="24"/>
        </w:rPr>
      </w:pPr>
    </w:p>
    <w:p>
      <w:pPr>
        <w:spacing w:after="0" w:line="206"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2.5.2.1</w:t>
      </w:r>
      <w:r>
        <w:rPr>
          <w:color w:val="auto"/>
          <w:sz w:val="20"/>
          <w:szCs w:val="20"/>
        </w:rPr>
        <w:tab/>
      </w:r>
      <w:r>
        <w:rPr>
          <w:rFonts w:ascii="Times New Roman" w:hAnsi="Times New Roman" w:eastAsia="Times New Roman" w:cs="Times New Roman"/>
          <w:color w:val="auto"/>
          <w:sz w:val="23"/>
          <w:szCs w:val="23"/>
        </w:rPr>
        <w:t xml:space="preserve">Enteropathogenic </w:t>
      </w:r>
      <w:r>
        <w:rPr>
          <w:rFonts w:ascii="Times New Roman" w:hAnsi="Times New Roman" w:eastAsia="Times New Roman" w:cs="Times New Roman"/>
          <w:i/>
          <w:iCs/>
          <w:color w:val="auto"/>
          <w:sz w:val="23"/>
          <w:szCs w:val="23"/>
        </w:rPr>
        <w:t>E. coli</w:t>
      </w:r>
      <w:r>
        <w:rPr>
          <w:rFonts w:ascii="Times New Roman" w:hAnsi="Times New Roman" w:eastAsia="Times New Roman" w:cs="Times New Roman"/>
          <w:color w:val="auto"/>
          <w:sz w:val="23"/>
          <w:szCs w:val="23"/>
        </w:rPr>
        <w:t xml:space="preserve"> (EPEC).</w:t>
      </w:r>
    </w:p>
    <w:p>
      <w:pPr>
        <w:spacing w:after="0" w:line="39" w:lineRule="exact"/>
        <w:rPr>
          <w:color w:val="auto"/>
          <w:sz w:val="20"/>
          <w:szCs w:val="20"/>
        </w:rPr>
      </w:pPr>
    </w:p>
    <w:p>
      <w:pPr>
        <w:spacing w:after="0" w:line="358" w:lineRule="auto"/>
        <w:ind w:right="560"/>
        <w:jc w:val="both"/>
        <w:rPr>
          <w:color w:val="auto"/>
          <w:sz w:val="20"/>
          <w:szCs w:val="20"/>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 carry </w:t>
      </w:r>
      <w:r>
        <w:rPr>
          <w:rFonts w:ascii="Times New Roman" w:hAnsi="Times New Roman" w:eastAsia="Times New Roman" w:cs="Times New Roman"/>
          <w:i/>
          <w:iCs/>
          <w:color w:val="auto"/>
          <w:sz w:val="24"/>
          <w:szCs w:val="24"/>
        </w:rPr>
        <w:t>eae</w:t>
      </w:r>
      <w:r>
        <w:rPr>
          <w:rFonts w:ascii="Times New Roman" w:hAnsi="Times New Roman" w:eastAsia="Times New Roman" w:cs="Times New Roman"/>
          <w:color w:val="auto"/>
          <w:sz w:val="24"/>
          <w:szCs w:val="24"/>
        </w:rPr>
        <w:t xml:space="preserve">, but are </w:t>
      </w:r>
      <w:r>
        <w:rPr>
          <w:rFonts w:ascii="Times New Roman" w:hAnsi="Times New Roman" w:eastAsia="Times New Roman" w:cs="Times New Roman"/>
          <w:i/>
          <w:iCs/>
          <w:color w:val="auto"/>
          <w:sz w:val="24"/>
          <w:szCs w:val="24"/>
        </w:rPr>
        <w:t>stx</w:t>
      </w:r>
      <w:r>
        <w:rPr>
          <w:rFonts w:ascii="Times New Roman" w:hAnsi="Times New Roman" w:eastAsia="Times New Roman" w:cs="Times New Roman"/>
          <w:color w:val="auto"/>
          <w:sz w:val="24"/>
          <w:szCs w:val="24"/>
        </w:rPr>
        <w:t xml:space="preserve"> negative, and thus belong to the group of bacteria known as attaching and effacing (A/E) pathogens, forming A/E lesions in the small intestine (Moxley, 2022). EPEC are subdivided into typical (tEPEC) and atypical (aEPEC) strains depending on the presence (or absence) of the EPEC Adherence Factor (EAF) plasmid which includes the bundle forming pili (Bfp) operon encoding the pili required for localised adherence on epithelial cells (Munhoz</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In general, EPEC are non-invasive and do not produce heat-labile (LT) or heat-stable (ST) enterotoxins. EPEC infection is characterised by watery or bloody diarrhoea with the occurrence caused by tEPEC decreasing with age due to the loss of specific EPEC receptors and/or the</w:t>
      </w: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15</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21" w:name="page27"/>
      <w:bookmarkEnd w:id="21"/>
    </w:p>
    <w:p>
      <w:pPr>
        <w:spacing w:after="0" w:line="354" w:lineRule="auto"/>
        <w:ind w:right="58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development of immunity (Hassan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.,2021). aEPEC infections, once considered to predominate in developed countries, are now known to exceed those caused by tEPEC throughout the world (Carlino, </w:t>
      </w:r>
      <w:r>
        <w:fldChar w:fldCharType="begin"/>
      </w:r>
      <w:r>
        <w:instrText xml:space="preserve"> HYPERLINK "https://efsa.onlinelibrary.wiley.com/doi/10.2903/j.efsa.2020.5967#efs25967-bib-0107" \h </w:instrText>
      </w:r>
      <w:r>
        <w:fldChar w:fldCharType="separate"/>
      </w:r>
      <w:r>
        <w:rPr>
          <w:rFonts w:ascii="Times New Roman" w:hAnsi="Times New Roman" w:eastAsia="Times New Roman" w:cs="Times New Roman"/>
          <w:color w:val="auto"/>
          <w:sz w:val="24"/>
          <w:szCs w:val="24"/>
          <w:u w:val="single" w:color="auto"/>
        </w:rPr>
        <w:t>2019</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w:t>
      </w:r>
    </w:p>
    <w:p>
      <w:pPr>
        <w:spacing w:after="0" w:line="209"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2.5.2.2</w:t>
      </w:r>
      <w:r>
        <w:rPr>
          <w:color w:val="auto"/>
          <w:sz w:val="20"/>
          <w:szCs w:val="20"/>
        </w:rPr>
        <w:tab/>
      </w:r>
      <w:r>
        <w:rPr>
          <w:rFonts w:ascii="Times New Roman" w:hAnsi="Times New Roman" w:eastAsia="Times New Roman" w:cs="Times New Roman"/>
          <w:color w:val="auto"/>
          <w:sz w:val="24"/>
          <w:szCs w:val="24"/>
        </w:rPr>
        <w:t xml:space="preserve">Diffusely-adherent </w:t>
      </w:r>
      <w:r>
        <w:rPr>
          <w:rFonts w:ascii="Times New Roman" w:hAnsi="Times New Roman" w:eastAsia="Times New Roman" w:cs="Times New Roman"/>
          <w:i/>
          <w:iCs/>
          <w:color w:val="auto"/>
          <w:sz w:val="24"/>
          <w:szCs w:val="24"/>
        </w:rPr>
        <w:t>E. coli</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diffusely adherent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(DAEC) are comprised of a heterogenous group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with variable virulence and that do not display the patterns of adherence observed with other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pathotypes (Aijuka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They are identified by their adherence to HEp-2 as well as HeLa cells in a diffuse pattern and are divided into two classes (Javadi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 first class carry afimbrialadhesins (Afa) or Drori antigen (Dr) adhesins and have been found to be associated with urinary tract infections (UTIs) (pyelonephritis, cystitis and asymptomatic bacteriuria) and with various enteric infections (Mathebula, 2018). In Afa/Dr DAEC, the F1845 and DR adhesins bind to the brush border-associated decay-accelerating factor (DAF) molecule, common on the surface of polarised epithelial cells, destroying or rearranging the microvilli and forming brush border lesions (Turniak and Sobieszczanska, 2019). This manifests as watery diarrhoea that may be persistent and severe in young children (Sharma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Adults may be asymptomatic, but carriage may lead to chronic inflammatory intestinal diseases such as Crohn's disease (Rogler</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second class of DAEC strains includes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that express an adhesin involved in diffuse adherence (AIDA-I) , which is a potential cause of infantile diarrhea (Waititu, 2020).</w:t>
      </w:r>
    </w:p>
    <w:p>
      <w:pPr>
        <w:spacing w:after="0" w:line="207"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2.5.2.3</w:t>
      </w:r>
      <w:r>
        <w:rPr>
          <w:color w:val="auto"/>
          <w:sz w:val="20"/>
          <w:szCs w:val="20"/>
        </w:rPr>
        <w:tab/>
      </w:r>
      <w:r>
        <w:rPr>
          <w:rFonts w:ascii="Times New Roman" w:hAnsi="Times New Roman" w:eastAsia="Times New Roman" w:cs="Times New Roman"/>
          <w:color w:val="auto"/>
          <w:sz w:val="23"/>
          <w:szCs w:val="23"/>
        </w:rPr>
        <w:t xml:space="preserve">Enteroaggregative </w:t>
      </w:r>
      <w:r>
        <w:rPr>
          <w:rFonts w:ascii="Times New Roman" w:hAnsi="Times New Roman" w:eastAsia="Times New Roman" w:cs="Times New Roman"/>
          <w:i/>
          <w:iCs/>
          <w:color w:val="auto"/>
          <w:sz w:val="23"/>
          <w:szCs w:val="23"/>
        </w:rPr>
        <w:t>E. coli</w:t>
      </w:r>
    </w:p>
    <w:p>
      <w:pPr>
        <w:spacing w:after="0" w:line="39" w:lineRule="exact"/>
        <w:rPr>
          <w:color w:val="auto"/>
          <w:sz w:val="20"/>
          <w:szCs w:val="20"/>
        </w:rPr>
      </w:pPr>
    </w:p>
    <w:p>
      <w:pPr>
        <w:spacing w:after="0" w:line="359" w:lineRule="auto"/>
        <w:ind w:right="100"/>
        <w:rPr>
          <w:color w:val="auto"/>
          <w:sz w:val="20"/>
          <w:szCs w:val="20"/>
        </w:rPr>
      </w:pPr>
      <w:r>
        <w:rPr>
          <w:rFonts w:ascii="Times New Roman" w:hAnsi="Times New Roman" w:eastAsia="Times New Roman" w:cs="Times New Roman"/>
          <w:color w:val="auto"/>
          <w:sz w:val="24"/>
          <w:szCs w:val="24"/>
        </w:rPr>
        <w:t xml:space="preserve">The ability of enteroaggregative E. coli (EAEC) to adhere to tissue culture cells in a distinctive "stacked brick-like" manner is one of their distinguishing characteristics (Schiller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This ability is typically mediated by aggregative adherence fimbriae (AAF), which are encoded by the aggR genes (Boisen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A general classification of typical (aggR positive) and atypical (aggR negative) groups has been made as a result of the fact that not all EAEC strains are aggR positive (Petro et al., 2020). Additionally, the astA genes' encoded enteroaggregative heat stable toxin (EAST1) is produced by them. Acute or ongoing diarrhea, frequently accompanied by mucus, nausea, vomiting, a low-grade fever, and occasionally bloody stools are among the symptoms (Ellis, 2018). EAEC cause both endemic and epidemic diarrheal diseases worldwide, infecting both children and adults (Ghosh et al., 2022).</w:t>
      </w:r>
    </w:p>
    <w:p>
      <w:pPr>
        <w:spacing w:after="0" w:line="200" w:lineRule="exact"/>
        <w:rPr>
          <w:color w:val="auto"/>
          <w:sz w:val="20"/>
          <w:szCs w:val="20"/>
        </w:rPr>
      </w:pPr>
    </w:p>
    <w:p>
      <w:pPr>
        <w:spacing w:after="0" w:line="39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16</w:t>
      </w:r>
    </w:p>
    <w:p>
      <w:pPr>
        <w:sectPr>
          <w:pgSz w:w="12240" w:h="15840"/>
          <w:pgMar w:top="1440" w:right="1440" w:bottom="403" w:left="1440" w:header="0" w:footer="0" w:gutter="0"/>
          <w:cols w:equalWidth="0" w:num="1">
            <w:col w:w="9360"/>
          </w:cols>
        </w:sectPr>
      </w:pPr>
    </w:p>
    <w:p>
      <w:pPr>
        <w:tabs>
          <w:tab w:val="left" w:pos="1200"/>
        </w:tabs>
        <w:spacing w:after="0"/>
        <w:ind w:left="360"/>
        <w:rPr>
          <w:color w:val="auto"/>
          <w:sz w:val="20"/>
          <w:szCs w:val="20"/>
        </w:rPr>
      </w:pPr>
      <w:bookmarkStart w:id="22" w:name="page28"/>
      <w:bookmarkEnd w:id="22"/>
      <w:r>
        <w:rPr>
          <w:rFonts w:ascii="Times New Roman" w:hAnsi="Times New Roman" w:eastAsia="Times New Roman" w:cs="Times New Roman"/>
          <w:b/>
          <w:bCs/>
          <w:color w:val="auto"/>
          <w:sz w:val="24"/>
          <w:szCs w:val="24"/>
        </w:rPr>
        <w:t>2.5.2.4</w:t>
      </w:r>
      <w:r>
        <w:rPr>
          <w:color w:val="auto"/>
          <w:sz w:val="20"/>
          <w:szCs w:val="20"/>
        </w:rPr>
        <w:tab/>
      </w:r>
      <w:r>
        <w:rPr>
          <w:rFonts w:ascii="Times New Roman" w:hAnsi="Times New Roman" w:eastAsia="Times New Roman" w:cs="Times New Roman"/>
          <w:color w:val="auto"/>
          <w:sz w:val="23"/>
          <w:szCs w:val="23"/>
        </w:rPr>
        <w:t xml:space="preserve">Enterotoxigenic </w:t>
      </w:r>
      <w:r>
        <w:rPr>
          <w:rFonts w:ascii="Times New Roman" w:hAnsi="Times New Roman" w:eastAsia="Times New Roman" w:cs="Times New Roman"/>
          <w:i/>
          <w:iCs/>
          <w:color w:val="auto"/>
          <w:sz w:val="23"/>
          <w:szCs w:val="23"/>
        </w:rPr>
        <w:t>E. coli</w:t>
      </w:r>
    </w:p>
    <w:p>
      <w:pPr>
        <w:spacing w:after="0" w:line="39" w:lineRule="exact"/>
        <w:rPr>
          <w:color w:val="auto"/>
          <w:sz w:val="20"/>
          <w:szCs w:val="20"/>
        </w:rPr>
      </w:pPr>
    </w:p>
    <w:p>
      <w:pPr>
        <w:spacing w:after="0" w:line="359" w:lineRule="auto"/>
        <w:ind w:right="20"/>
        <w:rPr>
          <w:color w:val="auto"/>
          <w:sz w:val="20"/>
          <w:szCs w:val="20"/>
        </w:rPr>
      </w:pPr>
      <w:r>
        <w:rPr>
          <w:rFonts w:ascii="Times New Roman" w:hAnsi="Times New Roman" w:eastAsia="Times New Roman" w:cs="Times New Roman"/>
          <w:color w:val="auto"/>
          <w:sz w:val="24"/>
          <w:szCs w:val="24"/>
        </w:rPr>
        <w:t xml:space="preserve">Enterotoxigenic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(ETEC) are a major cause of traveller'sdiarrhoea and are endemic in most developing countries with significant mortality rates in children (Khalil</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2021).They are a diverse group of many different serotypes. ETEC cells adhere to the epithelium of the small intestine via one or more colonisation factor antigens (CFA) followed by the expression of heat labile (LT) or heat stable (ST) enterotoxins (Smith et al., 2022). Both are involved in the deregulation of ion channels in the epithelial cell membrane. The diarrhoea may be accompanied by cramps, nausea and headaches but fever is usually absent. In a study published in 2004, Wennerås and colleaguesestimated that there were approximately 840 million cases of ETEC annually in developing countries with 280 million of these being in children less than 4 years of age(Porter, 2021). ETEC are usually transmitted via contaminated water and food.ETEC can grow in a variety of environments, including rivers, drinking water, irrigation water, and fresh produce. (Chigor</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2020).</w:t>
      </w:r>
    </w:p>
    <w:p>
      <w:pPr>
        <w:spacing w:after="0" w:line="202"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2.5.2.5</w:t>
      </w:r>
      <w:r>
        <w:rPr>
          <w:color w:val="auto"/>
          <w:sz w:val="20"/>
          <w:szCs w:val="20"/>
        </w:rPr>
        <w:tab/>
      </w:r>
      <w:r>
        <w:rPr>
          <w:rFonts w:ascii="Times New Roman" w:hAnsi="Times New Roman" w:eastAsia="Times New Roman" w:cs="Times New Roman"/>
          <w:color w:val="auto"/>
          <w:sz w:val="23"/>
          <w:szCs w:val="23"/>
        </w:rPr>
        <w:t>Enteroinvasive</w:t>
      </w:r>
      <w:r>
        <w:rPr>
          <w:rFonts w:ascii="Times New Roman" w:hAnsi="Times New Roman" w:eastAsia="Times New Roman" w:cs="Times New Roman"/>
          <w:i/>
          <w:iCs/>
          <w:color w:val="auto"/>
          <w:sz w:val="23"/>
          <w:szCs w:val="23"/>
        </w:rPr>
        <w:t>E. coli</w:t>
      </w:r>
      <w:r>
        <w:rPr>
          <w:rFonts w:ascii="Times New Roman" w:hAnsi="Times New Roman" w:eastAsia="Times New Roman" w:cs="Times New Roman"/>
          <w:color w:val="auto"/>
          <w:sz w:val="23"/>
          <w:szCs w:val="23"/>
        </w:rPr>
        <w:t xml:space="preserve"> (EIEC)</w:t>
      </w:r>
    </w:p>
    <w:p>
      <w:pPr>
        <w:spacing w:after="0" w:line="281"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Enteroinvasive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(EIEC) and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are facultative intracellular pathogens that cause a mild form of dysentery, characterised by the appearance of blood and mucus in the faeces (Hassan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The early stage of this infection is usually characterised by mild watery diarrhoea, fatigue, malaise, fever and anorexia but as the infection develops the patient may also suffer abdominal cramps, tenesmus and scanty stools often accompanied by blood and mucus(Settanni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In the absence of medical attention, the patient may also show signs of dehydration. Most cases are self-limiting although severe life-threatening complications may occur, especially in developing countries where the host may be malnourished, immune-compromised and without access to adequate treatment (Upadhyay, 2021). There are 21 major serotypes of EIEC, the majority of which are non-motile and lacking the H antigen.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includes 49 sero- and subserotypes clustered into 4 species including </w:t>
      </w:r>
      <w:r>
        <w:rPr>
          <w:rFonts w:ascii="Times New Roman" w:hAnsi="Times New Roman" w:eastAsia="Times New Roman" w:cs="Times New Roman"/>
          <w:i/>
          <w:iCs/>
          <w:color w:val="auto"/>
          <w:sz w:val="24"/>
          <w:szCs w:val="24"/>
        </w:rPr>
        <w:t>S. dysenteriae, S. flexneri, S. boydii</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 sonnei</w:t>
      </w:r>
      <w:r>
        <w:rPr>
          <w:rFonts w:ascii="Times New Roman" w:hAnsi="Times New Roman" w:eastAsia="Times New Roman" w:cs="Times New Roman"/>
          <w:color w:val="auto"/>
          <w:sz w:val="24"/>
          <w:szCs w:val="24"/>
        </w:rPr>
        <w:t xml:space="preserve">. EIEC and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carry a 220 kb virulence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associated invasion plasmid including the invasion plasmid antigen (Ipa) proteins encoded on the </w:t>
      </w:r>
      <w:r>
        <w:rPr>
          <w:rFonts w:ascii="Times New Roman" w:hAnsi="Times New Roman" w:eastAsia="Times New Roman" w:cs="Times New Roman"/>
          <w:i/>
          <w:iCs/>
          <w:color w:val="auto"/>
          <w:sz w:val="24"/>
          <w:szCs w:val="24"/>
        </w:rPr>
        <w:t>ipa</w:t>
      </w:r>
      <w:r>
        <w:rPr>
          <w:rFonts w:ascii="Times New Roman" w:hAnsi="Times New Roman" w:eastAsia="Times New Roman" w:cs="Times New Roman"/>
          <w:color w:val="auto"/>
          <w:sz w:val="24"/>
          <w:szCs w:val="24"/>
        </w:rPr>
        <w:t xml:space="preserve"> operon, which confers an ability to enter and disseminate between intestinal epithelial cells (Raso, 2021). Thus, these bacteria are highly invasive. Transmission is usually mediated by contaminated food and/or water via the faecal-oral route, but direct person-to-person transmission has also been reported (Hansson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15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17</w:t>
      </w:r>
    </w:p>
    <w:p>
      <w:pPr>
        <w:sectPr>
          <w:pgSz w:w="12240" w:h="15840"/>
          <w:pgMar w:top="1432" w:right="1440" w:bottom="403" w:left="1440" w:header="0" w:footer="0" w:gutter="0"/>
          <w:cols w:equalWidth="0" w:num="1">
            <w:col w:w="9360"/>
          </w:cols>
        </w:sectPr>
      </w:pPr>
    </w:p>
    <w:p>
      <w:pPr>
        <w:tabs>
          <w:tab w:val="left" w:pos="1200"/>
        </w:tabs>
        <w:spacing w:after="0"/>
        <w:ind w:left="360"/>
        <w:rPr>
          <w:color w:val="auto"/>
          <w:sz w:val="20"/>
          <w:szCs w:val="20"/>
        </w:rPr>
      </w:pPr>
      <w:bookmarkStart w:id="23" w:name="page29"/>
      <w:bookmarkEnd w:id="23"/>
      <w:r>
        <w:rPr>
          <w:rFonts w:ascii="Times New Roman" w:hAnsi="Times New Roman" w:eastAsia="Times New Roman" w:cs="Times New Roman"/>
          <w:b/>
          <w:bCs/>
          <w:color w:val="auto"/>
          <w:sz w:val="24"/>
          <w:szCs w:val="24"/>
        </w:rPr>
        <w:t>2.5.2.6</w:t>
      </w:r>
      <w:r>
        <w:rPr>
          <w:color w:val="auto"/>
          <w:sz w:val="20"/>
          <w:szCs w:val="20"/>
        </w:rPr>
        <w:tab/>
      </w:r>
      <w:r>
        <w:rPr>
          <w:rFonts w:ascii="Times New Roman" w:hAnsi="Times New Roman" w:eastAsia="Times New Roman" w:cs="Times New Roman"/>
          <w:color w:val="auto"/>
          <w:sz w:val="24"/>
          <w:szCs w:val="24"/>
        </w:rPr>
        <w:t xml:space="preserve">Adherent Invasive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(AIEC)</w:t>
      </w:r>
    </w:p>
    <w:p>
      <w:pPr>
        <w:spacing w:after="0" w:line="279" w:lineRule="exact"/>
        <w:rPr>
          <w:color w:val="auto"/>
          <w:sz w:val="20"/>
          <w:szCs w:val="20"/>
        </w:rPr>
      </w:pPr>
    </w:p>
    <w:p>
      <w:pPr>
        <w:spacing w:after="0" w:line="359" w:lineRule="auto"/>
        <w:ind w:right="560"/>
        <w:jc w:val="both"/>
        <w:rPr>
          <w:color w:val="auto"/>
          <w:sz w:val="20"/>
          <w:szCs w:val="20"/>
        </w:rPr>
      </w:pPr>
      <w:r>
        <w:rPr>
          <w:rFonts w:ascii="Times New Roman" w:hAnsi="Times New Roman" w:eastAsia="Times New Roman" w:cs="Times New Roman"/>
          <w:color w:val="auto"/>
          <w:sz w:val="24"/>
          <w:szCs w:val="24"/>
        </w:rPr>
        <w:t xml:space="preserve">This pathotype is identified by its capacity to: 1) adhere to Caco-2 intestinal epithelial cells that have undergone differentiation and/or have not; 2) invade I-407 cells; 3) induce host cell action polymerization and microtubule recruitment in bacterial uptake; and 4) persist and replicate inside J774-A1 macrophages (Govindarajan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Consistently detecting invasive determinants in all AIEC has not yet been accomplished (Rossi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They are currently thought to be the most likely factor contributing to the onset of Crohn's disease in genetically susceptible individuals (Sharif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stx genes may be acquired by any of the aforementioned pathotypes (Singh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For instance, it has been demonstrated that Shigella spp., EPEC, and EAEC can all acquire the stx gene and produce a condition resembling STEC (Moxley, 2022).</w:t>
      </w:r>
    </w:p>
    <w:p>
      <w:pPr>
        <w:spacing w:after="0" w:line="269"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2.5.2.7</w:t>
      </w:r>
      <w:r>
        <w:rPr>
          <w:color w:val="auto"/>
          <w:sz w:val="20"/>
          <w:szCs w:val="20"/>
        </w:rPr>
        <w:tab/>
      </w:r>
      <w:r>
        <w:rPr>
          <w:rFonts w:ascii="Times New Roman" w:hAnsi="Times New Roman" w:eastAsia="Times New Roman" w:cs="Times New Roman"/>
          <w:color w:val="auto"/>
          <w:sz w:val="24"/>
          <w:szCs w:val="24"/>
        </w:rPr>
        <w:t xml:space="preserve">Enterohaemorrhagic </w:t>
      </w:r>
      <w:r>
        <w:rPr>
          <w:rFonts w:ascii="Times New Roman" w:hAnsi="Times New Roman" w:eastAsia="Times New Roman" w:cs="Times New Roman"/>
          <w:i/>
          <w:iCs/>
          <w:color w:val="auto"/>
          <w:sz w:val="24"/>
          <w:szCs w:val="24"/>
        </w:rPr>
        <w:t>E. coli</w:t>
      </w:r>
    </w:p>
    <w:p>
      <w:pPr>
        <w:spacing w:after="0" w:line="14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(EHEC) strains cause bloody and non-bloody diarrhea (Meng and Doyle, 2020). The most infamous piece of this pathotype is strain O157:H7, which causes bloody diarrhea and no fever (Rani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EHEC can cause hemolytic uremic condition and unexpected renal failure (Detzner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It utilizes bacterial fimbriae for connection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basic pilus, ECP), and is tolerably intrusive and has a phage-coded Shiga poison that can cause extraordinary provocative responses (Sadiq, 2020).</w:t>
      </w:r>
    </w:p>
    <w:p>
      <w:pPr>
        <w:spacing w:after="0" w:line="201"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2.5.2.8</w:t>
      </w:r>
      <w:r>
        <w:rPr>
          <w:color w:val="auto"/>
          <w:sz w:val="20"/>
          <w:szCs w:val="20"/>
        </w:rPr>
        <w:tab/>
      </w:r>
      <w:r>
        <w:rPr>
          <w:rFonts w:ascii="Times New Roman" w:hAnsi="Times New Roman" w:eastAsia="Times New Roman" w:cs="Times New Roman"/>
          <w:color w:val="auto"/>
          <w:sz w:val="24"/>
          <w:szCs w:val="24"/>
        </w:rPr>
        <w:t xml:space="preserve">Shiga toxin 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(STEC)</w:t>
      </w:r>
    </w:p>
    <w:p>
      <w:pPr>
        <w:spacing w:after="0" w:line="200" w:lineRule="exact"/>
        <w:rPr>
          <w:color w:val="auto"/>
          <w:sz w:val="20"/>
          <w:szCs w:val="20"/>
        </w:rPr>
      </w:pPr>
    </w:p>
    <w:p>
      <w:pPr>
        <w:spacing w:after="0" w:line="26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most regular facultative anaerobe identified in the gastrointestinal tracts of warm-blooded animals and humans is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(Martinez-Medina, 2021). Virulence genes are hardly found in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(Desvaux</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Pathogenic strains distinguished by their ability to generate verotoxins (also known as Shiga toxins) are referred to as verocytotoxigenic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(VTEC) or 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 (Kim et al., 2020). Morbidity and mortality associated with recent major outbreaks of gastrointestinal illness caused by Shiga toxin-producing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(STEC) have emphasized the threat these organisms pose to public health (Ekici and Dumen, 2019). These types of epidemics have the potential to strain acute care services, even in nations with highly developed health-care systems (Kain and Fowler,2019). This pathogen group, the toxin, its structure and function, its interaction with host cell receptors,</w:t>
      </w: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18</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24" w:name="page30"/>
      <w:bookmarkEnd w:id="24"/>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and signs and symptoms of illness receives a lot of attention (Yumoto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The ability to manage STEC illness in people and lower epidemic rates is based on prompt diagnosis and identification of the source of infection (Valilis</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Significant advances in awareness of the pathology of STEC infection have occurred in recent years, contributing to the development of improved diagnostic tools as well as treatment and preventive effortsrevealed the characteristic which differentiates STEC from other types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namely, the synthesis of a toxin with a severe and permanent cytopathic impact on Vero (African green monkey kidney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cells. Verotoxigenic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were related to instances of hemorrhagic colitis (HC) and hemolytic uremic syndrome (HUS) in the early 1980s (Thomas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2018). STEC strains belong to a wide spectrum of serotypes and can cause significant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human disease (Nguyen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O157:H7 is a prominent STEC serotype in many regions of the world and has been the type most often connected with major outbreaks (Good, 2022).</w:t>
      </w:r>
    </w:p>
    <w:p>
      <w:pPr>
        <w:spacing w:after="0" w:line="296"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Serotype data has been used as a determinant for identifying STEC strains that have the potential to cause major human infections since the discovery of STEC serotype O157:H7 as a prominent foodborne pathogen (Huang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When non-O157 STEC strains were linked in outbreaks and other serotypes were recognized as being of health concern, the focus on serotypes remained. However, serotype is not a virulence factor in and of itself, and not all STEC serotypes have been linked to human infections (Butt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As a result, some people have devised the term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to refer to a subgroup of STEC that contains pathogenic strains, the majority of which have eae.Serotype O157:H7 is the most common EHEC strain, but others from serogroups O26, O111, O103, and O145, to mention a few, have also caused serious human sickness. Alternate EHEC strains, such as those with the serotypes O113:H21, O91:H21, O104:H4, and others, do not contain eae but cause HUS , indicating that these viruses have other attachment mechanisms (Panel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Because many STEC virulence genes are migratory and can be lost or transferred to other bacteria, STEC strains of the same serotype may or may not have the same virulence genes or pose the same threat (Bai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The likelihood of a STEC strain causing severe disease or the severityofSTEC-relatedillness.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19</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25" w:name="page31"/>
      <w:bookmarkEnd w:id="25"/>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1115695</wp:posOffset>
            </wp:positionV>
            <wp:extent cx="5943600" cy="3014345"/>
            <wp:effectExtent l="0" t="0" r="0" b="146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943600" cy="30143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b/>
          <w:bCs/>
          <w:color w:val="auto"/>
          <w:sz w:val="24"/>
          <w:szCs w:val="24"/>
        </w:rPr>
        <w:t>Figure 2.2:</w:t>
      </w:r>
      <w:r>
        <w:rPr>
          <w:rFonts w:ascii="Times New Roman" w:hAnsi="Times New Roman" w:eastAsia="Times New Roman" w:cs="Times New Roman"/>
          <w:color w:val="auto"/>
          <w:sz w:val="24"/>
          <w:szCs w:val="24"/>
        </w:rPr>
        <w:t xml:space="preserve"> Classification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into three main groups: commensal, intestinal pathogenic and extraintestinal pathogenic adapted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20</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26" w:name="page32"/>
      <w:bookmarkEnd w:id="26"/>
      <w:r>
        <w:rPr>
          <w:rFonts w:ascii="Times New Roman" w:hAnsi="Times New Roman" w:eastAsia="Times New Roman" w:cs="Times New Roman"/>
          <w:b/>
          <w:bCs/>
          <w:color w:val="auto"/>
          <w:sz w:val="24"/>
          <w:szCs w:val="24"/>
        </w:rPr>
        <w:t>2.5.3</w:t>
      </w:r>
      <w:r>
        <w:rPr>
          <w:color w:val="auto"/>
          <w:sz w:val="20"/>
          <w:szCs w:val="20"/>
        </w:rPr>
        <w:tab/>
      </w:r>
      <w:r>
        <w:rPr>
          <w:rFonts w:ascii="Times New Roman" w:hAnsi="Times New Roman" w:eastAsia="Times New Roman" w:cs="Times New Roman"/>
          <w:b/>
          <w:bCs/>
          <w:color w:val="auto"/>
          <w:sz w:val="23"/>
          <w:szCs w:val="23"/>
        </w:rPr>
        <w:t>STEC as a Zoonotic Pathogen</w:t>
      </w:r>
    </w:p>
    <w:p>
      <w:pPr>
        <w:spacing w:after="0" w:line="34" w:lineRule="exact"/>
        <w:rPr>
          <w:color w:val="auto"/>
          <w:sz w:val="20"/>
          <w:szCs w:val="20"/>
        </w:rPr>
      </w:pPr>
    </w:p>
    <w:p>
      <w:pPr>
        <w:spacing w:after="0" w:line="357" w:lineRule="auto"/>
        <w:ind w:right="560"/>
        <w:jc w:val="both"/>
        <w:rPr>
          <w:color w:val="auto"/>
          <w:sz w:val="20"/>
          <w:szCs w:val="20"/>
        </w:rPr>
      </w:pPr>
      <w:r>
        <w:rPr>
          <w:rFonts w:ascii="Times New Roman" w:hAnsi="Times New Roman" w:eastAsia="Times New Roman" w:cs="Times New Roman"/>
          <w:color w:val="auto"/>
          <w:sz w:val="24"/>
          <w:szCs w:val="24"/>
        </w:rPr>
        <w:t xml:space="preserve">STEC are zoonotic pathogens that enter the human body via contaminated food and water. Individual cases and outbreaks have been linked to direct animal contact (for example, farm visits), environmental contamination, and fecal-oral transmission (Dallman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Shiga toxins (Stx), named after the toxin produced by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dysenteriae serotype 1, characterize STEC infections (Lee and Tesh, 2019).</w:t>
      </w:r>
    </w:p>
    <w:p>
      <w:pPr>
        <w:spacing w:after="0" w:line="287" w:lineRule="exact"/>
        <w:rPr>
          <w:color w:val="auto"/>
          <w:sz w:val="20"/>
          <w:szCs w:val="20"/>
        </w:rPr>
      </w:pPr>
    </w:p>
    <w:p>
      <w:pPr>
        <w:spacing w:after="0" w:line="358" w:lineRule="auto"/>
        <w:ind w:right="560"/>
        <w:jc w:val="both"/>
        <w:rPr>
          <w:color w:val="auto"/>
          <w:sz w:val="20"/>
          <w:szCs w:val="20"/>
        </w:rPr>
      </w:pPr>
      <w:r>
        <w:rPr>
          <w:rFonts w:ascii="Times New Roman" w:hAnsi="Times New Roman" w:eastAsia="Times New Roman" w:cs="Times New Roman"/>
          <w:color w:val="auto"/>
          <w:sz w:val="24"/>
          <w:szCs w:val="24"/>
        </w:rPr>
        <w:t xml:space="preserve">However, not all STEC are capable of infecting humans, and only a subset of these is virulent, belonging to the pathovar widely recognized as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(EHEC)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Most EHEC contain the locus of enterocyte effacement (LEE), a chromosomal pathogenicity island that encodes a type III secretion system, an adhesin called intimin, and its receptor Tir. The eae gene encodes intimin, which allows bacteria to adhere to the epithelia, causing attaching and effacing lesions (Gebisa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It is shared by 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 strains (Martins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carrying LEE are referred to as typical EHEC, while those that do not are referred to as atypical EHEC (Schwidder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89" w:lineRule="exact"/>
        <w:rPr>
          <w:color w:val="auto"/>
          <w:sz w:val="20"/>
          <w:szCs w:val="20"/>
        </w:rPr>
      </w:pPr>
    </w:p>
    <w:p>
      <w:pPr>
        <w:spacing w:after="0" w:line="359" w:lineRule="auto"/>
        <w:ind w:right="560"/>
        <w:jc w:val="both"/>
        <w:rPr>
          <w:color w:val="auto"/>
          <w:sz w:val="20"/>
          <w:szCs w:val="20"/>
        </w:rPr>
      </w:pPr>
      <w:r>
        <w:rPr>
          <w:rFonts w:ascii="Times New Roman" w:hAnsi="Times New Roman" w:eastAsia="Times New Roman" w:cs="Times New Roman"/>
          <w:color w:val="auto"/>
          <w:sz w:val="24"/>
          <w:szCs w:val="24"/>
        </w:rPr>
        <w:t xml:space="preserve">There are two types of Shiga toxins (Stx1 and Stx2), and the stx toxin genes are carried by lambdoid bacteriophages that have been integrated into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genome (Pinto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chromosome; the stx1 gene has four subtypes (a, c, d, and e), whereas the stx2 gene has twelve (a to l). There have been no reports of strains with more than one stx1 subtype. A given strain, however, may have both a stx1 and a stx2 subtype gene, or more than one stx2 subtype gene. Many STEC are attaching and detaching (A/E) bacteria, they move the eae gene on the locus of enterocyte effacement (LEE) and form distinguishable lesions on the surfaces of intestinal epithelial cells (Gill et al., 2022) . The most common STEC serogroup related to human illness is O157, and its molecular pathogenesis has indeed been extensively researched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it is divided into three genetic lineages,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 II, and I/II) as a result of an ancestral clone's geographical spread and subsequent regional expansion (Lawal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21</w:t>
      </w:r>
    </w:p>
    <w:p>
      <w:pPr>
        <w:sectPr>
          <w:pgSz w:w="12240" w:h="15840"/>
          <w:pgMar w:top="1437" w:right="1440" w:bottom="403" w:left="1440" w:header="0" w:footer="0" w:gutter="0"/>
          <w:cols w:equalWidth="0" w:num="1">
            <w:col w:w="9360"/>
          </w:cols>
        </w:sectPr>
      </w:pPr>
    </w:p>
    <w:p>
      <w:pPr>
        <w:spacing w:after="0"/>
        <w:ind w:left="120"/>
        <w:rPr>
          <w:color w:val="auto"/>
          <w:sz w:val="20"/>
          <w:szCs w:val="20"/>
        </w:rPr>
      </w:pPr>
      <w:bookmarkStart w:id="27" w:name="page33"/>
      <w:bookmarkEnd w:id="27"/>
      <w:r>
        <w:rPr>
          <w:rFonts w:ascii="Times New Roman" w:hAnsi="Times New Roman" w:eastAsia="Times New Roman" w:cs="Times New Roman"/>
          <w:b/>
          <w:bCs/>
          <w:color w:val="auto"/>
          <w:sz w:val="24"/>
          <w:szCs w:val="24"/>
        </w:rPr>
        <w:t>Table 2.3:</w:t>
      </w:r>
      <w:r>
        <w:rPr>
          <w:rFonts w:ascii="Times New Roman" w:hAnsi="Times New Roman" w:eastAsia="Times New Roman" w:cs="Times New Roman"/>
          <w:color w:val="auto"/>
          <w:sz w:val="24"/>
          <w:szCs w:val="24"/>
        </w:rPr>
        <w:t xml:space="preserve"> Classification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associated with Diarrhoea</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300"/>
        <w:gridCol w:w="1640"/>
        <w:gridCol w:w="640"/>
        <w:gridCol w:w="2520"/>
        <w:gridCol w:w="2360"/>
        <w:gridCol w:w="36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23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PATHOTYPE</w:t>
            </w:r>
          </w:p>
        </w:tc>
        <w:tc>
          <w:tcPr>
            <w:tcW w:w="2280" w:type="dxa"/>
            <w:gridSpan w:val="2"/>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EPIDEMIOLOGY</w:t>
            </w:r>
          </w:p>
        </w:tc>
        <w:tc>
          <w:tcPr>
            <w:tcW w:w="25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TYPE OF</w:t>
            </w:r>
          </w:p>
        </w:tc>
        <w:tc>
          <w:tcPr>
            <w:tcW w:w="2360" w:type="dxa"/>
            <w:tcBorders>
              <w:top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4"/>
                <w:szCs w:val="24"/>
              </w:rPr>
              <w:t>MECHANISM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DIARRHOEA</w:t>
            </w:r>
          </w:p>
        </w:tc>
        <w:tc>
          <w:tcPr>
            <w:tcW w:w="236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PATHOGENESIS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20" w:type="dxa"/>
            <w:vAlign w:val="bottom"/>
          </w:tcPr>
          <w:p>
            <w:pPr>
              <w:spacing w:after="0"/>
              <w:rPr>
                <w:color w:val="auto"/>
                <w:sz w:val="12"/>
                <w:szCs w:val="12"/>
              </w:rPr>
            </w:pPr>
          </w:p>
        </w:tc>
        <w:tc>
          <w:tcPr>
            <w:tcW w:w="2300" w:type="dxa"/>
            <w:tcBorders>
              <w:bottom w:val="single" w:color="auto" w:sz="8" w:space="0"/>
            </w:tcBorders>
            <w:vAlign w:val="bottom"/>
          </w:tcPr>
          <w:p>
            <w:pPr>
              <w:spacing w:after="0"/>
              <w:rPr>
                <w:color w:val="auto"/>
                <w:sz w:val="12"/>
                <w:szCs w:val="12"/>
              </w:rPr>
            </w:pPr>
          </w:p>
        </w:tc>
        <w:tc>
          <w:tcPr>
            <w:tcW w:w="2280" w:type="dxa"/>
            <w:gridSpan w:val="2"/>
            <w:tcBorders>
              <w:bottom w:val="single" w:color="auto" w:sz="8" w:space="0"/>
            </w:tcBorders>
            <w:vAlign w:val="bottom"/>
          </w:tcPr>
          <w:p>
            <w:pPr>
              <w:spacing w:after="0"/>
              <w:rPr>
                <w:color w:val="auto"/>
                <w:sz w:val="12"/>
                <w:szCs w:val="12"/>
              </w:rPr>
            </w:pPr>
          </w:p>
        </w:tc>
        <w:tc>
          <w:tcPr>
            <w:tcW w:w="2520" w:type="dxa"/>
            <w:tcBorders>
              <w:bottom w:val="single" w:color="auto" w:sz="8" w:space="0"/>
            </w:tcBorders>
            <w:vAlign w:val="bottom"/>
          </w:tcPr>
          <w:p>
            <w:pPr>
              <w:spacing w:after="0"/>
              <w:rPr>
                <w:color w:val="auto"/>
                <w:sz w:val="12"/>
                <w:szCs w:val="12"/>
              </w:rPr>
            </w:pPr>
          </w:p>
        </w:tc>
        <w:tc>
          <w:tcPr>
            <w:tcW w:w="23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0" w:type="dxa"/>
            <w:vAlign w:val="bottom"/>
          </w:tcPr>
          <w:p>
            <w:pPr>
              <w:spacing w:after="0"/>
              <w:rPr>
                <w:color w:val="auto"/>
                <w:sz w:val="22"/>
                <w:szCs w:val="22"/>
              </w:rPr>
            </w:pPr>
          </w:p>
        </w:tc>
        <w:tc>
          <w:tcPr>
            <w:tcW w:w="230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Shiga-toxin</w:t>
            </w:r>
          </w:p>
        </w:tc>
        <w:tc>
          <w:tcPr>
            <w:tcW w:w="2280" w:type="dxa"/>
            <w:gridSpan w:val="2"/>
            <w:vAlign w:val="bottom"/>
          </w:tcPr>
          <w:p>
            <w:pPr>
              <w:spacing w:after="0" w:line="260" w:lineRule="exact"/>
              <w:ind w:left="140"/>
              <w:rPr>
                <w:color w:val="auto"/>
                <w:sz w:val="20"/>
                <w:szCs w:val="20"/>
              </w:rPr>
            </w:pPr>
            <w:r>
              <w:rPr>
                <w:rFonts w:ascii="Times New Roman" w:hAnsi="Times New Roman" w:eastAsia="Times New Roman" w:cs="Times New Roman"/>
                <w:color w:val="auto"/>
                <w:sz w:val="24"/>
                <w:szCs w:val="24"/>
              </w:rPr>
              <w:t>Hemorrhagic colitis</w:t>
            </w:r>
          </w:p>
        </w:tc>
        <w:tc>
          <w:tcPr>
            <w:tcW w:w="2520" w:type="dxa"/>
            <w:vAlign w:val="bottom"/>
          </w:tcPr>
          <w:p>
            <w:pPr>
              <w:spacing w:after="0"/>
              <w:rPr>
                <w:color w:val="auto"/>
                <w:sz w:val="22"/>
                <w:szCs w:val="22"/>
              </w:rPr>
            </w:pPr>
          </w:p>
        </w:tc>
        <w:tc>
          <w:tcPr>
            <w:tcW w:w="2360" w:type="dxa"/>
            <w:vAlign w:val="bottom"/>
          </w:tcPr>
          <w:p>
            <w:pPr>
              <w:spacing w:after="0" w:line="260" w:lineRule="exact"/>
              <w:ind w:left="200"/>
              <w:rPr>
                <w:color w:val="auto"/>
                <w:sz w:val="20"/>
                <w:szCs w:val="20"/>
              </w:rPr>
            </w:pPr>
            <w:r>
              <w:rPr>
                <w:rFonts w:ascii="Times New Roman" w:hAnsi="Times New Roman" w:eastAsia="Times New Roman" w:cs="Times New Roman"/>
                <w:color w:val="auto"/>
                <w:sz w:val="24"/>
                <w:szCs w:val="24"/>
              </w:rPr>
              <w:t>Shiga toxin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 xml:space="preserve">producing </w:t>
            </w:r>
            <w:r>
              <w:rPr>
                <w:rFonts w:ascii="Times New Roman" w:hAnsi="Times New Roman" w:eastAsia="Times New Roman" w:cs="Times New Roman"/>
                <w:i/>
                <w:iCs/>
                <w:color w:val="auto"/>
                <w:w w:val="99"/>
                <w:sz w:val="24"/>
                <w:szCs w:val="24"/>
              </w:rPr>
              <w:t>E.coli</w:t>
            </w: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and</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production, large-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hemolyticuremic</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Bloody or nonbloody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bowel attachment,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20" w:type="dxa"/>
            <w:vAlign w:val="bottom"/>
          </w:tcPr>
          <w:p>
            <w:pPr>
              <w:spacing w:after="0"/>
              <w:rPr>
                <w:color w:val="auto"/>
                <w:sz w:val="11"/>
                <w:szCs w:val="11"/>
              </w:rPr>
            </w:pPr>
          </w:p>
        </w:tc>
        <w:tc>
          <w:tcPr>
            <w:tcW w:w="2300" w:type="dxa"/>
            <w:vAlign w:val="bottom"/>
          </w:tcPr>
          <w:p>
            <w:pPr>
              <w:spacing w:after="0"/>
              <w:rPr>
                <w:color w:val="auto"/>
                <w:sz w:val="11"/>
                <w:szCs w:val="11"/>
              </w:rPr>
            </w:pPr>
          </w:p>
        </w:tc>
        <w:tc>
          <w:tcPr>
            <w:tcW w:w="2280" w:type="dxa"/>
            <w:gridSpan w:val="2"/>
            <w:vMerge w:val="continue"/>
            <w:vAlign w:val="bottom"/>
          </w:tcPr>
          <w:p>
            <w:pPr>
              <w:spacing w:after="0"/>
              <w:rPr>
                <w:color w:val="auto"/>
                <w:sz w:val="11"/>
                <w:szCs w:val="11"/>
              </w:rPr>
            </w:pPr>
          </w:p>
        </w:tc>
        <w:tc>
          <w:tcPr>
            <w:tcW w:w="2520" w:type="dxa"/>
            <w:vAlign w:val="bottom"/>
          </w:tcPr>
          <w:p>
            <w:pPr>
              <w:spacing w:after="0"/>
              <w:rPr>
                <w:color w:val="auto"/>
                <w:sz w:val="11"/>
                <w:szCs w:val="11"/>
              </w:rPr>
            </w:pPr>
          </w:p>
        </w:tc>
        <w:tc>
          <w:tcPr>
            <w:tcW w:w="23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w w:val="99"/>
                <w:sz w:val="24"/>
                <w:szCs w:val="24"/>
              </w:rPr>
              <w:t>syndrome in all</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coagulopathy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ages</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280" w:type="dxa"/>
            <w:gridSpan w:val="2"/>
            <w:tcBorders>
              <w:bottom w:val="single" w:color="auto" w:sz="8" w:space="0"/>
            </w:tcBorders>
            <w:vAlign w:val="bottom"/>
          </w:tcPr>
          <w:p>
            <w:pPr>
              <w:spacing w:after="0"/>
              <w:rPr>
                <w:color w:val="auto"/>
                <w:sz w:val="22"/>
                <w:szCs w:val="22"/>
              </w:rPr>
            </w:pPr>
          </w:p>
        </w:tc>
        <w:tc>
          <w:tcPr>
            <w:tcW w:w="2520" w:type="dxa"/>
            <w:tcBorders>
              <w:bottom w:val="single" w:color="auto" w:sz="8" w:space="0"/>
            </w:tcBorders>
            <w:vAlign w:val="bottom"/>
          </w:tcPr>
          <w:p>
            <w:pPr>
              <w:spacing w:after="0"/>
              <w:rPr>
                <w:color w:val="auto"/>
                <w:sz w:val="22"/>
                <w:szCs w:val="22"/>
              </w:rPr>
            </w:pPr>
          </w:p>
        </w:tc>
        <w:tc>
          <w:tcPr>
            <w:tcW w:w="236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Enteropathogenic</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Acute and chronic</w:t>
            </w:r>
          </w:p>
        </w:tc>
        <w:tc>
          <w:tcPr>
            <w:tcW w:w="2520" w:type="dxa"/>
            <w:vAlign w:val="bottom"/>
          </w:tcPr>
          <w:p>
            <w:pPr>
              <w:spacing w:after="0"/>
              <w:rPr>
                <w:color w:val="auto"/>
                <w:sz w:val="22"/>
                <w:szCs w:val="22"/>
              </w:rPr>
            </w:pP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endemic</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adherence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andepidemic</w:t>
            </w: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Watery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effacement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20" w:type="dxa"/>
            <w:vAlign w:val="bottom"/>
          </w:tcPr>
          <w:p>
            <w:pPr>
              <w:spacing w:after="0"/>
              <w:rPr>
                <w:color w:val="auto"/>
                <w:sz w:val="11"/>
                <w:szCs w:val="11"/>
              </w:rPr>
            </w:pPr>
          </w:p>
        </w:tc>
        <w:tc>
          <w:tcPr>
            <w:tcW w:w="2300" w:type="dxa"/>
            <w:vAlign w:val="bottom"/>
          </w:tcPr>
          <w:p>
            <w:pPr>
              <w:spacing w:after="0"/>
              <w:rPr>
                <w:color w:val="auto"/>
                <w:sz w:val="11"/>
                <w:szCs w:val="11"/>
              </w:rPr>
            </w:pPr>
          </w:p>
        </w:tc>
        <w:tc>
          <w:tcPr>
            <w:tcW w:w="1640" w:type="dxa"/>
            <w:vMerge w:val="continue"/>
            <w:vAlign w:val="bottom"/>
          </w:tcPr>
          <w:p>
            <w:pPr>
              <w:spacing w:after="0"/>
              <w:rPr>
                <w:color w:val="auto"/>
                <w:sz w:val="11"/>
                <w:szCs w:val="11"/>
              </w:rPr>
            </w:pPr>
          </w:p>
        </w:tc>
        <w:tc>
          <w:tcPr>
            <w:tcW w:w="640" w:type="dxa"/>
            <w:vAlign w:val="bottom"/>
          </w:tcPr>
          <w:p>
            <w:pPr>
              <w:spacing w:after="0"/>
              <w:rPr>
                <w:color w:val="auto"/>
                <w:sz w:val="11"/>
                <w:szCs w:val="11"/>
              </w:rPr>
            </w:pPr>
          </w:p>
        </w:tc>
        <w:tc>
          <w:tcPr>
            <w:tcW w:w="2520" w:type="dxa"/>
            <w:vAlign w:val="bottom"/>
          </w:tcPr>
          <w:p>
            <w:pPr>
              <w:spacing w:after="0"/>
              <w:rPr>
                <w:color w:val="auto"/>
                <w:sz w:val="11"/>
                <w:szCs w:val="11"/>
              </w:rPr>
            </w:pPr>
          </w:p>
        </w:tc>
        <w:tc>
          <w:tcPr>
            <w:tcW w:w="23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diarrhea in infants</w:t>
            </w:r>
          </w:p>
        </w:tc>
        <w:tc>
          <w:tcPr>
            <w:tcW w:w="2520" w:type="dxa"/>
            <w:vAlign w:val="bottom"/>
          </w:tcPr>
          <w:p>
            <w:pPr>
              <w:spacing w:after="0"/>
              <w:rPr>
                <w:color w:val="auto"/>
                <w:sz w:val="24"/>
                <w:szCs w:val="24"/>
              </w:rPr>
            </w:pPr>
          </w:p>
        </w:tc>
        <w:tc>
          <w:tcPr>
            <w:tcW w:w="23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280" w:type="dxa"/>
            <w:gridSpan w:val="2"/>
            <w:tcBorders>
              <w:bottom w:val="single" w:color="auto" w:sz="8" w:space="0"/>
            </w:tcBorders>
            <w:vAlign w:val="bottom"/>
          </w:tcPr>
          <w:p>
            <w:pPr>
              <w:spacing w:after="0"/>
              <w:rPr>
                <w:color w:val="auto"/>
                <w:sz w:val="22"/>
                <w:szCs w:val="22"/>
              </w:rPr>
            </w:pPr>
          </w:p>
        </w:tc>
        <w:tc>
          <w:tcPr>
            <w:tcW w:w="2520" w:type="dxa"/>
            <w:tcBorders>
              <w:bottom w:val="single" w:color="auto" w:sz="8" w:space="0"/>
            </w:tcBorders>
            <w:vAlign w:val="bottom"/>
          </w:tcPr>
          <w:p>
            <w:pPr>
              <w:spacing w:after="0"/>
              <w:rPr>
                <w:color w:val="auto"/>
                <w:sz w:val="22"/>
                <w:szCs w:val="22"/>
              </w:rPr>
            </w:pPr>
          </w:p>
        </w:tc>
        <w:tc>
          <w:tcPr>
            <w:tcW w:w="236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Enterotoxigenic</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Infant diarrhea in</w:t>
            </w:r>
          </w:p>
        </w:tc>
        <w:tc>
          <w:tcPr>
            <w:tcW w:w="2520" w:type="dxa"/>
            <w:vAlign w:val="bottom"/>
          </w:tcPr>
          <w:p>
            <w:pPr>
              <w:spacing w:after="0"/>
              <w:rPr>
                <w:color w:val="auto"/>
                <w:sz w:val="22"/>
                <w:szCs w:val="22"/>
              </w:rPr>
            </w:pP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resource-limited</w:t>
            </w: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adherence, heat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countries and</w:t>
            </w: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Watery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stable/heat-labile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2300" w:type="dxa"/>
            <w:vAlign w:val="bottom"/>
          </w:tcPr>
          <w:p>
            <w:pPr>
              <w:spacing w:after="0"/>
              <w:rPr>
                <w:color w:val="auto"/>
                <w:sz w:val="22"/>
                <w:szCs w:val="22"/>
              </w:rPr>
            </w:pPr>
          </w:p>
        </w:tc>
        <w:tc>
          <w:tcPr>
            <w:tcW w:w="1640" w:type="dxa"/>
            <w:vMerge w:val="continue"/>
            <w:vAlign w:val="bottom"/>
          </w:tcPr>
          <w:p>
            <w:pPr>
              <w:spacing w:after="0"/>
              <w:rPr>
                <w:color w:val="auto"/>
                <w:sz w:val="22"/>
                <w:szCs w:val="22"/>
              </w:rPr>
            </w:pPr>
          </w:p>
        </w:tc>
        <w:tc>
          <w:tcPr>
            <w:tcW w:w="640" w:type="dxa"/>
            <w:vAlign w:val="bottom"/>
          </w:tcPr>
          <w:p>
            <w:pPr>
              <w:spacing w:after="0"/>
              <w:rPr>
                <w:color w:val="auto"/>
                <w:sz w:val="22"/>
                <w:szCs w:val="22"/>
              </w:rPr>
            </w:pPr>
          </w:p>
        </w:tc>
        <w:tc>
          <w:tcPr>
            <w:tcW w:w="2520" w:type="dxa"/>
            <w:vAlign w:val="bottom"/>
          </w:tcPr>
          <w:p>
            <w:pPr>
              <w:spacing w:after="0"/>
              <w:rPr>
                <w:color w:val="auto"/>
                <w:sz w:val="22"/>
                <w:szCs w:val="22"/>
              </w:rPr>
            </w:pPr>
          </w:p>
        </w:tc>
        <w:tc>
          <w:tcPr>
            <w:tcW w:w="2360" w:type="dxa"/>
            <w:vMerge w:val="continue"/>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traveler’s diarrhea</w:t>
            </w: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enterotoxin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in all ages</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production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1640" w:type="dxa"/>
            <w:tcBorders>
              <w:bottom w:val="single" w:color="auto" w:sz="8" w:space="0"/>
            </w:tcBorders>
            <w:vAlign w:val="bottom"/>
          </w:tcPr>
          <w:p>
            <w:pPr>
              <w:spacing w:after="0"/>
              <w:rPr>
                <w:color w:val="auto"/>
                <w:sz w:val="23"/>
                <w:szCs w:val="23"/>
              </w:rPr>
            </w:pPr>
          </w:p>
        </w:tc>
        <w:tc>
          <w:tcPr>
            <w:tcW w:w="640" w:type="dxa"/>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Enteroinvasive</w:t>
            </w:r>
            <w:r>
              <w:rPr>
                <w:rFonts w:ascii="Times New Roman" w:hAnsi="Times New Roman" w:eastAsia="Times New Roman" w:cs="Times New Roman"/>
                <w:i/>
                <w:iCs/>
                <w:color w:val="auto"/>
                <w:w w:val="99"/>
                <w:sz w:val="24"/>
                <w:szCs w:val="24"/>
              </w:rPr>
              <w:t>E.coli</w:t>
            </w:r>
          </w:p>
        </w:tc>
        <w:tc>
          <w:tcPr>
            <w:tcW w:w="1640" w:type="dxa"/>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Diarrhoea</w:t>
            </w:r>
          </w:p>
        </w:tc>
        <w:tc>
          <w:tcPr>
            <w:tcW w:w="640" w:type="dxa"/>
            <w:vAlign w:val="bottom"/>
          </w:tcPr>
          <w:p>
            <w:pPr>
              <w:spacing w:after="0" w:line="258" w:lineRule="exact"/>
              <w:ind w:left="20"/>
              <w:rPr>
                <w:color w:val="auto"/>
                <w:sz w:val="20"/>
                <w:szCs w:val="20"/>
              </w:rPr>
            </w:pPr>
            <w:r>
              <w:rPr>
                <w:rFonts w:ascii="Times New Roman" w:hAnsi="Times New Roman" w:eastAsia="Times New Roman" w:cs="Times New Roman"/>
                <w:color w:val="auto"/>
                <w:sz w:val="24"/>
                <w:szCs w:val="24"/>
              </w:rPr>
              <w:t>with</w:t>
            </w:r>
          </w:p>
        </w:tc>
        <w:tc>
          <w:tcPr>
            <w:tcW w:w="25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Bloody or nonbloody;</w:t>
            </w: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Adherence, mucosal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fever in all ages</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dysentery</w:t>
            </w: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invasion,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inflammation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large 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280" w:type="dxa"/>
            <w:gridSpan w:val="2"/>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Enteroaggregative</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Acute and chronic</w:t>
            </w:r>
          </w:p>
        </w:tc>
        <w:tc>
          <w:tcPr>
            <w:tcW w:w="25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Watery,occasionally</w:t>
            </w: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 and large-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diarrhoeain all ages</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bloody</w:t>
            </w: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bowel adherence,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enterotoxin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cytotoxin production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tcBorders>
              <w:bottom w:val="single" w:color="auto" w:sz="8" w:space="0"/>
            </w:tcBorders>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1640" w:type="dxa"/>
            <w:tcBorders>
              <w:bottom w:val="single" w:color="auto" w:sz="8" w:space="0"/>
            </w:tcBorders>
            <w:vAlign w:val="bottom"/>
          </w:tcPr>
          <w:p>
            <w:pPr>
              <w:spacing w:after="0"/>
              <w:rPr>
                <w:color w:val="auto"/>
                <w:sz w:val="23"/>
                <w:szCs w:val="23"/>
              </w:rPr>
            </w:pPr>
          </w:p>
        </w:tc>
        <w:tc>
          <w:tcPr>
            <w:tcW w:w="640" w:type="dxa"/>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0"/>
          <w:szCs w:val="20"/>
        </w:rPr>
        <w:t>22</w:t>
      </w:r>
    </w:p>
    <w:p>
      <w:pPr>
        <w:sectPr>
          <w:pgSz w:w="12240" w:h="15840"/>
          <w:pgMar w:top="1432" w:right="1440" w:bottom="403" w:left="1320" w:header="0" w:footer="0" w:gutter="0"/>
          <w:cols w:equalWidth="0" w:num="1">
            <w:col w:w="9480"/>
          </w:cols>
        </w:sectPr>
      </w:pPr>
    </w:p>
    <w:p>
      <w:pPr>
        <w:tabs>
          <w:tab w:val="left" w:pos="700"/>
        </w:tabs>
        <w:spacing w:after="0"/>
        <w:rPr>
          <w:color w:val="auto"/>
          <w:sz w:val="20"/>
          <w:szCs w:val="20"/>
        </w:rPr>
      </w:pPr>
      <w:bookmarkStart w:id="28" w:name="page34"/>
      <w:bookmarkEnd w:id="28"/>
      <w:r>
        <w:rPr>
          <w:rFonts w:ascii="Times New Roman" w:hAnsi="Times New Roman" w:eastAsia="Times New Roman" w:cs="Times New Roman"/>
          <w:color w:val="auto"/>
          <w:sz w:val="24"/>
          <w:szCs w:val="24"/>
        </w:rPr>
        <w:t>2.5.4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Ecology of Pathogenic </w:t>
      </w:r>
      <w:r>
        <w:rPr>
          <w:rFonts w:ascii="Times New Roman" w:hAnsi="Times New Roman" w:eastAsia="Times New Roman" w:cs="Times New Roman"/>
          <w:i/>
          <w:iCs/>
          <w:color w:val="auto"/>
          <w:sz w:val="24"/>
          <w:szCs w:val="24"/>
        </w:rPr>
        <w:t>E.coli</w:t>
      </w:r>
    </w:p>
    <w:p>
      <w:pPr>
        <w:spacing w:after="0" w:line="32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 coli bacteria are continuously released into the immediate environment of the animals through their feces, contaminating the pens, litter, and floor of animals kept indoors as well as the soil for animals kept outdoors (Delsart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They can survive for extended periods of time, possibly longer than 10 weeks and are spread through slurry and manure, which are applied to fertilized fields and crops as well as ground and surface water (Soares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 coli is spread from one animal to another by contaminated feed, handlers, drinking water, and possibly farm to farm by means of machinery like transport trucks (Rasschaert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Infection occurs either orally or, in the case of birds, through inhalation of contaminated dust (Menanteau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.,2018).Humans can also contract E. coli from animals through direct contact, ingesting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tainted food or water after manure has been spread, or eating meat after carcasses have been contaminated at the butcher shop (Anyanwu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ETEC-related intestinal infections and oedema disease STEC in pigs is frequently communicable; the same strain has been identified in large populations, in numerous sick pigs, and from one batch to another (Ledwaba, 2020). After infection, these strains are typically only shed for a few days, most likely as a result of the emergence of immunity. ExPEC infections behave differently from contagious diseases (Day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Each animal has a unique strain makeup, and multiple strain infections can frequently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be found in the same animal. For extraintestinal infections like mastitis and urogenital tract infections, the faecal microflora serves as a reservoir. Similar to this, EPEC are frequently found in the intestines and feces of healthy animals, but they can sicken animals who have compromised immune systems (Haley et al.,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23</w:t>
      </w:r>
    </w:p>
    <w:p>
      <w:pPr>
        <w:sectPr>
          <w:pgSz w:w="12240" w:h="15840"/>
          <w:pgMar w:top="1432" w:right="1440" w:bottom="403" w:left="1440" w:header="0" w:footer="0" w:gutter="0"/>
          <w:cols w:equalWidth="0" w:num="1">
            <w:col w:w="9360"/>
          </w:cols>
        </w:sectPr>
      </w:pPr>
    </w:p>
    <w:p>
      <w:pPr>
        <w:spacing w:after="0" w:line="200" w:lineRule="exact"/>
        <w:rPr>
          <w:color w:val="auto"/>
          <w:sz w:val="20"/>
          <w:szCs w:val="20"/>
        </w:rPr>
      </w:pPr>
      <w:bookmarkStart w:id="29" w:name="page35"/>
      <w:bookmarkEnd w:id="29"/>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078095" cy="3761105"/>
            <wp:effectExtent l="0" t="0" r="8255"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078095" cy="37611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2.3:</w:t>
      </w:r>
      <w:r>
        <w:rPr>
          <w:rFonts w:ascii="Times New Roman" w:hAnsi="Times New Roman" w:eastAsia="Times New Roman" w:cs="Times New Roman"/>
          <w:color w:val="auto"/>
          <w:sz w:val="24"/>
          <w:szCs w:val="24"/>
        </w:rPr>
        <w:t xml:space="preserve"> Ecology of </w:t>
      </w:r>
      <w:r>
        <w:rPr>
          <w:rFonts w:ascii="Times New Roman" w:hAnsi="Times New Roman" w:eastAsia="Times New Roman" w:cs="Times New Roman"/>
          <w:i/>
          <w:iCs/>
          <w:color w:val="auto"/>
          <w:sz w:val="24"/>
          <w:szCs w:val="24"/>
        </w:rPr>
        <w:t>E.coli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24</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30" w:name="page36"/>
      <w:bookmarkEnd w:id="30"/>
      <w:r>
        <w:rPr>
          <w:rFonts w:ascii="Times New Roman" w:hAnsi="Times New Roman" w:eastAsia="Times New Roman" w:cs="Times New Roman"/>
          <w:b/>
          <w:bCs/>
          <w:color w:val="auto"/>
          <w:sz w:val="24"/>
          <w:szCs w:val="24"/>
        </w:rPr>
        <w:t>2.5.5</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 xml:space="preserve">Virulence Factors of </w:t>
      </w:r>
      <w:r>
        <w:rPr>
          <w:rFonts w:ascii="Times New Roman" w:hAnsi="Times New Roman" w:eastAsia="Times New Roman" w:cs="Times New Roman"/>
          <w:b/>
          <w:bCs/>
          <w:i/>
          <w:iCs/>
          <w:color w:val="auto"/>
          <w:sz w:val="24"/>
          <w:szCs w:val="24"/>
        </w:rPr>
        <w:t>E.coli</w:t>
      </w:r>
    </w:p>
    <w:p>
      <w:pPr>
        <w:spacing w:after="0" w:line="200" w:lineRule="exact"/>
        <w:rPr>
          <w:color w:val="auto"/>
          <w:sz w:val="20"/>
          <w:szCs w:val="20"/>
        </w:rPr>
      </w:pPr>
    </w:p>
    <w:p>
      <w:pPr>
        <w:spacing w:after="0" w:line="25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ability of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to produce toxins enhance its ability to infect a host with disease (Duan et al., 2019). It produces α-hemolysin toxin which is a pore-forming cytotoxin, it inserts into the plasma membrane of the host cells thereby causing leakage of the host’s cytoplasmic contents and eventually leading to cell death (FitzGerald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Another toxin it produces is one which is similar to the shiga toxin and inhibits protein synthesis by ribosomal binding. Also, it produces labile toxin (LT) (Menge, 2020). The widespread species Escherichia coli includes a broad variety of different types, ranging from highly pathogenic strains causing worldwide outbreaks of severe disease to avirulent isolates which belong to the normal intestinal flora or which are well known and safe laboratory strains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The pathogenicity of a given strain is mainly determined by specific virulence factors which include adhesins, invasins, toxins and capsule (Jajere, 2019) (Table 1.2). They are often organized in large genetic blocks, called pathogenicity islands located either on the chromosome or on large plasmids and which are often transmitted by bacteriophage or other mobile elements (Novick, 2019)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25</w:t>
      </w:r>
    </w:p>
    <w:p>
      <w:pPr>
        <w:sectPr>
          <w:pgSz w:w="12240" w:h="15840"/>
          <w:pgMar w:top="1437" w:right="1440" w:bottom="403" w:left="1440" w:header="0" w:footer="0" w:gutter="0"/>
          <w:cols w:equalWidth="0" w:num="1">
            <w:col w:w="9360"/>
          </w:cols>
        </w:sectPr>
      </w:pPr>
    </w:p>
    <w:p>
      <w:pPr>
        <w:spacing w:after="0"/>
        <w:rPr>
          <w:color w:val="auto"/>
          <w:sz w:val="20"/>
          <w:szCs w:val="20"/>
        </w:rPr>
      </w:pPr>
      <w:bookmarkStart w:id="31" w:name="page37"/>
      <w:bookmarkEnd w:id="31"/>
      <w:r>
        <w:rPr>
          <w:rFonts w:ascii="Times New Roman" w:hAnsi="Times New Roman" w:eastAsia="Times New Roman" w:cs="Times New Roman"/>
          <w:b/>
          <w:bCs/>
          <w:color w:val="auto"/>
          <w:sz w:val="24"/>
          <w:szCs w:val="24"/>
        </w:rPr>
        <w:t>Table 2.4:</w:t>
      </w:r>
      <w:r>
        <w:rPr>
          <w:rFonts w:ascii="Times New Roman" w:hAnsi="Times New Roman" w:eastAsia="Times New Roman" w:cs="Times New Roman"/>
          <w:color w:val="auto"/>
          <w:sz w:val="24"/>
          <w:szCs w:val="24"/>
        </w:rPr>
        <w:t xml:space="preserve"> Virulence Factors in </w:t>
      </w:r>
      <w:r>
        <w:rPr>
          <w:rFonts w:ascii="Times New Roman" w:hAnsi="Times New Roman" w:eastAsia="Times New Roman" w:cs="Times New Roman"/>
          <w:i/>
          <w:iCs/>
          <w:color w:val="auto"/>
          <w:sz w:val="24"/>
          <w:szCs w:val="24"/>
        </w:rPr>
        <w:t>E.coli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19685</wp:posOffset>
            </wp:positionH>
            <wp:positionV relativeFrom="paragraph">
              <wp:posOffset>401320</wp:posOffset>
            </wp:positionV>
            <wp:extent cx="5943600" cy="2536190"/>
            <wp:effectExtent l="0" t="0" r="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5943600" cy="2536190"/>
                    </a:xfrm>
                    <a:prstGeom prst="rect">
                      <a:avLst/>
                    </a:prstGeom>
                    <a:noFill/>
                  </pic:spPr>
                </pic:pic>
              </a:graphicData>
            </a:graphic>
          </wp:anchor>
        </w:drawing>
      </w:r>
    </w:p>
    <w:p>
      <w:pPr>
        <w:sectPr>
          <w:pgSz w:w="12240" w:h="15840"/>
          <w:pgMar w:top="1432" w:right="1440" w:bottom="40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26</w:t>
      </w:r>
    </w:p>
    <w:p>
      <w:pPr>
        <w:sectPr>
          <w:type w:val="continuous"/>
          <w:pgSz w:w="12240" w:h="15840"/>
          <w:pgMar w:top="1432" w:right="1440" w:bottom="403" w:left="1440" w:header="0" w:footer="0" w:gutter="0"/>
          <w:cols w:equalWidth="0" w:num="1">
            <w:col w:w="9360"/>
          </w:cols>
        </w:sectPr>
      </w:pPr>
    </w:p>
    <w:p>
      <w:pPr>
        <w:tabs>
          <w:tab w:val="left" w:pos="700"/>
        </w:tabs>
        <w:spacing w:after="0"/>
        <w:rPr>
          <w:color w:val="auto"/>
          <w:sz w:val="20"/>
          <w:szCs w:val="20"/>
        </w:rPr>
      </w:pPr>
      <w:bookmarkStart w:id="32" w:name="page38"/>
      <w:bookmarkEnd w:id="32"/>
      <w:r>
        <w:rPr>
          <w:rFonts w:ascii="Times New Roman" w:hAnsi="Times New Roman" w:eastAsia="Times New Roman" w:cs="Times New Roman"/>
          <w:b/>
          <w:bCs/>
          <w:color w:val="auto"/>
          <w:sz w:val="24"/>
          <w:szCs w:val="24"/>
        </w:rPr>
        <w:t>2.5.6</w:t>
      </w:r>
      <w:r>
        <w:rPr>
          <w:color w:val="auto"/>
          <w:sz w:val="20"/>
          <w:szCs w:val="20"/>
        </w:rPr>
        <w:tab/>
      </w:r>
      <w:r>
        <w:rPr>
          <w:rFonts w:ascii="Times New Roman" w:hAnsi="Times New Roman" w:eastAsia="Times New Roman" w:cs="Times New Roman"/>
          <w:b/>
          <w:bCs/>
          <w:color w:val="auto"/>
          <w:sz w:val="23"/>
          <w:szCs w:val="23"/>
        </w:rPr>
        <w:t>Clinical Manifestations</w:t>
      </w:r>
    </w:p>
    <w:p>
      <w:pPr>
        <w:spacing w:after="0" w:line="31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Septicemia and meningitis can occur in newborns, both term and preterm. Early-onset infection, particularly in the first two days after birth, indicates vertical transmission, whereas late-onset infection suggests nosocomial or community acquisition (Odabasi and Bulbul, 2020). Early-onset meningitis is more likely to be caused by group B Streptococcus, E coli, and Listeria monocytogenes, whereas late-onset meningitis can be caused by other gram-negative organisms and staphylococcal species (Wong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pathotype of E coli that causes meningitis and sepsis is known as neonatalmeningitis-associated E coli. The K1 capsule of neonatal meningitis-associated E coli contains sialic acid, which increases the bacteria's ability to cross the blood-brain barrier (Le Guennec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Clinically, E coli-caused neonatal septicemia or meningitis cannot be distinguished from infection caused by other agents (Riley, 2020). Fever, temperature instability, abnormal heart rate, respiratory distress, apnea, cyanosis, lethargy, irritability, jaundice, vomiting, diarrhea, and abdominal distention are all clinical signs of septicemia (Naik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Maternal intrapartum infection, gestation of less than 37 weeks, low birth weight, and prolonged rupture of membranes are all risk factors for neonatal gram-negative bacterial infections (Puopolo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Neonates with defects in the integrity of their skin or mucosa, as well as gastrointestinal or genitourinary tract abnormalities, are also at increased risk (Ogunrinola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ETEC strains have been linked to self-limited gastrointestinal illness with abdominal cramping and watery stools that lasts 1 to 5 days (Kotloff, 2022). ETEC is common in infants in resource-limited countries, but it is uncommon in the United States as a cause of diarrhea (Schuetz, 2019). These strains, however, are a major cause of traveler's diarrhea, with infection typically caused by consuming contaminated food or water (Baker-Autin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2018).Toxins produced by STEC strains are similar to those produced by </w:t>
      </w:r>
      <w:r>
        <w:rPr>
          <w:rFonts w:ascii="Times New Roman" w:hAnsi="Times New Roman" w:eastAsia="Times New Roman" w:cs="Times New Roman"/>
          <w:i/>
          <w:iCs/>
          <w:color w:val="auto"/>
          <w:sz w:val="24"/>
          <w:szCs w:val="24"/>
        </w:rPr>
        <w:t>Shigella dysenteriae</w:t>
      </w:r>
      <w:r>
        <w:rPr>
          <w:rFonts w:ascii="Times New Roman" w:hAnsi="Times New Roman" w:eastAsia="Times New Roman" w:cs="Times New Roman"/>
          <w:color w:val="auto"/>
          <w:sz w:val="24"/>
          <w:szCs w:val="24"/>
        </w:rPr>
        <w:t xml:space="preserve"> type 1 (Fogolari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These bacteria have been linked to diarrhea, hemorrhagic colitis, hemolytic uremic syndrome (HUS), and postdiarrheal thrombocytopenic purpura (usually in adults)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STEC O157:H7 is the most pathogenic E coli prototype (Tolen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STEC can cause bloody diarrhea or occult positive diarrhea. A third of the cases have fever and severe abdominal pain (Sell and Dolan, 2018).</w:t>
      </w: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27</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33" w:name="page39"/>
      <w:bookmarkEnd w:id="33"/>
    </w:p>
    <w:p>
      <w:pPr>
        <w:spacing w:after="0" w:line="358" w:lineRule="auto"/>
        <w:jc w:val="both"/>
        <w:rPr>
          <w:color w:val="auto"/>
          <w:sz w:val="20"/>
          <w:szCs w:val="20"/>
        </w:rPr>
      </w:pPr>
      <w:r>
        <w:rPr>
          <w:rFonts w:ascii="Times New Roman" w:hAnsi="Times New Roman" w:eastAsia="Times New Roman" w:cs="Times New Roman"/>
          <w:color w:val="auto"/>
          <w:sz w:val="24"/>
          <w:szCs w:val="24"/>
        </w:rPr>
        <w:t>The EIEC strains are biochemically similar to Shigella and cause disease by invading intestinal epithelial cells (Pakbin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These strains, like Shigella, can cause watery diarrhea, fever, crampy abdominal pain, and tenesmus (Talaat</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In children under the age of two, enteropathogenic E coli strains cause watery diarrhea and, in some cases, severe dehydration (Snehaa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These illnesses are most common in developing countries. Children who have chronic diarrhea may experience growth retardation (Chifunda and Kelly, 2019). In children and adults, diffusely adherent E coli causes watery, sometimes bloody diarrhea (Suleiman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Pathogenicity has not been determined definitively, but it involves the bacteria adhering to the epithelial cells of the large intestine in a diffusion manner (Dubruil, 2020).</w:t>
      </w:r>
    </w:p>
    <w:p>
      <w:pPr>
        <w:spacing w:after="0" w:line="305"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HUS is a serious side effect of STEC enteric infections, defined by the triad of microangiopathic hemolytic anemia, thrombocytopenia, and renal failure (Exeni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North America, the most common serotype is E. coli O157:H7, which usually appears 2 weeks after the onset of diarrheal symptoms (Laura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It affects up to 20% of children suffering from E coli O157:H7 diarrhea. 50% of the cases are severe enough to necessitate dialysis, and 3% to 5% of patients die as a result of the illness (Yinen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UPEC strains cause approximately 80% of community-acquired UTIs and 30% of nosocomial UTIs. Infections in children are frequently caused by urinary tract blockages, which result in pools of stagnant urine (Momoh and Ayodele-Asowata, 2022). UPEC can live in the colon before being introduced into the urethra (Roussel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The colonization of the periurethral area by enteric pathogens is the first step in the development of a UTI (Mestrovic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Bacteria can enter the bladder and kidney thanks to a variety of virulence factors. 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coli has pili, which are hairlike appendages on the cell surface that improve the bacteria's ability to adhere to the uroepithelium (Zhu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Furthermore, UPEC strains contain type 1 and P fimbriae, which increase virulence and play a role in initial urethral colonization, and many UPEC strains produce hemolysin, which may be involved in the progression of kidney disease (Bessaiah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28</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34" w:name="page40"/>
      <w:bookmarkEnd w:id="34"/>
      <w:r>
        <w:rPr>
          <w:rFonts w:ascii="Times New Roman" w:hAnsi="Times New Roman" w:eastAsia="Times New Roman" w:cs="Times New Roman"/>
          <w:color w:val="auto"/>
          <w:sz w:val="24"/>
          <w:szCs w:val="24"/>
        </w:rPr>
        <w:t>2.5.7</w:t>
      </w:r>
      <w:r>
        <w:rPr>
          <w:color w:val="auto"/>
          <w:sz w:val="20"/>
          <w:szCs w:val="20"/>
        </w:rPr>
        <w:tab/>
      </w:r>
      <w:r>
        <w:rPr>
          <w:rFonts w:ascii="Times New Roman" w:hAnsi="Times New Roman" w:eastAsia="Times New Roman" w:cs="Times New Roman"/>
          <w:color w:val="auto"/>
          <w:sz w:val="23"/>
          <w:szCs w:val="23"/>
        </w:rPr>
        <w:t xml:space="preserve">Diagnosis of </w:t>
      </w:r>
      <w:r>
        <w:rPr>
          <w:rFonts w:ascii="Times New Roman" w:hAnsi="Times New Roman" w:eastAsia="Times New Roman" w:cs="Times New Roman"/>
          <w:i/>
          <w:iCs/>
          <w:color w:val="auto"/>
          <w:sz w:val="23"/>
          <w:szCs w:val="23"/>
        </w:rPr>
        <w:t>E. coli</w:t>
      </w:r>
    </w:p>
    <w:p>
      <w:pPr>
        <w:spacing w:after="0" w:line="32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E coli septicemia, UTIs, and meningitis are diagnosed by the growth of E coli in blood, urine, or cerebrospinal fluid (Oldendorff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Diagnosis of diarrhea-associated E coli infection is typically difficult because most clinical laboratories cannot distinguish diarrhea-associated E coli strains from stool flora E coli strains (Mare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 coli O157:H7 is an exception, as it can be identified using selective media (for example, MacConkey agar base with sorbitol) (Hinenova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90% of human intestinal E coli strains ferment sorbitol quickly, whereas O157:H7 strains do not. In addition, serologic diagnosis using enzyme immunoassays to detect serum antibodies to the O157:H7 lipopolysaccharide is available for outbreak investigations at the Centers for Disease Control and Prevention (Al-Awwal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8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2.5.8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Treatment of </w:t>
      </w:r>
      <w:r>
        <w:rPr>
          <w:rFonts w:ascii="Times New Roman" w:hAnsi="Times New Roman" w:eastAsia="Times New Roman" w:cs="Times New Roman"/>
          <w:i/>
          <w:iCs/>
          <w:color w:val="auto"/>
          <w:sz w:val="24"/>
          <w:szCs w:val="24"/>
        </w:rPr>
        <w:t>E.coli</w:t>
      </w:r>
    </w:p>
    <w:p>
      <w:pPr>
        <w:spacing w:after="0" w:line="32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Children, especially infants, who are suspected of having a systemic E coli infection should be given intravenous antibiotics until the organism is isolated from cultures (Walker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Due to the fact that approximately 50% of E. coli are resistant to amoxicillin or ampicillin, an aminoglycoside or a third-generation cephalosporin is recommended as empiric therapy, pending sensitivity data (Morris and Cerceo, 2020). Once susceptibility results are available, a more specific antibiotic can be chosen. The duration of therapy is determined by the patient's clinical response and the location of the infection (Khatri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typical duration of therapy for uncomplicated bacteremia is 10 to 14 days, 7 to 14 days for UTIs, and a minimum of 21 days for meningitis (Kaufman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2019).Infections with multidrug-resistant E coli are becoming more common, with resistance mediated by the production of extended-spectrum b-lactamase (Ali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(ESBL). These isolates are most commonly isolated from hospitalized patients, but they are also becoming a more common cause of community-acquired infections (Fallah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Prior antibiotic administration, the presence of urinary or vascular catheters,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longer hospital or intensive care unit stays are all risk factors for infection (Allaw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Most b-lactam antibiotics, including third-generationk cephalosporins, can be hydrolyzed by ESBLs. They may also be resistant to trimethoprim-sulfamethoxazole, fluoroquinolones, and aminoglycosides (Yekani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Carbapenems are widely regarded as the drug of choice for treating ESBL-E coli infections (Yekani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 treatment of E. coli-associated diarrhea is primarily supportive, with special attention paid to hydration and electrolyte balance</w:t>
      </w:r>
    </w:p>
    <w:p>
      <w:pPr>
        <w:spacing w:after="0" w:line="16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29</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35" w:name="page41"/>
      <w:bookmarkEnd w:id="35"/>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Antimotility drugs should not be given to children who have inflammatory or bloody diarrhea (Viegelmann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ETEC diarrhea is usually self-limiting, but if it persists, antibiotic therapy may help to shorten the illness (Khalil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Azithromycin or a fluoroquinolone, such as ciprofloxacin, are effective, but fluoroquinolones are not approved for routine pediatric use (Gibani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A meta-analysis failed to confirm that children with hemorrhagic colitis caused by STEC have a higher risk of developing HUS if treated with an antimicrobial agent; however, most experts agree that children with E coli O157: H7 enteritis should not be treated with an antimicrobial agent (Tarr and Freedman, 2022).</w:t>
      </w:r>
    </w:p>
    <w:p>
      <w:pPr>
        <w:spacing w:after="0" w:line="28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2.5.9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Prevention</w:t>
      </w:r>
    </w:p>
    <w:p>
      <w:pPr>
        <w:spacing w:after="0" w:line="31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Good hand cleanliness and contact isolation of persons who are ill, particularly those who have ESBL infections, are preventive interventions for E coli infections (Lemmen and Lewalter, 2018). All ground beef should be completely cooked and raw milk should not be consumed to avoid contracting E coli O157:H7 illnesses (Asime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People with diarrhea brought on by E. coli O157:H7 should refrain from using recreational facilities like swimming pools and water slides for 2 weeks after symptoms subside due to the potential for waterborne transmission of the illness (Gonzalez and Michaels, 2021). Public health authorities should be made aware of any outbreaks, especially in child care facilities, as O157:H7 infection is a reportable condition (Astill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2020).Doctors should encourage families to check their refrigerators for recalled items and not cook them if found in the event that an E. coli outbreak is reported in the media (Detwiler, 2020). Additionally, people should follow food safety precautions, refrain from consuming raw or undercooked beef, wash their hands, kitchen surfaces, and utensils with soap and water right away after coming into contact with raw ground beef, and refrain from contaminating other goods in their refrigerators (Koch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If they believe they may have become unwell after consuming recalled food goods, they should also be recommended to see a doctor. Symptoms often appear 2–7 days after ingestion(Thomas and Feng, 2020).Travelers should be urged to only consume bottled or canned beverages, refrain from using ice, and avoid consuming raw products and peeled fruits in order to prevent traveler's diarrhea (Long-Marin and Smith, 2021). However, they can consume fruits that they themselves peeled. When brushing teeth, only bottled water should be used. Antimicrobial medications are not advised for the prevention of traveler's diarrhea, but they may be necessary if the condition is severe or</w:t>
      </w:r>
    </w:p>
    <w:p>
      <w:pPr>
        <w:spacing w:after="0" w:line="33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36" w:name="page42"/>
      <w:bookmarkEnd w:id="36"/>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accompanied by fever, bloody stools, or both (Leung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diverse pathogens that can cause diarrhea impede the use of vaccines to protect against traveler's diarrhea (Levine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 number of studies suggest that an oral treatment, killed whole-cell vaccine combined with the nontoxic B subunit of cholera toxin (Dukoral) protects travelers from ETEC infection (Barry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This vaccine was approved for use as a traveler's diarrhea vaccine in the United States in late 2006 (Riddle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However, a conservative estimate based on the global prevalence of ETEC infection and the vaccine's efficacy suggested that it could prevent 7% or less of traveler's diarrhea cases (Seo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2.5.10 Antimicrobial Resistance of </w:t>
      </w:r>
      <w:r>
        <w:rPr>
          <w:rFonts w:ascii="Times New Roman" w:hAnsi="Times New Roman" w:eastAsia="Times New Roman" w:cs="Times New Roman"/>
          <w:i/>
          <w:iCs/>
          <w:color w:val="auto"/>
          <w:sz w:val="24"/>
          <w:szCs w:val="24"/>
        </w:rPr>
        <w:t>E. coli</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Antibiotics have long been used in human and veterinary medicine to reduce morbidity and mortality as well as the economic impact of bacterial infections (Thapa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However, E. coli has developed antibiotic resistance to one or more antibiotics, raising public health concerns (Davis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widespread and increasing use of antibiotics is linked to the prevalence of resistant bacteria (Lazar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the food production process, antimicrobials are used to prevent and control illnesses, improve growth, and increase feed efficiency in food-producing animals (Ma and Suzuki, 2018). The use of these antibiotics at low doses for extended periods of time, for example, to feed animals, can result in the selection and spread of antibiotic resistance to other microbes in the food chain (Khan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However, plant-based foods especially salads and RTE street foods/meals play a significant role in the spread of antibiotic resistance and are a growing source of concern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13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Significant public health concerns have been raised after multiple researchers isolated multidrug-resistant (MDR) and extended-spectrum beta-lactamase (ESBL) producing E. coli from raw meat, vegetable salad, egg surface, unpasteurized milk, raw fish, and water. Studies on pathogenic E. coli serotypes in RTE foods must be continued to ensure total food safety (Sivakumar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It is now known that a variety of foods, especially those with animal origins and those that have been contaminated by sewage, can transmit pathogens to people (Larsson and Flach, 2022). Because drug-resistant strains of E. coli are becoming more common, treating infections with them has become more challenging globally (Mousavi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health of consumers is seriously threatened by the emerging resistance found in E. coli strains to most antibiotics (Dagher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37" w:name="page43"/>
      <w:bookmarkEnd w:id="37"/>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Resistance can be acquired via plasmids and drug efflux systems, also resistance of amoxicillin, cotrimoxazole (due to presence of TEM-1 and TEM-2 betalactamse) and trimethoprim has increased over the years (caused by the frequent carriage on plasmids and integrons of </w:t>
      </w:r>
      <w:r>
        <w:rPr>
          <w:rFonts w:ascii="Times New Roman" w:hAnsi="Times New Roman" w:eastAsia="Times New Roman" w:cs="Times New Roman"/>
          <w:i/>
          <w:iCs/>
          <w:color w:val="auto"/>
          <w:sz w:val="24"/>
          <w:szCs w:val="24"/>
        </w:rPr>
        <w:t>dhfr</w:t>
      </w:r>
      <w:r>
        <w:rPr>
          <w:rFonts w:ascii="Times New Roman" w:hAnsi="Times New Roman" w:eastAsia="Times New Roman" w:cs="Times New Roman"/>
          <w:color w:val="auto"/>
          <w:sz w:val="24"/>
          <w:szCs w:val="24"/>
        </w:rPr>
        <w:t xml:space="preserve"> resistance genes) (Mutuku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32</w:t>
      </w:r>
    </w:p>
    <w:p>
      <w:pPr>
        <w:sectPr>
          <w:pgSz w:w="12240" w:h="15840"/>
          <w:pgMar w:top="1440" w:right="1440" w:bottom="403" w:left="1440" w:header="0" w:footer="0" w:gutter="0"/>
          <w:cols w:equalWidth="0" w:num="1">
            <w:col w:w="9360"/>
          </w:cols>
        </w:sectPr>
      </w:pPr>
    </w:p>
    <w:p>
      <w:pPr>
        <w:spacing w:after="0"/>
        <w:ind w:left="3640"/>
        <w:rPr>
          <w:color w:val="auto"/>
          <w:sz w:val="20"/>
          <w:szCs w:val="20"/>
        </w:rPr>
      </w:pPr>
      <w:bookmarkStart w:id="38" w:name="page44"/>
      <w:bookmarkEnd w:id="38"/>
      <w:r>
        <w:rPr>
          <w:rFonts w:ascii="Times New Roman" w:hAnsi="Times New Roman" w:eastAsia="Times New Roman" w:cs="Times New Roman"/>
          <w:b/>
          <w:bCs/>
          <w:color w:val="auto"/>
          <w:sz w:val="24"/>
          <w:szCs w:val="24"/>
        </w:rPr>
        <w:t>CHAPTER THREE</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METHODS AND METHODLOGY</w:t>
      </w:r>
    </w:p>
    <w:p>
      <w:pPr>
        <w:spacing w:after="0" w:line="200" w:lineRule="exact"/>
        <w:rPr>
          <w:color w:val="auto"/>
          <w:sz w:val="20"/>
          <w:szCs w:val="20"/>
        </w:rPr>
      </w:pPr>
    </w:p>
    <w:p>
      <w:pPr>
        <w:spacing w:after="0" w:line="316" w:lineRule="exact"/>
        <w:rPr>
          <w:color w:val="auto"/>
          <w:sz w:val="20"/>
          <w:szCs w:val="20"/>
        </w:rPr>
      </w:pPr>
    </w:p>
    <w:p>
      <w:pPr>
        <w:numPr>
          <w:ilvl w:val="0"/>
          <w:numId w:val="5"/>
        </w:numPr>
        <w:tabs>
          <w:tab w:val="left" w:pos="440"/>
        </w:tabs>
        <w:spacing w:after="0"/>
        <w:ind w:left="440" w:hanging="44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Study Area</w:t>
      </w:r>
    </w:p>
    <w:p>
      <w:pPr>
        <w:spacing w:after="0" w:line="200" w:lineRule="exact"/>
        <w:rPr>
          <w:color w:val="auto"/>
          <w:sz w:val="20"/>
          <w:szCs w:val="20"/>
        </w:rPr>
      </w:pPr>
    </w:p>
    <w:p>
      <w:pPr>
        <w:spacing w:after="0" w:line="263"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The fresh produce samples were collected from Magboro market which is located in Obafemi-Owode Local government area in Ogun State due to close proximity the commercial hub Lagos and for its large human population. The study Site for the bush meat was Olomore market Abeokuta, Sango Garage Ogun State which is the main market for bush meat.</w:t>
      </w:r>
    </w:p>
    <w:p>
      <w:pPr>
        <w:spacing w:after="0" w:line="206"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3.1</w:t>
      </w:r>
      <w:r>
        <w:rPr>
          <w:color w:val="auto"/>
          <w:sz w:val="20"/>
          <w:szCs w:val="20"/>
        </w:rPr>
        <w:tab/>
      </w:r>
      <w:r>
        <w:rPr>
          <w:rFonts w:ascii="Times New Roman" w:hAnsi="Times New Roman" w:eastAsia="Times New Roman" w:cs="Times New Roman"/>
          <w:color w:val="auto"/>
          <w:sz w:val="23"/>
          <w:szCs w:val="23"/>
        </w:rPr>
        <w:t>Sample Collection</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Ready-to- eat game meat (bush meat) such as antelope, Guinea Fowl, Alligator, Hedgehog, Wild Rabbit, Grasscutter, Pangolin, Sparrow, Bush rat were collected from different bush meat market in Ondo, Osun, Ogun and Lagos State, while the fresh produce were Cabbage (Brassica oleracea var. capitate), carrots (Daucus carota subsp. Sativus), Pineapple, Watermelon, Cucumber, Lettuce were bought from Magboro market. After buying from the vendor the samples were collected in a zip-lock bag and then in kept in the fridge to prevent the samples (fresh produce and bush meat) from spoilage. The bags containing the samples were taken to the laboratory for further analysis.</w:t>
      </w: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3.2</w:t>
      </w:r>
      <w:r>
        <w:rPr>
          <w:color w:val="auto"/>
          <w:sz w:val="20"/>
          <w:szCs w:val="20"/>
        </w:rPr>
        <w:tab/>
      </w:r>
      <w:r>
        <w:rPr>
          <w:rFonts w:ascii="Times New Roman" w:hAnsi="Times New Roman" w:eastAsia="Times New Roman" w:cs="Times New Roman"/>
          <w:color w:val="auto"/>
          <w:sz w:val="23"/>
          <w:szCs w:val="23"/>
        </w:rPr>
        <w:t>MATERIALS, REAGENTS AND EQUIPMENTS USED</w:t>
      </w:r>
    </w:p>
    <w:p>
      <w:pPr>
        <w:spacing w:after="0" w:line="200" w:lineRule="exact"/>
        <w:rPr>
          <w:color w:val="auto"/>
          <w:sz w:val="20"/>
          <w:szCs w:val="20"/>
        </w:rPr>
      </w:pPr>
    </w:p>
    <w:p>
      <w:pPr>
        <w:spacing w:after="0" w:line="25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Materials</w:t>
      </w:r>
    </w:p>
    <w:p>
      <w:pPr>
        <w:spacing w:after="0" w:line="149"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Petri dish, Glass spreader, Inoculating loop, cotton wool,70% Ethanol, latex, Bunsen burner, Beaker ,Wash brush, Makers, Measuring cylinder, Conical flask, Test tubes, Racks, Centrifuge, Cork borer, Eppendorf tube, Sterile tips, Micropipette, Incubator, Distilled water, Autoclave, Paper tape, Foil paper, Inoculating loop, Bunsen burner, Wash bottles, Spatula, Hockey stick</w:t>
      </w:r>
    </w:p>
    <w:p>
      <w:pPr>
        <w:spacing w:after="0" w:line="16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Reagents</w:t>
      </w:r>
    </w:p>
    <w:p>
      <w:pPr>
        <w:spacing w:after="0" w:line="149"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20% Glycerol, Brain Heart Infusion Broth (BHI), 0.1% Buffer Peptone Water, Nutrient Agar (N.A), Sorbitol MacConkey Agar (SMAC)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33</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39" w:name="page45"/>
      <w:bookmarkEnd w:id="39"/>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EQUIPMENTS</w:t>
      </w:r>
    </w:p>
    <w:p>
      <w:pPr>
        <w:spacing w:after="0" w:line="351"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color w:val="auto"/>
          <w:sz w:val="24"/>
          <w:szCs w:val="24"/>
        </w:rPr>
        <w:t>Autoclave, Distillers, Water bath, Oven, Incubator, weighing balance, Vortex meter, PCR, Gel documentation and electrophoresis.</w:t>
      </w:r>
    </w:p>
    <w:p>
      <w:pPr>
        <w:spacing w:after="0" w:line="215"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3.3</w:t>
      </w:r>
      <w:r>
        <w:rPr>
          <w:color w:val="auto"/>
          <w:sz w:val="20"/>
          <w:szCs w:val="20"/>
        </w:rPr>
        <w:tab/>
      </w:r>
      <w:r>
        <w:rPr>
          <w:rFonts w:ascii="Times New Roman" w:hAnsi="Times New Roman" w:eastAsia="Times New Roman" w:cs="Times New Roman"/>
          <w:color w:val="auto"/>
          <w:sz w:val="23"/>
          <w:szCs w:val="23"/>
        </w:rPr>
        <w:t>Preparation of Culture media</w:t>
      </w:r>
    </w:p>
    <w:p>
      <w:pPr>
        <w:spacing w:after="0" w:line="22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Buffered Peptone water</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dehydrated medium was dissolve in 225ml volume of distilled water to make up 0.1% peptone water based on manufacturer’s instruction’s instructions in a conical flask and mixed thoroughly. The conical flask is then closed in cotton wool that is wrapped in aluminum foil. The mixture was heated for a while to dissolve the powder completely and was then sterilized by autoclaving at 121°C for 15mins. It was then dispensed by pipetting into various test tubes for serialdilution .Three types of media were used for the isolation of Escherichia coli; MacConkey agar (MAC), Nutrient agar (NA), Sorbitol-MacConkey Agar (SMAC).</w:t>
      </w:r>
    </w:p>
    <w:p>
      <w:pPr>
        <w:spacing w:after="0" w:line="20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3.3.2</w:t>
      </w:r>
      <w:r>
        <w:rPr>
          <w:color w:val="auto"/>
          <w:sz w:val="20"/>
          <w:szCs w:val="20"/>
        </w:rPr>
        <w:tab/>
      </w:r>
      <w:r>
        <w:rPr>
          <w:rFonts w:ascii="Times New Roman" w:hAnsi="Times New Roman" w:eastAsia="Times New Roman" w:cs="Times New Roman"/>
          <w:color w:val="auto"/>
          <w:sz w:val="23"/>
          <w:szCs w:val="23"/>
        </w:rPr>
        <w:t>Sorbitol-MacConkey Agar</w:t>
      </w:r>
    </w:p>
    <w:p>
      <w:pPr>
        <w:spacing w:after="0" w:line="200" w:lineRule="exact"/>
        <w:rPr>
          <w:color w:val="auto"/>
          <w:sz w:val="20"/>
          <w:szCs w:val="20"/>
        </w:rPr>
      </w:pPr>
    </w:p>
    <w:p>
      <w:pPr>
        <w:spacing w:after="0" w:line="2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dehydrated medium was dissolved in the appropriate volume of distilled water</w:t>
      </w:r>
    </w:p>
    <w:p>
      <w:pPr>
        <w:spacing w:after="0" w:line="149" w:lineRule="exact"/>
        <w:rPr>
          <w:color w:val="auto"/>
          <w:sz w:val="20"/>
          <w:szCs w:val="20"/>
        </w:rPr>
      </w:pPr>
    </w:p>
    <w:p>
      <w:pPr>
        <w:spacing w:after="0" w:line="358" w:lineRule="auto"/>
        <w:ind w:right="80"/>
        <w:rPr>
          <w:color w:val="auto"/>
          <w:sz w:val="20"/>
          <w:szCs w:val="20"/>
        </w:rPr>
      </w:pPr>
      <w:r>
        <w:rPr>
          <w:rFonts w:ascii="Times New Roman" w:hAnsi="Times New Roman" w:eastAsia="Times New Roman" w:cs="Times New Roman"/>
          <w:color w:val="auto"/>
          <w:sz w:val="24"/>
          <w:szCs w:val="24"/>
        </w:rPr>
        <w:t>i.e. 51.5g of SMAC in 1000 ml distilled water based on manufacturers’ instruction’s instructions in a conical flask and mixed thoroughly. The conical flask is then closed in cotton wool that is wrapped in aluminum foil. The mixture was heated for a while to dissolve the powder completely and was then sterilized by autoclaving at 121°C for 15minutes.The medium was then allowed to cool to a range of 45-50°C and poured aseptically into sterile petri dishes and left to solidify. This medium is reddish-purple in color.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34</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40" w:name="page46"/>
      <w:bookmarkEnd w:id="40"/>
    </w:p>
    <w:p>
      <w:pPr>
        <w:spacing w:after="0" w:line="29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MacConkey Agar</w:t>
      </w:r>
    </w:p>
    <w:p>
      <w:pPr>
        <w:spacing w:after="0" w:line="24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MacConkey Agar is used for gram-negative enteric bacteria isolation and lactose fermentation differentiation from non-lactose fermenting bacteria and lactose fermenting bacteria but provides pink colonies on MacConkey Agar as Escherichia coli.The dehydrated medium was dissolved in the appropriate volume of distilled water i.e. 48.5g of MacConkey in 1000 ml distilled water based on manufacturers’ instruction’s instructions in a conical flask and mixed thoroughly. The conical flask is then closed in cotton wool that is wrapped in aluminium foil.The mixture was heated for a while to dissolve the powder completely and was then sterilized by autoclaving at 121°C for 15minutes. Avoid overheating.The medium was then allowed to cool to a range of45-50°C and poured aseptically into sterile petri dishes and left to solidify. The medium is neutral red in colour.</w:t>
      </w:r>
    </w:p>
    <w:p>
      <w:pPr>
        <w:spacing w:after="0" w:line="200" w:lineRule="exact"/>
        <w:rPr>
          <w:color w:val="auto"/>
          <w:sz w:val="20"/>
          <w:szCs w:val="20"/>
        </w:rPr>
      </w:pPr>
    </w:p>
    <w:p>
      <w:pPr>
        <w:spacing w:after="0" w:line="30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3.3.4</w:t>
      </w:r>
      <w:r>
        <w:rPr>
          <w:color w:val="auto"/>
          <w:sz w:val="20"/>
          <w:szCs w:val="20"/>
        </w:rPr>
        <w:tab/>
      </w:r>
      <w:r>
        <w:rPr>
          <w:rFonts w:ascii="Times New Roman" w:hAnsi="Times New Roman" w:eastAsia="Times New Roman" w:cs="Times New Roman"/>
          <w:color w:val="auto"/>
          <w:sz w:val="23"/>
          <w:szCs w:val="23"/>
        </w:rPr>
        <w:t>Nutrient Agar</w:t>
      </w:r>
    </w:p>
    <w:p>
      <w:pPr>
        <w:spacing w:after="0" w:line="200" w:lineRule="exact"/>
        <w:rPr>
          <w:color w:val="auto"/>
          <w:sz w:val="20"/>
          <w:szCs w:val="20"/>
        </w:rPr>
      </w:pPr>
    </w:p>
    <w:p>
      <w:pPr>
        <w:spacing w:after="0" w:line="26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Nutrient Agar is a general purpose, nutrient medium used for the cultivation of microbes supporting growth of a wide range of non-fastidious organisms. Nutrient agar is popular because it can grow a variety of types of bacteria and fungi, and contains many nutrients needed for the bacterial growth. Nutrient agar was prepared according to the manufacturer’s instruction 28 g of nutrient agar powder was suspended in 1 liter of distilled water in a conical flask and mixed thoroughly.th conical flask is then closed with a cork (cotton wool that is wrapped with aluminum foil). The mixture was heated for a while to dissolve the powder completely and was then sterilized by autoclaving at 121°C for 15minutes.The medium was then allowed to cool to a range of 45-50°C and poured aseptically into sterile petri dishes and left to solidify. The medium appears opalescent and is light amber in color for isolation, to obtain 0.1% BPW, 1 gram of peptone powder was dissolved in one liter distilled water and is then autoclaved at 121</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15 minutes.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35</w:t>
      </w:r>
    </w:p>
    <w:p>
      <w:pPr>
        <w:sectPr>
          <w:pgSz w:w="12240" w:h="15840"/>
          <w:pgMar w:top="1440" w:right="1440" w:bottom="403" w:left="1440" w:header="0" w:footer="0" w:gutter="0"/>
          <w:cols w:equalWidth="0" w:num="1">
            <w:col w:w="9360"/>
          </w:cols>
        </w:sectPr>
      </w:pPr>
    </w:p>
    <w:p>
      <w:pPr>
        <w:tabs>
          <w:tab w:val="left" w:pos="560"/>
        </w:tabs>
        <w:spacing w:after="0"/>
        <w:rPr>
          <w:color w:val="auto"/>
          <w:sz w:val="20"/>
          <w:szCs w:val="20"/>
        </w:rPr>
      </w:pPr>
      <w:bookmarkStart w:id="41" w:name="page47"/>
      <w:bookmarkEnd w:id="41"/>
      <w:r>
        <w:rPr>
          <w:rFonts w:ascii="Times New Roman" w:hAnsi="Times New Roman" w:eastAsia="Times New Roman" w:cs="Times New Roman"/>
          <w:color w:val="auto"/>
          <w:sz w:val="24"/>
          <w:szCs w:val="24"/>
        </w:rPr>
        <w:t>3.4</w:t>
      </w:r>
      <w:r>
        <w:rPr>
          <w:color w:val="auto"/>
          <w:sz w:val="20"/>
          <w:szCs w:val="20"/>
        </w:rPr>
        <w:tab/>
      </w:r>
      <w:r>
        <w:rPr>
          <w:rFonts w:ascii="Times New Roman" w:hAnsi="Times New Roman" w:eastAsia="Times New Roman" w:cs="Times New Roman"/>
          <w:color w:val="auto"/>
          <w:sz w:val="23"/>
          <w:szCs w:val="23"/>
        </w:rPr>
        <w:t>Primary Enrichment</w:t>
      </w:r>
    </w:p>
    <w:p>
      <w:pPr>
        <w:spacing w:after="0" w:line="200" w:lineRule="exact"/>
        <w:rPr>
          <w:color w:val="auto"/>
          <w:sz w:val="20"/>
          <w:szCs w:val="20"/>
        </w:rPr>
      </w:pPr>
    </w:p>
    <w:p>
      <w:pPr>
        <w:spacing w:after="0" w:line="264" w:lineRule="exact"/>
        <w:rPr>
          <w:color w:val="auto"/>
          <w:sz w:val="20"/>
          <w:szCs w:val="20"/>
        </w:rPr>
      </w:pPr>
    </w:p>
    <w:p>
      <w:pPr>
        <w:spacing w:after="0" w:line="354" w:lineRule="auto"/>
        <w:ind w:right="220"/>
        <w:jc w:val="both"/>
        <w:rPr>
          <w:color w:val="auto"/>
          <w:sz w:val="20"/>
          <w:szCs w:val="20"/>
        </w:rPr>
      </w:pPr>
      <w:r>
        <w:rPr>
          <w:rFonts w:ascii="Times New Roman" w:hAnsi="Times New Roman" w:eastAsia="Times New Roman" w:cs="Times New Roman"/>
          <w:color w:val="auto"/>
          <w:sz w:val="24"/>
          <w:szCs w:val="24"/>
        </w:rPr>
        <w:t>25g of each fresh produce and bush meat was put in a sterilized conical flask containing 225ml of 1%BPW after which serial dilutions were performed and appropriate dilution were plated on SMAC and MAC plate.</w:t>
      </w:r>
    </w:p>
    <w:p>
      <w:pPr>
        <w:spacing w:after="0" w:line="207"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3.5</w:t>
      </w:r>
      <w:r>
        <w:rPr>
          <w:color w:val="auto"/>
          <w:sz w:val="20"/>
          <w:szCs w:val="20"/>
        </w:rPr>
        <w:tab/>
      </w:r>
      <w:r>
        <w:rPr>
          <w:rFonts w:ascii="Times New Roman" w:hAnsi="Times New Roman" w:eastAsia="Times New Roman" w:cs="Times New Roman"/>
          <w:color w:val="auto"/>
          <w:sz w:val="23"/>
          <w:szCs w:val="23"/>
        </w:rPr>
        <w:t>Serial Dilution</w:t>
      </w:r>
    </w:p>
    <w:p>
      <w:pPr>
        <w:spacing w:after="0" w:line="200" w:lineRule="exact"/>
        <w:rPr>
          <w:color w:val="auto"/>
          <w:sz w:val="20"/>
          <w:szCs w:val="20"/>
        </w:rPr>
      </w:pPr>
    </w:p>
    <w:p>
      <w:pPr>
        <w:spacing w:after="0" w:line="376" w:lineRule="exact"/>
        <w:rPr>
          <w:color w:val="auto"/>
          <w:sz w:val="20"/>
          <w:szCs w:val="20"/>
        </w:rPr>
      </w:pPr>
    </w:p>
    <w:p>
      <w:pPr>
        <w:spacing w:after="0" w:line="270" w:lineRule="auto"/>
        <w:ind w:right="160"/>
        <w:rPr>
          <w:color w:val="auto"/>
          <w:sz w:val="20"/>
          <w:szCs w:val="20"/>
        </w:rPr>
      </w:pPr>
      <w:r>
        <w:rPr>
          <w:rFonts w:ascii="Times New Roman" w:hAnsi="Times New Roman" w:eastAsia="Times New Roman" w:cs="Times New Roman"/>
          <w:color w:val="auto"/>
          <w:sz w:val="24"/>
          <w:szCs w:val="24"/>
        </w:rPr>
        <w:t>0.1mililitre of the samples were pipetted using the micropipettes (set at 100ul) into test tubes containing 9ml of 0.1% BPW to obtain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followed by transfer of 0. 1ml from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xml:space="preserve"> into a new test tube (containing 9ml of 0.1% of BPW) to create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dilution, the test tubes are then put in the vortex mixer for even mixing. The dilution factor was repeated factor for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10</w:t>
      </w:r>
      <w:r>
        <w:rPr>
          <w:rFonts w:ascii="Times New Roman" w:hAnsi="Times New Roman" w:eastAsia="Times New Roman" w:cs="Times New Roman"/>
          <w:color w:val="auto"/>
          <w:sz w:val="32"/>
          <w:szCs w:val="32"/>
          <w:vertAlign w:val="superscript"/>
        </w:rPr>
        <w:t>-4</w:t>
      </w:r>
      <w:r>
        <w:rPr>
          <w:rFonts w:ascii="Times New Roman" w:hAnsi="Times New Roman" w:eastAsia="Times New Roman" w:cs="Times New Roman"/>
          <w:color w:val="auto"/>
          <w:sz w:val="24"/>
          <w:szCs w:val="24"/>
        </w:rPr>
        <w:t xml:space="preserve"> and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The test tube were labelled for easy identification.</w:t>
      </w:r>
    </w:p>
    <w:p>
      <w:pPr>
        <w:spacing w:after="0" w:line="223" w:lineRule="exact"/>
        <w:rPr>
          <w:color w:val="auto"/>
          <w:sz w:val="20"/>
          <w:szCs w:val="20"/>
        </w:rPr>
      </w:pPr>
    </w:p>
    <w:p>
      <w:pPr>
        <w:spacing w:after="0" w:line="342" w:lineRule="auto"/>
        <w:ind w:right="120"/>
        <w:rPr>
          <w:color w:val="auto"/>
          <w:sz w:val="20"/>
          <w:szCs w:val="20"/>
        </w:rPr>
      </w:pPr>
      <w:r>
        <w:rPr>
          <w:rFonts w:ascii="Times New Roman" w:hAnsi="Times New Roman" w:eastAsia="Times New Roman" w:cs="Times New Roman"/>
          <w:color w:val="auto"/>
          <w:sz w:val="24"/>
          <w:szCs w:val="24"/>
        </w:rPr>
        <w:t>For the SMAC and MacConkey agar plates, spread plates technique was used for plating of inoculum (samples). About 15-20ml of agar were poured into sterilized petri dishes (observing aseptic methods and conditions), then allowed to cool, set and solidify. 0.1 ml of the inoculum directly from dilutions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and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were plated (using pipettes) onto appropriately labelled agar-containing petri-dishes for SMAC and MacConkey agar, this will be used for the identification and isolation of Escherichia coli strains. After dispensing, the hockey stick is used to spread the inoculum around the agar (the hockey stick was dipped into alcohol and then flamed in the Bunsen burner before spreading so as to maintain aseptic conditions).</w:t>
      </w:r>
    </w:p>
    <w:p>
      <w:pPr>
        <w:spacing w:after="0" w:line="222"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Sub-Culturing</w:t>
      </w:r>
    </w:p>
    <w:p>
      <w:pPr>
        <w:spacing w:after="0" w:line="41" w:lineRule="exact"/>
        <w:rPr>
          <w:color w:val="auto"/>
          <w:sz w:val="20"/>
          <w:szCs w:val="20"/>
        </w:rPr>
      </w:pPr>
    </w:p>
    <w:p>
      <w:pPr>
        <w:spacing w:after="0" w:line="358" w:lineRule="auto"/>
        <w:ind w:right="140"/>
        <w:rPr>
          <w:color w:val="auto"/>
          <w:sz w:val="20"/>
          <w:szCs w:val="20"/>
        </w:rPr>
      </w:pPr>
      <w:r>
        <w:rPr>
          <w:rFonts w:ascii="Times New Roman" w:hAnsi="Times New Roman" w:eastAsia="Times New Roman" w:cs="Times New Roman"/>
          <w:color w:val="auto"/>
          <w:sz w:val="24"/>
          <w:szCs w:val="24"/>
        </w:rPr>
        <w:t>The plate were checked after the required duration for the growth a sub-culturing needs to done. Sub-culturing was done to purify the isolated bacterial colonies from a mixed cultures to a new and single culture, the bacteria isolate sub-cultured were those differentiated on basis of their colour(pink and white) and the differentiated characteristics are transferred onto fresh petri dishes containing nutrient agar. A loop of the isolate will be taken by inoculating loop which is heated using the Bunsen burner and is allowed to cool for 5 seconds and then the isolate will be taken and streaked onto the new petri-dish.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36</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42" w:name="page48"/>
      <w:bookmarkEnd w:id="42"/>
      <w:r>
        <w:rPr>
          <w:rFonts w:ascii="Times New Roman" w:hAnsi="Times New Roman" w:eastAsia="Times New Roman" w:cs="Times New Roman"/>
          <w:color w:val="auto"/>
          <w:sz w:val="24"/>
          <w:szCs w:val="24"/>
        </w:rPr>
        <w:t>3.7</w:t>
      </w:r>
      <w:r>
        <w:rPr>
          <w:color w:val="auto"/>
          <w:sz w:val="20"/>
          <w:szCs w:val="20"/>
        </w:rPr>
        <w:tab/>
      </w:r>
      <w:r>
        <w:rPr>
          <w:rFonts w:ascii="Times New Roman" w:hAnsi="Times New Roman" w:eastAsia="Times New Roman" w:cs="Times New Roman"/>
          <w:color w:val="auto"/>
          <w:sz w:val="23"/>
          <w:szCs w:val="23"/>
        </w:rPr>
        <w:t>Preservation of Cultures</w:t>
      </w:r>
    </w:p>
    <w:p>
      <w:pPr>
        <w:spacing w:after="0" w:line="39" w:lineRule="exact"/>
        <w:rPr>
          <w:color w:val="auto"/>
          <w:sz w:val="20"/>
          <w:szCs w:val="20"/>
        </w:rPr>
      </w:pPr>
    </w:p>
    <w:p>
      <w:pPr>
        <w:spacing w:after="0" w:line="337" w:lineRule="auto"/>
        <w:jc w:val="both"/>
        <w:rPr>
          <w:color w:val="auto"/>
          <w:sz w:val="20"/>
          <w:szCs w:val="20"/>
        </w:rPr>
      </w:pP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is preserved with the use of 20% glycerol and BHI (brain heart infusion). 750ul of BHI was dispensed into eppendorf tube and then E.coli culture was taken from the nutrient agar with an inoculating loop and then the loop containing the culture is dipped inside the eppendorf containing BHI and it is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24hours and then after 24hours 750ul of 20% glycerol is added and is placed inside the freezer for preservation.</w:t>
      </w:r>
    </w:p>
    <w:p>
      <w:pPr>
        <w:spacing w:after="0" w:line="19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3.8</w:t>
      </w:r>
      <w:r>
        <w:rPr>
          <w:color w:val="auto"/>
          <w:sz w:val="20"/>
          <w:szCs w:val="20"/>
        </w:rPr>
        <w:tab/>
      </w:r>
      <w:r>
        <w:rPr>
          <w:rFonts w:ascii="Times New Roman" w:hAnsi="Times New Roman" w:eastAsia="Times New Roman" w:cs="Times New Roman"/>
          <w:color w:val="auto"/>
          <w:sz w:val="23"/>
          <w:szCs w:val="23"/>
        </w:rPr>
        <w:t>DNA Extraction</w:t>
      </w:r>
    </w:p>
    <w:p>
      <w:pPr>
        <w:spacing w:after="0" w:line="41" w:lineRule="exact"/>
        <w:rPr>
          <w:color w:val="auto"/>
          <w:sz w:val="20"/>
          <w:szCs w:val="20"/>
        </w:rPr>
      </w:pPr>
    </w:p>
    <w:p>
      <w:pPr>
        <w:spacing w:after="0" w:line="308" w:lineRule="auto"/>
        <w:jc w:val="both"/>
        <w:rPr>
          <w:color w:val="auto"/>
          <w:sz w:val="20"/>
          <w:szCs w:val="20"/>
        </w:rPr>
      </w:pPr>
      <w:r>
        <w:rPr>
          <w:rFonts w:ascii="Times New Roman" w:hAnsi="Times New Roman" w:eastAsia="Times New Roman" w:cs="Times New Roman"/>
          <w:color w:val="auto"/>
          <w:sz w:val="24"/>
          <w:szCs w:val="24"/>
        </w:rPr>
        <w:t>1ml of pure BHI will be prepared and dispersed in 2ml of eppendorf tubes and autoclaved and then 50ul of each isolates of E. coli was added to the eppendorf tubes and then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w:t>
      </w:r>
    </w:p>
    <w:p>
      <w:pPr>
        <w:spacing w:after="0" w:line="2" w:lineRule="exact"/>
        <w:rPr>
          <w:color w:val="auto"/>
          <w:sz w:val="20"/>
          <w:szCs w:val="20"/>
        </w:rPr>
      </w:pPr>
    </w:p>
    <w:p>
      <w:pPr>
        <w:numPr>
          <w:ilvl w:val="0"/>
          <w:numId w:val="6"/>
        </w:numPr>
        <w:tabs>
          <w:tab w:val="left" w:pos="129"/>
        </w:tabs>
        <w:spacing w:after="0" w:line="357"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each of the isolates in the eppendorf tubes was then centrifuged at 5000g for 3minutes then the bhi supernatant was dispersed into waste leaving the pellet , then 750ul of distilled water was added into the eppendorf and then vortex to mix well and it is centrifuged at 5000g for 3minutes,the supernatant was discarded leaving the pellet and then 750ul of distilled water is added again and it is centrifuged at 5000g for 3mins and then the supernatant is discarded leaving the pellet. 200ul of distilled was added and vortexed and then the eppendorf tubes</w:t>
      </w:r>
    </w:p>
    <w:p>
      <w:pPr>
        <w:spacing w:after="0" w:line="325"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containing the samples were placed in the heating block at 100</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15minutes and then it is covered to prevent the cap from opening ,after 15minutes the tubes are immediately placed inside ice to cool for 5minutes(it allows cell membrane to break). It is centrifuged at 7000g for 6 minutes, the DNA is then extracted into a tube</w:t>
      </w:r>
    </w:p>
    <w:p>
      <w:pPr>
        <w:spacing w:after="0" w:line="244"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3.9</w:t>
      </w:r>
      <w:r>
        <w:rPr>
          <w:color w:val="auto"/>
          <w:sz w:val="20"/>
          <w:szCs w:val="20"/>
        </w:rPr>
        <w:tab/>
      </w:r>
      <w:r>
        <w:rPr>
          <w:rFonts w:ascii="Times New Roman" w:hAnsi="Times New Roman" w:eastAsia="Times New Roman" w:cs="Times New Roman"/>
          <w:color w:val="auto"/>
          <w:sz w:val="23"/>
          <w:szCs w:val="23"/>
        </w:rPr>
        <w:t>Antimicrobial Susceptibility Testing</w:t>
      </w:r>
    </w:p>
    <w:p>
      <w:pPr>
        <w:spacing w:after="0" w:line="39"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The antimicrobial was performed using Gram negative disc, Muller Helton agar and the activated isolate.</w:t>
      </w:r>
    </w:p>
    <w:p>
      <w:pPr>
        <w:spacing w:after="0" w:line="18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Procedure: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isolates were activated by culturing 50µl in 9ml BHI and incubate at 37˚C for 24hours. The Muller Helton plate is inoculated with the test organism (50µl of the activated isolate into each plate) and spreading method was done using a sterile spreader, the culture was allowed to stand for 10-15mins to allow penetration into the agar. After 15mins the gram negative antibiotics disc containing different antibiotics like ceftizoxime (30 μg), cefotaxime (30 μg), ceftazidime (30 μg), cephalexin (30 μg), amoxicillin (30 μg), imipenem (10 μg), cefepime (30 μg), cefoxitin (30 μg), gentamycin (30 μg), tetracycline (30 μg), trimethoprim/sulfamethoxazole (30 μg), nalidixic acid and ciprofloxacin (30 μg) was place in at</w:t>
      </w:r>
    </w:p>
    <w:p>
      <w:pPr>
        <w:spacing w:after="0" w:line="200" w:lineRule="exact"/>
        <w:rPr>
          <w:color w:val="auto"/>
          <w:sz w:val="20"/>
          <w:szCs w:val="20"/>
        </w:rPr>
      </w:pPr>
    </w:p>
    <w:p>
      <w:pPr>
        <w:spacing w:after="0" w:line="35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37</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43" w:name="page49"/>
      <w:bookmarkEnd w:id="43"/>
    </w:p>
    <w:p>
      <w:pPr>
        <w:spacing w:after="0" w:line="348" w:lineRule="auto"/>
        <w:jc w:val="both"/>
        <w:rPr>
          <w:color w:val="auto"/>
          <w:sz w:val="20"/>
          <w:szCs w:val="20"/>
        </w:rPr>
      </w:pPr>
      <w:r>
        <w:rPr>
          <w:rFonts w:ascii="Times New Roman" w:hAnsi="Times New Roman" w:eastAsia="Times New Roman" w:cs="Times New Roman"/>
          <w:color w:val="auto"/>
          <w:sz w:val="24"/>
          <w:szCs w:val="24"/>
        </w:rPr>
        <w:t>the center of the plate and it was incubated at 37˚C for 24hours,after incubation result were taken.</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i/>
          <w:iCs/>
          <w:color w:val="auto"/>
          <w:sz w:val="24"/>
          <w:szCs w:val="24"/>
        </w:rPr>
        <w:t>3.10</w:t>
      </w:r>
      <w:r>
        <w:rPr>
          <w:color w:val="auto"/>
          <w:sz w:val="20"/>
          <w:szCs w:val="20"/>
        </w:rPr>
        <w:tab/>
      </w:r>
      <w:r>
        <w:rPr>
          <w:rFonts w:ascii="Times New Roman" w:hAnsi="Times New Roman" w:eastAsia="Times New Roman" w:cs="Times New Roman"/>
          <w:color w:val="auto"/>
          <w:sz w:val="23"/>
          <w:szCs w:val="23"/>
        </w:rPr>
        <w:t xml:space="preserve">Molecular Identification of </w:t>
      </w:r>
      <w:r>
        <w:rPr>
          <w:rFonts w:ascii="Times New Roman" w:hAnsi="Times New Roman" w:eastAsia="Times New Roman" w:cs="Times New Roman"/>
          <w:i/>
          <w:iCs/>
          <w:color w:val="auto"/>
          <w:sz w:val="23"/>
          <w:szCs w:val="23"/>
        </w:rPr>
        <w:t>E.coli</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components of the PCR and constituent mixes were summarized in Table below. After the PCR cocktail has been prepared it was place into the Thermocycler. The PCR was carried with initial denaturation at 95 °C for 5 min; 35 cycles of 95 °C for 2 min; 42°C for 30 s and 72 °C for 4 min; and a final elongation step at 72 °C for 10 min. The PCR products were confirmed by electrophoresis and visualized under UV light with a Gel Doc system (Cleaver Scientific Ltd, Warwickshire, United Kingdom).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38</w:t>
      </w:r>
    </w:p>
    <w:p>
      <w:pPr>
        <w:sectPr>
          <w:pgSz w:w="12240" w:h="15840"/>
          <w:pgMar w:top="1440" w:right="1440" w:bottom="403" w:left="1440" w:header="0" w:footer="0" w:gutter="0"/>
          <w:cols w:equalWidth="0" w:num="1">
            <w:col w:w="9360"/>
          </w:cols>
        </w:sectPr>
      </w:pPr>
    </w:p>
    <w:p>
      <w:pPr>
        <w:spacing w:after="0"/>
        <w:ind w:left="120"/>
        <w:rPr>
          <w:color w:val="auto"/>
          <w:sz w:val="20"/>
          <w:szCs w:val="20"/>
        </w:rPr>
      </w:pPr>
      <w:bookmarkStart w:id="44" w:name="page50"/>
      <w:bookmarkEnd w:id="44"/>
      <w:r>
        <w:rPr>
          <w:rFonts w:ascii="Times New Roman" w:hAnsi="Times New Roman" w:eastAsia="Times New Roman" w:cs="Times New Roman"/>
          <w:b/>
          <w:bCs/>
          <w:color w:val="auto"/>
          <w:sz w:val="24"/>
          <w:szCs w:val="24"/>
        </w:rPr>
        <w:t>Table 3.1:</w:t>
      </w:r>
      <w:r>
        <w:rPr>
          <w:rFonts w:ascii="Times New Roman" w:hAnsi="Times New Roman" w:eastAsia="Times New Roman" w:cs="Times New Roman"/>
          <w:color w:val="auto"/>
          <w:sz w:val="24"/>
          <w:szCs w:val="24"/>
        </w:rPr>
        <w:t xml:space="preserve"> PCR Reaction Components used for pathogenic E.coli amplification</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800"/>
        <w:gridCol w:w="2440"/>
        <w:gridCol w:w="2100"/>
        <w:gridCol w:w="3220"/>
        <w:gridCol w:w="20"/>
      </w:tblGrid>
      <w:tr>
        <w:tblPrEx>
          <w:tblCellMar>
            <w:top w:w="0" w:type="dxa"/>
            <w:left w:w="0" w:type="dxa"/>
            <w:bottom w:w="0" w:type="dxa"/>
            <w:right w:w="0" w:type="dxa"/>
          </w:tblCellMar>
        </w:tblPrEx>
        <w:trPr>
          <w:trHeight w:val="290" w:hRule="atLeast"/>
        </w:trPr>
        <w:tc>
          <w:tcPr>
            <w:tcW w:w="20" w:type="dxa"/>
            <w:vAlign w:val="bottom"/>
          </w:tcPr>
          <w:p>
            <w:pPr>
              <w:spacing w:after="0"/>
              <w:rPr>
                <w:color w:val="auto"/>
                <w:sz w:val="24"/>
                <w:szCs w:val="24"/>
              </w:rPr>
            </w:pPr>
          </w:p>
        </w:tc>
        <w:tc>
          <w:tcPr>
            <w:tcW w:w="18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REAGENT</w:t>
            </w:r>
          </w:p>
        </w:tc>
        <w:tc>
          <w:tcPr>
            <w:tcW w:w="2440" w:type="dxa"/>
            <w:tcBorders>
              <w:top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4"/>
                <w:szCs w:val="24"/>
              </w:rPr>
              <w:t>INITIAL CONC</w:t>
            </w:r>
          </w:p>
        </w:tc>
        <w:tc>
          <w:tcPr>
            <w:tcW w:w="2100" w:type="dxa"/>
            <w:tcBorders>
              <w:top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FINAL CONC</w:t>
            </w:r>
          </w:p>
        </w:tc>
        <w:tc>
          <w:tcPr>
            <w:tcW w:w="3240" w:type="dxa"/>
            <w:gridSpan w:val="2"/>
            <w:tcBorders>
              <w:top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VOLUME/REACTION(</w:t>
            </w:r>
            <w:r>
              <w:rPr>
                <w:rFonts w:ascii="Times New Roman" w:hAnsi="Times New Roman" w:eastAsia="Times New Roman" w:cs="Times New Roman"/>
                <w:b/>
                <w:bCs/>
                <w:color w:val="auto"/>
                <w:sz w:val="24"/>
                <w:szCs w:val="24"/>
              </w:rPr>
              <w:t>µl)</w:t>
            </w:r>
          </w:p>
        </w:tc>
      </w:tr>
      <w:tr>
        <w:tblPrEx>
          <w:tblCellMar>
            <w:top w:w="0" w:type="dxa"/>
            <w:left w:w="0" w:type="dxa"/>
            <w:bottom w:w="0" w:type="dxa"/>
            <w:right w:w="0" w:type="dxa"/>
          </w:tblCellMar>
        </w:tblPrEx>
        <w:trPr>
          <w:trHeight w:val="154" w:hRule="atLeast"/>
        </w:trPr>
        <w:tc>
          <w:tcPr>
            <w:tcW w:w="20" w:type="dxa"/>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1800" w:type="dxa"/>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Master Mix</w:t>
            </w:r>
          </w:p>
        </w:tc>
        <w:tc>
          <w:tcPr>
            <w:tcW w:w="2440" w:type="dxa"/>
            <w:vAlign w:val="bottom"/>
          </w:tcPr>
          <w:p>
            <w:pPr>
              <w:spacing w:after="0" w:line="267" w:lineRule="exact"/>
              <w:ind w:left="560"/>
              <w:rPr>
                <w:color w:val="auto"/>
                <w:sz w:val="20"/>
                <w:szCs w:val="20"/>
              </w:rPr>
            </w:pPr>
            <w:r>
              <w:rPr>
                <w:rFonts w:ascii="Times New Roman" w:hAnsi="Times New Roman" w:eastAsia="Times New Roman" w:cs="Times New Roman"/>
                <w:color w:val="auto"/>
                <w:sz w:val="24"/>
                <w:szCs w:val="24"/>
              </w:rPr>
              <w:t>5x</w:t>
            </w:r>
          </w:p>
        </w:tc>
        <w:tc>
          <w:tcPr>
            <w:tcW w:w="2100" w:type="dxa"/>
            <w:vAlign w:val="bottom"/>
          </w:tcPr>
          <w:p>
            <w:pPr>
              <w:spacing w:after="0" w:line="267" w:lineRule="exact"/>
              <w:ind w:left="340"/>
              <w:rPr>
                <w:color w:val="auto"/>
                <w:sz w:val="20"/>
                <w:szCs w:val="20"/>
              </w:rPr>
            </w:pPr>
            <w:r>
              <w:rPr>
                <w:rFonts w:ascii="Times New Roman" w:hAnsi="Times New Roman" w:eastAsia="Times New Roman" w:cs="Times New Roman"/>
                <w:color w:val="auto"/>
                <w:sz w:val="24"/>
                <w:szCs w:val="24"/>
              </w:rPr>
              <w:t>1x</w:t>
            </w:r>
          </w:p>
        </w:tc>
        <w:tc>
          <w:tcPr>
            <w:tcW w:w="3240" w:type="dxa"/>
            <w:gridSpan w:val="2"/>
            <w:vAlign w:val="bottom"/>
          </w:tcPr>
          <w:p>
            <w:pPr>
              <w:spacing w:after="0" w:line="267" w:lineRule="exact"/>
              <w:ind w:left="46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StxIf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0.4</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0.2</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StxIR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0.4</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VtxIf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0.25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VtxIR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0.25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Vtx2R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Vtx2R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PaLf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0.1</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0.05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IPaLR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0.1</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0.05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Mgcl</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1.5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0.16</w:t>
            </w:r>
          </w:p>
        </w:tc>
      </w:tr>
      <w:tr>
        <w:tblPrEx>
          <w:tblCellMar>
            <w:top w:w="0" w:type="dxa"/>
            <w:left w:w="0" w:type="dxa"/>
            <w:bottom w:w="0" w:type="dxa"/>
            <w:right w:w="0" w:type="dxa"/>
          </w:tblCellMar>
        </w:tblPrEx>
        <w:trPr>
          <w:trHeight w:val="426"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DH</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O</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rPr>
                <w:color w:val="auto"/>
                <w:sz w:val="24"/>
                <w:szCs w:val="24"/>
              </w:rPr>
            </w:pP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4.16</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DNA</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25</w:t>
            </w:r>
          </w:p>
        </w:tc>
        <w:tc>
          <w:tcPr>
            <w:tcW w:w="2100" w:type="dxa"/>
            <w:vAlign w:val="bottom"/>
          </w:tcPr>
          <w:p>
            <w:pPr>
              <w:spacing w:after="0"/>
              <w:rPr>
                <w:color w:val="auto"/>
                <w:sz w:val="24"/>
                <w:szCs w:val="24"/>
              </w:rPr>
            </w:pP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rPr>
                <w:color w:val="auto"/>
                <w:sz w:val="24"/>
                <w:szCs w:val="24"/>
              </w:rPr>
            </w:pPr>
          </w:p>
        </w:tc>
        <w:tc>
          <w:tcPr>
            <w:tcW w:w="2440" w:type="dxa"/>
            <w:vAlign w:val="bottom"/>
          </w:tcPr>
          <w:p>
            <w:pPr>
              <w:spacing w:after="0"/>
              <w:rPr>
                <w:color w:val="auto"/>
                <w:sz w:val="24"/>
                <w:szCs w:val="24"/>
              </w:rPr>
            </w:pP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2 µl</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gridAfter w:val="1"/>
          <w:trHeight w:val="156" w:hRule="atLeast"/>
        </w:trPr>
        <w:tc>
          <w:tcPr>
            <w:tcW w:w="20" w:type="dxa"/>
            <w:tcBorders>
              <w:bottom w:val="single" w:color="auto" w:sz="8" w:space="0"/>
            </w:tcBorders>
            <w:vAlign w:val="bottom"/>
          </w:tcPr>
          <w:p>
            <w:pPr>
              <w:spacing w:after="0"/>
              <w:rPr>
                <w:color w:val="auto"/>
                <w:sz w:val="13"/>
                <w:szCs w:val="13"/>
              </w:rPr>
            </w:pPr>
          </w:p>
        </w:tc>
        <w:tc>
          <w:tcPr>
            <w:tcW w:w="9560" w:type="dxa"/>
            <w:gridSpan w:val="4"/>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gridAfter w:val="1"/>
          <w:trHeight w:val="693" w:hRule="atLeast"/>
        </w:trPr>
        <w:tc>
          <w:tcPr>
            <w:tcW w:w="20" w:type="dxa"/>
            <w:vAlign w:val="bottom"/>
          </w:tcPr>
          <w:p>
            <w:pPr>
              <w:spacing w:after="0"/>
              <w:rPr>
                <w:color w:val="auto"/>
                <w:sz w:val="24"/>
                <w:szCs w:val="24"/>
              </w:rPr>
            </w:pPr>
          </w:p>
        </w:tc>
        <w:tc>
          <w:tcPr>
            <w:tcW w:w="9560" w:type="dxa"/>
            <w:gridSpan w:val="4"/>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Table 3.2:</w:t>
            </w:r>
            <w:r>
              <w:rPr>
                <w:rFonts w:ascii="Times New Roman" w:hAnsi="Times New Roman" w:eastAsia="Times New Roman" w:cs="Times New Roman"/>
                <w:color w:val="auto"/>
                <w:sz w:val="24"/>
                <w:szCs w:val="24"/>
              </w:rPr>
              <w:t xml:space="preserve">PCR reaction components used for pathogenic </w:t>
            </w:r>
            <w:r>
              <w:rPr>
                <w:rFonts w:ascii="Times New Roman" w:hAnsi="Times New Roman" w:eastAsia="Times New Roman" w:cs="Times New Roman"/>
                <w:i/>
                <w:iCs/>
                <w:color w:val="auto"/>
                <w:sz w:val="24"/>
                <w:szCs w:val="24"/>
              </w:rPr>
              <w:t>E.coli a</w:t>
            </w:r>
            <w:r>
              <w:rPr>
                <w:rFonts w:ascii="Times New Roman" w:hAnsi="Times New Roman" w:eastAsia="Times New Roman" w:cs="Times New Roman"/>
                <w:color w:val="auto"/>
                <w:sz w:val="24"/>
                <w:szCs w:val="24"/>
              </w:rPr>
              <w:t>mplification</w:t>
            </w:r>
          </w:p>
        </w:tc>
      </w:tr>
      <w:tr>
        <w:tblPrEx>
          <w:tblCellMar>
            <w:top w:w="0" w:type="dxa"/>
            <w:left w:w="0" w:type="dxa"/>
            <w:bottom w:w="0" w:type="dxa"/>
            <w:right w:w="0" w:type="dxa"/>
          </w:tblCellMar>
        </w:tblPrEx>
        <w:trPr>
          <w:trHeight w:val="207" w:hRule="atLeast"/>
        </w:trPr>
        <w:tc>
          <w:tcPr>
            <w:tcW w:w="20" w:type="dxa"/>
            <w:vAlign w:val="bottom"/>
          </w:tcPr>
          <w:p>
            <w:pPr>
              <w:spacing w:after="0"/>
              <w:rPr>
                <w:color w:val="auto"/>
                <w:sz w:val="17"/>
                <w:szCs w:val="17"/>
              </w:rPr>
            </w:pPr>
          </w:p>
        </w:tc>
        <w:tc>
          <w:tcPr>
            <w:tcW w:w="1800" w:type="dxa"/>
            <w:tcBorders>
              <w:bottom w:val="single" w:color="auto" w:sz="8" w:space="0"/>
            </w:tcBorders>
            <w:vAlign w:val="bottom"/>
          </w:tcPr>
          <w:p>
            <w:pPr>
              <w:spacing w:after="0"/>
              <w:rPr>
                <w:color w:val="auto"/>
                <w:sz w:val="17"/>
                <w:szCs w:val="17"/>
              </w:rPr>
            </w:pPr>
          </w:p>
        </w:tc>
        <w:tc>
          <w:tcPr>
            <w:tcW w:w="2440" w:type="dxa"/>
            <w:tcBorders>
              <w:bottom w:val="single" w:color="auto" w:sz="8" w:space="0"/>
            </w:tcBorders>
            <w:vAlign w:val="bottom"/>
          </w:tcPr>
          <w:p>
            <w:pPr>
              <w:spacing w:after="0"/>
              <w:rPr>
                <w:color w:val="auto"/>
                <w:sz w:val="17"/>
                <w:szCs w:val="17"/>
              </w:rPr>
            </w:pPr>
          </w:p>
        </w:tc>
        <w:tc>
          <w:tcPr>
            <w:tcW w:w="2100" w:type="dxa"/>
            <w:tcBorders>
              <w:bottom w:val="single" w:color="auto" w:sz="8" w:space="0"/>
            </w:tcBorders>
            <w:vAlign w:val="bottom"/>
          </w:tcPr>
          <w:p>
            <w:pPr>
              <w:spacing w:after="0"/>
              <w:rPr>
                <w:color w:val="auto"/>
                <w:sz w:val="17"/>
                <w:szCs w:val="17"/>
              </w:rPr>
            </w:pPr>
          </w:p>
        </w:tc>
        <w:tc>
          <w:tcPr>
            <w:tcW w:w="3240" w:type="dxa"/>
            <w:gridSpan w:val="2"/>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1800" w:type="dxa"/>
            <w:vAlign w:val="bottom"/>
          </w:tcPr>
          <w:p>
            <w:pPr>
              <w:spacing w:after="0" w:line="272" w:lineRule="exact"/>
              <w:ind w:left="100"/>
              <w:rPr>
                <w:color w:val="auto"/>
                <w:sz w:val="20"/>
                <w:szCs w:val="20"/>
              </w:rPr>
            </w:pPr>
            <w:r>
              <w:rPr>
                <w:rFonts w:ascii="Times New Roman" w:hAnsi="Times New Roman" w:eastAsia="Times New Roman" w:cs="Times New Roman"/>
                <w:b/>
                <w:bCs/>
                <w:color w:val="auto"/>
                <w:sz w:val="24"/>
                <w:szCs w:val="24"/>
              </w:rPr>
              <w:t>REAGENT</w:t>
            </w:r>
          </w:p>
        </w:tc>
        <w:tc>
          <w:tcPr>
            <w:tcW w:w="2440" w:type="dxa"/>
            <w:vAlign w:val="bottom"/>
          </w:tcPr>
          <w:p>
            <w:pPr>
              <w:spacing w:after="0" w:line="272" w:lineRule="exact"/>
              <w:ind w:left="520"/>
              <w:rPr>
                <w:color w:val="auto"/>
                <w:sz w:val="20"/>
                <w:szCs w:val="20"/>
              </w:rPr>
            </w:pPr>
            <w:r>
              <w:rPr>
                <w:rFonts w:ascii="Times New Roman" w:hAnsi="Times New Roman" w:eastAsia="Times New Roman" w:cs="Times New Roman"/>
                <w:b/>
                <w:bCs/>
                <w:color w:val="auto"/>
                <w:sz w:val="24"/>
                <w:szCs w:val="24"/>
              </w:rPr>
              <w:t>INITIAL</w:t>
            </w:r>
          </w:p>
        </w:tc>
        <w:tc>
          <w:tcPr>
            <w:tcW w:w="2100" w:type="dxa"/>
            <w:vAlign w:val="bottom"/>
          </w:tcPr>
          <w:p>
            <w:pPr>
              <w:spacing w:after="0" w:line="272" w:lineRule="exact"/>
              <w:ind w:left="260"/>
              <w:rPr>
                <w:color w:val="auto"/>
                <w:sz w:val="20"/>
                <w:szCs w:val="20"/>
              </w:rPr>
            </w:pPr>
            <w:r>
              <w:rPr>
                <w:rFonts w:ascii="Times New Roman" w:hAnsi="Times New Roman" w:eastAsia="Times New Roman" w:cs="Times New Roman"/>
                <w:b/>
                <w:bCs/>
                <w:color w:val="auto"/>
                <w:sz w:val="24"/>
                <w:szCs w:val="24"/>
              </w:rPr>
              <w:t>FINAL</w:t>
            </w:r>
          </w:p>
        </w:tc>
        <w:tc>
          <w:tcPr>
            <w:tcW w:w="3240" w:type="dxa"/>
            <w:gridSpan w:val="2"/>
            <w:vAlign w:val="bottom"/>
          </w:tcPr>
          <w:p>
            <w:pPr>
              <w:spacing w:after="0" w:line="272" w:lineRule="exact"/>
              <w:jc w:val="right"/>
              <w:rPr>
                <w:color w:val="auto"/>
                <w:sz w:val="20"/>
                <w:szCs w:val="20"/>
              </w:rPr>
            </w:pPr>
            <w:r>
              <w:rPr>
                <w:rFonts w:ascii="Times New Roman" w:hAnsi="Times New Roman" w:eastAsia="Times New Roman" w:cs="Times New Roman"/>
                <w:b/>
                <w:bCs/>
                <w:color w:val="auto"/>
                <w:sz w:val="24"/>
                <w:szCs w:val="24"/>
              </w:rPr>
              <w:t>VOLUME/REACTION(µl)</w:t>
            </w:r>
          </w:p>
        </w:tc>
      </w:tr>
      <w:tr>
        <w:tblPrEx>
          <w:tblCellMar>
            <w:top w:w="0" w:type="dxa"/>
            <w:left w:w="0" w:type="dxa"/>
            <w:bottom w:w="0" w:type="dxa"/>
            <w:right w:w="0" w:type="dxa"/>
          </w:tblCellMar>
        </w:tblPrEx>
        <w:trPr>
          <w:trHeight w:val="152" w:hRule="atLeast"/>
        </w:trPr>
        <w:tc>
          <w:tcPr>
            <w:tcW w:w="20" w:type="dxa"/>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1800" w:type="dxa"/>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Master Mix</w:t>
            </w:r>
          </w:p>
        </w:tc>
        <w:tc>
          <w:tcPr>
            <w:tcW w:w="2440" w:type="dxa"/>
            <w:vAlign w:val="bottom"/>
          </w:tcPr>
          <w:p>
            <w:pPr>
              <w:spacing w:after="0" w:line="267" w:lineRule="exact"/>
              <w:ind w:left="520"/>
              <w:rPr>
                <w:color w:val="auto"/>
                <w:sz w:val="20"/>
                <w:szCs w:val="20"/>
              </w:rPr>
            </w:pPr>
            <w:r>
              <w:rPr>
                <w:rFonts w:ascii="Times New Roman" w:hAnsi="Times New Roman" w:eastAsia="Times New Roman" w:cs="Times New Roman"/>
                <w:color w:val="auto"/>
                <w:sz w:val="24"/>
                <w:szCs w:val="24"/>
              </w:rPr>
              <w:t>5x</w:t>
            </w:r>
          </w:p>
        </w:tc>
        <w:tc>
          <w:tcPr>
            <w:tcW w:w="2100" w:type="dxa"/>
            <w:vAlign w:val="bottom"/>
          </w:tcPr>
          <w:p>
            <w:pPr>
              <w:spacing w:after="0" w:line="267" w:lineRule="exact"/>
              <w:ind w:left="260"/>
              <w:rPr>
                <w:color w:val="auto"/>
                <w:sz w:val="20"/>
                <w:szCs w:val="20"/>
              </w:rPr>
            </w:pPr>
            <w:r>
              <w:rPr>
                <w:rFonts w:ascii="Times New Roman" w:hAnsi="Times New Roman" w:eastAsia="Times New Roman" w:cs="Times New Roman"/>
                <w:color w:val="auto"/>
                <w:sz w:val="24"/>
                <w:szCs w:val="24"/>
              </w:rPr>
              <w:t>1x</w:t>
            </w:r>
          </w:p>
        </w:tc>
        <w:tc>
          <w:tcPr>
            <w:tcW w:w="3240" w:type="dxa"/>
            <w:gridSpan w:val="2"/>
            <w:vAlign w:val="bottom"/>
          </w:tcPr>
          <w:p>
            <w:pPr>
              <w:spacing w:after="0" w:line="267" w:lineRule="exact"/>
              <w:ind w:left="32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Stx2f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Sex2R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EltaF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0.45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EltaR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0.45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EaeAf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0.075</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EaeaAR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0.075</w:t>
            </w:r>
          </w:p>
        </w:tc>
      </w:tr>
      <w:tr>
        <w:tblPrEx>
          <w:tblCellMar>
            <w:top w:w="0" w:type="dxa"/>
            <w:left w:w="0" w:type="dxa"/>
            <w:bottom w:w="0" w:type="dxa"/>
            <w:right w:w="0" w:type="dxa"/>
          </w:tblCellMar>
        </w:tblPrEx>
        <w:trPr>
          <w:trHeight w:val="428"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MgCl</w:t>
            </w:r>
            <w:r>
              <w:rPr>
                <w:rFonts w:ascii="Times New Roman" w:hAnsi="Times New Roman" w:eastAsia="Times New Roman" w:cs="Times New Roman"/>
                <w:color w:val="auto"/>
                <w:sz w:val="16"/>
                <w:szCs w:val="16"/>
              </w:rPr>
              <w:t>2</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25</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dH</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O</w:t>
            </w:r>
          </w:p>
        </w:tc>
        <w:tc>
          <w:tcPr>
            <w:tcW w:w="24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32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rPr>
                <w:color w:val="auto"/>
                <w:sz w:val="24"/>
                <w:szCs w:val="24"/>
              </w:rPr>
            </w:pPr>
          </w:p>
        </w:tc>
        <w:tc>
          <w:tcPr>
            <w:tcW w:w="2440" w:type="dxa"/>
            <w:vAlign w:val="bottom"/>
          </w:tcPr>
          <w:p>
            <w:pPr>
              <w:spacing w:after="0"/>
              <w:rPr>
                <w:color w:val="auto"/>
                <w:sz w:val="24"/>
                <w:szCs w:val="24"/>
              </w:rPr>
            </w:pP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trHeight w:val="154" w:hRule="atLeast"/>
        </w:trPr>
        <w:tc>
          <w:tcPr>
            <w:tcW w:w="20" w:type="dxa"/>
            <w:tcBorders>
              <w:bottom w:val="single" w:color="auto" w:sz="8" w:space="0"/>
            </w:tcBorders>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39</w:t>
      </w:r>
    </w:p>
    <w:p>
      <w:pPr>
        <w:sectPr>
          <w:pgSz w:w="12240" w:h="15840"/>
          <w:pgMar w:top="1432" w:right="1340" w:bottom="403" w:left="1320" w:header="0" w:footer="0" w:gutter="0"/>
          <w:cols w:equalWidth="0" w:num="1">
            <w:col w:w="9580"/>
          </w:cols>
        </w:sectPr>
      </w:pPr>
    </w:p>
    <w:p>
      <w:pPr>
        <w:spacing w:after="0" w:line="2" w:lineRule="exact"/>
        <w:rPr>
          <w:color w:val="auto"/>
          <w:sz w:val="20"/>
          <w:szCs w:val="20"/>
        </w:rPr>
      </w:pPr>
      <w:bookmarkStart w:id="45" w:name="page51"/>
      <w:bookmarkEnd w:id="45"/>
    </w:p>
    <w:p>
      <w:pPr>
        <w:spacing w:after="0" w:line="235" w:lineRule="auto"/>
        <w:ind w:left="120" w:right="940"/>
        <w:rPr>
          <w:color w:val="auto"/>
          <w:sz w:val="20"/>
          <w:szCs w:val="20"/>
        </w:rPr>
      </w:pPr>
      <w:r>
        <w:rPr>
          <w:rFonts w:ascii="Times New Roman" w:hAnsi="Times New Roman" w:eastAsia="Times New Roman" w:cs="Times New Roman"/>
          <w:b/>
          <w:bCs/>
          <w:color w:val="auto"/>
          <w:sz w:val="24"/>
          <w:szCs w:val="24"/>
        </w:rPr>
        <w:t>Table 3.34:</w:t>
      </w:r>
      <w:r>
        <w:rPr>
          <w:rFonts w:ascii="Times New Roman" w:hAnsi="Times New Roman" w:eastAsia="Times New Roman" w:cs="Times New Roman"/>
          <w:color w:val="auto"/>
          <w:sz w:val="24"/>
          <w:szCs w:val="24"/>
        </w:rPr>
        <w:t xml:space="preserve"> Gene targets, primer sequences, primer concentrations and amplicon sizes for the multiplex PCR of pathogenic </w:t>
      </w:r>
      <w:r>
        <w:rPr>
          <w:rFonts w:ascii="Times New Roman" w:hAnsi="Times New Roman" w:eastAsia="Times New Roman" w:cs="Times New Roman"/>
          <w:i/>
          <w:iCs/>
          <w:color w:val="auto"/>
          <w:sz w:val="24"/>
          <w:szCs w:val="24"/>
        </w:rPr>
        <w:t>E.coli</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988"/>
        <w:gridCol w:w="1653"/>
        <w:gridCol w:w="100"/>
        <w:gridCol w:w="4340"/>
        <w:gridCol w:w="2340"/>
        <w:gridCol w:w="36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1988"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 Target</w:t>
            </w:r>
          </w:p>
        </w:tc>
        <w:tc>
          <w:tcPr>
            <w:tcW w:w="1653" w:type="dxa"/>
            <w:tcBorders>
              <w:top w:val="single" w:color="auto" w:sz="8" w:space="0"/>
            </w:tcBorders>
            <w:vAlign w:val="bottom"/>
          </w:tcPr>
          <w:p>
            <w:pPr>
              <w:spacing w:after="0"/>
              <w:ind w:left="73"/>
              <w:rPr>
                <w:color w:val="auto"/>
                <w:sz w:val="20"/>
                <w:szCs w:val="20"/>
              </w:rPr>
            </w:pPr>
            <w:r>
              <w:rPr>
                <w:rFonts w:ascii="Times New Roman" w:hAnsi="Times New Roman" w:eastAsia="Times New Roman" w:cs="Times New Roman"/>
                <w:b/>
                <w:bCs/>
                <w:color w:val="auto"/>
                <w:sz w:val="24"/>
                <w:szCs w:val="24"/>
              </w:rPr>
              <w:t>Virulence</w:t>
            </w:r>
          </w:p>
        </w:tc>
        <w:tc>
          <w:tcPr>
            <w:tcW w:w="100" w:type="dxa"/>
            <w:tcBorders>
              <w:top w:val="single" w:color="auto" w:sz="8" w:space="0"/>
            </w:tcBorders>
            <w:vAlign w:val="bottom"/>
          </w:tcPr>
          <w:p>
            <w:pPr>
              <w:spacing w:after="0"/>
              <w:rPr>
                <w:color w:val="auto"/>
                <w:sz w:val="24"/>
                <w:szCs w:val="24"/>
              </w:rPr>
            </w:pPr>
          </w:p>
        </w:tc>
        <w:tc>
          <w:tcPr>
            <w:tcW w:w="4340" w:type="dxa"/>
            <w:tcBorders>
              <w:top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sz w:val="24"/>
                <w:szCs w:val="24"/>
              </w:rPr>
              <w:t>Sequence (5΄-)</w:t>
            </w:r>
          </w:p>
        </w:tc>
        <w:tc>
          <w:tcPr>
            <w:tcW w:w="2340" w:type="dxa"/>
            <w:tcBorders>
              <w:top w:val="single" w:color="auto" w:sz="8" w:space="0"/>
            </w:tcBorders>
            <w:vAlign w:val="bottom"/>
          </w:tcPr>
          <w:p>
            <w:pPr>
              <w:spacing w:after="0"/>
              <w:ind w:left="220"/>
              <w:rPr>
                <w:color w:val="auto"/>
                <w:sz w:val="20"/>
                <w:szCs w:val="20"/>
              </w:rPr>
            </w:pPr>
            <w:r>
              <w:rPr>
                <w:rFonts w:ascii="Times New Roman" w:hAnsi="Times New Roman" w:eastAsia="Times New Roman" w:cs="Times New Roman"/>
                <w:b/>
                <w:bCs/>
                <w:color w:val="auto"/>
                <w:sz w:val="24"/>
                <w:szCs w:val="24"/>
              </w:rPr>
              <w:t>Final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ind w:left="73"/>
              <w:rPr>
                <w:color w:val="auto"/>
                <w:sz w:val="20"/>
                <w:szCs w:val="20"/>
              </w:rPr>
            </w:pPr>
            <w:r>
              <w:rPr>
                <w:rFonts w:ascii="Times New Roman" w:hAnsi="Times New Roman" w:eastAsia="Times New Roman" w:cs="Times New Roman"/>
                <w:b/>
                <w:bCs/>
                <w:color w:val="auto"/>
                <w:sz w:val="24"/>
                <w:szCs w:val="24"/>
              </w:rPr>
              <w:t>factor/gene</w:t>
            </w:r>
          </w:p>
        </w:tc>
        <w:tc>
          <w:tcPr>
            <w:tcW w:w="100" w:type="dxa"/>
            <w:vAlign w:val="bottom"/>
          </w:tcPr>
          <w:p>
            <w:pPr>
              <w:spacing w:after="0"/>
              <w:rPr>
                <w:color w:val="auto"/>
                <w:sz w:val="24"/>
                <w:szCs w:val="24"/>
              </w:rPr>
            </w:pPr>
          </w:p>
        </w:tc>
        <w:tc>
          <w:tcPr>
            <w:tcW w:w="4340" w:type="dxa"/>
            <w:vAlign w:val="bottom"/>
          </w:tcPr>
          <w:p>
            <w:pPr>
              <w:spacing w:after="0"/>
              <w:rPr>
                <w:color w:val="auto"/>
                <w:sz w:val="24"/>
                <w:szCs w:val="24"/>
              </w:rPr>
            </w:pPr>
          </w:p>
        </w:tc>
        <w:tc>
          <w:tcPr>
            <w:tcW w:w="2340" w:type="dxa"/>
            <w:vAlign w:val="bottom"/>
          </w:tcPr>
          <w:p>
            <w:pPr>
              <w:spacing w:after="0"/>
              <w:ind w:left="220"/>
              <w:rPr>
                <w:color w:val="auto"/>
                <w:sz w:val="20"/>
                <w:szCs w:val="20"/>
              </w:rPr>
            </w:pPr>
            <w:r>
              <w:rPr>
                <w:rFonts w:ascii="Times New Roman" w:hAnsi="Times New Roman" w:eastAsia="Times New Roman" w:cs="Times New Roman"/>
                <w:b/>
                <w:bCs/>
                <w:color w:val="auto"/>
                <w:sz w:val="24"/>
                <w:szCs w:val="24"/>
              </w:rPr>
              <w:t>concentration(µm)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tcBorders>
              <w:bottom w:val="single" w:color="auto" w:sz="8" w:space="0"/>
            </w:tcBorders>
            <w:vAlign w:val="bottom"/>
          </w:tcPr>
          <w:p>
            <w:pPr>
              <w:spacing w:after="0"/>
              <w:rPr>
                <w:color w:val="auto"/>
                <w:sz w:val="22"/>
                <w:szCs w:val="22"/>
              </w:rPr>
            </w:pPr>
          </w:p>
        </w:tc>
        <w:tc>
          <w:tcPr>
            <w:tcW w:w="1653" w:type="dxa"/>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4340" w:type="dxa"/>
            <w:tcBorders>
              <w:bottom w:val="single" w:color="auto" w:sz="8" w:space="0"/>
            </w:tcBorders>
            <w:vAlign w:val="bottom"/>
          </w:tcPr>
          <w:p>
            <w:pPr>
              <w:spacing w:after="0"/>
              <w:rPr>
                <w:color w:val="auto"/>
                <w:sz w:val="22"/>
                <w:szCs w:val="22"/>
              </w:rPr>
            </w:pPr>
          </w:p>
        </w:tc>
        <w:tc>
          <w:tcPr>
            <w:tcW w:w="234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Human estA</w:t>
            </w:r>
          </w:p>
        </w:tc>
        <w:tc>
          <w:tcPr>
            <w:tcW w:w="1653" w:type="dxa"/>
            <w:shd w:val="clear" w:color="auto" w:fill="F2F2F2"/>
            <w:vAlign w:val="bottom"/>
          </w:tcPr>
          <w:p>
            <w:pPr>
              <w:spacing w:after="0" w:line="263" w:lineRule="exact"/>
              <w:ind w:left="73"/>
              <w:rPr>
                <w:color w:val="auto"/>
                <w:sz w:val="20"/>
                <w:szCs w:val="20"/>
              </w:rPr>
            </w:pPr>
            <w:r>
              <w:rPr>
                <w:rFonts w:ascii="Times New Roman" w:hAnsi="Times New Roman" w:eastAsia="Times New Roman" w:cs="Times New Roman"/>
                <w:color w:val="auto"/>
                <w:sz w:val="24"/>
                <w:szCs w:val="24"/>
              </w:rPr>
              <w:t>STIh</w:t>
            </w:r>
          </w:p>
        </w:tc>
        <w:tc>
          <w:tcPr>
            <w:tcW w:w="100" w:type="dxa"/>
            <w:shd w:val="clear" w:color="auto" w:fill="F2F2F2"/>
            <w:vAlign w:val="bottom"/>
          </w:tcPr>
          <w:p>
            <w:pPr>
              <w:spacing w:after="0"/>
              <w:rPr>
                <w:color w:val="auto"/>
                <w:sz w:val="22"/>
                <w:szCs w:val="22"/>
              </w:rPr>
            </w:pPr>
          </w:p>
        </w:tc>
        <w:tc>
          <w:tcPr>
            <w:tcW w:w="4340" w:type="dxa"/>
            <w:shd w:val="clear" w:color="auto" w:fill="F2F2F2"/>
            <w:vAlign w:val="bottom"/>
          </w:tcPr>
          <w:p>
            <w:pPr>
              <w:spacing w:after="0" w:line="263" w:lineRule="exact"/>
              <w:rPr>
                <w:color w:val="auto"/>
                <w:sz w:val="20"/>
                <w:szCs w:val="20"/>
              </w:rPr>
            </w:pPr>
            <w:r>
              <w:rPr>
                <w:rFonts w:ascii="Times New Roman" w:hAnsi="Times New Roman" w:eastAsia="Times New Roman" w:cs="Times New Roman"/>
                <w:color w:val="auto"/>
                <w:sz w:val="24"/>
                <w:szCs w:val="24"/>
              </w:rPr>
              <w:t>TTTCGCTCAGGATGCTAAACCAG</w:t>
            </w:r>
          </w:p>
        </w:tc>
        <w:tc>
          <w:tcPr>
            <w:tcW w:w="2340" w:type="dxa"/>
            <w:shd w:val="clear" w:color="auto" w:fill="F2F2F2"/>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vMerge w:val="restart"/>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CAGGATTACAACACAATTCACAGCAG</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vMerge w:val="continue"/>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1988" w:type="dxa"/>
            <w:shd w:val="clear" w:color="auto" w:fill="F2F2F2"/>
            <w:vAlign w:val="bottom"/>
          </w:tcPr>
          <w:p>
            <w:pPr>
              <w:spacing w:after="0"/>
              <w:rPr>
                <w:color w:val="auto"/>
                <w:sz w:val="24"/>
                <w:szCs w:val="24"/>
              </w:rPr>
            </w:pPr>
          </w:p>
        </w:tc>
        <w:tc>
          <w:tcPr>
            <w:tcW w:w="1653" w:type="dxa"/>
            <w:shd w:val="clear" w:color="auto" w:fill="F2F2F2"/>
            <w:vAlign w:val="bottom"/>
          </w:tcPr>
          <w:p>
            <w:pPr>
              <w:spacing w:after="0"/>
              <w:rPr>
                <w:color w:val="auto"/>
                <w:sz w:val="24"/>
                <w:szCs w:val="24"/>
              </w:rPr>
            </w:pPr>
          </w:p>
        </w:tc>
        <w:tc>
          <w:tcPr>
            <w:tcW w:w="100" w:type="dxa"/>
            <w:shd w:val="clear" w:color="auto" w:fill="F2F2F2"/>
            <w:vAlign w:val="bottom"/>
          </w:tcPr>
          <w:p>
            <w:pPr>
              <w:spacing w:after="0"/>
              <w:rPr>
                <w:color w:val="auto"/>
                <w:sz w:val="24"/>
                <w:szCs w:val="24"/>
              </w:rPr>
            </w:pPr>
          </w:p>
        </w:tc>
        <w:tc>
          <w:tcPr>
            <w:tcW w:w="4340" w:type="dxa"/>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TA</w:t>
            </w:r>
          </w:p>
        </w:tc>
        <w:tc>
          <w:tcPr>
            <w:tcW w:w="2340" w:type="dxa"/>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rPr>
                <w:color w:val="auto"/>
                <w:sz w:val="23"/>
                <w:szCs w:val="23"/>
              </w:rPr>
            </w:pPr>
          </w:p>
        </w:tc>
        <w:tc>
          <w:tcPr>
            <w:tcW w:w="1653" w:type="dxa"/>
            <w:shd w:val="clear" w:color="auto" w:fill="F2F2F2"/>
            <w:vAlign w:val="bottom"/>
          </w:tcPr>
          <w:p>
            <w:pPr>
              <w:spacing w:after="0"/>
              <w:rPr>
                <w:color w:val="auto"/>
                <w:sz w:val="23"/>
                <w:szCs w:val="23"/>
              </w:rPr>
            </w:pP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rPr>
                <w:color w:val="auto"/>
                <w:sz w:val="23"/>
                <w:szCs w:val="23"/>
              </w:rPr>
            </w:pPr>
          </w:p>
        </w:tc>
        <w:tc>
          <w:tcPr>
            <w:tcW w:w="2340" w:type="dxa"/>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20" w:type="dxa"/>
            <w:vAlign w:val="bottom"/>
          </w:tcPr>
          <w:p>
            <w:pPr>
              <w:spacing w:after="0"/>
              <w:rPr>
                <w:color w:val="auto"/>
                <w:sz w:val="23"/>
                <w:szCs w:val="23"/>
              </w:rPr>
            </w:pPr>
          </w:p>
        </w:tc>
        <w:tc>
          <w:tcPr>
            <w:tcW w:w="1988" w:type="dxa"/>
            <w:vAlign w:val="bottom"/>
          </w:tcPr>
          <w:p>
            <w:pPr>
              <w:spacing w:after="0" w:line="274" w:lineRule="exact"/>
              <w:ind w:left="100"/>
              <w:rPr>
                <w:color w:val="auto"/>
                <w:sz w:val="20"/>
                <w:szCs w:val="20"/>
              </w:rPr>
            </w:pPr>
            <w:r>
              <w:rPr>
                <w:rFonts w:ascii="Times New Roman" w:hAnsi="Times New Roman" w:eastAsia="Times New Roman" w:cs="Times New Roman"/>
                <w:b/>
                <w:bCs/>
                <w:color w:val="auto"/>
                <w:sz w:val="24"/>
                <w:szCs w:val="24"/>
              </w:rPr>
              <w:t>Porcine estA</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STIp</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CTTTCCCCTCTTTTAGTCAGTCAACTG</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w w:val="99"/>
                <w:sz w:val="24"/>
                <w:szCs w:val="24"/>
              </w:rPr>
              <w:t>CAGGATTACAACAAAGTTCACAGCAG</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vAlign w:val="bottom"/>
          </w:tcPr>
          <w:p>
            <w:pPr>
              <w:spacing w:after="0"/>
              <w:rPr>
                <w:color w:val="auto"/>
                <w:sz w:val="23"/>
                <w:szCs w:val="23"/>
              </w:rPr>
            </w:pPr>
          </w:p>
        </w:tc>
        <w:tc>
          <w:tcPr>
            <w:tcW w:w="1653"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4340" w:type="dxa"/>
            <w:vAlign w:val="bottom"/>
          </w:tcPr>
          <w:p>
            <w:pPr>
              <w:spacing w:after="0"/>
              <w:rPr>
                <w:color w:val="auto"/>
                <w:sz w:val="23"/>
                <w:szCs w:val="23"/>
              </w:rPr>
            </w:pPr>
          </w:p>
        </w:tc>
        <w:tc>
          <w:tcPr>
            <w:tcW w:w="234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vtx1</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VT1</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GTTTGCAGTTGATGTCAGAGGGA</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0.25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CAACGAATGGCGATTTATCTGC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rPr>
                <w:color w:val="auto"/>
                <w:sz w:val="23"/>
                <w:szCs w:val="23"/>
              </w:rPr>
            </w:pPr>
          </w:p>
        </w:tc>
        <w:tc>
          <w:tcPr>
            <w:tcW w:w="1653" w:type="dxa"/>
            <w:shd w:val="clear" w:color="auto" w:fill="F2F2F2"/>
            <w:vAlign w:val="bottom"/>
          </w:tcPr>
          <w:p>
            <w:pPr>
              <w:spacing w:after="0"/>
              <w:rPr>
                <w:color w:val="auto"/>
                <w:sz w:val="23"/>
                <w:szCs w:val="23"/>
              </w:rPr>
            </w:pP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rPr>
                <w:color w:val="auto"/>
                <w:sz w:val="23"/>
                <w:szCs w:val="23"/>
              </w:rPr>
            </w:pPr>
          </w:p>
        </w:tc>
        <w:tc>
          <w:tcPr>
            <w:tcW w:w="2340" w:type="dxa"/>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Eae</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Intimin</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GGYCAGCGTTTTTTCCTTCCTG</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sz w:val="24"/>
                <w:szCs w:val="24"/>
              </w:rPr>
              <w:t>TCGTCACCARAGGAATCGGAG</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vAlign w:val="bottom"/>
          </w:tcPr>
          <w:p>
            <w:pPr>
              <w:spacing w:after="0"/>
              <w:rPr>
                <w:color w:val="auto"/>
                <w:sz w:val="22"/>
                <w:szCs w:val="22"/>
              </w:rPr>
            </w:pPr>
          </w:p>
        </w:tc>
        <w:tc>
          <w:tcPr>
            <w:tcW w:w="1653"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340" w:type="dxa"/>
            <w:vAlign w:val="bottom"/>
          </w:tcPr>
          <w:p>
            <w:pPr>
              <w:spacing w:after="0"/>
              <w:rPr>
                <w:color w:val="auto"/>
                <w:sz w:val="22"/>
                <w:szCs w:val="22"/>
              </w:rPr>
            </w:pPr>
          </w:p>
        </w:tc>
        <w:tc>
          <w:tcPr>
            <w:tcW w:w="234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vtx2</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VT2</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GCCTGTCGCCAGTTATCTGACA</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GGAATGCAAATCAGTCGTCACTC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20" w:type="dxa"/>
            <w:vAlign w:val="bottom"/>
          </w:tcPr>
          <w:p>
            <w:pPr>
              <w:spacing w:after="0" w:line="20" w:lineRule="exact"/>
              <w:rPr>
                <w:color w:val="auto"/>
                <w:sz w:val="1"/>
                <w:szCs w:val="1"/>
              </w:rPr>
            </w:pPr>
          </w:p>
        </w:tc>
        <w:tc>
          <w:tcPr>
            <w:tcW w:w="1988" w:type="dxa"/>
            <w:shd w:val="clear" w:color="auto" w:fill="F2F2F2"/>
            <w:vAlign w:val="bottom"/>
          </w:tcPr>
          <w:p>
            <w:pPr>
              <w:spacing w:after="0" w:line="20" w:lineRule="exact"/>
              <w:rPr>
                <w:color w:val="auto"/>
                <w:sz w:val="1"/>
                <w:szCs w:val="1"/>
              </w:rPr>
            </w:pPr>
          </w:p>
        </w:tc>
        <w:tc>
          <w:tcPr>
            <w:tcW w:w="1653" w:type="dxa"/>
            <w:shd w:val="clear" w:color="auto" w:fill="F2F2F2"/>
            <w:vAlign w:val="bottom"/>
          </w:tcPr>
          <w:p>
            <w:pPr>
              <w:spacing w:after="0" w:line="20" w:lineRule="exact"/>
              <w:rPr>
                <w:color w:val="auto"/>
                <w:sz w:val="1"/>
                <w:szCs w:val="1"/>
              </w:rPr>
            </w:pPr>
          </w:p>
        </w:tc>
        <w:tc>
          <w:tcPr>
            <w:tcW w:w="100" w:type="dxa"/>
            <w:shd w:val="clear" w:color="auto" w:fill="F2F2F2"/>
            <w:vAlign w:val="bottom"/>
          </w:tcPr>
          <w:p>
            <w:pPr>
              <w:spacing w:after="0" w:line="20" w:lineRule="exact"/>
              <w:rPr>
                <w:color w:val="auto"/>
                <w:sz w:val="1"/>
                <w:szCs w:val="1"/>
              </w:rPr>
            </w:pPr>
          </w:p>
        </w:tc>
        <w:tc>
          <w:tcPr>
            <w:tcW w:w="4340" w:type="dxa"/>
            <w:vMerge w:val="continue"/>
            <w:shd w:val="clear" w:color="auto" w:fill="F2F2F2"/>
            <w:vAlign w:val="bottom"/>
          </w:tcPr>
          <w:p>
            <w:pPr>
              <w:spacing w:after="0" w:line="20" w:lineRule="exact"/>
              <w:rPr>
                <w:color w:val="auto"/>
                <w:sz w:val="1"/>
                <w:szCs w:val="1"/>
              </w:rPr>
            </w:pPr>
          </w:p>
        </w:tc>
        <w:tc>
          <w:tcPr>
            <w:tcW w:w="2340" w:type="dxa"/>
            <w:shd w:val="clear" w:color="auto" w:fill="F2F2F2"/>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29" w:hRule="atLeast"/>
        </w:trPr>
        <w:tc>
          <w:tcPr>
            <w:tcW w:w="20" w:type="dxa"/>
            <w:vAlign w:val="bottom"/>
          </w:tcPr>
          <w:p>
            <w:pPr>
              <w:spacing w:after="0"/>
              <w:rPr>
                <w:color w:val="auto"/>
                <w:sz w:val="11"/>
                <w:szCs w:val="11"/>
              </w:rPr>
            </w:pPr>
          </w:p>
        </w:tc>
        <w:tc>
          <w:tcPr>
            <w:tcW w:w="1988" w:type="dxa"/>
            <w:shd w:val="clear" w:color="auto" w:fill="F2F2F2"/>
            <w:vAlign w:val="bottom"/>
          </w:tcPr>
          <w:p>
            <w:pPr>
              <w:spacing w:after="0"/>
              <w:rPr>
                <w:color w:val="auto"/>
                <w:sz w:val="11"/>
                <w:szCs w:val="11"/>
              </w:rPr>
            </w:pPr>
          </w:p>
        </w:tc>
        <w:tc>
          <w:tcPr>
            <w:tcW w:w="1653" w:type="dxa"/>
            <w:shd w:val="clear" w:color="auto" w:fill="F2F2F2"/>
            <w:vAlign w:val="bottom"/>
          </w:tcPr>
          <w:p>
            <w:pPr>
              <w:spacing w:after="0"/>
              <w:rPr>
                <w:color w:val="auto"/>
                <w:sz w:val="11"/>
                <w:szCs w:val="11"/>
              </w:rPr>
            </w:pPr>
          </w:p>
        </w:tc>
        <w:tc>
          <w:tcPr>
            <w:tcW w:w="100" w:type="dxa"/>
            <w:shd w:val="clear" w:color="auto" w:fill="F2F2F2"/>
            <w:vAlign w:val="bottom"/>
          </w:tcPr>
          <w:p>
            <w:pPr>
              <w:spacing w:after="0"/>
              <w:rPr>
                <w:color w:val="auto"/>
                <w:sz w:val="11"/>
                <w:szCs w:val="11"/>
              </w:rPr>
            </w:pPr>
          </w:p>
        </w:tc>
        <w:tc>
          <w:tcPr>
            <w:tcW w:w="4340" w:type="dxa"/>
            <w:vMerge w:val="continue"/>
            <w:shd w:val="clear" w:color="auto" w:fill="F2F2F2"/>
            <w:vAlign w:val="bottom"/>
          </w:tcPr>
          <w:p>
            <w:pPr>
              <w:spacing w:after="0"/>
              <w:rPr>
                <w:color w:val="auto"/>
                <w:sz w:val="11"/>
                <w:szCs w:val="11"/>
              </w:rPr>
            </w:pPr>
          </w:p>
        </w:tc>
        <w:tc>
          <w:tcPr>
            <w:tcW w:w="2340" w:type="dxa"/>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shd w:val="clear" w:color="auto" w:fill="F2F2F2"/>
            <w:vAlign w:val="bottom"/>
          </w:tcPr>
          <w:p>
            <w:pPr>
              <w:spacing w:after="0"/>
              <w:rPr>
                <w:color w:val="auto"/>
                <w:sz w:val="22"/>
                <w:szCs w:val="22"/>
              </w:rPr>
            </w:pP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EltA</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LTI</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AAACCGGCTTTGTCAGATATGATGA</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0.45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0"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sz w:val="24"/>
                <w:szCs w:val="24"/>
              </w:rPr>
              <w:t>TGTGCTCAGATTCTGGGTCTCCT</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vAlign w:val="bottom"/>
          </w:tcPr>
          <w:p>
            <w:pPr>
              <w:spacing w:after="0"/>
              <w:rPr>
                <w:color w:val="auto"/>
                <w:sz w:val="22"/>
                <w:szCs w:val="22"/>
              </w:rPr>
            </w:pPr>
          </w:p>
        </w:tc>
        <w:tc>
          <w:tcPr>
            <w:tcW w:w="1653"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340" w:type="dxa"/>
            <w:vAlign w:val="bottom"/>
          </w:tcPr>
          <w:p>
            <w:pPr>
              <w:spacing w:after="0"/>
              <w:rPr>
                <w:color w:val="auto"/>
                <w:sz w:val="22"/>
                <w:szCs w:val="22"/>
              </w:rPr>
            </w:pPr>
          </w:p>
        </w:tc>
        <w:tc>
          <w:tcPr>
            <w:tcW w:w="234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IpaH</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IPaH</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TTGACCGCCTTTCCGATACC</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ATCCGCATCACCGCTCAGAC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20" w:type="dxa"/>
            <w:tcBorders>
              <w:bottom w:val="single" w:color="auto" w:sz="8" w:space="0"/>
            </w:tcBorders>
            <w:vAlign w:val="bottom"/>
          </w:tcPr>
          <w:p>
            <w:pPr>
              <w:spacing w:after="0"/>
              <w:rPr>
                <w:color w:val="auto"/>
                <w:sz w:val="23"/>
                <w:szCs w:val="23"/>
              </w:rPr>
            </w:pPr>
          </w:p>
        </w:tc>
        <w:tc>
          <w:tcPr>
            <w:tcW w:w="1988" w:type="dxa"/>
            <w:tcBorders>
              <w:bottom w:val="single" w:color="auto" w:sz="8" w:space="0"/>
            </w:tcBorders>
            <w:shd w:val="clear" w:color="auto" w:fill="F2F2F2"/>
            <w:vAlign w:val="bottom"/>
          </w:tcPr>
          <w:p>
            <w:pPr>
              <w:spacing w:after="0"/>
              <w:rPr>
                <w:color w:val="auto"/>
                <w:sz w:val="23"/>
                <w:szCs w:val="23"/>
              </w:rPr>
            </w:pPr>
          </w:p>
        </w:tc>
        <w:tc>
          <w:tcPr>
            <w:tcW w:w="1653" w:type="dxa"/>
            <w:tcBorders>
              <w:bottom w:val="single" w:color="auto" w:sz="8" w:space="0"/>
            </w:tcBorders>
            <w:shd w:val="clear" w:color="auto" w:fill="F2F2F2"/>
            <w:vAlign w:val="bottom"/>
          </w:tcPr>
          <w:p>
            <w:pPr>
              <w:spacing w:after="0"/>
              <w:rPr>
                <w:color w:val="auto"/>
                <w:sz w:val="23"/>
                <w:szCs w:val="23"/>
              </w:rPr>
            </w:pPr>
          </w:p>
        </w:tc>
        <w:tc>
          <w:tcPr>
            <w:tcW w:w="100" w:type="dxa"/>
            <w:tcBorders>
              <w:bottom w:val="single" w:color="auto" w:sz="8" w:space="0"/>
            </w:tcBorders>
            <w:shd w:val="clear" w:color="auto" w:fill="F2F2F2"/>
            <w:vAlign w:val="bottom"/>
          </w:tcPr>
          <w:p>
            <w:pPr>
              <w:spacing w:after="0"/>
              <w:rPr>
                <w:color w:val="auto"/>
                <w:sz w:val="23"/>
                <w:szCs w:val="23"/>
              </w:rPr>
            </w:pPr>
          </w:p>
        </w:tc>
        <w:tc>
          <w:tcPr>
            <w:tcW w:w="4340" w:type="dxa"/>
            <w:tcBorders>
              <w:bottom w:val="single" w:color="auto" w:sz="8" w:space="0"/>
            </w:tcBorders>
            <w:shd w:val="clear" w:color="auto" w:fill="F2F2F2"/>
            <w:vAlign w:val="bottom"/>
          </w:tcPr>
          <w:p>
            <w:pPr>
              <w:spacing w:after="0"/>
              <w:rPr>
                <w:color w:val="auto"/>
                <w:sz w:val="23"/>
                <w:szCs w:val="23"/>
              </w:rPr>
            </w:pPr>
          </w:p>
        </w:tc>
        <w:tc>
          <w:tcPr>
            <w:tcW w:w="2340" w:type="dxa"/>
            <w:tcBorders>
              <w:bottom w:val="single" w:color="auto" w:sz="8" w:space="0"/>
            </w:tcBorders>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ind w:left="4700"/>
        <w:rPr>
          <w:color w:val="auto"/>
          <w:sz w:val="20"/>
          <w:szCs w:val="20"/>
        </w:rPr>
      </w:pPr>
      <w:r>
        <w:rPr>
          <w:rFonts w:ascii="Calibri" w:hAnsi="Calibri" w:eastAsia="Calibri" w:cs="Calibri"/>
          <w:color w:val="auto"/>
          <w:sz w:val="20"/>
          <w:szCs w:val="20"/>
        </w:rPr>
        <w:t>40</w:t>
      </w:r>
    </w:p>
    <w:p>
      <w:pPr>
        <w:sectPr>
          <w:pgSz w:w="12240" w:h="15840"/>
          <w:pgMar w:top="1440" w:right="500" w:bottom="403" w:left="1320" w:header="0" w:footer="0" w:gutter="0"/>
          <w:cols w:equalWidth="0" w:num="1">
            <w:col w:w="10420"/>
          </w:cols>
        </w:sectPr>
      </w:pPr>
    </w:p>
    <w:p>
      <w:pPr>
        <w:spacing w:after="0"/>
        <w:ind w:left="100"/>
        <w:rPr>
          <w:color w:val="auto"/>
          <w:sz w:val="20"/>
          <w:szCs w:val="20"/>
        </w:rPr>
      </w:pPr>
      <w:bookmarkStart w:id="46" w:name="page52"/>
      <w:bookmarkEnd w:id="46"/>
      <w:r>
        <w:rPr>
          <w:rFonts w:ascii="Times New Roman" w:hAnsi="Times New Roman" w:eastAsia="Times New Roman" w:cs="Times New Roman"/>
          <w:b/>
          <w:bCs/>
          <w:color w:val="auto"/>
          <w:sz w:val="24"/>
          <w:szCs w:val="24"/>
        </w:rPr>
        <w:t xml:space="preserve">Table 3.4: Protocol for Thermal cycler for amplification of Diarrheagenic </w:t>
      </w:r>
      <w:r>
        <w:rPr>
          <w:rFonts w:ascii="Times New Roman" w:hAnsi="Times New Roman" w:eastAsia="Times New Roman" w:cs="Times New Roman"/>
          <w:b/>
          <w:bCs/>
          <w:i/>
          <w:iCs/>
          <w:color w:val="auto"/>
          <w:sz w:val="24"/>
          <w:szCs w:val="24"/>
        </w:rPr>
        <w:t>E.coli</w:t>
      </w:r>
    </w:p>
    <w:p>
      <w:pPr>
        <w:spacing w:after="0" w:line="182"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620"/>
        <w:gridCol w:w="2640"/>
        <w:gridCol w:w="1920"/>
        <w:gridCol w:w="2480"/>
      </w:tblGrid>
      <w:tr>
        <w:tblPrEx>
          <w:tblCellMar>
            <w:top w:w="0" w:type="dxa"/>
            <w:left w:w="0" w:type="dxa"/>
            <w:bottom w:w="0" w:type="dxa"/>
            <w:right w:w="0" w:type="dxa"/>
          </w:tblCellMar>
        </w:tblPrEx>
        <w:trPr>
          <w:trHeight w:val="283" w:hRule="atLeast"/>
        </w:trPr>
        <w:tc>
          <w:tcPr>
            <w:tcW w:w="16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Analysis</w:t>
            </w:r>
          </w:p>
        </w:tc>
        <w:tc>
          <w:tcPr>
            <w:tcW w:w="2640" w:type="dxa"/>
            <w:tcBorders>
              <w:top w:val="single" w:color="auto" w:sz="8" w:space="0"/>
            </w:tcBorders>
            <w:vAlign w:val="bottom"/>
          </w:tcPr>
          <w:p>
            <w:pPr>
              <w:spacing w:after="0"/>
              <w:ind w:left="660"/>
              <w:rPr>
                <w:color w:val="auto"/>
                <w:sz w:val="20"/>
                <w:szCs w:val="20"/>
              </w:rPr>
            </w:pPr>
            <w:r>
              <w:rPr>
                <w:rFonts w:ascii="Times New Roman" w:hAnsi="Times New Roman" w:eastAsia="Times New Roman" w:cs="Times New Roman"/>
                <w:b/>
                <w:bCs/>
                <w:color w:val="auto"/>
                <w:sz w:val="24"/>
                <w:szCs w:val="24"/>
              </w:rPr>
              <w:t>Step</w:t>
            </w:r>
          </w:p>
        </w:tc>
        <w:tc>
          <w:tcPr>
            <w:tcW w:w="192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auto"/>
                <w:sz w:val="24"/>
                <w:szCs w:val="24"/>
              </w:rPr>
              <w:t>Temperature</w:t>
            </w:r>
          </w:p>
        </w:tc>
        <w:tc>
          <w:tcPr>
            <w:tcW w:w="2480" w:type="dxa"/>
            <w:tcBorders>
              <w:top w:val="single" w:color="auto" w:sz="8" w:space="0"/>
            </w:tcBorders>
            <w:vAlign w:val="bottom"/>
          </w:tcPr>
          <w:p>
            <w:pPr>
              <w:spacing w:after="0"/>
              <w:ind w:left="400"/>
              <w:rPr>
                <w:color w:val="auto"/>
                <w:sz w:val="20"/>
                <w:szCs w:val="20"/>
              </w:rPr>
            </w:pPr>
            <w:r>
              <w:rPr>
                <w:rFonts w:ascii="Times New Roman" w:hAnsi="Times New Roman" w:eastAsia="Times New Roman" w:cs="Times New Roman"/>
                <w:b/>
                <w:bCs/>
                <w:color w:val="auto"/>
                <w:sz w:val="24"/>
                <w:szCs w:val="24"/>
              </w:rPr>
              <w:t>Time</w:t>
            </w:r>
          </w:p>
        </w:tc>
      </w:tr>
      <w:tr>
        <w:tblPrEx>
          <w:tblCellMar>
            <w:top w:w="0" w:type="dxa"/>
            <w:left w:w="0" w:type="dxa"/>
            <w:bottom w:w="0" w:type="dxa"/>
            <w:right w:w="0" w:type="dxa"/>
          </w:tblCellMar>
        </w:tblPrEx>
        <w:trPr>
          <w:trHeight w:val="530"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Initial denaturation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95℃</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15 min</w:t>
            </w:r>
          </w:p>
        </w:tc>
      </w:tr>
      <w:tr>
        <w:tblPrEx>
          <w:tblCellMar>
            <w:top w:w="0" w:type="dxa"/>
            <w:left w:w="0" w:type="dxa"/>
            <w:bottom w:w="0" w:type="dxa"/>
            <w:right w:w="0" w:type="dxa"/>
          </w:tblCellMar>
        </w:tblPrEx>
        <w:trPr>
          <w:trHeight w:val="533"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35x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Denaturation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94℃</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6 min</w:t>
            </w:r>
          </w:p>
        </w:tc>
      </w:tr>
      <w:tr>
        <w:tblPrEx>
          <w:tblCellMar>
            <w:top w:w="0" w:type="dxa"/>
            <w:left w:w="0" w:type="dxa"/>
            <w:bottom w:w="0" w:type="dxa"/>
            <w:right w:w="0" w:type="dxa"/>
          </w:tblCellMar>
        </w:tblPrEx>
        <w:trPr>
          <w:trHeight w:val="535"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Annealing</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57℃</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40 sec</w:t>
            </w:r>
          </w:p>
        </w:tc>
      </w:tr>
      <w:tr>
        <w:tblPrEx>
          <w:tblCellMar>
            <w:top w:w="0" w:type="dxa"/>
            <w:left w:w="0" w:type="dxa"/>
            <w:bottom w:w="0" w:type="dxa"/>
            <w:right w:w="0" w:type="dxa"/>
          </w:tblCellMar>
        </w:tblPrEx>
        <w:trPr>
          <w:trHeight w:val="533"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Polymerization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72℃</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50 sec</w:t>
            </w:r>
          </w:p>
        </w:tc>
      </w:tr>
      <w:tr>
        <w:tblPrEx>
          <w:tblCellMar>
            <w:top w:w="0" w:type="dxa"/>
            <w:left w:w="0" w:type="dxa"/>
            <w:bottom w:w="0" w:type="dxa"/>
            <w:right w:w="0" w:type="dxa"/>
          </w:tblCellMar>
        </w:tblPrEx>
        <w:trPr>
          <w:trHeight w:val="535"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Final</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72℃</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3 min</w:t>
            </w:r>
          </w:p>
        </w:tc>
      </w:tr>
      <w:tr>
        <w:tblPrEx>
          <w:tblCellMar>
            <w:top w:w="0" w:type="dxa"/>
            <w:left w:w="0" w:type="dxa"/>
            <w:bottom w:w="0" w:type="dxa"/>
            <w:right w:w="0" w:type="dxa"/>
          </w:tblCellMar>
        </w:tblPrEx>
        <w:trPr>
          <w:trHeight w:val="413"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polymerization</w:t>
            </w:r>
          </w:p>
        </w:tc>
        <w:tc>
          <w:tcPr>
            <w:tcW w:w="1920" w:type="dxa"/>
            <w:vAlign w:val="bottom"/>
          </w:tcPr>
          <w:p>
            <w:pPr>
              <w:spacing w:after="0"/>
              <w:rPr>
                <w:color w:val="auto"/>
                <w:sz w:val="24"/>
                <w:szCs w:val="24"/>
              </w:rPr>
            </w:pPr>
          </w:p>
        </w:tc>
        <w:tc>
          <w:tcPr>
            <w:tcW w:w="2480" w:type="dxa"/>
            <w:vAlign w:val="bottom"/>
          </w:tcPr>
          <w:p>
            <w:pPr>
              <w:spacing w:after="0"/>
              <w:rPr>
                <w:color w:val="auto"/>
                <w:sz w:val="24"/>
                <w:szCs w:val="24"/>
              </w:rPr>
            </w:pPr>
          </w:p>
        </w:tc>
      </w:tr>
      <w:tr>
        <w:tblPrEx>
          <w:tblCellMar>
            <w:top w:w="0" w:type="dxa"/>
            <w:left w:w="0" w:type="dxa"/>
            <w:bottom w:w="0" w:type="dxa"/>
            <w:right w:w="0" w:type="dxa"/>
          </w:tblCellMar>
        </w:tblPrEx>
        <w:trPr>
          <w:trHeight w:val="535"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Hold</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4℃</w:t>
            </w:r>
          </w:p>
        </w:tc>
        <w:tc>
          <w:tcPr>
            <w:tcW w:w="2480" w:type="dxa"/>
            <w:vAlign w:val="bottom"/>
          </w:tcPr>
          <w:p>
            <w:pPr>
              <w:spacing w:after="0" w:line="241" w:lineRule="exact"/>
              <w:ind w:left="400"/>
              <w:rPr>
                <w:color w:val="auto"/>
                <w:sz w:val="20"/>
                <w:szCs w:val="20"/>
              </w:rPr>
            </w:pPr>
            <w:r>
              <w:rPr>
                <w:rFonts w:ascii="MS PGothic" w:hAnsi="MS PGothic" w:eastAsia="MS PGothic" w:cs="MS PGothic"/>
                <w:color w:val="auto"/>
                <w:sz w:val="24"/>
                <w:szCs w:val="24"/>
              </w:rPr>
              <w:t>∞</w:t>
            </w:r>
          </w:p>
        </w:tc>
      </w:tr>
      <w:tr>
        <w:tblPrEx>
          <w:tblCellMar>
            <w:top w:w="0" w:type="dxa"/>
            <w:left w:w="0" w:type="dxa"/>
            <w:bottom w:w="0" w:type="dxa"/>
            <w:right w:w="0" w:type="dxa"/>
          </w:tblCellMar>
        </w:tblPrEx>
        <w:trPr>
          <w:trHeight w:val="267" w:hRule="atLeast"/>
        </w:trPr>
        <w:tc>
          <w:tcPr>
            <w:tcW w:w="1620" w:type="dxa"/>
            <w:tcBorders>
              <w:bottom w:val="single" w:color="auto" w:sz="8" w:space="0"/>
            </w:tcBorders>
            <w:vAlign w:val="bottom"/>
          </w:tcPr>
          <w:p>
            <w:pPr>
              <w:spacing w:after="0"/>
              <w:rPr>
                <w:color w:val="auto"/>
                <w:sz w:val="23"/>
                <w:szCs w:val="23"/>
              </w:rPr>
            </w:pPr>
          </w:p>
        </w:tc>
        <w:tc>
          <w:tcPr>
            <w:tcW w:w="2640" w:type="dxa"/>
            <w:tcBorders>
              <w:bottom w:val="single" w:color="auto" w:sz="8" w:space="0"/>
            </w:tcBorders>
            <w:vAlign w:val="bottom"/>
          </w:tcPr>
          <w:p>
            <w:pPr>
              <w:spacing w:after="0"/>
              <w:rPr>
                <w:color w:val="auto"/>
                <w:sz w:val="23"/>
                <w:szCs w:val="23"/>
              </w:rPr>
            </w:pPr>
          </w:p>
        </w:tc>
        <w:tc>
          <w:tcPr>
            <w:tcW w:w="192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Table 3.5:ESBL Primer sequence (Oduro-Mensah</w:t>
      </w:r>
      <w:r>
        <w:rPr>
          <w:rFonts w:ascii="Times New Roman" w:hAnsi="Times New Roman" w:eastAsia="Times New Roman" w:cs="Times New Roman"/>
          <w:b/>
          <w:bCs/>
          <w:i/>
          <w:iCs/>
          <w:color w:val="auto"/>
          <w:sz w:val="24"/>
          <w:szCs w:val="24"/>
        </w:rPr>
        <w:t>et al., 2016)</w:t>
      </w:r>
    </w:p>
    <w:p>
      <w:pPr>
        <w:spacing w:after="0" w:line="333"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860"/>
        <w:gridCol w:w="3520"/>
        <w:gridCol w:w="2540"/>
        <w:gridCol w:w="2880"/>
      </w:tblGrid>
      <w:tr>
        <w:tblPrEx>
          <w:tblCellMar>
            <w:top w:w="0" w:type="dxa"/>
            <w:left w:w="0" w:type="dxa"/>
            <w:bottom w:w="0" w:type="dxa"/>
            <w:right w:w="0" w:type="dxa"/>
          </w:tblCellMar>
        </w:tblPrEx>
        <w:trPr>
          <w:trHeight w:val="283" w:hRule="atLeast"/>
        </w:trPr>
        <w:tc>
          <w:tcPr>
            <w:tcW w:w="18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w:t>
            </w:r>
          </w:p>
        </w:tc>
        <w:tc>
          <w:tcPr>
            <w:tcW w:w="3520" w:type="dxa"/>
            <w:tcBorders>
              <w:top w:val="single" w:color="auto" w:sz="8" w:space="0"/>
            </w:tcBorders>
            <w:vAlign w:val="bottom"/>
          </w:tcPr>
          <w:p>
            <w:pPr>
              <w:spacing w:after="0"/>
              <w:ind w:left="940"/>
              <w:rPr>
                <w:color w:val="auto"/>
                <w:sz w:val="20"/>
                <w:szCs w:val="20"/>
              </w:rPr>
            </w:pPr>
            <w:r>
              <w:rPr>
                <w:rFonts w:ascii="Times New Roman" w:hAnsi="Times New Roman" w:eastAsia="Times New Roman" w:cs="Times New Roman"/>
                <w:b/>
                <w:bCs/>
                <w:color w:val="auto"/>
                <w:sz w:val="24"/>
                <w:szCs w:val="24"/>
              </w:rPr>
              <w:t>Primer</w:t>
            </w:r>
          </w:p>
        </w:tc>
        <w:tc>
          <w:tcPr>
            <w:tcW w:w="2540" w:type="dxa"/>
            <w:tcBorders>
              <w:top w:val="single" w:color="auto" w:sz="8" w:space="0"/>
            </w:tcBorders>
            <w:vAlign w:val="bottom"/>
          </w:tcPr>
          <w:p>
            <w:pPr>
              <w:spacing w:after="0" w:line="241" w:lineRule="exact"/>
              <w:ind w:left="120"/>
              <w:rPr>
                <w:color w:val="auto"/>
                <w:sz w:val="20"/>
                <w:szCs w:val="20"/>
              </w:rPr>
            </w:pPr>
            <w:r>
              <w:rPr>
                <w:rFonts w:ascii="MS PGothic" w:hAnsi="MS PGothic" w:eastAsia="MS PGothic" w:cs="MS PGothic"/>
                <w:b/>
                <w:bCs/>
                <w:color w:val="auto"/>
                <w:sz w:val="24"/>
                <w:szCs w:val="24"/>
              </w:rPr>
              <w:t>Annealing temp. (℃)</w:t>
            </w:r>
          </w:p>
        </w:tc>
        <w:tc>
          <w:tcPr>
            <w:tcW w:w="288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b/>
                <w:bCs/>
                <w:color w:val="auto"/>
                <w:sz w:val="24"/>
                <w:szCs w:val="24"/>
              </w:rPr>
              <w:t>Expectedproduct    size</w:t>
            </w:r>
          </w:p>
        </w:tc>
      </w:tr>
      <w:tr>
        <w:tblPrEx>
          <w:tblCellMar>
            <w:top w:w="0" w:type="dxa"/>
            <w:left w:w="0" w:type="dxa"/>
            <w:bottom w:w="0" w:type="dxa"/>
            <w:right w:w="0" w:type="dxa"/>
          </w:tblCellMar>
        </w:tblPrEx>
        <w:trPr>
          <w:trHeight w:val="415" w:hRule="atLeast"/>
        </w:trPr>
        <w:tc>
          <w:tcPr>
            <w:tcW w:w="1860" w:type="dxa"/>
            <w:vAlign w:val="bottom"/>
          </w:tcPr>
          <w:p>
            <w:pPr>
              <w:spacing w:after="0"/>
              <w:rPr>
                <w:color w:val="auto"/>
                <w:sz w:val="24"/>
                <w:szCs w:val="24"/>
              </w:rPr>
            </w:pPr>
          </w:p>
        </w:tc>
        <w:tc>
          <w:tcPr>
            <w:tcW w:w="3520" w:type="dxa"/>
            <w:vAlign w:val="bottom"/>
          </w:tcPr>
          <w:p>
            <w:pPr>
              <w:spacing w:after="0"/>
              <w:rPr>
                <w:color w:val="auto"/>
                <w:sz w:val="24"/>
                <w:szCs w:val="24"/>
              </w:rPr>
            </w:pPr>
          </w:p>
        </w:tc>
        <w:tc>
          <w:tcPr>
            <w:tcW w:w="2540" w:type="dxa"/>
            <w:vAlign w:val="bottom"/>
          </w:tcPr>
          <w:p>
            <w:pPr>
              <w:spacing w:after="0"/>
              <w:rPr>
                <w:color w:val="auto"/>
                <w:sz w:val="24"/>
                <w:szCs w:val="24"/>
              </w:rPr>
            </w:pPr>
          </w:p>
        </w:tc>
        <w:tc>
          <w:tcPr>
            <w:tcW w:w="288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(bp)</w:t>
            </w:r>
          </w:p>
        </w:tc>
      </w:tr>
      <w:tr>
        <w:tblPrEx>
          <w:tblCellMar>
            <w:top w:w="0" w:type="dxa"/>
            <w:left w:w="0" w:type="dxa"/>
            <w:bottom w:w="0" w:type="dxa"/>
            <w:right w:w="0" w:type="dxa"/>
          </w:tblCellMar>
        </w:tblPrEx>
        <w:trPr>
          <w:trHeight w:val="260" w:hRule="atLeast"/>
        </w:trPr>
        <w:tc>
          <w:tcPr>
            <w:tcW w:w="1860" w:type="dxa"/>
            <w:tcBorders>
              <w:bottom w:val="single" w:color="auto" w:sz="8" w:space="0"/>
            </w:tcBorders>
            <w:vAlign w:val="bottom"/>
          </w:tcPr>
          <w:p>
            <w:pPr>
              <w:spacing w:after="0"/>
              <w:rPr>
                <w:color w:val="auto"/>
                <w:sz w:val="22"/>
                <w:szCs w:val="22"/>
              </w:rPr>
            </w:pPr>
          </w:p>
        </w:tc>
        <w:tc>
          <w:tcPr>
            <w:tcW w:w="3520" w:type="dxa"/>
            <w:tcBorders>
              <w:bottom w:val="single" w:color="auto" w:sz="8" w:space="0"/>
            </w:tcBorders>
            <w:vAlign w:val="bottom"/>
          </w:tcPr>
          <w:p>
            <w:pPr>
              <w:spacing w:after="0"/>
              <w:rPr>
                <w:color w:val="auto"/>
                <w:sz w:val="22"/>
                <w:szCs w:val="22"/>
              </w:rPr>
            </w:pPr>
          </w:p>
        </w:tc>
        <w:tc>
          <w:tcPr>
            <w:tcW w:w="2540" w:type="dxa"/>
            <w:tcBorders>
              <w:bottom w:val="single" w:color="auto" w:sz="8" w:space="0"/>
            </w:tcBorders>
            <w:vAlign w:val="bottom"/>
          </w:tcPr>
          <w:p>
            <w:pPr>
              <w:spacing w:after="0"/>
              <w:rPr>
                <w:color w:val="auto"/>
                <w:sz w:val="22"/>
                <w:szCs w:val="22"/>
              </w:rPr>
            </w:pPr>
          </w:p>
        </w:tc>
        <w:tc>
          <w:tcPr>
            <w:tcW w:w="288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1" w:hRule="atLeast"/>
        </w:trPr>
        <w:tc>
          <w:tcPr>
            <w:tcW w:w="1860" w:type="dxa"/>
            <w:vAlign w:val="bottom"/>
          </w:tcPr>
          <w:p>
            <w:pPr>
              <w:spacing w:after="0" w:line="262" w:lineRule="exact"/>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TEM</w:t>
            </w:r>
          </w:p>
        </w:tc>
        <w:tc>
          <w:tcPr>
            <w:tcW w:w="3520" w:type="dxa"/>
            <w:vAlign w:val="bottom"/>
          </w:tcPr>
          <w:p>
            <w:pPr>
              <w:spacing w:after="0" w:line="262"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-AAA  CGC  TGG</w:t>
            </w:r>
          </w:p>
        </w:tc>
        <w:tc>
          <w:tcPr>
            <w:tcW w:w="2540" w:type="dxa"/>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45</w:t>
            </w:r>
          </w:p>
        </w:tc>
        <w:tc>
          <w:tcPr>
            <w:tcW w:w="2880" w:type="dxa"/>
            <w:vAlign w:val="bottom"/>
          </w:tcPr>
          <w:p>
            <w:pPr>
              <w:spacing w:after="0" w:line="262" w:lineRule="exact"/>
              <w:ind w:left="260"/>
              <w:rPr>
                <w:color w:val="auto"/>
                <w:sz w:val="20"/>
                <w:szCs w:val="20"/>
              </w:rPr>
            </w:pPr>
            <w:r>
              <w:rPr>
                <w:rFonts w:ascii="Times New Roman" w:hAnsi="Times New Roman" w:eastAsia="Times New Roman" w:cs="Times New Roman"/>
                <w:color w:val="auto"/>
                <w:sz w:val="24"/>
                <w:szCs w:val="24"/>
              </w:rPr>
              <w:t>720</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TGA AAG TA-</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3"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r:  5′</w:t>
            </w:r>
            <w:r>
              <w:rPr>
                <w:rFonts w:ascii="Times New Roman" w:hAnsi="Times New Roman" w:eastAsia="Times New Roman" w:cs="Times New Roman"/>
                <w:color w:val="auto"/>
                <w:sz w:val="24"/>
                <w:szCs w:val="24"/>
              </w:rPr>
              <w:t>-AGC  GAT  CTG</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TCT AT-</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6" w:hRule="atLeast"/>
        </w:trPr>
        <w:tc>
          <w:tcPr>
            <w:tcW w:w="1860" w:type="dxa"/>
            <w:vAlign w:val="bottom"/>
          </w:tcPr>
          <w:p>
            <w:pPr>
              <w:spacing w:after="0"/>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SHV</w:t>
            </w: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-ATG  CGT  TAT</w:t>
            </w:r>
          </w:p>
        </w:tc>
        <w:tc>
          <w:tcPr>
            <w:tcW w:w="2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60</w:t>
            </w:r>
          </w:p>
        </w:tc>
        <w:tc>
          <w:tcPr>
            <w:tcW w:w="2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726</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ATT CGC CTG TG-</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3" w:hRule="atLeast"/>
        </w:trPr>
        <w:tc>
          <w:tcPr>
            <w:tcW w:w="1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ESBL</w:t>
            </w: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r:   5′</w:t>
            </w:r>
            <w:r>
              <w:rPr>
                <w:rFonts w:ascii="Times New Roman" w:hAnsi="Times New Roman" w:eastAsia="Times New Roman" w:cs="Times New Roman"/>
                <w:color w:val="auto"/>
                <w:sz w:val="24"/>
                <w:szCs w:val="24"/>
              </w:rPr>
              <w:t>-TGC   TTT   GTT</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416"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ATT CGG GCC AA-</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6" w:hRule="atLeast"/>
        </w:trPr>
        <w:tc>
          <w:tcPr>
            <w:tcW w:w="1860" w:type="dxa"/>
            <w:vAlign w:val="bottom"/>
          </w:tcPr>
          <w:p>
            <w:pPr>
              <w:spacing w:after="0"/>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CTX-M</w:t>
            </w:r>
          </w:p>
        </w:tc>
        <w:tc>
          <w:tcPr>
            <w:tcW w:w="6060" w:type="dxa"/>
            <w:gridSpan w:val="2"/>
            <w:vAlign w:val="bottom"/>
          </w:tcPr>
          <w:p>
            <w:pPr>
              <w:spacing w:after="0" w:line="276"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-GAC  GAT  GTC   55</w:t>
            </w:r>
          </w:p>
        </w:tc>
        <w:tc>
          <w:tcPr>
            <w:tcW w:w="2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499</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ACT GGC TGA GC-</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bl>
    <w:p>
      <w:pPr>
        <w:spacing w:after="0" w:line="257" w:lineRule="exact"/>
        <w:rPr>
          <w:color w:val="auto"/>
          <w:sz w:val="20"/>
          <w:szCs w:val="20"/>
        </w:rPr>
      </w:pPr>
    </w:p>
    <w:p>
      <w:pPr>
        <w:tabs>
          <w:tab w:val="left" w:pos="3120"/>
          <w:tab w:val="left" w:pos="4060"/>
          <w:tab w:val="left" w:pos="4740"/>
        </w:tabs>
        <w:spacing w:after="0" w:line="276" w:lineRule="exact"/>
        <w:ind w:left="2800"/>
        <w:rPr>
          <w:color w:val="auto"/>
          <w:sz w:val="20"/>
          <w:szCs w:val="20"/>
        </w:rPr>
      </w:pPr>
      <w:r>
        <w:rPr>
          <w:rFonts w:ascii="MS PGothic" w:hAnsi="MS PGothic" w:eastAsia="MS PGothic" w:cs="MS PGothic"/>
          <w:color w:val="auto"/>
          <w:sz w:val="24"/>
          <w:szCs w:val="24"/>
        </w:rPr>
        <w:t>r:</w:t>
      </w:r>
      <w:r>
        <w:rPr>
          <w:rFonts w:ascii="MS PGothic" w:hAnsi="MS PGothic" w:eastAsia="MS PGothic" w:cs="MS PGothic"/>
          <w:color w:val="auto"/>
          <w:sz w:val="24"/>
          <w:szCs w:val="24"/>
        </w:rPr>
        <w:tab/>
      </w:r>
      <w:r>
        <w:rPr>
          <w:rFonts w:ascii="MS PGothic" w:hAnsi="MS PGothic" w:eastAsia="MS PGothic" w:cs="MS PGothic"/>
          <w:color w:val="auto"/>
          <w:sz w:val="24"/>
          <w:szCs w:val="24"/>
        </w:rPr>
        <w:t>5′</w:t>
      </w:r>
      <w:r>
        <w:rPr>
          <w:rFonts w:ascii="Times New Roman" w:hAnsi="Times New Roman" w:eastAsia="Times New Roman" w:cs="Times New Roman"/>
          <w:color w:val="auto"/>
          <w:sz w:val="24"/>
          <w:szCs w:val="24"/>
        </w:rPr>
        <w:t>-AGC</w:t>
      </w:r>
      <w:r>
        <w:rPr>
          <w:color w:val="auto"/>
          <w:sz w:val="20"/>
          <w:szCs w:val="20"/>
        </w:rPr>
        <w:tab/>
      </w:r>
      <w:r>
        <w:rPr>
          <w:rFonts w:ascii="Times New Roman" w:hAnsi="Times New Roman" w:eastAsia="Times New Roman" w:cs="Times New Roman"/>
          <w:color w:val="auto"/>
          <w:sz w:val="24"/>
          <w:szCs w:val="24"/>
        </w:rPr>
        <w:t>CGC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CGA</w:t>
      </w:r>
    </w:p>
    <w:p>
      <w:pPr>
        <w:spacing w:after="0" w:line="139" w:lineRule="exact"/>
        <w:rPr>
          <w:color w:val="auto"/>
          <w:sz w:val="20"/>
          <w:szCs w:val="20"/>
        </w:rPr>
      </w:pPr>
    </w:p>
    <w:p>
      <w:pPr>
        <w:spacing w:after="0" w:line="276" w:lineRule="exact"/>
        <w:ind w:left="2800"/>
        <w:rPr>
          <w:color w:val="auto"/>
          <w:sz w:val="20"/>
          <w:szCs w:val="20"/>
        </w:rPr>
      </w:pPr>
      <w:r>
        <w:rPr>
          <w:rFonts w:ascii="Times New Roman" w:hAnsi="Times New Roman" w:eastAsia="Times New Roman" w:cs="Times New Roman"/>
          <w:color w:val="auto"/>
          <w:sz w:val="24"/>
          <w:szCs w:val="24"/>
        </w:rPr>
        <w:t>CGC TAA TAC A-</w:t>
      </w:r>
      <w:r>
        <w:rPr>
          <w:rFonts w:ascii="MS PGothic" w:hAnsi="MS PGothic" w:eastAsia="MS PGothic" w:cs="MS PGothic"/>
          <w:color w:val="auto"/>
          <w:sz w:val="24"/>
          <w:szCs w:val="24"/>
        </w:rPr>
        <w:t>3′</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-13335</wp:posOffset>
                </wp:positionH>
                <wp:positionV relativeFrom="paragraph">
                  <wp:posOffset>170815</wp:posOffset>
                </wp:positionV>
                <wp:extent cx="6855460" cy="0"/>
                <wp:effectExtent l="0" t="0" r="0" b="0"/>
                <wp:wrapNone/>
                <wp:docPr id="10" name="Shape 10"/>
                <wp:cNvGraphicFramePr/>
                <a:graphic xmlns:a="http://schemas.openxmlformats.org/drawingml/2006/main">
                  <a:graphicData uri="http://schemas.microsoft.com/office/word/2010/wordprocessingShape">
                    <wps:wsp>
                      <wps:cNvCnPr/>
                      <wps:spPr>
                        <a:xfrm>
                          <a:off x="0" y="0"/>
                          <a:ext cx="6855460" cy="4763"/>
                        </a:xfrm>
                        <a:prstGeom prst="line">
                          <a:avLst/>
                        </a:prstGeom>
                        <a:solidFill>
                          <a:srgbClr val="FFFFFF"/>
                        </a:solidFill>
                        <a:ln w="6095">
                          <a:solidFill>
                            <a:srgbClr val="000000"/>
                          </a:solidFill>
                          <a:miter lim="800000"/>
                        </a:ln>
                      </wps:spPr>
                      <wps:bodyPr/>
                    </wps:wsp>
                  </a:graphicData>
                </a:graphic>
              </wp:anchor>
            </w:drawing>
          </mc:Choice>
          <mc:Fallback>
            <w:pict>
              <v:line id="Shape 10" o:spid="_x0000_s1026" o:spt="20" style="position:absolute;left:0pt;margin-left:-1.05pt;margin-top:13.45pt;height:0pt;width:539.8pt;z-index:-251657216;mso-width-relative:page;mso-height-relative:page;" fillcolor="#FFFFFF" filled="t" stroked="t" coordsize="21600,21600" o:allowincell="f" o:gfxdata="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tO93W&#10;AAAACQEAAA8AAAAAAAAAAQAgAAAAIgAAAGRycy9kb3ducmV2LnhtbFBLAQIUABQAAAAIAIdO4kCs&#10;y9xpsAEAAJsDAAAOAAAAAAAAAAEAIAAAACUBAABkcnMvZTJvRG9jLnhtbFBLBQYAAAAABgAGAFkB&#10;AABH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left="4680"/>
        <w:rPr>
          <w:color w:val="auto"/>
          <w:sz w:val="20"/>
          <w:szCs w:val="20"/>
        </w:rPr>
      </w:pPr>
      <w:r>
        <w:rPr>
          <w:rFonts w:ascii="Calibri" w:hAnsi="Calibri" w:eastAsia="Calibri" w:cs="Calibri"/>
          <w:color w:val="auto"/>
          <w:sz w:val="20"/>
          <w:szCs w:val="20"/>
        </w:rPr>
        <w:t>41</w:t>
      </w:r>
    </w:p>
    <w:p>
      <w:pPr>
        <w:sectPr>
          <w:pgSz w:w="12240" w:h="15840"/>
          <w:pgMar w:top="1437" w:right="120" w:bottom="403" w:left="1340" w:header="0" w:footer="0" w:gutter="0"/>
          <w:cols w:equalWidth="0" w:num="1">
            <w:col w:w="10780"/>
          </w:cols>
        </w:sectPr>
      </w:pPr>
    </w:p>
    <w:p>
      <w:pPr>
        <w:spacing w:after="0"/>
        <w:jc w:val="center"/>
        <w:rPr>
          <w:color w:val="auto"/>
          <w:sz w:val="20"/>
          <w:szCs w:val="20"/>
        </w:rPr>
      </w:pPr>
      <w:bookmarkStart w:id="47" w:name="page53"/>
      <w:bookmarkEnd w:id="47"/>
      <w:r>
        <w:rPr>
          <w:rFonts w:ascii="Times New Roman" w:hAnsi="Times New Roman" w:eastAsia="Times New Roman" w:cs="Times New Roman"/>
          <w:b/>
          <w:bCs/>
          <w:color w:val="auto"/>
          <w:sz w:val="24"/>
          <w:szCs w:val="24"/>
        </w:rPr>
        <w:t>CHAPTER FOUR</w:t>
      </w:r>
    </w:p>
    <w:p>
      <w:pPr>
        <w:spacing w:after="0" w:line="200" w:lineRule="exact"/>
        <w:rPr>
          <w:color w:val="auto"/>
          <w:sz w:val="20"/>
          <w:szCs w:val="20"/>
        </w:rPr>
      </w:pPr>
    </w:p>
    <w:p>
      <w:pPr>
        <w:spacing w:after="0" w:line="307" w:lineRule="exact"/>
        <w:rPr>
          <w:color w:val="auto"/>
          <w:sz w:val="20"/>
          <w:szCs w:val="20"/>
        </w:rPr>
      </w:pPr>
    </w:p>
    <w:p>
      <w:pPr>
        <w:tabs>
          <w:tab w:val="left" w:pos="420"/>
        </w:tabs>
        <w:spacing w:after="0"/>
        <w:rPr>
          <w:color w:val="auto"/>
          <w:sz w:val="20"/>
          <w:szCs w:val="20"/>
        </w:rPr>
      </w:pPr>
      <w:r>
        <w:rPr>
          <w:rFonts w:ascii="Times New Roman" w:hAnsi="Times New Roman" w:eastAsia="Times New Roman" w:cs="Times New Roman"/>
          <w:b/>
          <w:bCs/>
          <w:color w:val="auto"/>
          <w:sz w:val="24"/>
          <w:szCs w:val="24"/>
        </w:rPr>
        <w:t>4</w:t>
      </w:r>
      <w:r>
        <w:rPr>
          <w:color w:val="auto"/>
          <w:sz w:val="20"/>
          <w:szCs w:val="20"/>
        </w:rPr>
        <w:tab/>
      </w:r>
      <w:r>
        <w:rPr>
          <w:rFonts w:ascii="Times New Roman" w:hAnsi="Times New Roman" w:eastAsia="Times New Roman" w:cs="Times New Roman"/>
          <w:b/>
          <w:bCs/>
          <w:color w:val="auto"/>
          <w:sz w:val="24"/>
          <w:szCs w:val="24"/>
        </w:rPr>
        <w:t>Results</w:t>
      </w:r>
    </w:p>
    <w:p>
      <w:pPr>
        <w:spacing w:after="0" w:line="200" w:lineRule="exact"/>
        <w:rPr>
          <w:color w:val="auto"/>
          <w:sz w:val="20"/>
          <w:szCs w:val="20"/>
        </w:rPr>
      </w:pPr>
    </w:p>
    <w:p>
      <w:pPr>
        <w:spacing w:after="0" w:line="225" w:lineRule="exact"/>
        <w:rPr>
          <w:color w:val="auto"/>
          <w:sz w:val="20"/>
          <w:szCs w:val="20"/>
        </w:rPr>
      </w:pPr>
    </w:p>
    <w:p>
      <w:pPr>
        <w:spacing w:after="0" w:line="356" w:lineRule="auto"/>
        <w:ind w:right="320"/>
        <w:rPr>
          <w:color w:val="auto"/>
          <w:sz w:val="20"/>
          <w:szCs w:val="20"/>
        </w:rPr>
      </w:pPr>
      <w:r>
        <w:rPr>
          <w:rFonts w:ascii="Times New Roman" w:hAnsi="Times New Roman" w:eastAsia="Times New Roman" w:cs="Times New Roman"/>
          <w:color w:val="auto"/>
          <w:sz w:val="24"/>
          <w:szCs w:val="24"/>
        </w:rPr>
        <w:t xml:space="preserve">The microbial analysis of the Ready to eat game meat and fresh produce samples gotten from Oyo, Ondo, Osun, Lagos and Ogun state were reported. All samples had pink (non-O157) and white (O157) raised, circular and smooth colonies on SMAC and MAC which indicates the presence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the samples.</w:t>
      </w:r>
    </w:p>
    <w:p>
      <w:pPr>
        <w:spacing w:after="0" w:line="139"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results of the findings were summarized in the table below in Table 4.1 showing the Total Viable Count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on Sorbitol MacConkey agar, MacConkey agar and Nutrient agar. While Table 4.2 shows the Antimicrobial susceptibility patterns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w:t>
      </w:r>
    </w:p>
    <w:p>
      <w:pPr>
        <w:spacing w:after="0" w:line="21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3"/>
          <w:szCs w:val="23"/>
        </w:rPr>
        <w:t>Total Viable Counts</w:t>
      </w:r>
    </w:p>
    <w:p>
      <w:pPr>
        <w:spacing w:after="0" w:line="200" w:lineRule="exact"/>
        <w:rPr>
          <w:color w:val="auto"/>
          <w:sz w:val="20"/>
          <w:szCs w:val="20"/>
        </w:rPr>
      </w:pPr>
    </w:p>
    <w:p>
      <w:pPr>
        <w:spacing w:after="0" w:line="223"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auto"/>
          <w:sz w:val="24"/>
          <w:szCs w:val="24"/>
        </w:rPr>
        <w:t>In lagos state, Monkey had the highest viable count which was 9.5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and Quail had the lowest viable count of 4.1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Ogun State, Antelope had the highest total viable count of 8.6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and Guinea fowl had the lowest of 4.8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Ondo State, Antelope has the highest total viable count of 8.8 and Guinea fowl has the lowest tvc of 4.4log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Osun State, Antelope has highest tvc of 8.6log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then Hare has the lowest tvc of 4.8. In oyo state, Esii Tuku has the highest tvc of 7.1 and Eta has the lowest of 4.3. It is shown in table 4.1 below.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42</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48" w:name="page54"/>
      <w:bookmarkEnd w:id="48"/>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080"/>
        <w:gridCol w:w="2500"/>
        <w:gridCol w:w="20"/>
        <w:gridCol w:w="2340"/>
        <w:gridCol w:w="2940"/>
      </w:tblGrid>
      <w:tr>
        <w:trPr>
          <w:trHeight w:val="276" w:hRule="atLeast"/>
        </w:trPr>
        <w:tc>
          <w:tcPr>
            <w:tcW w:w="20" w:type="dxa"/>
            <w:vAlign w:val="bottom"/>
          </w:tcPr>
          <w:p>
            <w:pPr>
              <w:spacing w:after="0"/>
              <w:rPr>
                <w:color w:val="auto"/>
                <w:sz w:val="23"/>
                <w:szCs w:val="23"/>
              </w:rPr>
            </w:pPr>
          </w:p>
        </w:tc>
        <w:tc>
          <w:tcPr>
            <w:tcW w:w="6940" w:type="dxa"/>
            <w:gridSpan w:val="4"/>
            <w:vAlign w:val="bottom"/>
          </w:tcPr>
          <w:p>
            <w:pPr>
              <w:spacing w:after="0"/>
              <w:ind w:right="1380"/>
              <w:jc w:val="right"/>
              <w:rPr>
                <w:color w:val="auto"/>
                <w:sz w:val="20"/>
                <w:szCs w:val="20"/>
              </w:rPr>
            </w:pPr>
            <w:r>
              <w:rPr>
                <w:rFonts w:ascii="Times New Roman" w:hAnsi="Times New Roman" w:eastAsia="Times New Roman" w:cs="Times New Roman"/>
                <w:b/>
                <w:bCs/>
                <w:color w:val="auto"/>
                <w:sz w:val="24"/>
                <w:szCs w:val="24"/>
              </w:rPr>
              <w:t>Table 4.1:</w:t>
            </w:r>
            <w:r>
              <w:rPr>
                <w:rFonts w:ascii="Times New Roman" w:hAnsi="Times New Roman" w:eastAsia="Times New Roman" w:cs="Times New Roman"/>
                <w:color w:val="auto"/>
                <w:sz w:val="24"/>
                <w:szCs w:val="24"/>
              </w:rPr>
              <w:t xml:space="preserve"> Total Viable Counts for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gamemeat</w:t>
            </w:r>
          </w:p>
        </w:tc>
        <w:tc>
          <w:tcPr>
            <w:tcW w:w="2940" w:type="dxa"/>
            <w:vAlign w:val="bottom"/>
          </w:tcPr>
          <w:p>
            <w:pPr>
              <w:spacing w:after="0"/>
              <w:rPr>
                <w:color w:val="auto"/>
                <w:sz w:val="23"/>
                <w:szCs w:val="23"/>
              </w:rPr>
            </w:pPr>
          </w:p>
        </w:tc>
      </w:tr>
      <w:tr>
        <w:tblPrEx>
          <w:tblCellMar>
            <w:top w:w="0" w:type="dxa"/>
            <w:left w:w="0" w:type="dxa"/>
            <w:bottom w:w="0" w:type="dxa"/>
            <w:right w:w="0" w:type="dxa"/>
          </w:tblCellMar>
        </w:tblPrEx>
        <w:trPr>
          <w:trHeight w:val="207" w:hRule="atLeast"/>
        </w:trPr>
        <w:tc>
          <w:tcPr>
            <w:tcW w:w="20" w:type="dxa"/>
            <w:vAlign w:val="bottom"/>
          </w:tcPr>
          <w:p>
            <w:pPr>
              <w:spacing w:after="0"/>
              <w:rPr>
                <w:color w:val="auto"/>
                <w:sz w:val="17"/>
                <w:szCs w:val="17"/>
              </w:rPr>
            </w:pPr>
          </w:p>
        </w:tc>
        <w:tc>
          <w:tcPr>
            <w:tcW w:w="2080" w:type="dxa"/>
            <w:tcBorders>
              <w:bottom w:val="single" w:color="auto" w:sz="8" w:space="0"/>
            </w:tcBorders>
            <w:vAlign w:val="bottom"/>
          </w:tcPr>
          <w:p>
            <w:pPr>
              <w:spacing w:after="0"/>
              <w:rPr>
                <w:color w:val="auto"/>
                <w:sz w:val="17"/>
                <w:szCs w:val="17"/>
              </w:rPr>
            </w:pPr>
          </w:p>
        </w:tc>
        <w:tc>
          <w:tcPr>
            <w:tcW w:w="2500" w:type="dxa"/>
            <w:tcBorders>
              <w:bottom w:val="single" w:color="auto" w:sz="8" w:space="0"/>
            </w:tcBorders>
            <w:vAlign w:val="bottom"/>
          </w:tcPr>
          <w:p>
            <w:pPr>
              <w:spacing w:after="0"/>
              <w:rPr>
                <w:color w:val="auto"/>
                <w:sz w:val="17"/>
                <w:szCs w:val="17"/>
              </w:rPr>
            </w:pPr>
          </w:p>
        </w:tc>
        <w:tc>
          <w:tcPr>
            <w:tcW w:w="20" w:type="dxa"/>
            <w:vAlign w:val="bottom"/>
          </w:tcPr>
          <w:p>
            <w:pPr>
              <w:spacing w:after="0"/>
              <w:rPr>
                <w:color w:val="auto"/>
                <w:sz w:val="17"/>
                <w:szCs w:val="17"/>
              </w:rPr>
            </w:pPr>
          </w:p>
        </w:tc>
        <w:tc>
          <w:tcPr>
            <w:tcW w:w="2340" w:type="dxa"/>
            <w:tcBorders>
              <w:bottom w:val="single" w:color="auto" w:sz="8" w:space="0"/>
            </w:tcBorders>
            <w:vAlign w:val="bottom"/>
          </w:tcPr>
          <w:p>
            <w:pPr>
              <w:spacing w:after="0"/>
              <w:rPr>
                <w:color w:val="auto"/>
                <w:sz w:val="17"/>
                <w:szCs w:val="17"/>
              </w:rPr>
            </w:pPr>
          </w:p>
        </w:tc>
        <w:tc>
          <w:tcPr>
            <w:tcW w:w="294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LOCATION</w:t>
            </w: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GAME-MEAT</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NUMBER OF</w:t>
            </w:r>
          </w:p>
        </w:tc>
        <w:tc>
          <w:tcPr>
            <w:tcW w:w="2940" w:type="dxa"/>
            <w:vAlign w:val="bottom"/>
          </w:tcPr>
          <w:p>
            <w:pPr>
              <w:spacing w:after="0" w:line="256" w:lineRule="exact"/>
              <w:ind w:right="40"/>
              <w:jc w:val="right"/>
              <w:rPr>
                <w:color w:val="auto"/>
                <w:sz w:val="20"/>
                <w:szCs w:val="20"/>
              </w:rPr>
            </w:pPr>
            <w:r>
              <w:rPr>
                <w:rFonts w:ascii="Times New Roman" w:hAnsi="Times New Roman" w:eastAsia="Times New Roman" w:cs="Times New Roman"/>
                <w:color w:val="auto"/>
                <w:sz w:val="24"/>
                <w:szCs w:val="24"/>
              </w:rPr>
              <w:t>TOTAL VIABLE COUNT</w:t>
            </w:r>
          </w:p>
        </w:tc>
      </w:tr>
      <w:tr>
        <w:tblPrEx>
          <w:tblCellMar>
            <w:top w:w="0" w:type="dxa"/>
            <w:left w:w="0" w:type="dxa"/>
            <w:bottom w:w="0" w:type="dxa"/>
            <w:right w:w="0" w:type="dxa"/>
          </w:tblCellMar>
        </w:tblPrEx>
        <w:trPr>
          <w:trHeight w:val="281"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SAMPLES</w:t>
            </w:r>
          </w:p>
        </w:tc>
        <w:tc>
          <w:tcPr>
            <w:tcW w:w="2940" w:type="dxa"/>
            <w:tcBorders>
              <w:bottom w:val="single" w:color="auto" w:sz="8" w:space="0"/>
            </w:tcBorders>
            <w:vAlign w:val="bottom"/>
          </w:tcPr>
          <w:p>
            <w:pPr>
              <w:spacing w:after="0"/>
              <w:ind w:right="1020"/>
              <w:jc w:val="right"/>
              <w:rPr>
                <w:color w:val="auto"/>
                <w:sz w:val="20"/>
                <w:szCs w:val="20"/>
              </w:rPr>
            </w:pPr>
            <w:r>
              <w:rPr>
                <w:rFonts w:ascii="Times New Roman" w:hAnsi="Times New Roman" w:eastAsia="Times New Roman" w:cs="Times New Roman"/>
                <w:color w:val="auto"/>
                <w:sz w:val="24"/>
                <w:szCs w:val="24"/>
              </w:rPr>
              <w:t>(cfu/g)</w:t>
            </w:r>
          </w:p>
        </w:tc>
      </w:tr>
      <w:tr>
        <w:tblPrEx>
          <w:tblCellMar>
            <w:top w:w="0" w:type="dxa"/>
            <w:left w:w="0" w:type="dxa"/>
            <w:bottom w:w="0" w:type="dxa"/>
            <w:right w:w="0" w:type="dxa"/>
          </w:tblCellMar>
        </w:tblPrEx>
        <w:trPr>
          <w:trHeight w:val="261"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60" w:lineRule="exact"/>
              <w:jc w:val="center"/>
              <w:rPr>
                <w:color w:val="auto"/>
                <w:sz w:val="20"/>
                <w:szCs w:val="20"/>
              </w:rPr>
            </w:pPr>
            <w:r>
              <w:rPr>
                <w:rFonts w:ascii="Times New Roman" w:hAnsi="Times New Roman" w:eastAsia="Times New Roman" w:cs="Times New Roman"/>
                <w:color w:val="auto"/>
                <w:sz w:val="24"/>
                <w:szCs w:val="24"/>
              </w:rPr>
              <w:t>Pangolin</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60" w:lineRule="exact"/>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Quail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Deer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Lagos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Bush dog</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Etu</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5.5</w:t>
            </w:r>
          </w:p>
        </w:tc>
      </w:tr>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Wild Cat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Atika</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Agbonrin</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8.7</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Monkey</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9.5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Porcupine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8.3</w:t>
            </w:r>
          </w:p>
        </w:tc>
      </w:tr>
      <w:tr>
        <w:tblPrEx>
          <w:tblCellMar>
            <w:top w:w="0" w:type="dxa"/>
            <w:left w:w="0" w:type="dxa"/>
            <w:bottom w:w="0" w:type="dxa"/>
            <w:right w:w="0" w:type="dxa"/>
          </w:tblCellMar>
        </w:tblPrEx>
        <w:trPr>
          <w:trHeight w:val="514"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8" w:lineRule="exact"/>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Ogun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Bush rat</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Igala</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6.7</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Hedgehog</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Alligator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7.3</w:t>
            </w:r>
          </w:p>
        </w:tc>
      </w:tr>
      <w:tr>
        <w:tblPrEx>
          <w:tblCellMar>
            <w:top w:w="0" w:type="dxa"/>
            <w:left w:w="0" w:type="dxa"/>
            <w:bottom w:w="0" w:type="dxa"/>
            <w:right w:w="0" w:type="dxa"/>
          </w:tblCellMar>
        </w:tblPrEx>
        <w:trPr>
          <w:trHeight w:val="317"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Civet Cat</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7.2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Ondo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4.4</w:t>
            </w:r>
          </w:p>
        </w:tc>
      </w:tr>
      <w:tr>
        <w:tblPrEx>
          <w:tblCellMar>
            <w:top w:w="0" w:type="dxa"/>
            <w:left w:w="0" w:type="dxa"/>
            <w:bottom w:w="0" w:type="dxa"/>
            <w:right w:w="0" w:type="dxa"/>
          </w:tblCellMar>
        </w:tblPrEx>
        <w:trPr>
          <w:trHeight w:val="195" w:hRule="atLeast"/>
        </w:trPr>
        <w:tc>
          <w:tcPr>
            <w:tcW w:w="20" w:type="dxa"/>
            <w:vAlign w:val="bottom"/>
          </w:tcPr>
          <w:p>
            <w:pPr>
              <w:spacing w:after="0"/>
              <w:rPr>
                <w:color w:val="auto"/>
                <w:sz w:val="16"/>
                <w:szCs w:val="16"/>
              </w:rPr>
            </w:pPr>
          </w:p>
        </w:tc>
        <w:tc>
          <w:tcPr>
            <w:tcW w:w="2080" w:type="dxa"/>
            <w:tcBorders>
              <w:bottom w:val="single" w:color="auto" w:sz="8" w:space="0"/>
            </w:tcBorders>
            <w:vAlign w:val="bottom"/>
          </w:tcPr>
          <w:p>
            <w:pPr>
              <w:spacing w:after="0"/>
              <w:rPr>
                <w:color w:val="auto"/>
                <w:sz w:val="16"/>
                <w:szCs w:val="16"/>
              </w:rPr>
            </w:pPr>
          </w:p>
        </w:tc>
        <w:tc>
          <w:tcPr>
            <w:tcW w:w="2500" w:type="dxa"/>
            <w:tcBorders>
              <w:bottom w:val="single" w:color="auto" w:sz="8" w:space="0"/>
            </w:tcBorders>
            <w:vAlign w:val="bottom"/>
          </w:tcPr>
          <w:p>
            <w:pPr>
              <w:spacing w:after="0"/>
              <w:rPr>
                <w:color w:val="auto"/>
                <w:sz w:val="16"/>
                <w:szCs w:val="16"/>
              </w:rPr>
            </w:pPr>
          </w:p>
        </w:tc>
        <w:tc>
          <w:tcPr>
            <w:tcW w:w="20" w:type="dxa"/>
            <w:tcBorders>
              <w:bottom w:val="single" w:color="auto" w:sz="8" w:space="0"/>
            </w:tcBorders>
            <w:vAlign w:val="bottom"/>
          </w:tcPr>
          <w:p>
            <w:pPr>
              <w:spacing w:after="0"/>
              <w:rPr>
                <w:color w:val="auto"/>
                <w:sz w:val="16"/>
                <w:szCs w:val="16"/>
              </w:rPr>
            </w:pPr>
          </w:p>
        </w:tc>
        <w:tc>
          <w:tcPr>
            <w:tcW w:w="2340" w:type="dxa"/>
            <w:tcBorders>
              <w:bottom w:val="single" w:color="auto" w:sz="8" w:space="0"/>
              <w:right w:val="single" w:color="auto" w:sz="8" w:space="0"/>
            </w:tcBorders>
            <w:vAlign w:val="bottom"/>
          </w:tcPr>
          <w:p>
            <w:pPr>
              <w:spacing w:after="0"/>
              <w:rPr>
                <w:color w:val="auto"/>
                <w:sz w:val="16"/>
                <w:szCs w:val="16"/>
              </w:rPr>
            </w:pPr>
          </w:p>
        </w:tc>
        <w:tc>
          <w:tcPr>
            <w:tcW w:w="2940" w:type="dxa"/>
            <w:tcBorders>
              <w:bottom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Hare</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Osun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Sese</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2080" w:type="dxa"/>
            <w:tcBorders>
              <w:bottom w:val="single" w:color="auto" w:sz="8" w:space="0"/>
            </w:tcBorders>
            <w:vAlign w:val="bottom"/>
          </w:tcPr>
          <w:p>
            <w:pPr>
              <w:spacing w:after="0"/>
              <w:rPr>
                <w:color w:val="auto"/>
                <w:sz w:val="10"/>
                <w:szCs w:val="10"/>
              </w:rPr>
            </w:pPr>
          </w:p>
        </w:tc>
        <w:tc>
          <w:tcPr>
            <w:tcW w:w="2500" w:type="dxa"/>
            <w:tcBorders>
              <w:bottom w:val="single" w:color="auto" w:sz="8" w:space="0"/>
            </w:tcBorders>
            <w:vAlign w:val="bottom"/>
          </w:tcPr>
          <w:p>
            <w:pPr>
              <w:spacing w:after="0"/>
              <w:rPr>
                <w:color w:val="auto"/>
                <w:sz w:val="10"/>
                <w:szCs w:val="10"/>
              </w:rPr>
            </w:pPr>
          </w:p>
        </w:tc>
        <w:tc>
          <w:tcPr>
            <w:tcW w:w="20" w:type="dxa"/>
            <w:tcBorders>
              <w:bottom w:val="single" w:color="auto" w:sz="8" w:space="0"/>
            </w:tcBorders>
            <w:vAlign w:val="bottom"/>
          </w:tcPr>
          <w:p>
            <w:pPr>
              <w:spacing w:after="0"/>
              <w:rPr>
                <w:color w:val="auto"/>
                <w:sz w:val="10"/>
                <w:szCs w:val="10"/>
              </w:rPr>
            </w:pPr>
          </w:p>
        </w:tc>
        <w:tc>
          <w:tcPr>
            <w:tcW w:w="2340" w:type="dxa"/>
            <w:tcBorders>
              <w:bottom w:val="single" w:color="auto" w:sz="8" w:space="0"/>
              <w:right w:val="single" w:color="auto" w:sz="8" w:space="0"/>
            </w:tcBorders>
            <w:vAlign w:val="bottom"/>
          </w:tcPr>
          <w:p>
            <w:pPr>
              <w:spacing w:after="0"/>
              <w:rPr>
                <w:color w:val="auto"/>
                <w:sz w:val="10"/>
                <w:szCs w:val="10"/>
              </w:rPr>
            </w:pPr>
          </w:p>
        </w:tc>
        <w:tc>
          <w:tcPr>
            <w:tcW w:w="294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Aparo</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5.5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Oyo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Eta</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Esii Tuku</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5.0</w:t>
            </w:r>
          </w:p>
        </w:tc>
      </w:tr>
      <w:tr>
        <w:tblPrEx>
          <w:tblCellMar>
            <w:top w:w="0" w:type="dxa"/>
            <w:left w:w="0" w:type="dxa"/>
            <w:bottom w:w="0" w:type="dxa"/>
            <w:right w:w="0" w:type="dxa"/>
          </w:tblCellMar>
        </w:tblPrEx>
        <w:trPr>
          <w:trHeight w:val="159" w:hRule="atLeast"/>
        </w:trPr>
        <w:tc>
          <w:tcPr>
            <w:tcW w:w="20" w:type="dxa"/>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00" w:type="dxa"/>
            <w:tcBorders>
              <w:bottom w:val="single" w:color="auto" w:sz="8" w:space="0"/>
            </w:tcBorders>
            <w:vAlign w:val="bottom"/>
          </w:tcPr>
          <w:p>
            <w:pPr>
              <w:spacing w:after="0"/>
              <w:rPr>
                <w:color w:val="auto"/>
                <w:sz w:val="13"/>
                <w:szCs w:val="13"/>
              </w:rPr>
            </w:pPr>
          </w:p>
        </w:tc>
        <w:tc>
          <w:tcPr>
            <w:tcW w:w="2360" w:type="dxa"/>
            <w:gridSpan w:val="2"/>
            <w:tcBorders>
              <w:bottom w:val="single" w:color="auto" w:sz="8" w:space="0"/>
              <w:right w:val="single" w:color="auto" w:sz="8" w:space="0"/>
            </w:tcBorders>
            <w:vAlign w:val="bottom"/>
          </w:tcPr>
          <w:p>
            <w:pPr>
              <w:spacing w:after="0"/>
              <w:rPr>
                <w:color w:val="auto"/>
                <w:sz w:val="13"/>
                <w:szCs w:val="13"/>
              </w:rPr>
            </w:pPr>
          </w:p>
        </w:tc>
        <w:tc>
          <w:tcPr>
            <w:tcW w:w="294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3" w:hRule="atLeast"/>
        </w:trPr>
        <w:tc>
          <w:tcPr>
            <w:tcW w:w="20" w:type="dxa"/>
            <w:tcBorders>
              <w:bottom w:val="single" w:color="auto" w:sz="8" w:space="0"/>
            </w:tcBorders>
            <w:vAlign w:val="bottom"/>
          </w:tcPr>
          <w:p>
            <w:pPr>
              <w:spacing w:after="0"/>
              <w:rPr>
                <w:color w:val="auto"/>
                <w:sz w:val="22"/>
                <w:szCs w:val="22"/>
              </w:rPr>
            </w:pPr>
          </w:p>
        </w:tc>
        <w:tc>
          <w:tcPr>
            <w:tcW w:w="208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b/>
                <w:bCs/>
                <w:color w:val="auto"/>
                <w:sz w:val="24"/>
                <w:szCs w:val="24"/>
              </w:rPr>
              <w:t>Total</w:t>
            </w:r>
          </w:p>
        </w:tc>
        <w:tc>
          <w:tcPr>
            <w:tcW w:w="2500" w:type="dxa"/>
            <w:tcBorders>
              <w:bottom w:val="single" w:color="auto" w:sz="8" w:space="0"/>
            </w:tcBorders>
            <w:vAlign w:val="bottom"/>
          </w:tcPr>
          <w:p>
            <w:pPr>
              <w:spacing w:after="0"/>
              <w:rPr>
                <w:color w:val="auto"/>
                <w:sz w:val="22"/>
                <w:szCs w:val="22"/>
              </w:rPr>
            </w:pPr>
          </w:p>
        </w:tc>
        <w:tc>
          <w:tcPr>
            <w:tcW w:w="2360" w:type="dxa"/>
            <w:gridSpan w:val="2"/>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55</w:t>
            </w:r>
          </w:p>
        </w:tc>
        <w:tc>
          <w:tcPr>
            <w:tcW w:w="294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777"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rPr>
                <w:color w:val="auto"/>
                <w:sz w:val="24"/>
                <w:szCs w:val="24"/>
              </w:rPr>
            </w:pPr>
          </w:p>
        </w:tc>
        <w:tc>
          <w:tcPr>
            <w:tcW w:w="2360" w:type="dxa"/>
            <w:gridSpan w:val="2"/>
            <w:vAlign w:val="bottom"/>
          </w:tcPr>
          <w:p>
            <w:pPr>
              <w:spacing w:after="0"/>
              <w:ind w:right="1940"/>
              <w:jc w:val="right"/>
              <w:rPr>
                <w:color w:val="auto"/>
                <w:sz w:val="20"/>
                <w:szCs w:val="20"/>
              </w:rPr>
            </w:pPr>
            <w:r>
              <w:rPr>
                <w:rFonts w:ascii="Calibri" w:hAnsi="Calibri" w:eastAsia="Calibri" w:cs="Calibri"/>
                <w:color w:val="auto"/>
                <w:sz w:val="20"/>
                <w:szCs w:val="20"/>
              </w:rPr>
              <w:t>43</w:t>
            </w:r>
          </w:p>
        </w:tc>
        <w:tc>
          <w:tcPr>
            <w:tcW w:w="294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-7658735</wp:posOffset>
                </wp:positionV>
                <wp:extent cx="12700" cy="12065"/>
                <wp:effectExtent l="0" t="0" r="0" b="0"/>
                <wp:wrapNone/>
                <wp:docPr id="11" name="Shape 1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1" o:spid="_x0000_s1026" o:spt="1" style="position:absolute;left:0pt;margin-left:229.8pt;margin-top:-603.05pt;height:0.95pt;width:1pt;z-index:-251657216;mso-width-relative:page;mso-height-relative:page;" fillcolor="#000000" filled="t" stroked="f" coordsize="21600,21600" o:allowincell="f" o:gfxdata="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31+gtsAAAAPAQAADwAAAAAAAAABACAAAAAiAAAAZHJzL2Rv&#10;d25yZXYueG1sUEsBAhQAFAAAAAgAh07iQK4v6w2MAQAAOQMAAA4AAAAAAAAAAQAgAAAAKg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-7302500</wp:posOffset>
                </wp:positionV>
                <wp:extent cx="12700" cy="12700"/>
                <wp:effectExtent l="0" t="0" r="0" b="0"/>
                <wp:wrapNone/>
                <wp:docPr id="12" name="Shape 1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2" o:spid="_x0000_s1026" o:spt="1" style="position:absolute;left:0pt;margin-left:229.8pt;margin-top:-575pt;height:1pt;width:1pt;z-index:-251657216;mso-width-relative:page;mso-height-relative:page;" fillcolor="#000000" filled="t" stroked="f" coordsize="21600,21600" o:allowincell="f" o:gfxdata="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9Ad09sAAAAPAQAADwAAAAAAAAABACAAAAAiAAAAZHJzL2Rvd25y&#10;ZXYueG1sUEsBAhQAFAAAAAgAh07iQOy26ruJAQAAOQMAAA4AAAAAAAAAAQAgAAAAKg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-3092450</wp:posOffset>
                </wp:positionV>
                <wp:extent cx="12700" cy="12700"/>
                <wp:effectExtent l="0" t="0" r="0" b="0"/>
                <wp:wrapNone/>
                <wp:docPr id="13" name="Shape 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3" o:spid="_x0000_s1026" o:spt="1" style="position:absolute;left:0pt;margin-left:229.8pt;margin-top:-243.5pt;height:1pt;width:1pt;z-index:-251657216;mso-width-relative:page;mso-height-relative:page;" fillcolor="#000000" filled="t" stroked="f" coordsize="21600,21600" o:allowincell="f" o:gfxdata="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PLi7q2gAAAA0BAAAPAAAAAAAAAAEAIAAAACIAAABkcnMvZG93bnJl&#10;di54bWxQSwECFAAUAAAACACHTuJAtvE8H4kBAAA5AwAADgAAAAAAAAABACAAAAApAQAAZHJzL2Uy&#10;b0RvYy54bWxQSwUGAAAAAAYABgBZAQAAJAUAAAAA&#10;">
                <v:fill on="t" focussize="0,0"/>
                <v:stroke on="f"/>
                <v:imagedata o:title=""/>
                <o:lock v:ext="edit" aspectratio="f"/>
              </v:rect>
            </w:pict>
          </mc:Fallback>
        </mc:AlternateContent>
      </w:r>
    </w:p>
    <w:p>
      <w:pPr>
        <w:sectPr>
          <w:pgSz w:w="12240" w:h="15840"/>
          <w:pgMar w:top="1440" w:right="1040" w:bottom="403" w:left="1320" w:header="0" w:footer="0" w:gutter="0"/>
          <w:cols w:equalWidth="0" w:num="1">
            <w:col w:w="9880"/>
          </w:cols>
        </w:sectPr>
      </w:pPr>
    </w:p>
    <w:p>
      <w:pPr>
        <w:tabs>
          <w:tab w:val="left" w:pos="560"/>
        </w:tabs>
        <w:spacing w:after="0"/>
        <w:rPr>
          <w:color w:val="auto"/>
          <w:sz w:val="20"/>
          <w:szCs w:val="20"/>
        </w:rPr>
      </w:pPr>
      <w:bookmarkStart w:id="49" w:name="page55"/>
      <w:bookmarkEnd w:id="49"/>
      <w:r>
        <w:rPr>
          <w:rFonts w:ascii="Times New Roman" w:hAnsi="Times New Roman" w:eastAsia="Times New Roman" w:cs="Times New Roman"/>
          <w:color w:val="auto"/>
          <w:sz w:val="24"/>
          <w:szCs w:val="24"/>
        </w:rPr>
        <w:t>4.2</w:t>
      </w:r>
      <w:r>
        <w:rPr>
          <w:color w:val="auto"/>
          <w:sz w:val="20"/>
          <w:szCs w:val="20"/>
        </w:rPr>
        <w:tab/>
      </w:r>
      <w:r>
        <w:rPr>
          <w:rFonts w:ascii="Times New Roman" w:hAnsi="Times New Roman" w:eastAsia="Times New Roman" w:cs="Times New Roman"/>
          <w:color w:val="auto"/>
          <w:sz w:val="23"/>
          <w:szCs w:val="23"/>
        </w:rPr>
        <w:t>Microbial Analysis of Ready-to-eat Game Meat</w:t>
      </w:r>
    </w:p>
    <w:p>
      <w:pPr>
        <w:spacing w:after="0" w:line="149"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microbial analysis of RTE game meat samples in south western part of Nigeria were reported and it was discovered that all samples were positive with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as shown in Figure 4.1 below. The characteristics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was recorded when incubated on the SMAC and MAC plate and a white and pink colour was recorded and also they were also circular colonies.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15240</wp:posOffset>
            </wp:positionH>
            <wp:positionV relativeFrom="paragraph">
              <wp:posOffset>349885</wp:posOffset>
            </wp:positionV>
            <wp:extent cx="5951220" cy="3860165"/>
            <wp:effectExtent l="0" t="0" r="1143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a:srcRect/>
                    <a:stretch>
                      <a:fillRect/>
                    </a:stretch>
                  </pic:blipFill>
                  <pic:spPr>
                    <a:xfrm>
                      <a:off x="0" y="0"/>
                      <a:ext cx="5951220" cy="38601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4920"/>
        <w:gridCol w:w="1780"/>
      </w:tblGrid>
      <w:tr>
        <w:tblPrEx>
          <w:tblCellMar>
            <w:top w:w="0" w:type="dxa"/>
            <w:left w:w="0" w:type="dxa"/>
            <w:bottom w:w="0" w:type="dxa"/>
            <w:right w:w="0" w:type="dxa"/>
          </w:tblCellMar>
        </w:tblPrEx>
        <w:trPr>
          <w:trHeight w:val="220" w:hRule="atLeast"/>
        </w:trPr>
        <w:tc>
          <w:tcPr>
            <w:tcW w:w="4920" w:type="dxa"/>
            <w:vAlign w:val="bottom"/>
          </w:tcPr>
          <w:p>
            <w:pPr>
              <w:spacing w:after="0"/>
              <w:ind w:right="550"/>
              <w:jc w:val="right"/>
              <w:rPr>
                <w:color w:val="auto"/>
                <w:sz w:val="20"/>
                <w:szCs w:val="20"/>
              </w:rPr>
            </w:pPr>
            <w:r>
              <w:rPr>
                <w:rFonts w:ascii="Calibri" w:hAnsi="Calibri" w:eastAsia="Calibri" w:cs="Calibri"/>
                <w:color w:val="7F7F7F"/>
                <w:sz w:val="18"/>
                <w:szCs w:val="18"/>
              </w:rPr>
              <w:t>Number of bushmeat</w:t>
            </w:r>
          </w:p>
        </w:tc>
        <w:tc>
          <w:tcPr>
            <w:tcW w:w="1780" w:type="dxa"/>
            <w:vAlign w:val="bottom"/>
          </w:tcPr>
          <w:p>
            <w:pPr>
              <w:spacing w:after="0"/>
              <w:ind w:left="660"/>
              <w:rPr>
                <w:color w:val="auto"/>
                <w:sz w:val="20"/>
                <w:szCs w:val="20"/>
              </w:rPr>
            </w:pPr>
            <w:r>
              <w:rPr>
                <w:rFonts w:ascii="Calibri" w:hAnsi="Calibri" w:eastAsia="Calibri" w:cs="Calibri"/>
                <w:color w:val="7F7F7F"/>
                <w:w w:val="98"/>
                <w:sz w:val="18"/>
                <w:szCs w:val="18"/>
              </w:rPr>
              <w:t>Positve sample</w:t>
            </w:r>
          </w:p>
        </w:tc>
      </w:tr>
      <w:tr>
        <w:tblPrEx>
          <w:tblCellMar>
            <w:top w:w="0" w:type="dxa"/>
            <w:left w:w="0" w:type="dxa"/>
            <w:bottom w:w="0" w:type="dxa"/>
            <w:right w:w="0" w:type="dxa"/>
          </w:tblCellMar>
        </w:tblPrEx>
        <w:trPr>
          <w:trHeight w:val="871"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14</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12</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10</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8</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50"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6</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4</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2</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0</w:t>
            </w:r>
          </w:p>
        </w:tc>
        <w:tc>
          <w:tcPr>
            <w:tcW w:w="178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4.1:</w:t>
      </w:r>
      <w:r>
        <w:rPr>
          <w:rFonts w:ascii="Times New Roman" w:hAnsi="Times New Roman" w:eastAsia="Times New Roman" w:cs="Times New Roman"/>
          <w:color w:val="auto"/>
          <w:sz w:val="24"/>
          <w:szCs w:val="24"/>
        </w:rPr>
        <w:t xml:space="preserve"> A Chart Representation of Microbial analysis of all Positive Game meat Samples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44</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0" w:name="page56"/>
      <w:bookmarkEnd w:id="50"/>
      <w:r>
        <w:rPr>
          <w:rFonts w:ascii="Times New Roman" w:hAnsi="Times New Roman" w:eastAsia="Times New Roman" w:cs="Times New Roman"/>
          <w:color w:val="auto"/>
          <w:sz w:val="24"/>
          <w:szCs w:val="24"/>
        </w:rPr>
        <w:t>4.3</w:t>
      </w:r>
      <w:r>
        <w:rPr>
          <w:color w:val="auto"/>
          <w:sz w:val="20"/>
          <w:szCs w:val="20"/>
        </w:rPr>
        <w:tab/>
      </w:r>
      <w:r>
        <w:rPr>
          <w:rFonts w:ascii="Times New Roman" w:hAnsi="Times New Roman" w:eastAsia="Times New Roman" w:cs="Times New Roman"/>
          <w:color w:val="auto"/>
          <w:sz w:val="23"/>
          <w:szCs w:val="23"/>
        </w:rPr>
        <w:t>Microbial Analysis of Fresh Produce Samples</w:t>
      </w:r>
    </w:p>
    <w:p>
      <w:pPr>
        <w:spacing w:after="0" w:line="149" w:lineRule="exact"/>
        <w:rPr>
          <w:color w:val="auto"/>
          <w:sz w:val="20"/>
          <w:szCs w:val="20"/>
        </w:rPr>
      </w:pPr>
    </w:p>
    <w:p>
      <w:pPr>
        <w:spacing w:after="0" w:line="340" w:lineRule="auto"/>
        <w:ind w:right="220"/>
        <w:rPr>
          <w:color w:val="auto"/>
          <w:sz w:val="20"/>
          <w:szCs w:val="20"/>
        </w:rPr>
      </w:pPr>
      <w:r>
        <w:rPr>
          <w:rFonts w:ascii="Times New Roman" w:hAnsi="Times New Roman" w:eastAsia="Times New Roman" w:cs="Times New Roman"/>
          <w:color w:val="auto"/>
          <w:sz w:val="24"/>
          <w:szCs w:val="24"/>
        </w:rPr>
        <w:t>For fresh produce samples, they were gotten from ogun state with different locations, the fresh produce show all the characteristics of E.coli show white and pink on SMAC and MAC plate when it was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24hrs which shows circular colonies.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-3810</wp:posOffset>
            </wp:positionH>
            <wp:positionV relativeFrom="paragraph">
              <wp:posOffset>302895</wp:posOffset>
            </wp:positionV>
            <wp:extent cx="5219700" cy="5338445"/>
            <wp:effectExtent l="0" t="0" r="0" b="146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srcRect/>
                    <a:stretch>
                      <a:fillRect/>
                    </a:stretch>
                  </pic:blipFill>
                  <pic:spPr>
                    <a:xfrm>
                      <a:off x="0" y="0"/>
                      <a:ext cx="5219700" cy="53384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tbl>
      <w:tblPr>
        <w:tblStyle w:val="3"/>
        <w:tblW w:w="0" w:type="auto"/>
        <w:tblInd w:w="2340" w:type="dxa"/>
        <w:tblLayout w:type="fixed"/>
        <w:tblCellMar>
          <w:top w:w="0" w:type="dxa"/>
          <w:left w:w="0" w:type="dxa"/>
          <w:bottom w:w="0" w:type="dxa"/>
          <w:right w:w="0" w:type="dxa"/>
        </w:tblCellMar>
      </w:tblPr>
      <w:tblGrid>
        <w:gridCol w:w="1880"/>
        <w:gridCol w:w="100"/>
        <w:gridCol w:w="2040"/>
        <w:gridCol w:w="360"/>
      </w:tblGrid>
      <w:tr>
        <w:tblPrEx>
          <w:tblCellMar>
            <w:top w:w="0" w:type="dxa"/>
            <w:left w:w="0" w:type="dxa"/>
            <w:bottom w:w="0" w:type="dxa"/>
            <w:right w:w="0" w:type="dxa"/>
          </w:tblCellMar>
        </w:tblPrEx>
        <w:trPr>
          <w:trHeight w:val="76" w:hRule="atLeast"/>
        </w:trPr>
        <w:tc>
          <w:tcPr>
            <w:tcW w:w="1880" w:type="dxa"/>
            <w:vMerge w:val="restart"/>
            <w:vAlign w:val="bottom"/>
          </w:tcPr>
          <w:p>
            <w:pPr>
              <w:spacing w:after="0"/>
              <w:rPr>
                <w:color w:val="auto"/>
                <w:sz w:val="20"/>
                <w:szCs w:val="20"/>
              </w:rPr>
            </w:pPr>
            <w:r>
              <w:rPr>
                <w:rFonts w:ascii="Calibri" w:hAnsi="Calibri" w:eastAsia="Calibri" w:cs="Calibri"/>
                <w:color w:val="595959"/>
                <w:sz w:val="18"/>
                <w:szCs w:val="18"/>
              </w:rPr>
              <w:t>Number of sample</w:t>
            </w:r>
          </w:p>
        </w:tc>
        <w:tc>
          <w:tcPr>
            <w:tcW w:w="100" w:type="dxa"/>
            <w:vAlign w:val="bottom"/>
          </w:tcPr>
          <w:p>
            <w:pPr>
              <w:spacing w:after="0"/>
              <w:rPr>
                <w:color w:val="auto"/>
                <w:sz w:val="6"/>
                <w:szCs w:val="6"/>
              </w:rPr>
            </w:pPr>
          </w:p>
        </w:tc>
        <w:tc>
          <w:tcPr>
            <w:tcW w:w="2040" w:type="dxa"/>
            <w:vMerge w:val="restart"/>
            <w:vAlign w:val="bottom"/>
          </w:tcPr>
          <w:p>
            <w:pPr>
              <w:spacing w:after="0"/>
              <w:ind w:left="40"/>
              <w:rPr>
                <w:color w:val="auto"/>
                <w:sz w:val="20"/>
                <w:szCs w:val="20"/>
              </w:rPr>
            </w:pPr>
            <w:r>
              <w:rPr>
                <w:rFonts w:ascii="Calibri" w:hAnsi="Calibri" w:eastAsia="Calibri" w:cs="Calibri"/>
                <w:color w:val="595959"/>
                <w:w w:val="99"/>
                <w:sz w:val="18"/>
                <w:szCs w:val="18"/>
              </w:rPr>
              <w:t>Number of positive sample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1880" w:type="dxa"/>
            <w:vMerge w:val="continue"/>
            <w:vAlign w:val="bottom"/>
          </w:tcPr>
          <w:p>
            <w:pPr>
              <w:spacing w:after="0"/>
              <w:rPr>
                <w:color w:val="auto"/>
                <w:sz w:val="8"/>
                <w:szCs w:val="8"/>
              </w:rPr>
            </w:pPr>
          </w:p>
        </w:tc>
        <w:tc>
          <w:tcPr>
            <w:tcW w:w="100" w:type="dxa"/>
            <w:shd w:val="clear" w:color="auto" w:fill="B3B3B3"/>
            <w:vAlign w:val="bottom"/>
          </w:tcPr>
          <w:p>
            <w:pPr>
              <w:spacing w:after="0"/>
              <w:rPr>
                <w:color w:val="auto"/>
                <w:sz w:val="8"/>
                <w:szCs w:val="8"/>
              </w:rPr>
            </w:pPr>
          </w:p>
        </w:tc>
        <w:tc>
          <w:tcPr>
            <w:tcW w:w="204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 w:hRule="atLeast"/>
        </w:trPr>
        <w:tc>
          <w:tcPr>
            <w:tcW w:w="1880" w:type="dxa"/>
            <w:vMerge w:val="continue"/>
            <w:vAlign w:val="bottom"/>
          </w:tcPr>
          <w:p>
            <w:pPr>
              <w:spacing w:after="0"/>
              <w:rPr>
                <w:color w:val="auto"/>
                <w:sz w:val="3"/>
                <w:szCs w:val="3"/>
              </w:rPr>
            </w:pPr>
          </w:p>
        </w:tc>
        <w:tc>
          <w:tcPr>
            <w:tcW w:w="100" w:type="dxa"/>
            <w:vAlign w:val="bottom"/>
          </w:tcPr>
          <w:p>
            <w:pPr>
              <w:spacing w:after="0"/>
              <w:rPr>
                <w:color w:val="auto"/>
                <w:sz w:val="3"/>
                <w:szCs w:val="3"/>
              </w:rPr>
            </w:pPr>
          </w:p>
        </w:tc>
        <w:tc>
          <w:tcPr>
            <w:tcW w:w="2040" w:type="dxa"/>
            <w:vMerge w:val="continue"/>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84"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3.5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3</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2.5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2</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1.5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1</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0.5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0</w:t>
      </w:r>
    </w:p>
    <w:p>
      <w:pPr>
        <w:spacing w:after="0" w:line="14" w:lineRule="exact"/>
        <w:rPr>
          <w:color w:val="auto"/>
          <w:sz w:val="20"/>
          <w:szCs w:val="20"/>
        </w:rPr>
      </w:pPr>
    </w:p>
    <w:p>
      <w:pPr>
        <w:tabs>
          <w:tab w:val="left" w:pos="1900"/>
          <w:tab w:val="left" w:pos="3120"/>
          <w:tab w:val="left" w:pos="4120"/>
          <w:tab w:val="left" w:pos="5060"/>
          <w:tab w:val="left" w:pos="6260"/>
          <w:tab w:val="left" w:pos="7380"/>
        </w:tabs>
        <w:spacing w:after="0"/>
        <w:ind w:left="920"/>
        <w:rPr>
          <w:color w:val="auto"/>
          <w:sz w:val="20"/>
          <w:szCs w:val="20"/>
        </w:rPr>
      </w:pPr>
      <w:r>
        <w:rPr>
          <w:rFonts w:ascii="Calibri" w:hAnsi="Calibri" w:eastAsia="Calibri" w:cs="Calibri"/>
          <w:color w:val="595959"/>
          <w:sz w:val="18"/>
          <w:szCs w:val="18"/>
        </w:rPr>
        <w:t>Pawpaw</w:t>
      </w:r>
      <w:r>
        <w:rPr>
          <w:color w:val="auto"/>
          <w:sz w:val="20"/>
          <w:szCs w:val="20"/>
        </w:rPr>
        <w:tab/>
      </w:r>
      <w:r>
        <w:rPr>
          <w:rFonts w:ascii="Calibri" w:hAnsi="Calibri" w:eastAsia="Calibri" w:cs="Calibri"/>
          <w:color w:val="595959"/>
          <w:sz w:val="18"/>
          <w:szCs w:val="18"/>
        </w:rPr>
        <w:t>Cucumber</w:t>
      </w:r>
      <w:r>
        <w:rPr>
          <w:color w:val="auto"/>
          <w:sz w:val="20"/>
          <w:szCs w:val="20"/>
        </w:rPr>
        <w:tab/>
      </w:r>
      <w:r>
        <w:rPr>
          <w:rFonts w:ascii="Calibri" w:hAnsi="Calibri" w:eastAsia="Calibri" w:cs="Calibri"/>
          <w:color w:val="595959"/>
          <w:sz w:val="18"/>
          <w:szCs w:val="18"/>
        </w:rPr>
        <w:t>Carrot</w:t>
      </w:r>
      <w:r>
        <w:rPr>
          <w:color w:val="auto"/>
          <w:sz w:val="20"/>
          <w:szCs w:val="20"/>
        </w:rPr>
        <w:tab/>
      </w:r>
      <w:r>
        <w:rPr>
          <w:rFonts w:ascii="Calibri" w:hAnsi="Calibri" w:eastAsia="Calibri" w:cs="Calibri"/>
          <w:color w:val="595959"/>
          <w:sz w:val="18"/>
          <w:szCs w:val="18"/>
        </w:rPr>
        <w:t>Cabbage</w:t>
      </w:r>
      <w:r>
        <w:rPr>
          <w:color w:val="auto"/>
          <w:sz w:val="20"/>
          <w:szCs w:val="20"/>
        </w:rPr>
        <w:tab/>
      </w:r>
      <w:r>
        <w:rPr>
          <w:rFonts w:ascii="Calibri" w:hAnsi="Calibri" w:eastAsia="Calibri" w:cs="Calibri"/>
          <w:color w:val="595959"/>
          <w:sz w:val="18"/>
          <w:szCs w:val="18"/>
        </w:rPr>
        <w:t>watermelon</w:t>
      </w:r>
      <w:r>
        <w:rPr>
          <w:color w:val="auto"/>
          <w:sz w:val="20"/>
          <w:szCs w:val="20"/>
        </w:rPr>
        <w:tab/>
      </w:r>
      <w:r>
        <w:rPr>
          <w:rFonts w:ascii="Calibri" w:hAnsi="Calibri" w:eastAsia="Calibri" w:cs="Calibri"/>
          <w:color w:val="595959"/>
          <w:sz w:val="18"/>
          <w:szCs w:val="18"/>
        </w:rPr>
        <w:t>Pinepple</w:t>
      </w:r>
      <w:r>
        <w:rPr>
          <w:color w:val="auto"/>
          <w:sz w:val="20"/>
          <w:szCs w:val="20"/>
        </w:rPr>
        <w:tab/>
      </w:r>
      <w:r>
        <w:rPr>
          <w:rFonts w:ascii="Calibri" w:hAnsi="Calibri" w:eastAsia="Calibri" w:cs="Calibri"/>
          <w:color w:val="595959"/>
          <w:sz w:val="17"/>
          <w:szCs w:val="17"/>
        </w:rPr>
        <w:t>Lettuce</w:t>
      </w: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4.2:</w:t>
      </w:r>
      <w:r>
        <w:rPr>
          <w:rFonts w:ascii="Times New Roman" w:hAnsi="Times New Roman" w:eastAsia="Times New Roman" w:cs="Times New Roman"/>
          <w:color w:val="auto"/>
          <w:sz w:val="24"/>
          <w:szCs w:val="24"/>
        </w:rPr>
        <w:t xml:space="preserve"> A Chart Representation of Microbial Analysis of all Positive Fresh Produce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45</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51" w:name="page57"/>
      <w:bookmarkEnd w:id="51"/>
    </w:p>
    <w:p>
      <w:pPr>
        <w:tabs>
          <w:tab w:val="left" w:pos="560"/>
        </w:tabs>
        <w:spacing w:after="0" w:line="252" w:lineRule="auto"/>
        <w:ind w:left="580" w:hanging="575"/>
        <w:rPr>
          <w:color w:val="auto"/>
          <w:sz w:val="20"/>
          <w:szCs w:val="20"/>
        </w:rPr>
      </w:pPr>
      <w:r>
        <w:rPr>
          <w:rFonts w:ascii="Times New Roman" w:hAnsi="Times New Roman" w:eastAsia="Times New Roman" w:cs="Times New Roman"/>
          <w:b/>
          <w:bCs/>
          <w:color w:val="auto"/>
          <w:sz w:val="24"/>
          <w:szCs w:val="24"/>
        </w:rPr>
        <w:t>4.4</w:t>
      </w:r>
      <w:r>
        <w:rPr>
          <w:color w:val="auto"/>
          <w:sz w:val="20"/>
          <w:szCs w:val="20"/>
        </w:rPr>
        <w:tab/>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 game meat and fresh produce from Southwestern region of Nigeria.</w:t>
      </w: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Majority of the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 to eat game meat and fresh produce were</w:t>
      </w:r>
    </w:p>
    <w:p>
      <w:pPr>
        <w:spacing w:after="0" w:line="137" w:lineRule="exact"/>
        <w:rPr>
          <w:color w:val="auto"/>
          <w:sz w:val="20"/>
          <w:szCs w:val="20"/>
        </w:rPr>
      </w:pPr>
    </w:p>
    <w:p>
      <w:pPr>
        <w:tabs>
          <w:tab w:val="left" w:pos="940"/>
          <w:tab w:val="left" w:pos="1280"/>
          <w:tab w:val="left" w:pos="1740"/>
          <w:tab w:val="left" w:pos="2800"/>
          <w:tab w:val="left" w:pos="3440"/>
          <w:tab w:val="left" w:pos="3800"/>
          <w:tab w:val="left" w:pos="5360"/>
          <w:tab w:val="left" w:pos="6800"/>
          <w:tab w:val="left" w:pos="8160"/>
        </w:tabs>
        <w:spacing w:after="0"/>
        <w:rPr>
          <w:color w:val="auto"/>
          <w:sz w:val="20"/>
          <w:szCs w:val="20"/>
        </w:rPr>
      </w:pPr>
      <w:r>
        <w:rPr>
          <w:rFonts w:ascii="Times New Roman" w:hAnsi="Times New Roman" w:eastAsia="Times New Roman" w:cs="Times New Roman"/>
          <w:color w:val="auto"/>
          <w:sz w:val="24"/>
          <w:szCs w:val="24"/>
        </w:rPr>
        <w:t>resistant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antibiotic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class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Cephalosporin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(Cefuroxime,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Ceftriaxone,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Cefotaxime,</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Ceftazidime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(Fig 4.3).  It  was noted  that the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tested were highly</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susceptible to Aminoglycoside majorly Amikacin (Table 4.2).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245110</wp:posOffset>
            </wp:positionH>
            <wp:positionV relativeFrom="paragraph">
              <wp:posOffset>1042670</wp:posOffset>
            </wp:positionV>
            <wp:extent cx="4628515" cy="2757170"/>
            <wp:effectExtent l="0" t="0" r="63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srcRect/>
                    <a:stretch>
                      <a:fillRect/>
                    </a:stretch>
                  </pic:blipFill>
                  <pic:spPr>
                    <a:xfrm>
                      <a:off x="0" y="0"/>
                      <a:ext cx="4628515" cy="27571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b/>
          <w:bCs/>
          <w:color w:val="auto"/>
          <w:sz w:val="24"/>
          <w:szCs w:val="24"/>
        </w:rPr>
        <w:t>Figure 4.3:</w:t>
      </w:r>
      <w:r>
        <w:rPr>
          <w:rFonts w:ascii="Times New Roman" w:hAnsi="Times New Roman" w:eastAsia="Times New Roman" w:cs="Times New Roman"/>
          <w:color w:val="auto"/>
          <w:sz w:val="24"/>
          <w:szCs w:val="24"/>
        </w:rPr>
        <w:t xml:space="preserve">AMR profile among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game meat and Fresh Produce isolates. This shows the resistance profile of all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isolates recovered in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line="254" w:lineRule="auto"/>
        <w:ind w:right="380"/>
        <w:rPr>
          <w:color w:val="auto"/>
          <w:sz w:val="20"/>
          <w:szCs w:val="20"/>
        </w:rPr>
      </w:pP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 game meat and fresh produce from Southwestern region of Nigeria</w:t>
      </w:r>
    </w:p>
    <w:p>
      <w:pPr>
        <w:spacing w:after="0" w:line="30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46</w:t>
      </w:r>
    </w:p>
    <w:p>
      <w:pPr>
        <w:sectPr>
          <w:pgSz w:w="12240" w:h="15840"/>
          <w:pgMar w:top="1440" w:right="1440" w:bottom="403" w:left="1440" w:header="0" w:footer="0" w:gutter="0"/>
          <w:cols w:equalWidth="0" w:num="1">
            <w:col w:w="9360"/>
          </w:cols>
        </w:sectPr>
      </w:pPr>
    </w:p>
    <w:tbl>
      <w:tblPr>
        <w:tblStyle w:val="3"/>
        <w:tblW w:w="0" w:type="auto"/>
        <w:tblInd w:w="20" w:type="dxa"/>
        <w:tblLayout w:type="fixed"/>
        <w:tblCellMar>
          <w:top w:w="0" w:type="dxa"/>
          <w:left w:w="0" w:type="dxa"/>
          <w:bottom w:w="0" w:type="dxa"/>
          <w:right w:w="0" w:type="dxa"/>
        </w:tblCellMar>
      </w:tblPr>
      <w:tblGrid>
        <w:gridCol w:w="2360"/>
        <w:gridCol w:w="2480"/>
        <w:gridCol w:w="1520"/>
        <w:gridCol w:w="1740"/>
        <w:gridCol w:w="800"/>
        <w:gridCol w:w="140"/>
        <w:gridCol w:w="1380"/>
        <w:gridCol w:w="360"/>
      </w:tblGrid>
      <w:tr>
        <w:tblPrEx>
          <w:tblCellMar>
            <w:top w:w="0" w:type="dxa"/>
            <w:left w:w="0" w:type="dxa"/>
            <w:bottom w:w="0" w:type="dxa"/>
            <w:right w:w="0" w:type="dxa"/>
          </w:tblCellMar>
        </w:tblPrEx>
        <w:trPr>
          <w:trHeight w:val="552" w:hRule="atLeast"/>
        </w:trPr>
        <w:tc>
          <w:tcPr>
            <w:tcW w:w="2360" w:type="dxa"/>
            <w:vMerge w:val="restart"/>
            <w:vAlign w:val="bottom"/>
          </w:tcPr>
          <w:p>
            <w:pPr>
              <w:spacing w:after="0"/>
              <w:rPr>
                <w:color w:val="auto"/>
                <w:sz w:val="20"/>
                <w:szCs w:val="20"/>
              </w:rPr>
            </w:pPr>
            <w:bookmarkStart w:id="52" w:name="page58"/>
            <w:bookmarkEnd w:id="52"/>
            <w:r>
              <w:rPr>
                <w:rFonts w:ascii="Times New Roman" w:hAnsi="Times New Roman" w:eastAsia="Times New Roman" w:cs="Times New Roman"/>
                <w:color w:val="auto"/>
                <w:sz w:val="24"/>
                <w:szCs w:val="24"/>
              </w:rPr>
              <w:t>Classes of Antibiotics</w:t>
            </w:r>
          </w:p>
        </w:tc>
        <w:tc>
          <w:tcPr>
            <w:tcW w:w="2480" w:type="dxa"/>
            <w:vMerge w:val="restart"/>
            <w:vAlign w:val="bottom"/>
          </w:tcPr>
          <w:p>
            <w:pPr>
              <w:spacing w:after="0"/>
              <w:ind w:left="300"/>
              <w:rPr>
                <w:color w:val="auto"/>
                <w:sz w:val="20"/>
                <w:szCs w:val="20"/>
              </w:rPr>
            </w:pPr>
            <w:r>
              <w:rPr>
                <w:rFonts w:ascii="Times New Roman" w:hAnsi="Times New Roman" w:eastAsia="Times New Roman" w:cs="Times New Roman"/>
                <w:color w:val="auto"/>
                <w:sz w:val="24"/>
                <w:szCs w:val="24"/>
              </w:rPr>
              <w:t>Antibiotics</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Disc</w:t>
            </w:r>
          </w:p>
        </w:tc>
        <w:tc>
          <w:tcPr>
            <w:tcW w:w="2540" w:type="dxa"/>
            <w:gridSpan w:val="2"/>
            <w:vAlign w:val="bottom"/>
          </w:tcPr>
          <w:p>
            <w:pPr>
              <w:spacing w:after="0"/>
              <w:ind w:left="200"/>
              <w:rPr>
                <w:color w:val="auto"/>
                <w:sz w:val="20"/>
                <w:szCs w:val="20"/>
              </w:rPr>
            </w:pPr>
            <w:r>
              <w:rPr>
                <w:rFonts w:ascii="Times New Roman" w:hAnsi="Times New Roman" w:eastAsia="Times New Roman" w:cs="Times New Roman"/>
                <w:color w:val="auto"/>
                <w:w w:val="89"/>
                <w:sz w:val="24"/>
                <w:szCs w:val="24"/>
              </w:rPr>
              <w:t>Antibiotic Disc</w:t>
            </w:r>
            <w:r>
              <w:rPr>
                <w:rFonts w:ascii="Times New Roman" w:hAnsi="Times New Roman" w:eastAsia="Times New Roman" w:cs="Times New Roman"/>
                <w:color w:val="auto"/>
                <w:w w:val="89"/>
                <w:sz w:val="48"/>
                <w:szCs w:val="48"/>
              </w:rPr>
              <w:t xml:space="preserve"> </w:t>
            </w:r>
            <w:r>
              <w:rPr>
                <w:rFonts w:ascii="Times New Roman" w:hAnsi="Times New Roman" w:eastAsia="Times New Roman" w:cs="Times New Roman"/>
                <w:i/>
                <w:iCs/>
                <w:color w:val="auto"/>
                <w:w w:val="89"/>
                <w:sz w:val="48"/>
                <w:szCs w:val="48"/>
                <w:vertAlign w:val="subscript"/>
              </w:rPr>
              <w:t>E.COLI</w:t>
            </w:r>
          </w:p>
        </w:tc>
        <w:tc>
          <w:tcPr>
            <w:tcW w:w="140" w:type="dxa"/>
            <w:vAlign w:val="bottom"/>
          </w:tcPr>
          <w:p>
            <w:pPr>
              <w:spacing w:after="0"/>
              <w:rPr>
                <w:color w:val="auto"/>
                <w:sz w:val="24"/>
                <w:szCs w:val="24"/>
              </w:rPr>
            </w:pPr>
          </w:p>
        </w:tc>
        <w:tc>
          <w:tcPr>
            <w:tcW w:w="1380" w:type="dxa"/>
            <w:vAlign w:val="bottom"/>
          </w:tcPr>
          <w:p>
            <w:pPr>
              <w:spacing w:after="0"/>
              <w:rPr>
                <w:color w:val="auto"/>
                <w:sz w:val="20"/>
                <w:szCs w:val="20"/>
              </w:rPr>
            </w:pPr>
            <w:r>
              <w:rPr>
                <w:rFonts w:ascii="Times New Roman" w:hAnsi="Times New Roman" w:eastAsia="Times New Roman" w:cs="Times New Roman"/>
                <w:color w:val="auto"/>
                <w:sz w:val="24"/>
                <w:szCs w:val="24"/>
              </w:rPr>
              <w:t>Isolates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1" w:hRule="atLeast"/>
        </w:trPr>
        <w:tc>
          <w:tcPr>
            <w:tcW w:w="2360" w:type="dxa"/>
            <w:vMerge w:val="continue"/>
            <w:vAlign w:val="bottom"/>
          </w:tcPr>
          <w:p>
            <w:pPr>
              <w:spacing w:after="0"/>
              <w:rPr>
                <w:color w:val="auto"/>
                <w:sz w:val="22"/>
                <w:szCs w:val="22"/>
              </w:rPr>
            </w:pPr>
          </w:p>
        </w:tc>
        <w:tc>
          <w:tcPr>
            <w:tcW w:w="2480" w:type="dxa"/>
            <w:vMerge w:val="continue"/>
            <w:vAlign w:val="bottom"/>
          </w:tcPr>
          <w:p>
            <w:pPr>
              <w:spacing w:after="0"/>
              <w:rPr>
                <w:color w:val="auto"/>
                <w:sz w:val="22"/>
                <w:szCs w:val="22"/>
              </w:rPr>
            </w:pPr>
          </w:p>
        </w:tc>
        <w:tc>
          <w:tcPr>
            <w:tcW w:w="1520" w:type="dxa"/>
            <w:vMerge w:val="restart"/>
            <w:vAlign w:val="bottom"/>
          </w:tcPr>
          <w:p>
            <w:pPr>
              <w:spacing w:after="0"/>
              <w:ind w:left="760"/>
              <w:rPr>
                <w:color w:val="auto"/>
                <w:sz w:val="20"/>
                <w:szCs w:val="20"/>
              </w:rPr>
            </w:pPr>
            <w:r>
              <w:rPr>
                <w:rFonts w:ascii="Times New Roman" w:hAnsi="Times New Roman" w:eastAsia="Times New Roman" w:cs="Times New Roman"/>
                <w:color w:val="auto"/>
                <w:sz w:val="24"/>
                <w:szCs w:val="24"/>
              </w:rPr>
              <w:t>Code</w:t>
            </w:r>
          </w:p>
        </w:tc>
        <w:tc>
          <w:tcPr>
            <w:tcW w:w="1740" w:type="dxa"/>
            <w:vAlign w:val="bottom"/>
          </w:tcPr>
          <w:p>
            <w:pPr>
              <w:spacing w:after="0" w:line="262" w:lineRule="exact"/>
              <w:ind w:left="200"/>
              <w:rPr>
                <w:color w:val="auto"/>
                <w:sz w:val="20"/>
                <w:szCs w:val="20"/>
              </w:rPr>
            </w:pPr>
            <w:r>
              <w:rPr>
                <w:rFonts w:ascii="Times New Roman" w:hAnsi="Times New Roman" w:eastAsia="Times New Roman" w:cs="Times New Roman"/>
                <w:color w:val="auto"/>
                <w:sz w:val="24"/>
                <w:szCs w:val="24"/>
              </w:rPr>
              <w:t>Content</w:t>
            </w:r>
          </w:p>
        </w:tc>
        <w:tc>
          <w:tcPr>
            <w:tcW w:w="800" w:type="dxa"/>
            <w:vMerge w:val="restart"/>
            <w:vAlign w:val="bottom"/>
          </w:tcPr>
          <w:p>
            <w:pPr>
              <w:spacing w:after="0"/>
              <w:rPr>
                <w:color w:val="auto"/>
                <w:sz w:val="20"/>
                <w:szCs w:val="20"/>
              </w:rPr>
            </w:pPr>
            <w:r>
              <w:rPr>
                <w:rFonts w:ascii="Times New Roman" w:hAnsi="Times New Roman" w:eastAsia="Times New Roman" w:cs="Times New Roman"/>
                <w:color w:val="auto"/>
                <w:sz w:val="24"/>
                <w:szCs w:val="24"/>
              </w:rPr>
              <w:t>(n =11)</w:t>
            </w:r>
          </w:p>
        </w:tc>
        <w:tc>
          <w:tcPr>
            <w:tcW w:w="140" w:type="dxa"/>
            <w:vAlign w:val="bottom"/>
          </w:tcPr>
          <w:p>
            <w:pPr>
              <w:spacing w:after="0"/>
              <w:rPr>
                <w:color w:val="auto"/>
                <w:sz w:val="22"/>
                <w:szCs w:val="22"/>
              </w:rPr>
            </w:pPr>
          </w:p>
        </w:tc>
        <w:tc>
          <w:tcPr>
            <w:tcW w:w="138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2360" w:type="dxa"/>
            <w:vAlign w:val="bottom"/>
          </w:tcPr>
          <w:p>
            <w:pPr>
              <w:spacing w:after="0"/>
              <w:rPr>
                <w:color w:val="auto"/>
                <w:sz w:val="16"/>
                <w:szCs w:val="16"/>
              </w:rPr>
            </w:pPr>
          </w:p>
        </w:tc>
        <w:tc>
          <w:tcPr>
            <w:tcW w:w="2480" w:type="dxa"/>
            <w:vAlign w:val="bottom"/>
          </w:tcPr>
          <w:p>
            <w:pPr>
              <w:spacing w:after="0"/>
              <w:rPr>
                <w:color w:val="auto"/>
                <w:sz w:val="16"/>
                <w:szCs w:val="16"/>
              </w:rPr>
            </w:pPr>
          </w:p>
        </w:tc>
        <w:tc>
          <w:tcPr>
            <w:tcW w:w="1520" w:type="dxa"/>
            <w:vMerge w:val="continue"/>
            <w:vAlign w:val="bottom"/>
          </w:tcPr>
          <w:p>
            <w:pPr>
              <w:spacing w:after="0"/>
              <w:rPr>
                <w:color w:val="auto"/>
                <w:sz w:val="16"/>
                <w:szCs w:val="16"/>
              </w:rPr>
            </w:pPr>
          </w:p>
        </w:tc>
        <w:tc>
          <w:tcPr>
            <w:tcW w:w="1740" w:type="dxa"/>
            <w:vMerge w:val="restart"/>
            <w:vAlign w:val="bottom"/>
          </w:tcPr>
          <w:p>
            <w:pPr>
              <w:spacing w:after="0" w:line="264" w:lineRule="exact"/>
              <w:ind w:right="540"/>
              <w:jc w:val="right"/>
              <w:rPr>
                <w:color w:val="auto"/>
                <w:sz w:val="20"/>
                <w:szCs w:val="20"/>
              </w:rPr>
            </w:pPr>
            <w:r>
              <w:rPr>
                <w:rFonts w:ascii="Times New Roman" w:hAnsi="Times New Roman" w:eastAsia="Times New Roman" w:cs="Times New Roman"/>
                <w:color w:val="auto"/>
                <w:sz w:val="24"/>
                <w:szCs w:val="24"/>
              </w:rPr>
              <w:t>(µg/disc)</w:t>
            </w:r>
          </w:p>
        </w:tc>
        <w:tc>
          <w:tcPr>
            <w:tcW w:w="800" w:type="dxa"/>
            <w:vMerge w:val="continue"/>
            <w:vAlign w:val="bottom"/>
          </w:tcPr>
          <w:p>
            <w:pPr>
              <w:spacing w:after="0"/>
              <w:rPr>
                <w:color w:val="auto"/>
                <w:sz w:val="16"/>
                <w:szCs w:val="16"/>
              </w:rPr>
            </w:pPr>
          </w:p>
        </w:tc>
        <w:tc>
          <w:tcPr>
            <w:tcW w:w="140" w:type="dxa"/>
            <w:vAlign w:val="bottom"/>
          </w:tcPr>
          <w:p>
            <w:pPr>
              <w:spacing w:after="0"/>
              <w:rPr>
                <w:color w:val="auto"/>
                <w:sz w:val="16"/>
                <w:szCs w:val="16"/>
              </w:rPr>
            </w:pPr>
          </w:p>
        </w:tc>
        <w:tc>
          <w:tcPr>
            <w:tcW w:w="138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9" w:hRule="atLeast"/>
        </w:trPr>
        <w:tc>
          <w:tcPr>
            <w:tcW w:w="2360" w:type="dxa"/>
            <w:vAlign w:val="bottom"/>
          </w:tcPr>
          <w:p>
            <w:pPr>
              <w:spacing w:after="0"/>
              <w:rPr>
                <w:color w:val="auto"/>
                <w:sz w:val="6"/>
                <w:szCs w:val="6"/>
              </w:rPr>
            </w:pPr>
          </w:p>
        </w:tc>
        <w:tc>
          <w:tcPr>
            <w:tcW w:w="2480" w:type="dxa"/>
            <w:vAlign w:val="bottom"/>
          </w:tcPr>
          <w:p>
            <w:pPr>
              <w:spacing w:after="0"/>
              <w:rPr>
                <w:color w:val="auto"/>
                <w:sz w:val="6"/>
                <w:szCs w:val="6"/>
              </w:rPr>
            </w:pPr>
          </w:p>
        </w:tc>
        <w:tc>
          <w:tcPr>
            <w:tcW w:w="1520" w:type="dxa"/>
            <w:vAlign w:val="bottom"/>
          </w:tcPr>
          <w:p>
            <w:pPr>
              <w:spacing w:after="0"/>
              <w:rPr>
                <w:color w:val="auto"/>
                <w:sz w:val="6"/>
                <w:szCs w:val="6"/>
              </w:rPr>
            </w:pPr>
          </w:p>
        </w:tc>
        <w:tc>
          <w:tcPr>
            <w:tcW w:w="1740" w:type="dxa"/>
            <w:vMerge w:val="continue"/>
            <w:vAlign w:val="bottom"/>
          </w:tcPr>
          <w:p>
            <w:pPr>
              <w:spacing w:after="0"/>
              <w:rPr>
                <w:color w:val="auto"/>
                <w:sz w:val="6"/>
                <w:szCs w:val="6"/>
              </w:rPr>
            </w:pPr>
          </w:p>
        </w:tc>
        <w:tc>
          <w:tcPr>
            <w:tcW w:w="800" w:type="dxa"/>
            <w:vAlign w:val="bottom"/>
          </w:tcPr>
          <w:p>
            <w:pPr>
              <w:spacing w:after="0"/>
              <w:rPr>
                <w:color w:val="auto"/>
                <w:sz w:val="6"/>
                <w:szCs w:val="6"/>
              </w:rPr>
            </w:pPr>
          </w:p>
        </w:tc>
        <w:tc>
          <w:tcPr>
            <w:tcW w:w="140" w:type="dxa"/>
            <w:vAlign w:val="bottom"/>
          </w:tcPr>
          <w:p>
            <w:pPr>
              <w:spacing w:after="0"/>
              <w:rPr>
                <w:color w:val="auto"/>
                <w:sz w:val="6"/>
                <w:szCs w:val="6"/>
              </w:rPr>
            </w:pPr>
          </w:p>
        </w:tc>
        <w:tc>
          <w:tcPr>
            <w:tcW w:w="13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2360" w:type="dxa"/>
            <w:vAlign w:val="bottom"/>
          </w:tcPr>
          <w:p>
            <w:pPr>
              <w:spacing w:after="0"/>
              <w:rPr>
                <w:color w:val="auto"/>
                <w:sz w:val="11"/>
                <w:szCs w:val="11"/>
              </w:rPr>
            </w:pPr>
          </w:p>
        </w:tc>
        <w:tc>
          <w:tcPr>
            <w:tcW w:w="2480" w:type="dxa"/>
            <w:vAlign w:val="bottom"/>
          </w:tcPr>
          <w:p>
            <w:pPr>
              <w:spacing w:after="0"/>
              <w:rPr>
                <w:color w:val="auto"/>
                <w:sz w:val="11"/>
                <w:szCs w:val="11"/>
              </w:rPr>
            </w:pPr>
          </w:p>
        </w:tc>
        <w:tc>
          <w:tcPr>
            <w:tcW w:w="1520" w:type="dxa"/>
            <w:vAlign w:val="bottom"/>
          </w:tcPr>
          <w:p>
            <w:pPr>
              <w:spacing w:after="0"/>
              <w:rPr>
                <w:color w:val="auto"/>
                <w:sz w:val="11"/>
                <w:szCs w:val="11"/>
              </w:rPr>
            </w:pPr>
          </w:p>
        </w:tc>
        <w:tc>
          <w:tcPr>
            <w:tcW w:w="1740" w:type="dxa"/>
            <w:vAlign w:val="bottom"/>
          </w:tcPr>
          <w:p>
            <w:pPr>
              <w:spacing w:after="0"/>
              <w:rPr>
                <w:color w:val="auto"/>
                <w:sz w:val="11"/>
                <w:szCs w:val="11"/>
              </w:rPr>
            </w:pPr>
          </w:p>
        </w:tc>
        <w:tc>
          <w:tcPr>
            <w:tcW w:w="800" w:type="dxa"/>
            <w:tcBorders>
              <w:bottom w:val="single" w:color="auto" w:sz="8" w:space="0"/>
            </w:tcBorders>
            <w:vAlign w:val="bottom"/>
          </w:tcPr>
          <w:p>
            <w:pPr>
              <w:spacing w:after="0"/>
              <w:rPr>
                <w:color w:val="auto"/>
                <w:sz w:val="11"/>
                <w:szCs w:val="11"/>
              </w:rPr>
            </w:pPr>
          </w:p>
        </w:tc>
        <w:tc>
          <w:tcPr>
            <w:tcW w:w="140" w:type="dxa"/>
            <w:tcBorders>
              <w:bottom w:val="single" w:color="auto" w:sz="8" w:space="0"/>
            </w:tcBorders>
            <w:vAlign w:val="bottom"/>
          </w:tcPr>
          <w:p>
            <w:pPr>
              <w:spacing w:after="0"/>
              <w:rPr>
                <w:color w:val="auto"/>
                <w:sz w:val="11"/>
                <w:szCs w:val="11"/>
              </w:rPr>
            </w:pPr>
          </w:p>
        </w:tc>
        <w:tc>
          <w:tcPr>
            <w:tcW w:w="1380" w:type="dxa"/>
            <w:tcBorders>
              <w:bottom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2360" w:type="dxa"/>
            <w:vAlign w:val="bottom"/>
          </w:tcPr>
          <w:p>
            <w:pPr>
              <w:spacing w:after="0"/>
              <w:rPr>
                <w:color w:val="auto"/>
                <w:sz w:val="24"/>
                <w:szCs w:val="24"/>
              </w:rPr>
            </w:pPr>
          </w:p>
        </w:tc>
        <w:tc>
          <w:tcPr>
            <w:tcW w:w="24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740" w:type="dxa"/>
            <w:vAlign w:val="bottom"/>
          </w:tcPr>
          <w:p>
            <w:pPr>
              <w:spacing w:after="0"/>
              <w:rPr>
                <w:color w:val="auto"/>
                <w:sz w:val="24"/>
                <w:szCs w:val="24"/>
              </w:rPr>
            </w:pP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R</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I</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360" w:type="dxa"/>
            <w:tcBorders>
              <w:bottom w:val="single" w:color="auto" w:sz="8" w:space="0"/>
            </w:tcBorders>
            <w:vAlign w:val="bottom"/>
          </w:tcPr>
          <w:p>
            <w:pPr>
              <w:spacing w:after="0"/>
              <w:rPr>
                <w:color w:val="auto"/>
                <w:sz w:val="22"/>
                <w:szCs w:val="22"/>
              </w:rPr>
            </w:pPr>
          </w:p>
        </w:tc>
        <w:tc>
          <w:tcPr>
            <w:tcW w:w="2480" w:type="dxa"/>
            <w:tcBorders>
              <w:bottom w:val="single" w:color="auto" w:sz="8" w:space="0"/>
            </w:tcBorders>
            <w:vAlign w:val="bottom"/>
          </w:tcPr>
          <w:p>
            <w:pPr>
              <w:spacing w:after="0"/>
              <w:rPr>
                <w:color w:val="auto"/>
                <w:sz w:val="22"/>
                <w:szCs w:val="22"/>
              </w:rPr>
            </w:pPr>
          </w:p>
        </w:tc>
        <w:tc>
          <w:tcPr>
            <w:tcW w:w="152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38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2360" w:type="dxa"/>
            <w:vAlign w:val="bottom"/>
          </w:tcPr>
          <w:p>
            <w:pPr>
              <w:spacing w:after="0"/>
              <w:rPr>
                <w:color w:val="auto"/>
                <w:sz w:val="20"/>
                <w:szCs w:val="20"/>
              </w:rPr>
            </w:pPr>
            <w:r>
              <w:rPr>
                <w:rFonts w:ascii="Times New Roman" w:hAnsi="Times New Roman" w:eastAsia="Times New Roman" w:cs="Times New Roman"/>
                <w:color w:val="auto"/>
                <w:sz w:val="24"/>
                <w:szCs w:val="24"/>
              </w:rPr>
              <w:t>Sulfonamides</w:t>
            </w: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Cotrimoxazole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COT</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25</w:t>
            </w:r>
          </w:p>
        </w:tc>
        <w:tc>
          <w:tcPr>
            <w:tcW w:w="800" w:type="dxa"/>
            <w:vAlign w:val="bottom"/>
          </w:tcPr>
          <w:p>
            <w:pPr>
              <w:spacing w:after="0"/>
              <w:ind w:left="60"/>
              <w:rPr>
                <w:color w:val="auto"/>
                <w:sz w:val="20"/>
                <w:szCs w:val="20"/>
              </w:rPr>
            </w:pPr>
            <w:r>
              <w:rPr>
                <w:rFonts w:ascii="Times New Roman" w:hAnsi="Times New Roman" w:eastAsia="Times New Roman" w:cs="Times New Roman"/>
                <w:color w:val="auto"/>
                <w:sz w:val="24"/>
                <w:szCs w:val="24"/>
              </w:rPr>
              <w:t>7</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700"/>
              <w:rPr>
                <w:color w:val="auto"/>
                <w:sz w:val="20"/>
                <w:szCs w:val="20"/>
              </w:rPr>
            </w:pPr>
            <w:r>
              <w:rPr>
                <w:rFonts w:ascii="Times New Roman" w:hAnsi="Times New Roman" w:eastAsia="Times New Roman" w:cs="Times New Roman"/>
                <w:color w:val="auto"/>
                <w:sz w:val="24"/>
                <w:szCs w:val="24"/>
              </w:rPr>
              <w:t>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36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c>
          <w:tcPr>
            <w:tcW w:w="152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138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236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Aminoglycosides</w:t>
            </w:r>
          </w:p>
        </w:tc>
        <w:tc>
          <w:tcPr>
            <w:tcW w:w="2480" w:type="dxa"/>
            <w:vAlign w:val="bottom"/>
          </w:tcPr>
          <w:p>
            <w:pPr>
              <w:spacing w:after="0" w:line="272" w:lineRule="exact"/>
              <w:ind w:left="300"/>
              <w:rPr>
                <w:color w:val="auto"/>
                <w:sz w:val="20"/>
                <w:szCs w:val="20"/>
              </w:rPr>
            </w:pPr>
            <w:r>
              <w:rPr>
                <w:rFonts w:ascii="Times New Roman" w:hAnsi="Times New Roman" w:eastAsia="Times New Roman" w:cs="Times New Roman"/>
                <w:color w:val="auto"/>
                <w:sz w:val="24"/>
                <w:szCs w:val="24"/>
              </w:rPr>
              <w:t>Gentamycin</w:t>
            </w:r>
          </w:p>
        </w:tc>
        <w:tc>
          <w:tcPr>
            <w:tcW w:w="1520" w:type="dxa"/>
            <w:vAlign w:val="bottom"/>
          </w:tcPr>
          <w:p>
            <w:pPr>
              <w:spacing w:after="0" w:line="272" w:lineRule="exact"/>
              <w:ind w:left="760"/>
              <w:rPr>
                <w:color w:val="auto"/>
                <w:sz w:val="20"/>
                <w:szCs w:val="20"/>
              </w:rPr>
            </w:pPr>
            <w:r>
              <w:rPr>
                <w:rFonts w:ascii="Times New Roman" w:hAnsi="Times New Roman" w:eastAsia="Times New Roman" w:cs="Times New Roman"/>
                <w:color w:val="auto"/>
                <w:sz w:val="24"/>
                <w:szCs w:val="24"/>
              </w:rPr>
              <w:t>GEN</w:t>
            </w:r>
          </w:p>
        </w:tc>
        <w:tc>
          <w:tcPr>
            <w:tcW w:w="1740" w:type="dxa"/>
            <w:vAlign w:val="bottom"/>
          </w:tcPr>
          <w:p>
            <w:pPr>
              <w:spacing w:after="0" w:line="272" w:lineRule="exact"/>
              <w:ind w:right="540"/>
              <w:jc w:val="right"/>
              <w:rPr>
                <w:color w:val="auto"/>
                <w:sz w:val="20"/>
                <w:szCs w:val="20"/>
              </w:rPr>
            </w:pPr>
            <w:r>
              <w:rPr>
                <w:rFonts w:ascii="Times New Roman" w:hAnsi="Times New Roman" w:eastAsia="Times New Roman" w:cs="Times New Roman"/>
                <w:color w:val="auto"/>
                <w:sz w:val="24"/>
                <w:szCs w:val="24"/>
              </w:rPr>
              <w:t>10</w:t>
            </w:r>
          </w:p>
        </w:tc>
        <w:tc>
          <w:tcPr>
            <w:tcW w:w="8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5</w:t>
            </w:r>
          </w:p>
        </w:tc>
        <w:tc>
          <w:tcPr>
            <w:tcW w:w="140" w:type="dxa"/>
            <w:vAlign w:val="bottom"/>
          </w:tcPr>
          <w:p>
            <w:pPr>
              <w:spacing w:after="0" w:line="272" w:lineRule="exact"/>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7"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Amikacin</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AMK</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w w:val="82"/>
                <w:sz w:val="24"/>
                <w:szCs w:val="24"/>
              </w:rPr>
              <w:t>1</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36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c>
          <w:tcPr>
            <w:tcW w:w="152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138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236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Cephalosporin</w:t>
            </w:r>
          </w:p>
        </w:tc>
        <w:tc>
          <w:tcPr>
            <w:tcW w:w="2480" w:type="dxa"/>
            <w:vAlign w:val="bottom"/>
          </w:tcPr>
          <w:p>
            <w:pPr>
              <w:spacing w:after="0" w:line="272" w:lineRule="exact"/>
              <w:ind w:left="300"/>
              <w:rPr>
                <w:color w:val="auto"/>
                <w:sz w:val="20"/>
                <w:szCs w:val="20"/>
              </w:rPr>
            </w:pPr>
            <w:r>
              <w:rPr>
                <w:rFonts w:ascii="Times New Roman" w:hAnsi="Times New Roman" w:eastAsia="Times New Roman" w:cs="Times New Roman"/>
                <w:color w:val="auto"/>
                <w:sz w:val="24"/>
                <w:szCs w:val="24"/>
              </w:rPr>
              <w:t>Cefotaxime</w:t>
            </w:r>
          </w:p>
        </w:tc>
        <w:tc>
          <w:tcPr>
            <w:tcW w:w="1520" w:type="dxa"/>
            <w:vAlign w:val="bottom"/>
          </w:tcPr>
          <w:p>
            <w:pPr>
              <w:spacing w:after="0" w:line="272" w:lineRule="exact"/>
              <w:ind w:left="760"/>
              <w:rPr>
                <w:color w:val="auto"/>
                <w:sz w:val="20"/>
                <w:szCs w:val="20"/>
              </w:rPr>
            </w:pPr>
            <w:r>
              <w:rPr>
                <w:rFonts w:ascii="Times New Roman" w:hAnsi="Times New Roman" w:eastAsia="Times New Roman" w:cs="Times New Roman"/>
                <w:color w:val="auto"/>
                <w:sz w:val="24"/>
                <w:szCs w:val="24"/>
              </w:rPr>
              <w:t>CTX</w:t>
            </w:r>
          </w:p>
        </w:tc>
        <w:tc>
          <w:tcPr>
            <w:tcW w:w="1740" w:type="dxa"/>
            <w:vAlign w:val="bottom"/>
          </w:tcPr>
          <w:p>
            <w:pPr>
              <w:spacing w:after="0" w:line="272" w:lineRule="exact"/>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line="272" w:lineRule="exact"/>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8"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Cefoperazone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CPZ</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7"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Ceftriaxone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CTR</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-2930525</wp:posOffset>
                </wp:positionV>
                <wp:extent cx="6612255" cy="0"/>
                <wp:effectExtent l="0" t="0" r="0" b="0"/>
                <wp:wrapNone/>
                <wp:docPr id="17" name="Shape 17"/>
                <wp:cNvGraphicFramePr/>
                <a:graphic xmlns:a="http://schemas.openxmlformats.org/drawingml/2006/main">
                  <a:graphicData uri="http://schemas.microsoft.com/office/word/2010/wordprocessingShape">
                    <wps:wsp>
                      <wps:cNvCnPr/>
                      <wps:spPr>
                        <a:xfrm>
                          <a:off x="0" y="0"/>
                          <a:ext cx="6612255" cy="4763"/>
                        </a:xfrm>
                        <a:prstGeom prst="line">
                          <a:avLst/>
                        </a:prstGeom>
                        <a:solidFill>
                          <a:srgbClr val="FFFFFF"/>
                        </a:solidFill>
                        <a:ln w="27431">
                          <a:solidFill>
                            <a:srgbClr val="000000"/>
                          </a:solidFill>
                          <a:miter lim="800000"/>
                        </a:ln>
                      </wps:spPr>
                      <wps:bodyPr/>
                    </wps:wsp>
                  </a:graphicData>
                </a:graphic>
              </wp:anchor>
            </w:drawing>
          </mc:Choice>
          <mc:Fallback>
            <w:pict>
              <v:line id="Shape 17" o:spid="_x0000_s1026" o:spt="20" style="position:absolute;left:0pt;margin-left:0.7pt;margin-top:-230.75pt;height:0pt;width:520.65pt;z-index:-251657216;mso-width-relative:page;mso-height-relative:page;" fillcolor="#FFFFFF" filled="t" stroked="t" coordsize="21600,21600" o:allowincell="f" o:gfxdata="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Hudc1wAAAAwBAAAPAAAAAAAAAAEAIAAAACIAAABkcnMvZG93bnJldi54bWxQSwECFAAUAAAACACH&#10;TuJAucOBhrMBAACcAwAADgAAAAAAAAABACAAAAAmAQAAZHJzL2Uyb0RvYy54bWxQSwUGAAAAAAYA&#10;BgBZAQAASwUAAAAA&#10;">
                <v:fill on="t" focussize="0,0"/>
                <v:stroke weight="2.1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510540</wp:posOffset>
                </wp:positionV>
                <wp:extent cx="6612255" cy="0"/>
                <wp:effectExtent l="0" t="0" r="0" b="0"/>
                <wp:wrapNone/>
                <wp:docPr id="18" name="Shape 18"/>
                <wp:cNvGraphicFramePr/>
                <a:graphic xmlns:a="http://schemas.openxmlformats.org/drawingml/2006/main">
                  <a:graphicData uri="http://schemas.microsoft.com/office/word/2010/wordprocessingShape">
                    <wps:wsp>
                      <wps:cNvCnPr/>
                      <wps:spPr>
                        <a:xfrm>
                          <a:off x="0" y="0"/>
                          <a:ext cx="6612255" cy="4763"/>
                        </a:xfrm>
                        <a:prstGeom prst="line">
                          <a:avLst/>
                        </a:prstGeom>
                        <a:solidFill>
                          <a:srgbClr val="FFFFFF"/>
                        </a:solidFill>
                        <a:ln w="6096">
                          <a:solidFill>
                            <a:srgbClr val="000000"/>
                          </a:solidFill>
                          <a:miter lim="800000"/>
                        </a:ln>
                      </wps:spPr>
                      <wps:bodyPr/>
                    </wps:wsp>
                  </a:graphicData>
                </a:graphic>
              </wp:anchor>
            </w:drawing>
          </mc:Choice>
          <mc:Fallback>
            <w:pict>
              <v:line id="Shape 18" o:spid="_x0000_s1026" o:spt="20" style="position:absolute;left:0pt;margin-left:0.7pt;margin-top:40.2pt;height:0pt;width:520.65pt;z-index:-251657216;mso-width-relative:page;mso-height-relative:page;" fillcolor="#FFFFFF" filled="t" stroked="t" coordsize="21600,21600" o:allowincell="f" o:gfxdata="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Ix+i&#10;1gAAAAgBAAAPAAAAAAAAAAEAIAAAACIAAABkcnMvZG93bnJldi54bWxQSwECFAAUAAAACACHTuJA&#10;mhDMX7EBAACbAwAADgAAAAAAAAABACAAAAAlAQAAZHJzL2Uyb0RvYy54bWxQSwUGAAAAAAYABgBZ&#10;AQAAS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300"/>
        <w:gridCol w:w="2660"/>
        <w:gridCol w:w="1740"/>
        <w:gridCol w:w="1080"/>
        <w:gridCol w:w="800"/>
        <w:gridCol w:w="820"/>
        <w:gridCol w:w="1020"/>
      </w:tblGrid>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300" w:type="dxa"/>
            <w:vAlign w:val="bottom"/>
          </w:tcPr>
          <w:p>
            <w:pPr>
              <w:spacing w:after="0"/>
              <w:rPr>
                <w:color w:val="auto"/>
                <w:sz w:val="20"/>
                <w:szCs w:val="20"/>
              </w:rPr>
            </w:pPr>
            <w:r>
              <w:rPr>
                <w:rFonts w:ascii="Times New Roman" w:hAnsi="Times New Roman" w:eastAsia="Times New Roman" w:cs="Times New Roman"/>
                <w:color w:val="auto"/>
                <w:sz w:val="24"/>
                <w:szCs w:val="24"/>
              </w:rPr>
              <w:t>Fluoroquinolones</w:t>
            </w:r>
          </w:p>
        </w:tc>
        <w:tc>
          <w:tcPr>
            <w:tcW w:w="266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Ciprofloxacin</w:t>
            </w:r>
          </w:p>
        </w:tc>
        <w:tc>
          <w:tcPr>
            <w:tcW w:w="174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CIP</w:t>
            </w:r>
          </w:p>
        </w:tc>
        <w:tc>
          <w:tcPr>
            <w:tcW w:w="108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5</w:t>
            </w:r>
          </w:p>
        </w:tc>
        <w:tc>
          <w:tcPr>
            <w:tcW w:w="800" w:type="dxa"/>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w:t>
            </w:r>
          </w:p>
        </w:tc>
        <w:tc>
          <w:tcPr>
            <w:tcW w:w="1020" w:type="dxa"/>
            <w:vAlign w:val="bottom"/>
          </w:tcPr>
          <w:p>
            <w:pPr>
              <w:spacing w:after="0"/>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66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108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8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Anti 50S Ribosomal</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Chloramphenicol</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CHL</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6</w:t>
            </w:r>
          </w:p>
        </w:tc>
        <w:tc>
          <w:tcPr>
            <w:tcW w:w="820" w:type="dxa"/>
            <w:vAlign w:val="bottom"/>
          </w:tcPr>
          <w:p>
            <w:pPr>
              <w:spacing w:after="0" w:line="272" w:lineRule="exact"/>
              <w:ind w:left="340"/>
              <w:rPr>
                <w:color w:val="auto"/>
                <w:sz w:val="20"/>
                <w:szCs w:val="20"/>
              </w:rPr>
            </w:pPr>
            <w:r>
              <w:rPr>
                <w:rFonts w:ascii="Times New Roman" w:hAnsi="Times New Roman" w:eastAsia="Times New Roman" w:cs="Times New Roman"/>
                <w:color w:val="auto"/>
                <w:sz w:val="24"/>
                <w:szCs w:val="24"/>
              </w:rPr>
              <w:t>2</w:t>
            </w:r>
          </w:p>
        </w:tc>
        <w:tc>
          <w:tcPr>
            <w:tcW w:w="1020" w:type="dxa"/>
            <w:vAlign w:val="bottom"/>
          </w:tcPr>
          <w:p>
            <w:pPr>
              <w:spacing w:after="0" w:line="272" w:lineRule="exact"/>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66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108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82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Tetracycline</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Tetracycline</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TET</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line="272" w:lineRule="exact"/>
              <w:ind w:right="180"/>
              <w:jc w:val="right"/>
              <w:rPr>
                <w:color w:val="auto"/>
                <w:sz w:val="20"/>
                <w:szCs w:val="20"/>
              </w:rPr>
            </w:pPr>
            <w:r>
              <w:rPr>
                <w:rFonts w:ascii="Times New Roman" w:hAnsi="Times New Roman" w:eastAsia="Times New Roman" w:cs="Times New Roman"/>
                <w:color w:val="auto"/>
                <w:sz w:val="24"/>
                <w:szCs w:val="24"/>
              </w:rPr>
              <w:t>1</w:t>
            </w:r>
          </w:p>
        </w:tc>
        <w:tc>
          <w:tcPr>
            <w:tcW w:w="1020" w:type="dxa"/>
            <w:vAlign w:val="bottom"/>
          </w:tcPr>
          <w:p>
            <w:pPr>
              <w:spacing w:after="0" w:line="272" w:lineRule="exact"/>
              <w:ind w:right="420"/>
              <w:jc w:val="right"/>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66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108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8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Carbapenem</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Meropenem</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MEM</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line="272" w:lineRule="exact"/>
              <w:ind w:left="340"/>
              <w:rPr>
                <w:color w:val="auto"/>
                <w:sz w:val="20"/>
                <w:szCs w:val="20"/>
              </w:rPr>
            </w:pPr>
            <w:r>
              <w:rPr>
                <w:rFonts w:ascii="Times New Roman" w:hAnsi="Times New Roman" w:eastAsia="Times New Roman" w:cs="Times New Roman"/>
                <w:color w:val="auto"/>
                <w:sz w:val="24"/>
                <w:szCs w:val="24"/>
              </w:rPr>
              <w:t>-</w:t>
            </w:r>
          </w:p>
        </w:tc>
        <w:tc>
          <w:tcPr>
            <w:tcW w:w="1020" w:type="dxa"/>
            <w:vAlign w:val="bottom"/>
          </w:tcPr>
          <w:p>
            <w:pPr>
              <w:spacing w:after="0" w:line="272" w:lineRule="exact"/>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4" w:hRule="atLeast"/>
        </w:trPr>
        <w:tc>
          <w:tcPr>
            <w:tcW w:w="20" w:type="dxa"/>
            <w:tcBorders>
              <w:bottom w:val="single" w:color="auto" w:sz="8" w:space="0"/>
            </w:tcBorders>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66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108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82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tabs>
          <w:tab w:val="left" w:pos="1100"/>
        </w:tabs>
        <w:spacing w:after="0"/>
        <w:ind w:left="540"/>
        <w:rPr>
          <w:color w:val="auto"/>
          <w:sz w:val="20"/>
          <w:szCs w:val="20"/>
        </w:rPr>
      </w:pP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ESBL Identification of E.coli using Double disc (Fresh Produce)</w:t>
      </w:r>
    </w:p>
    <w:p>
      <w:pPr>
        <w:spacing w:after="0" w:line="151" w:lineRule="exact"/>
        <w:rPr>
          <w:color w:val="auto"/>
          <w:sz w:val="20"/>
          <w:szCs w:val="20"/>
        </w:rPr>
      </w:pPr>
    </w:p>
    <w:p>
      <w:pPr>
        <w:spacing w:after="0" w:line="348" w:lineRule="auto"/>
        <w:ind w:left="540" w:right="680"/>
        <w:rPr>
          <w:color w:val="auto"/>
          <w:sz w:val="20"/>
          <w:szCs w:val="20"/>
        </w:rPr>
      </w:pPr>
      <w:r>
        <w:rPr>
          <w:rFonts w:ascii="Times New Roman" w:hAnsi="Times New Roman" w:eastAsia="Times New Roman" w:cs="Times New Roman"/>
          <w:color w:val="auto"/>
          <w:sz w:val="24"/>
          <w:szCs w:val="24"/>
        </w:rPr>
        <w:t xml:space="preserve">7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that were ESBL producers; . The anitbiotics used is the CTX, AMC and CAZ</w:t>
      </w:r>
    </w:p>
    <w:p>
      <w:pPr>
        <w:spacing w:after="0" w:line="39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47</w:t>
      </w:r>
    </w:p>
    <w:p>
      <w:pPr>
        <w:sectPr>
          <w:pgSz w:w="12240" w:h="15840"/>
          <w:pgMar w:top="1241" w:right="920" w:bottom="403" w:left="900" w:header="0" w:footer="0" w:gutter="0"/>
          <w:cols w:equalWidth="0" w:num="1">
            <w:col w:w="10420"/>
          </w:cols>
        </w:sectPr>
      </w:pPr>
    </w:p>
    <w:p>
      <w:pPr>
        <w:spacing w:after="0"/>
        <w:ind w:left="120"/>
        <w:rPr>
          <w:color w:val="auto"/>
          <w:sz w:val="20"/>
          <w:szCs w:val="20"/>
        </w:rPr>
      </w:pPr>
      <w:bookmarkStart w:id="53" w:name="page59"/>
      <w:bookmarkEnd w:id="53"/>
      <w:r>
        <w:rPr>
          <w:rFonts w:ascii="Times New Roman" w:hAnsi="Times New Roman" w:eastAsia="Times New Roman" w:cs="Times New Roman"/>
          <w:b/>
          <w:bCs/>
          <w:color w:val="auto"/>
          <w:sz w:val="24"/>
          <w:szCs w:val="24"/>
        </w:rPr>
        <w:t>Table 4.3:</w:t>
      </w:r>
      <w:r>
        <w:rPr>
          <w:rFonts w:ascii="Times New Roman" w:hAnsi="Times New Roman" w:eastAsia="Times New Roman" w:cs="Times New Roman"/>
          <w:color w:val="auto"/>
          <w:sz w:val="24"/>
          <w:szCs w:val="24"/>
        </w:rPr>
        <w:t xml:space="preserve"> ESBL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using Double disc (Fresh Produce)</w:t>
      </w:r>
    </w:p>
    <w:p>
      <w:pPr>
        <w:spacing w:after="0" w:line="200" w:lineRule="exact"/>
        <w:rPr>
          <w:color w:val="auto"/>
          <w:sz w:val="20"/>
          <w:szCs w:val="20"/>
        </w:rPr>
      </w:pPr>
    </w:p>
    <w:p>
      <w:pPr>
        <w:spacing w:after="0" w:line="395"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080"/>
        <w:gridCol w:w="2080"/>
        <w:gridCol w:w="2580"/>
        <w:gridCol w:w="3420"/>
      </w:tblGrid>
      <w:tr>
        <w:tblPrEx>
          <w:tblCellMar>
            <w:top w:w="0" w:type="dxa"/>
            <w:left w:w="0" w:type="dxa"/>
            <w:bottom w:w="0" w:type="dxa"/>
            <w:right w:w="0" w:type="dxa"/>
          </w:tblCellMar>
        </w:tblPrEx>
        <w:trPr>
          <w:trHeight w:val="292" w:hRule="atLeast"/>
        </w:trPr>
        <w:tc>
          <w:tcPr>
            <w:tcW w:w="20" w:type="dxa"/>
            <w:vAlign w:val="bottom"/>
          </w:tcPr>
          <w:p>
            <w:pPr>
              <w:spacing w:after="0"/>
              <w:rPr>
                <w:color w:val="auto"/>
                <w:sz w:val="24"/>
                <w:szCs w:val="24"/>
              </w:rPr>
            </w:pPr>
          </w:p>
        </w:tc>
        <w:tc>
          <w:tcPr>
            <w:tcW w:w="20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ISOLATE ID</w:t>
            </w:r>
          </w:p>
        </w:tc>
        <w:tc>
          <w:tcPr>
            <w:tcW w:w="2080" w:type="dxa"/>
            <w:tcBorders>
              <w:top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auto"/>
                <w:sz w:val="24"/>
                <w:szCs w:val="24"/>
              </w:rPr>
              <w:t>CTX</w:t>
            </w:r>
          </w:p>
        </w:tc>
        <w:tc>
          <w:tcPr>
            <w:tcW w:w="2580" w:type="dxa"/>
            <w:tcBorders>
              <w:top w:val="single" w:color="auto" w:sz="8" w:space="0"/>
            </w:tcBorders>
            <w:vAlign w:val="bottom"/>
          </w:tcPr>
          <w:p>
            <w:pPr>
              <w:spacing w:after="0"/>
              <w:ind w:left="1020"/>
              <w:rPr>
                <w:color w:val="auto"/>
                <w:sz w:val="20"/>
                <w:szCs w:val="20"/>
              </w:rPr>
            </w:pPr>
            <w:r>
              <w:rPr>
                <w:rFonts w:ascii="Times New Roman" w:hAnsi="Times New Roman" w:eastAsia="Times New Roman" w:cs="Times New Roman"/>
                <w:b/>
                <w:bCs/>
                <w:color w:val="auto"/>
                <w:sz w:val="24"/>
                <w:szCs w:val="24"/>
              </w:rPr>
              <w:t>AMC</w:t>
            </w:r>
          </w:p>
        </w:tc>
        <w:tc>
          <w:tcPr>
            <w:tcW w:w="3420" w:type="dxa"/>
            <w:tcBorders>
              <w:top w:val="single" w:color="auto" w:sz="8" w:space="0"/>
            </w:tcBorders>
            <w:vAlign w:val="bottom"/>
          </w:tcPr>
          <w:p>
            <w:pPr>
              <w:spacing w:after="0"/>
              <w:ind w:left="980"/>
              <w:rPr>
                <w:color w:val="auto"/>
                <w:sz w:val="20"/>
                <w:szCs w:val="20"/>
              </w:rPr>
            </w:pPr>
            <w:r>
              <w:rPr>
                <w:rFonts w:ascii="Times New Roman" w:hAnsi="Times New Roman" w:eastAsia="Times New Roman" w:cs="Times New Roman"/>
                <w:b/>
                <w:bCs/>
                <w:color w:val="auto"/>
                <w:sz w:val="24"/>
                <w:szCs w:val="24"/>
              </w:rPr>
              <w:t>CAZ</w:t>
            </w:r>
          </w:p>
        </w:tc>
      </w:tr>
      <w:tr>
        <w:tblPrEx>
          <w:tblCellMar>
            <w:top w:w="0" w:type="dxa"/>
            <w:left w:w="0" w:type="dxa"/>
            <w:bottom w:w="0" w:type="dxa"/>
            <w:right w:w="0" w:type="dxa"/>
          </w:tblCellMar>
        </w:tblPrEx>
        <w:trPr>
          <w:trHeight w:val="152" w:hRule="atLeast"/>
        </w:trPr>
        <w:tc>
          <w:tcPr>
            <w:tcW w:w="20" w:type="dxa"/>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80" w:type="dxa"/>
            <w:tcBorders>
              <w:bottom w:val="single" w:color="auto" w:sz="8" w:space="0"/>
            </w:tcBorders>
            <w:vAlign w:val="bottom"/>
          </w:tcPr>
          <w:p>
            <w:pPr>
              <w:spacing w:after="0"/>
              <w:rPr>
                <w:color w:val="auto"/>
                <w:sz w:val="13"/>
                <w:szCs w:val="13"/>
              </w:rPr>
            </w:pPr>
          </w:p>
        </w:tc>
        <w:tc>
          <w:tcPr>
            <w:tcW w:w="342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080" w:type="dxa"/>
            <w:vAlign w:val="bottom"/>
          </w:tcPr>
          <w:p>
            <w:pPr>
              <w:spacing w:after="0" w:line="272" w:lineRule="exact"/>
              <w:ind w:left="100"/>
              <w:rPr>
                <w:color w:val="auto"/>
                <w:sz w:val="20"/>
                <w:szCs w:val="20"/>
              </w:rPr>
            </w:pPr>
            <w:r>
              <w:rPr>
                <w:rFonts w:ascii="Times New Roman" w:hAnsi="Times New Roman" w:eastAsia="Times New Roman" w:cs="Times New Roman"/>
                <w:b/>
                <w:bCs/>
                <w:color w:val="auto"/>
                <w:sz w:val="24"/>
                <w:szCs w:val="24"/>
              </w:rPr>
              <w:t>MK</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1</w:t>
            </w:r>
          </w:p>
        </w:tc>
        <w:tc>
          <w:tcPr>
            <w:tcW w:w="2080" w:type="dxa"/>
            <w:vAlign w:val="bottom"/>
          </w:tcPr>
          <w:p>
            <w:pPr>
              <w:spacing w:after="0" w:line="267" w:lineRule="exact"/>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line="267" w:lineRule="exact"/>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line="267" w:lineRule="exact"/>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MS</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1</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MD</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MK</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MP</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W</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MD</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3</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MS</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C</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MA</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3</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MMC</w:t>
            </w:r>
            <w:r>
              <w:rPr>
                <w:rFonts w:ascii="Times New Roman" w:hAnsi="Times New Roman" w:eastAsia="Times New Roman" w:cs="Times New Roman"/>
                <w:b/>
                <w:bCs/>
                <w:color w:val="auto"/>
                <w:sz w:val="16"/>
                <w:szCs w:val="16"/>
              </w:rPr>
              <w:t>1</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152" w:hRule="atLeast"/>
        </w:trPr>
        <w:tc>
          <w:tcPr>
            <w:tcW w:w="2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80" w:type="dxa"/>
            <w:tcBorders>
              <w:bottom w:val="single" w:color="auto" w:sz="8" w:space="0"/>
            </w:tcBorders>
            <w:vAlign w:val="bottom"/>
          </w:tcPr>
          <w:p>
            <w:pPr>
              <w:spacing w:after="0"/>
              <w:rPr>
                <w:color w:val="auto"/>
                <w:sz w:val="13"/>
                <w:szCs w:val="13"/>
              </w:rPr>
            </w:pPr>
          </w:p>
        </w:tc>
        <w:tc>
          <w:tcPr>
            <w:tcW w:w="3420" w:type="dxa"/>
            <w:tcBorders>
              <w:bottom w:val="single" w:color="auto" w:sz="8" w:space="0"/>
            </w:tcBorders>
            <w:vAlign w:val="bottom"/>
          </w:tcPr>
          <w:p>
            <w:pPr>
              <w:spacing w:after="0"/>
              <w:rPr>
                <w:color w:val="auto"/>
                <w:sz w:val="13"/>
                <w:szCs w:val="1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4700"/>
        <w:rPr>
          <w:color w:val="auto"/>
          <w:sz w:val="20"/>
          <w:szCs w:val="20"/>
        </w:rPr>
      </w:pPr>
      <w:r>
        <w:rPr>
          <w:rFonts w:ascii="Calibri" w:hAnsi="Calibri" w:eastAsia="Calibri" w:cs="Calibri"/>
          <w:color w:val="auto"/>
          <w:sz w:val="20"/>
          <w:szCs w:val="20"/>
        </w:rPr>
        <w:t>48</w:t>
      </w:r>
    </w:p>
    <w:p>
      <w:pPr>
        <w:sectPr>
          <w:pgSz w:w="12240" w:h="15840"/>
          <w:pgMar w:top="1432" w:right="760" w:bottom="403" w:left="1320" w:header="0" w:footer="0" w:gutter="0"/>
          <w:cols w:equalWidth="0" w:num="1">
            <w:col w:w="10160"/>
          </w:cols>
        </w:sectPr>
      </w:pPr>
    </w:p>
    <w:p>
      <w:pPr>
        <w:tabs>
          <w:tab w:val="left" w:pos="560"/>
        </w:tabs>
        <w:spacing w:after="0"/>
        <w:rPr>
          <w:color w:val="auto"/>
          <w:sz w:val="20"/>
          <w:szCs w:val="20"/>
        </w:rPr>
      </w:pPr>
      <w:bookmarkStart w:id="54" w:name="page60"/>
      <w:bookmarkEnd w:id="54"/>
      <w:r>
        <w:rPr>
          <w:rFonts w:ascii="Times New Roman" w:hAnsi="Times New Roman" w:eastAsia="Times New Roman" w:cs="Times New Roman"/>
          <w:i/>
          <w:iCs/>
          <w:color w:val="auto"/>
          <w:sz w:val="24"/>
          <w:szCs w:val="24"/>
        </w:rPr>
        <w:t>4.6</w:t>
      </w:r>
      <w:r>
        <w:rPr>
          <w:color w:val="auto"/>
          <w:sz w:val="20"/>
          <w:szCs w:val="20"/>
        </w:rPr>
        <w:tab/>
      </w:r>
      <w:r>
        <w:rPr>
          <w:rFonts w:ascii="Times New Roman" w:hAnsi="Times New Roman" w:eastAsia="Times New Roman" w:cs="Times New Roman"/>
          <w:color w:val="auto"/>
          <w:sz w:val="24"/>
          <w:szCs w:val="24"/>
        </w:rPr>
        <w:t xml:space="preserve">Molecular Identification of </w:t>
      </w:r>
      <w:r>
        <w:rPr>
          <w:rFonts w:ascii="Times New Roman" w:hAnsi="Times New Roman" w:eastAsia="Times New Roman" w:cs="Times New Roman"/>
          <w:i/>
          <w:iCs/>
          <w:color w:val="auto"/>
          <w:sz w:val="24"/>
          <w:szCs w:val="24"/>
        </w:rPr>
        <w:t>E. coli using Multiplex PCR</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Multiplex pcr was used to determine 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pathogen and its was done using two treatment .</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As shown below in figure 4.4 treatment 1 shows that 8 </w:t>
      </w:r>
      <w:r>
        <w:rPr>
          <w:rFonts w:ascii="Times New Roman" w:hAnsi="Times New Roman" w:eastAsia="Times New Roman" w:cs="Times New Roman"/>
          <w:i/>
          <w:iCs/>
          <w:color w:val="auto"/>
          <w:sz w:val="24"/>
          <w:szCs w:val="24"/>
        </w:rPr>
        <w:t>E.coli isolates</w:t>
      </w:r>
      <w:r>
        <w:rPr>
          <w:rFonts w:ascii="Times New Roman" w:hAnsi="Times New Roman" w:eastAsia="Times New Roman" w:cs="Times New Roman"/>
          <w:color w:val="auto"/>
          <w:sz w:val="24"/>
          <w:szCs w:val="24"/>
        </w:rPr>
        <w:t xml:space="preserve"> were positive while in</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figure 4.5 treatment 2 shows that 2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pathtype was positive.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168910</wp:posOffset>
            </wp:positionV>
            <wp:extent cx="4572000" cy="2675890"/>
            <wp:effectExtent l="0" t="0" r="0" b="101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srcRect/>
                    <a:stretch>
                      <a:fillRect/>
                    </a:stretch>
                  </pic:blipFill>
                  <pic:spPr>
                    <a:xfrm>
                      <a:off x="0" y="0"/>
                      <a:ext cx="4572000" cy="2675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line="237" w:lineRule="auto"/>
        <w:jc w:val="both"/>
        <w:rPr>
          <w:color w:val="auto"/>
          <w:sz w:val="20"/>
          <w:szCs w:val="20"/>
        </w:rPr>
      </w:pPr>
      <w:r>
        <w:rPr>
          <w:rFonts w:ascii="Times New Roman" w:hAnsi="Times New Roman" w:eastAsia="Times New Roman" w:cs="Times New Roman"/>
          <w:color w:val="auto"/>
          <w:sz w:val="24"/>
          <w:szCs w:val="24"/>
        </w:rPr>
        <w:t xml:space="preserve">Plate 4.1: Illustrative agarose gel electrophoresis image of multiplex-PCR products (Human </w:t>
      </w: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28: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(Human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lane 30:(</w:t>
      </w:r>
      <w:r>
        <w:rPr>
          <w:rFonts w:ascii="Times New Roman" w:hAnsi="Times New Roman" w:eastAsia="Times New Roman" w:cs="Times New Roman"/>
          <w:i/>
          <w:iCs/>
          <w:color w:val="auto"/>
          <w:sz w:val="24"/>
          <w:szCs w:val="24"/>
        </w:rPr>
        <w:t>vtx1</w:t>
      </w: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400685</wp:posOffset>
            </wp:positionV>
            <wp:extent cx="4572000" cy="23044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a:srcRect/>
                    <a:stretch>
                      <a:fillRect/>
                    </a:stretch>
                  </pic:blipFill>
                  <pic:spPr>
                    <a:xfrm>
                      <a:off x="0" y="0"/>
                      <a:ext cx="4572000" cy="2304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237" w:lineRule="auto"/>
        <w:jc w:val="both"/>
        <w:rPr>
          <w:color w:val="auto"/>
          <w:sz w:val="20"/>
          <w:szCs w:val="20"/>
        </w:rPr>
      </w:pPr>
      <w:r>
        <w:rPr>
          <w:rFonts w:ascii="Times New Roman" w:hAnsi="Times New Roman" w:eastAsia="Times New Roman" w:cs="Times New Roman"/>
          <w:color w:val="auto"/>
          <w:sz w:val="24"/>
          <w:szCs w:val="24"/>
        </w:rPr>
        <w:t xml:space="preserve">Plate 4.2: Illustrative agarose gel electrophoresis image of multiplex-PCR products (Human </w:t>
      </w: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22: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xml:space="preserve">), lane 30:(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49</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5" w:name="page61"/>
      <w:bookmarkEnd w:id="55"/>
      <w:r>
        <w:rPr>
          <w:rFonts w:ascii="Times New Roman" w:hAnsi="Times New Roman" w:eastAsia="Times New Roman" w:cs="Times New Roman"/>
          <w:color w:val="auto"/>
          <w:sz w:val="24"/>
          <w:szCs w:val="24"/>
        </w:rPr>
        <w:t>4.7</w:t>
      </w:r>
      <w:r>
        <w:rPr>
          <w:color w:val="auto"/>
          <w:sz w:val="20"/>
          <w:szCs w:val="20"/>
        </w:rPr>
        <w:tab/>
      </w:r>
      <w:r>
        <w:rPr>
          <w:rFonts w:ascii="Times New Roman" w:hAnsi="Times New Roman" w:eastAsia="Times New Roman" w:cs="Times New Roman"/>
          <w:color w:val="auto"/>
          <w:sz w:val="23"/>
          <w:szCs w:val="23"/>
        </w:rPr>
        <w:t>ESBL Identification using Simplex PCR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291465</wp:posOffset>
            </wp:positionV>
            <wp:extent cx="4096385" cy="2429510"/>
            <wp:effectExtent l="0" t="0" r="1841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a:srcRect/>
                    <a:stretch>
                      <a:fillRect/>
                    </a:stretch>
                  </pic:blipFill>
                  <pic:spPr>
                    <a:xfrm>
                      <a:off x="0" y="0"/>
                      <a:ext cx="4096385" cy="24295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Plate 4.3: Illustrative agarose gel electrophoresis image of multiplex-PCR products (</w:t>
      </w:r>
      <w:r>
        <w:rPr>
          <w:rFonts w:ascii="Times New Roman" w:hAnsi="Times New Roman" w:eastAsia="Times New Roman" w:cs="Times New Roman"/>
          <w:i/>
          <w:iCs/>
          <w:color w:val="auto"/>
          <w:sz w:val="24"/>
          <w:szCs w:val="24"/>
        </w:rPr>
        <w:t>Bla-TEM,</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Bla-SHV</w:t>
      </w:r>
      <w:r>
        <w:rPr>
          <w:rFonts w:ascii="Times New Roman" w:hAnsi="Times New Roman" w:eastAsia="Times New Roman" w:cs="Times New Roman"/>
          <w:color w:val="auto"/>
          <w:sz w:val="24"/>
          <w:szCs w:val="24"/>
        </w:rPr>
        <w:t>); Lane L: marker (100-bp ladder),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50</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6" w:name="page62"/>
      <w:bookmarkEnd w:id="56"/>
      <w:r>
        <w:rPr>
          <w:rFonts w:ascii="Times New Roman" w:hAnsi="Times New Roman" w:eastAsia="Times New Roman" w:cs="Times New Roman"/>
          <w:b/>
          <w:bCs/>
          <w:color w:val="auto"/>
          <w:sz w:val="24"/>
          <w:szCs w:val="24"/>
        </w:rPr>
        <w:t>4.8</w:t>
      </w:r>
      <w:r>
        <w:rPr>
          <w:color w:val="auto"/>
          <w:sz w:val="20"/>
          <w:szCs w:val="20"/>
        </w:rPr>
        <w:tab/>
      </w:r>
      <w:r>
        <w:rPr>
          <w:rFonts w:ascii="Times New Roman" w:hAnsi="Times New Roman" w:eastAsia="Times New Roman" w:cs="Times New Roman"/>
          <w:b/>
          <w:bCs/>
          <w:color w:val="auto"/>
          <w:sz w:val="23"/>
          <w:szCs w:val="23"/>
        </w:rPr>
        <w:t>Discussion</w:t>
      </w:r>
    </w:p>
    <w:p>
      <w:pPr>
        <w:spacing w:after="0" w:line="200" w:lineRule="exact"/>
        <w:rPr>
          <w:color w:val="auto"/>
          <w:sz w:val="20"/>
          <w:szCs w:val="20"/>
        </w:rPr>
      </w:pPr>
    </w:p>
    <w:p>
      <w:pPr>
        <w:spacing w:after="0" w:line="223" w:lineRule="exact"/>
        <w:rPr>
          <w:color w:val="auto"/>
          <w:sz w:val="20"/>
          <w:szCs w:val="20"/>
        </w:rPr>
      </w:pPr>
    </w:p>
    <w:p>
      <w:pPr>
        <w:spacing w:after="0" w:line="359" w:lineRule="auto"/>
        <w:ind w:firstLine="60"/>
        <w:jc w:val="both"/>
        <w:rPr>
          <w:color w:val="auto"/>
          <w:sz w:val="20"/>
          <w:szCs w:val="20"/>
        </w:rPr>
      </w:pPr>
      <w:r>
        <w:rPr>
          <w:rFonts w:ascii="Times New Roman" w:hAnsi="Times New Roman" w:eastAsia="Times New Roman" w:cs="Times New Roman"/>
          <w:color w:val="auto"/>
          <w:sz w:val="24"/>
          <w:szCs w:val="24"/>
        </w:rPr>
        <w:t xml:space="preserve">RTE game meat and Fresh meats are sometimes contaminated with bacteria, which can be harmful to the human body. The major bacterial pathogens include: </w:t>
      </w:r>
      <w:r>
        <w:rPr>
          <w:rFonts w:ascii="Times New Roman" w:hAnsi="Times New Roman" w:eastAsia="Times New Roman" w:cs="Times New Roman"/>
          <w:i/>
          <w:iCs/>
          <w:color w:val="auto"/>
          <w:sz w:val="24"/>
          <w:szCs w:val="24"/>
        </w:rPr>
        <w:t>Salmonella, S. aureus, C. botulinum, Clostridium perfringens, B. cereus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The sources of these microbes in meat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could be inherent micro-flora in normal tissues of animals, air, environment, or contamination due to unhygienic slaughtering, handling and processing conditions. The isolate is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and is circular in shape showing pink and white on SMAC plate. Each isolate was subjected to various tests to study their characteristic features in order to identify them. Considering the marked importance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infection organisms as food-borne pathogens, we aimed in this study to evaluate the levels of contamination by those organisms in RTE game meat and fresh produce in southwestern part of Nigeria. The isolated strains were characterized at the molecular level using PCR and evaluated their antimicrobial resistance patterns to different antimicrobials. The total viable count was able to indicate the microbiological quality of the produce examined and it was able to show the level at different states in south west in Nigeria of which their microbial load ranges. After the total viable count examination, Antibiotic susceptibilty test was done on the isolates by using mueller hinton agar and antibiotic disc, then after molecular identification was done using the multiplex pcr for game meat and fresh produce. In multiplex pcr, 55 isolate from game meat were used and 7.3% of the isolate were tested positive for vtx1 gene which was used to detect VTEC (verotoxigenic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STEC) which causes diarrhoeal in humans , and 18% of 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 were positive for estA which is used to dectect ETEC (enterotoxigenic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In simplex pcr, 11 samples were used from fresh produce for the detection of esbl and 27.3% were positive the bio tem, 18.2% were positive for bio shv.</w:t>
      </w:r>
    </w:p>
    <w:p>
      <w:pPr>
        <w:spacing w:after="0" w:line="200" w:lineRule="exact"/>
        <w:rPr>
          <w:color w:val="auto"/>
          <w:sz w:val="20"/>
          <w:szCs w:val="20"/>
        </w:rPr>
      </w:pPr>
    </w:p>
    <w:p>
      <w:pPr>
        <w:spacing w:after="0" w:line="24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All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found in the fresh produce is due to contamination through post- harvest and pre - havest contamination of fresh produce. In the location the fresh produce were gotten from, the fresh produce is carelessly piled on top of surfaces; occasionally, fresh produce is cut in half for customer affordability. Most of the time, the split surfaces are left uncovered to prevent contamination from the environment. Fresh produce is occasionally sold in polyethylene bags, but most of the time it is not packaged and is left open in the air, making it vulnerable to contamination by airborne pathogens. Therefore, it is crucial that the government enact laws</w:t>
      </w: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51</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57" w:name="page63"/>
      <w:bookmarkEnd w:id="57"/>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governing proper food handling and general hygiene. According to all results, all samples had presumptive for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 the game meat isolates in them. This shows the probability of an unhygienic handling, slaughtering and marketing of gamemeat.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presence in these samples suggests faecal-oral route contamination from the game meat handler, as well as coming in contact with the infected animal which leads to spread of zoonotic diseases. However there are consequences, game meat presents numerous routes of opportunity for transmission of zoonotic pathogens, including airborne and blood-borne during hunting and the butchering of carcasses, as well as foodborne risks associated with preparation and consumption. Sixty-two percent of all newly emerging infectious diseases are zoonotic, and more than seventy percent of those zoonoses involve wildlife reservoirs, making human interaction with wildlife a significant channel for endemic and emerging infectious diseases. It is therefore important that the government should implement rules concerning general hygiene and proper game meat handling and also creates public awareness.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52</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58" w:name="page64"/>
      <w:bookmarkEnd w:id="58"/>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FIVE</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420"/>
        </w:tabs>
        <w:spacing w:after="0"/>
        <w:rPr>
          <w:color w:val="auto"/>
          <w:sz w:val="20"/>
          <w:szCs w:val="20"/>
        </w:rPr>
      </w:pPr>
      <w:r>
        <w:rPr>
          <w:rFonts w:ascii="Times New Roman" w:hAnsi="Times New Roman" w:eastAsia="Times New Roman" w:cs="Times New Roman"/>
          <w:b/>
          <w:bCs/>
          <w:color w:val="auto"/>
          <w:sz w:val="24"/>
          <w:szCs w:val="24"/>
        </w:rPr>
        <w:t>5</w:t>
      </w:r>
      <w:r>
        <w:rPr>
          <w:color w:val="auto"/>
          <w:sz w:val="20"/>
          <w:szCs w:val="20"/>
        </w:rPr>
        <w:tab/>
      </w:r>
      <w:r>
        <w:rPr>
          <w:rFonts w:ascii="Times New Roman" w:hAnsi="Times New Roman" w:eastAsia="Times New Roman" w:cs="Times New Roman"/>
          <w:b/>
          <w:bCs/>
          <w:color w:val="auto"/>
          <w:sz w:val="24"/>
          <w:szCs w:val="24"/>
        </w:rPr>
        <w:t>Conclusions and Recommendations</w:t>
      </w:r>
    </w:p>
    <w:p>
      <w:pPr>
        <w:spacing w:after="0" w:line="200" w:lineRule="exact"/>
        <w:rPr>
          <w:color w:val="auto"/>
          <w:sz w:val="20"/>
          <w:szCs w:val="20"/>
        </w:rPr>
      </w:pPr>
    </w:p>
    <w:p>
      <w:pPr>
        <w:spacing w:after="0" w:line="294"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3"/>
          <w:szCs w:val="23"/>
        </w:rPr>
        <w:t>Conclusion</w:t>
      </w:r>
    </w:p>
    <w:p>
      <w:pPr>
        <w:spacing w:after="0" w:line="200" w:lineRule="exact"/>
        <w:rPr>
          <w:color w:val="auto"/>
          <w:sz w:val="20"/>
          <w:szCs w:val="20"/>
        </w:rPr>
      </w:pPr>
    </w:p>
    <w:p>
      <w:pPr>
        <w:spacing w:after="0" w:line="22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This study showed the possible public health harzard related to RTE game me and fresh produce in south western part of Nigeria. Based on the findings of this study and the deductions derived from there, it could be concluded that RTE Game meat and fresh produce gotten from some of the states across Nigeria are contaminated with strains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addition, the study has demonstrated that game meat and fresh produce may contribute to the prevalence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illnesses.</w:t>
      </w:r>
    </w:p>
    <w:p>
      <w:pPr>
        <w:spacing w:after="0" w:line="206"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3"/>
          <w:szCs w:val="23"/>
        </w:rPr>
        <w:t>Recommendations</w:t>
      </w:r>
    </w:p>
    <w:p>
      <w:pPr>
        <w:spacing w:after="0" w:line="200" w:lineRule="exact"/>
        <w:rPr>
          <w:color w:val="auto"/>
          <w:sz w:val="20"/>
          <w:szCs w:val="20"/>
        </w:rPr>
      </w:pPr>
    </w:p>
    <w:p>
      <w:pPr>
        <w:spacing w:after="0" w:line="225"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Consumers need to be informed about the potential risk of consuming unhygienic game meat and fresh produce. Regulatory and educational efforts from the government officials are needed to improve the safety of fresh meat that are intended for use as ready to eat products in Nigeria. Further precautions are needed during the processing and handling of game animals by the hunters, butchers and retailers as the hygienic environment and proper handling can have a greater influence on RTE Game meat and fresh produce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53</w:t>
      </w:r>
    </w:p>
    <w:p>
      <w:pPr>
        <w:sectPr>
          <w:pgSz w:w="12240" w:h="15840"/>
          <w:pgMar w:top="1440" w:right="1440" w:bottom="403" w:left="1440" w:header="0" w:footer="0" w:gutter="0"/>
          <w:cols w:equalWidth="0" w:num="1">
            <w:col w:w="9360"/>
          </w:cols>
        </w:sectPr>
      </w:pPr>
    </w:p>
    <w:p>
      <w:pPr>
        <w:spacing w:after="0" w:line="278" w:lineRule="exact"/>
        <w:rPr>
          <w:color w:val="auto"/>
          <w:sz w:val="20"/>
          <w:szCs w:val="20"/>
        </w:rPr>
      </w:pPr>
      <w:bookmarkStart w:id="59" w:name="page65"/>
      <w:bookmarkEnd w:id="59"/>
    </w:p>
    <w:p>
      <w:pPr>
        <w:spacing w:after="0"/>
        <w:jc w:val="center"/>
        <w:rPr>
          <w:color w:val="auto"/>
          <w:sz w:val="20"/>
          <w:szCs w:val="20"/>
        </w:rPr>
      </w:pPr>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259" w:lineRule="exact"/>
        <w:rPr>
          <w:color w:val="auto"/>
          <w:sz w:val="20"/>
          <w:szCs w:val="20"/>
        </w:rPr>
      </w:pPr>
    </w:p>
    <w:p>
      <w:pPr>
        <w:spacing w:after="0" w:line="348" w:lineRule="auto"/>
        <w:ind w:left="720" w:right="480" w:hanging="719"/>
        <w:rPr>
          <w:color w:val="auto"/>
          <w:sz w:val="20"/>
          <w:szCs w:val="20"/>
        </w:rPr>
      </w:pPr>
      <w:r>
        <w:rPr>
          <w:rFonts w:ascii="Times New Roman" w:hAnsi="Times New Roman" w:eastAsia="Times New Roman" w:cs="Times New Roman"/>
          <w:color w:val="auto"/>
          <w:sz w:val="24"/>
          <w:szCs w:val="24"/>
        </w:rPr>
        <w:t xml:space="preserve">Abebe, E., Gugsa, G., &amp; Ahmed, M. (2020). Review on major food-borne zoonotic bacterial pathogens. </w:t>
      </w:r>
      <w:r>
        <w:rPr>
          <w:rFonts w:ascii="Times New Roman" w:hAnsi="Times New Roman" w:eastAsia="Times New Roman" w:cs="Times New Roman"/>
          <w:i/>
          <w:iCs/>
          <w:color w:val="auto"/>
          <w:sz w:val="24"/>
          <w:szCs w:val="24"/>
        </w:rPr>
        <w:t>Journal of tropical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148" w:lineRule="exact"/>
        <w:rPr>
          <w:color w:val="auto"/>
          <w:sz w:val="20"/>
          <w:szCs w:val="20"/>
        </w:rPr>
      </w:pPr>
    </w:p>
    <w:p>
      <w:pPr>
        <w:spacing w:after="0" w:line="356" w:lineRule="auto"/>
        <w:ind w:left="720" w:right="260" w:hanging="719"/>
        <w:rPr>
          <w:color w:val="auto"/>
          <w:sz w:val="20"/>
          <w:szCs w:val="20"/>
        </w:rPr>
      </w:pPr>
      <w:r>
        <w:rPr>
          <w:rFonts w:ascii="Times New Roman" w:hAnsi="Times New Roman" w:eastAsia="Times New Roman" w:cs="Times New Roman"/>
          <w:color w:val="auto"/>
          <w:sz w:val="24"/>
          <w:szCs w:val="24"/>
        </w:rPr>
        <w:t xml:space="preserve">Abreham, S., Teklu, A., Cox, E., &amp; Sisay Tessema, T. (2019). Escherichia coli O157: H7: distribution, molecular characterization, antimicrobial resistance patterns and source of contamination of sheep and goat carcasses at an export abattoir, Mojdo, Ethiopia. </w:t>
      </w:r>
      <w:r>
        <w:rPr>
          <w:rFonts w:ascii="Times New Roman" w:hAnsi="Times New Roman" w:eastAsia="Times New Roman" w:cs="Times New Roman"/>
          <w:i/>
          <w:iCs/>
          <w:color w:val="auto"/>
          <w:sz w:val="24"/>
          <w:szCs w:val="24"/>
        </w:rPr>
        <w:t>BMC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19</w:t>
      </w:r>
      <w:r>
        <w:rPr>
          <w:rFonts w:ascii="Times New Roman" w:hAnsi="Times New Roman" w:eastAsia="Times New Roman" w:cs="Times New Roman"/>
          <w:color w:val="auto"/>
          <w:sz w:val="24"/>
          <w:szCs w:val="24"/>
        </w:rPr>
        <w:t>(1), 1-14.</w:t>
      </w:r>
    </w:p>
    <w:p>
      <w:pPr>
        <w:spacing w:after="0" w:line="139" w:lineRule="exact"/>
        <w:rPr>
          <w:color w:val="auto"/>
          <w:sz w:val="20"/>
          <w:szCs w:val="20"/>
        </w:rPr>
      </w:pPr>
    </w:p>
    <w:p>
      <w:pPr>
        <w:spacing w:after="0" w:line="348" w:lineRule="auto"/>
        <w:ind w:left="720" w:right="300" w:hanging="719"/>
        <w:rPr>
          <w:color w:val="auto"/>
          <w:sz w:val="20"/>
          <w:szCs w:val="20"/>
        </w:rPr>
      </w:pPr>
      <w:r>
        <w:rPr>
          <w:rFonts w:ascii="Times New Roman" w:hAnsi="Times New Roman" w:eastAsia="Times New Roman" w:cs="Times New Roman"/>
          <w:color w:val="auto"/>
          <w:sz w:val="24"/>
          <w:szCs w:val="24"/>
        </w:rPr>
        <w:t xml:space="preserve">Adeosun, K. P., Greene, M., &amp; Oosterveer, P. (2022). Informal ready-to-eat food vending: A social practice perspective on urban food provisioning in Nigeria. </w:t>
      </w:r>
      <w:r>
        <w:rPr>
          <w:rFonts w:ascii="Times New Roman" w:hAnsi="Times New Roman" w:eastAsia="Times New Roman" w:cs="Times New Roman"/>
          <w:i/>
          <w:iCs/>
          <w:color w:val="auto"/>
          <w:sz w:val="24"/>
          <w:szCs w:val="24"/>
        </w:rPr>
        <w:t>Food Security</w:t>
      </w:r>
      <w:r>
        <w:rPr>
          <w:rFonts w:ascii="Times New Roman" w:hAnsi="Times New Roman" w:eastAsia="Times New Roman" w:cs="Times New Roman"/>
          <w:color w:val="auto"/>
          <w:sz w:val="24"/>
          <w:szCs w:val="24"/>
        </w:rPr>
        <w:t>, 1-18.</w:t>
      </w:r>
    </w:p>
    <w:p>
      <w:pPr>
        <w:spacing w:after="0" w:line="148" w:lineRule="exact"/>
        <w:rPr>
          <w:color w:val="auto"/>
          <w:sz w:val="20"/>
          <w:szCs w:val="20"/>
        </w:rPr>
      </w:pPr>
    </w:p>
    <w:p>
      <w:pPr>
        <w:spacing w:after="0" w:line="356" w:lineRule="auto"/>
        <w:ind w:left="720" w:right="100" w:hanging="719"/>
        <w:rPr>
          <w:color w:val="auto"/>
          <w:sz w:val="20"/>
          <w:szCs w:val="20"/>
        </w:rPr>
      </w:pPr>
      <w:r>
        <w:rPr>
          <w:rFonts w:ascii="Times New Roman" w:hAnsi="Times New Roman" w:eastAsia="Times New Roman" w:cs="Times New Roman"/>
          <w:color w:val="auto"/>
          <w:sz w:val="24"/>
          <w:szCs w:val="24"/>
        </w:rPr>
        <w:t xml:space="preserve">Aijuka, M., Santiago, A. E., Girón, J. A., Nataro, J. P., &amp; Buys, E. M. (2018). Enteroaggregative Escherichia coli is the predominant diarrheagenic E. coli pathotype among irrigation water and food sources in South Africa.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278</w:t>
      </w:r>
      <w:r>
        <w:rPr>
          <w:rFonts w:ascii="Times New Roman" w:hAnsi="Times New Roman" w:eastAsia="Times New Roman" w:cs="Times New Roman"/>
          <w:color w:val="auto"/>
          <w:sz w:val="24"/>
          <w:szCs w:val="24"/>
        </w:rPr>
        <w:t>, 44-51.</w:t>
      </w:r>
    </w:p>
    <w:p>
      <w:pPr>
        <w:spacing w:after="0" w:line="136"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Akhtar, S., Sarker, M. R., &amp; Hossain, A. (2014). Microbiological food safety: a dilemma of developing societies. </w:t>
      </w:r>
      <w:r>
        <w:rPr>
          <w:rFonts w:ascii="Times New Roman" w:hAnsi="Times New Roman" w:eastAsia="Times New Roman" w:cs="Times New Roman"/>
          <w:i/>
          <w:iCs/>
          <w:color w:val="auto"/>
          <w:sz w:val="24"/>
          <w:szCs w:val="24"/>
        </w:rPr>
        <w:t>Critical reviews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40</w:t>
      </w:r>
      <w:r>
        <w:rPr>
          <w:rFonts w:ascii="Times New Roman" w:hAnsi="Times New Roman" w:eastAsia="Times New Roman" w:cs="Times New Roman"/>
          <w:color w:val="auto"/>
          <w:sz w:val="24"/>
          <w:szCs w:val="24"/>
        </w:rPr>
        <w:t>(4), 348-359.</w:t>
      </w:r>
    </w:p>
    <w:p>
      <w:pPr>
        <w:spacing w:after="0" w:line="143"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Al-Awwal, N., Masjedi, M., El-Dweik, M., Anderson, S. H., &amp; Ansari, J. (2022). Nanoparticle immuno-fluorescent probes as a method for detection of viable E. coli O157: H7. </w:t>
      </w:r>
      <w:r>
        <w:rPr>
          <w:rFonts w:ascii="Times New Roman" w:hAnsi="Times New Roman" w:eastAsia="Times New Roman" w:cs="Times New Roman"/>
          <w:i/>
          <w:iCs/>
          <w:color w:val="auto"/>
          <w:sz w:val="24"/>
          <w:szCs w:val="24"/>
        </w:rPr>
        <w:t>Journal of Microbiological Methods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193</w:t>
      </w:r>
      <w:r>
        <w:rPr>
          <w:rFonts w:ascii="Times New Roman" w:hAnsi="Times New Roman" w:eastAsia="Times New Roman" w:cs="Times New Roman"/>
          <w:color w:val="auto"/>
          <w:sz w:val="24"/>
          <w:szCs w:val="24"/>
        </w:rPr>
        <w:t>, 106403.</w:t>
      </w:r>
    </w:p>
    <w:p>
      <w:pPr>
        <w:spacing w:after="0" w:line="142"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Alegbeleye, O. O., Singleton, I., &amp; Sant’Ana, A. S. (2018). Sources and contamination routes of microbial pathogens to fresh produce during field cultivation: A review.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73</w:t>
      </w:r>
      <w:r>
        <w:rPr>
          <w:rFonts w:ascii="Times New Roman" w:hAnsi="Times New Roman" w:eastAsia="Times New Roman" w:cs="Times New Roman"/>
          <w:color w:val="auto"/>
          <w:sz w:val="24"/>
          <w:szCs w:val="24"/>
        </w:rPr>
        <w:t>, 177-208.</w:t>
      </w:r>
    </w:p>
    <w:p>
      <w:pPr>
        <w:spacing w:after="0" w:line="140" w:lineRule="exact"/>
        <w:rPr>
          <w:color w:val="auto"/>
          <w:sz w:val="20"/>
          <w:szCs w:val="20"/>
        </w:rPr>
      </w:pPr>
    </w:p>
    <w:p>
      <w:pPr>
        <w:spacing w:after="0" w:line="357" w:lineRule="auto"/>
        <w:ind w:left="720" w:right="180" w:hanging="719"/>
        <w:rPr>
          <w:color w:val="auto"/>
          <w:sz w:val="20"/>
          <w:szCs w:val="20"/>
        </w:rPr>
      </w:pPr>
      <w:r>
        <w:rPr>
          <w:rFonts w:ascii="Times New Roman" w:hAnsi="Times New Roman" w:eastAsia="Times New Roman" w:cs="Times New Roman"/>
          <w:color w:val="auto"/>
          <w:sz w:val="24"/>
          <w:szCs w:val="24"/>
        </w:rPr>
        <w:t xml:space="preserve">Ali, M. A., Okojokwu, O. J., Augustine, U. A., Achenbach, C., AjeAnejo-Okopi, J., MankoLar, P., ...&amp; Sagay, A. S. (2020). Prevalence and drug-resistance profile of plasmid-borne extended spectrum beta-lactamase (ESBLs) resistance genes in multidrug resistant Escherichia coli from HIV-1 positive individuals in Jos, Nigeria. </w:t>
      </w:r>
      <w:r>
        <w:rPr>
          <w:rFonts w:ascii="Times New Roman" w:hAnsi="Times New Roman" w:eastAsia="Times New Roman" w:cs="Times New Roman"/>
          <w:i/>
          <w:iCs/>
          <w:color w:val="auto"/>
          <w:sz w:val="24"/>
          <w:szCs w:val="24"/>
        </w:rPr>
        <w:t>African Journal of Microbiology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(10), 564-571.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0" w:name="page66"/>
      <w:bookmarkEnd w:id="60"/>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Allaw, F., Haddad, S. F., Habib, N., Moukarzel, P., Naji, N. S., Kanafani, Z. A., ...&amp; Kanj, S. S. (2022). COVID-19 and C. auris: A Case-Control Study from a Tertiary Care Center in Lebanon.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1011.</w:t>
      </w:r>
    </w:p>
    <w:p>
      <w:pPr>
        <w:spacing w:after="0" w:line="140" w:lineRule="exact"/>
        <w:rPr>
          <w:color w:val="auto"/>
          <w:sz w:val="20"/>
          <w:szCs w:val="20"/>
        </w:rPr>
      </w:pPr>
    </w:p>
    <w:p>
      <w:pPr>
        <w:spacing w:after="0" w:line="356" w:lineRule="auto"/>
        <w:ind w:left="720" w:right="60" w:hanging="719"/>
        <w:rPr>
          <w:color w:val="auto"/>
          <w:sz w:val="20"/>
          <w:szCs w:val="20"/>
        </w:rPr>
      </w:pPr>
      <w:r>
        <w:rPr>
          <w:rFonts w:ascii="Times New Roman" w:hAnsi="Times New Roman" w:eastAsia="Times New Roman" w:cs="Times New Roman"/>
          <w:color w:val="auto"/>
          <w:sz w:val="24"/>
          <w:szCs w:val="24"/>
        </w:rPr>
        <w:t xml:space="preserve">Allende, A., Truchado, P., Lindqvist, R., &amp; Jacxsens, L. (2018). Quantitative microbial exposure modelling as a tool to evaluate the impact of contamination level of surface irrigation water and seasonality on fecal hygiene indicator E. coli in leafy green production.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75</w:t>
      </w:r>
      <w:r>
        <w:rPr>
          <w:rFonts w:ascii="Times New Roman" w:hAnsi="Times New Roman" w:eastAsia="Times New Roman" w:cs="Times New Roman"/>
          <w:color w:val="auto"/>
          <w:sz w:val="24"/>
          <w:szCs w:val="24"/>
        </w:rPr>
        <w:t>, 82-89.</w:t>
      </w:r>
    </w:p>
    <w:p>
      <w:pPr>
        <w:spacing w:after="0" w:line="139" w:lineRule="exact"/>
        <w:rPr>
          <w:color w:val="auto"/>
          <w:sz w:val="20"/>
          <w:szCs w:val="20"/>
        </w:rPr>
      </w:pPr>
    </w:p>
    <w:p>
      <w:pPr>
        <w:spacing w:after="0" w:line="375" w:lineRule="auto"/>
        <w:ind w:left="720" w:right="140" w:hanging="719"/>
        <w:rPr>
          <w:color w:val="auto"/>
          <w:sz w:val="20"/>
          <w:szCs w:val="20"/>
        </w:rPr>
      </w:pPr>
      <w:r>
        <w:rPr>
          <w:rFonts w:ascii="Times New Roman" w:hAnsi="Times New Roman" w:eastAsia="Times New Roman" w:cs="Times New Roman"/>
          <w:color w:val="auto"/>
          <w:sz w:val="23"/>
          <w:szCs w:val="23"/>
        </w:rPr>
        <w:t xml:space="preserve">Allison, A., &amp; Fouladkhah, A. C. (2021). Sensitivity of wild-type and rifampicin-resistant O157 and non-O157 Shiga toxin-producing Escherichia coli to elevated hydrostatic pressure and lactic acid in ground meat and meat homogenate. </w:t>
      </w:r>
      <w:r>
        <w:rPr>
          <w:rFonts w:ascii="Times New Roman" w:hAnsi="Times New Roman" w:eastAsia="Times New Roman" w:cs="Times New Roman"/>
          <w:i/>
          <w:iCs/>
          <w:color w:val="auto"/>
          <w:sz w:val="23"/>
          <w:szCs w:val="23"/>
        </w:rPr>
        <w:t>Plos one</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w:t>
      </w:r>
      <w:r>
        <w:rPr>
          <w:rFonts w:ascii="Times New Roman" w:hAnsi="Times New Roman" w:eastAsia="Times New Roman" w:cs="Times New Roman"/>
          <w:color w:val="auto"/>
          <w:sz w:val="23"/>
          <w:szCs w:val="23"/>
        </w:rPr>
        <w:t>(2), e0246735.</w:t>
      </w:r>
    </w:p>
    <w:p>
      <w:pPr>
        <w:spacing w:after="0" w:line="124"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Aluh, D. O., Nworie, K. M., &amp; Aluh, F. O. (2021). Food safety knowledge and self-reported practices among adolescents in rural secondary schools in Nigeria. </w:t>
      </w:r>
      <w:r>
        <w:rPr>
          <w:rFonts w:ascii="Times New Roman" w:hAnsi="Times New Roman" w:eastAsia="Times New Roman" w:cs="Times New Roman"/>
          <w:i/>
          <w:iCs/>
          <w:color w:val="auto"/>
          <w:sz w:val="24"/>
          <w:szCs w:val="24"/>
        </w:rPr>
        <w:t>International journal of adolescent medicine and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(5).</w:t>
      </w:r>
    </w:p>
    <w:p>
      <w:pPr>
        <w:spacing w:after="0" w:line="140"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Angelici, M. C., &amp; Karanis, P. (2019). Protozoan waterborne infections in the context of actual climatic changes and extreme weather events. </w:t>
      </w:r>
      <w:r>
        <w:rPr>
          <w:rFonts w:ascii="Times New Roman" w:hAnsi="Times New Roman" w:eastAsia="Times New Roman" w:cs="Times New Roman"/>
          <w:i/>
          <w:iCs/>
          <w:color w:val="auto"/>
          <w:sz w:val="24"/>
          <w:szCs w:val="24"/>
        </w:rPr>
        <w:t>Encyclopedia of Environmental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 391-399.</w:t>
      </w:r>
    </w:p>
    <w:p>
      <w:pPr>
        <w:spacing w:after="0" w:line="142" w:lineRule="exact"/>
        <w:rPr>
          <w:color w:val="auto"/>
          <w:sz w:val="20"/>
          <w:szCs w:val="20"/>
        </w:rPr>
      </w:pPr>
    </w:p>
    <w:p>
      <w:pPr>
        <w:spacing w:after="0" w:line="348" w:lineRule="auto"/>
        <w:ind w:left="720" w:right="340" w:hanging="719"/>
        <w:rPr>
          <w:color w:val="auto"/>
          <w:sz w:val="20"/>
          <w:szCs w:val="20"/>
        </w:rPr>
      </w:pPr>
      <w:r>
        <w:rPr>
          <w:rFonts w:ascii="Times New Roman" w:hAnsi="Times New Roman" w:eastAsia="Times New Roman" w:cs="Times New Roman"/>
          <w:color w:val="auto"/>
          <w:sz w:val="24"/>
          <w:szCs w:val="24"/>
        </w:rPr>
        <w:t>Anyanwu, M. U., Jaja, I. F., &amp; Nwobi, O. C. (2020). Occurrence and characteristics of mobile colistin resistance (mcr) gene-containing isolates from the environment: a</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(3), 1028.</w:t>
      </w:r>
    </w:p>
    <w:p>
      <w:pPr>
        <w:spacing w:after="0" w:line="269"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ANYASI, J. A. (2019). PREVALENCE OF SALMONELLA SPP AND ESCHERICHIA COLI IN FRESH-CUT FRUITS SOLD IN THE OPEN MARKET IN OFADA MOKOLOKI LCDA, OGUN STATE.</w:t>
      </w:r>
    </w:p>
    <w:p>
      <w:pPr>
        <w:spacing w:after="0" w:line="142" w:lineRule="exact"/>
        <w:rPr>
          <w:color w:val="auto"/>
          <w:sz w:val="20"/>
          <w:szCs w:val="20"/>
        </w:rPr>
      </w:pPr>
    </w:p>
    <w:p>
      <w:pPr>
        <w:spacing w:after="0" w:line="354" w:lineRule="auto"/>
        <w:ind w:left="720" w:right="640" w:hanging="719"/>
        <w:rPr>
          <w:color w:val="auto"/>
          <w:sz w:val="20"/>
          <w:szCs w:val="20"/>
        </w:rPr>
      </w:pPr>
      <w:r>
        <w:rPr>
          <w:rFonts w:ascii="Times New Roman" w:hAnsi="Times New Roman" w:eastAsia="Times New Roman" w:cs="Times New Roman"/>
          <w:color w:val="auto"/>
          <w:sz w:val="24"/>
          <w:szCs w:val="24"/>
        </w:rPr>
        <w:t xml:space="preserve">Asime, L. J., Egbe, J. G., &amp; Cecilia, E. (2020). Isolation of Escherichia coli 0157: H7 from selected food samples sold in local markets in Nigeria. </w:t>
      </w:r>
      <w:r>
        <w:rPr>
          <w:rFonts w:ascii="Times New Roman" w:hAnsi="Times New Roman" w:eastAsia="Times New Roman" w:cs="Times New Roman"/>
          <w:i/>
          <w:iCs/>
          <w:color w:val="auto"/>
          <w:sz w:val="24"/>
          <w:szCs w:val="24"/>
        </w:rPr>
        <w:t>African Journal of Food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(2), 32-37.</w:t>
      </w:r>
    </w:p>
    <w:p>
      <w:pPr>
        <w:spacing w:after="0" w:line="140" w:lineRule="exact"/>
        <w:rPr>
          <w:color w:val="auto"/>
          <w:sz w:val="20"/>
          <w:szCs w:val="20"/>
        </w:rPr>
      </w:pPr>
    </w:p>
    <w:p>
      <w:pPr>
        <w:spacing w:after="0" w:line="354" w:lineRule="auto"/>
        <w:ind w:left="720" w:right="140" w:hanging="719"/>
        <w:rPr>
          <w:color w:val="auto"/>
          <w:sz w:val="20"/>
          <w:szCs w:val="20"/>
        </w:rPr>
      </w:pPr>
      <w:r>
        <w:rPr>
          <w:rFonts w:ascii="Times New Roman" w:hAnsi="Times New Roman" w:eastAsia="Times New Roman" w:cs="Times New Roman"/>
          <w:color w:val="auto"/>
          <w:sz w:val="24"/>
          <w:szCs w:val="24"/>
        </w:rPr>
        <w:t xml:space="preserve">Astill, G. M., Kuchler, F., Todd, J. E., &amp; Page, E. T. (2020). Shiga toxin–producing Escherichia coli (STEC) O157: H7 and romaine lettuce: source labeling, prevention, and business. </w:t>
      </w:r>
      <w:r>
        <w:rPr>
          <w:rFonts w:ascii="Times New Roman" w:hAnsi="Times New Roman" w:eastAsia="Times New Roman" w:cs="Times New Roman"/>
          <w:i/>
          <w:iCs/>
          <w:color w:val="auto"/>
          <w:sz w:val="24"/>
          <w:szCs w:val="24"/>
        </w:rPr>
        <w:t>American journal of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110</w:t>
      </w:r>
      <w:r>
        <w:rPr>
          <w:rFonts w:ascii="Times New Roman" w:hAnsi="Times New Roman" w:eastAsia="Times New Roman" w:cs="Times New Roman"/>
          <w:color w:val="auto"/>
          <w:sz w:val="24"/>
          <w:szCs w:val="24"/>
        </w:rPr>
        <w:t>(3), 322-328.</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1" w:name="page67"/>
      <w:bookmarkEnd w:id="61"/>
    </w:p>
    <w:p>
      <w:pPr>
        <w:spacing w:after="0" w:line="356" w:lineRule="auto"/>
        <w:ind w:left="720" w:right="160" w:hanging="719"/>
        <w:rPr>
          <w:color w:val="auto"/>
          <w:sz w:val="20"/>
          <w:szCs w:val="20"/>
        </w:rPr>
      </w:pPr>
      <w:r>
        <w:rPr>
          <w:rFonts w:ascii="Times New Roman" w:hAnsi="Times New Roman" w:eastAsia="Times New Roman" w:cs="Times New Roman"/>
          <w:color w:val="auto"/>
          <w:sz w:val="24"/>
          <w:szCs w:val="24"/>
        </w:rPr>
        <w:t xml:space="preserve">Azimi, T., Azimi, L., Fallah, F., Pourmand, M. R., Ostadtaghizadeh, A., Abai, M. R., &amp; Rahimi Foroushani, A. (2021). Detection and characterization of Enterobacteriaceae family members carried by commensal Rattus norvegicus from Tehran, Iran. </w:t>
      </w:r>
      <w:r>
        <w:rPr>
          <w:rFonts w:ascii="Times New Roman" w:hAnsi="Times New Roman" w:eastAsia="Times New Roman" w:cs="Times New Roman"/>
          <w:i/>
          <w:iCs/>
          <w:color w:val="auto"/>
          <w:sz w:val="24"/>
          <w:szCs w:val="24"/>
        </w:rPr>
        <w:t>Archives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203</w:t>
      </w:r>
      <w:r>
        <w:rPr>
          <w:rFonts w:ascii="Times New Roman" w:hAnsi="Times New Roman" w:eastAsia="Times New Roman" w:cs="Times New Roman"/>
          <w:color w:val="auto"/>
          <w:sz w:val="24"/>
          <w:szCs w:val="24"/>
        </w:rPr>
        <w:t>(4), 1321-1334.</w:t>
      </w:r>
    </w:p>
    <w:p>
      <w:pPr>
        <w:spacing w:after="0" w:line="139" w:lineRule="exact"/>
        <w:rPr>
          <w:color w:val="auto"/>
          <w:sz w:val="20"/>
          <w:szCs w:val="20"/>
        </w:rPr>
      </w:pPr>
    </w:p>
    <w:p>
      <w:pPr>
        <w:spacing w:after="0" w:line="356" w:lineRule="auto"/>
        <w:ind w:left="720" w:right="520" w:hanging="719"/>
        <w:rPr>
          <w:color w:val="auto"/>
          <w:sz w:val="20"/>
          <w:szCs w:val="20"/>
        </w:rPr>
      </w:pPr>
      <w:r>
        <w:rPr>
          <w:rFonts w:ascii="Times New Roman" w:hAnsi="Times New Roman" w:eastAsia="Times New Roman" w:cs="Times New Roman"/>
          <w:color w:val="auto"/>
          <w:sz w:val="24"/>
          <w:szCs w:val="24"/>
        </w:rPr>
        <w:t xml:space="preserve">Bai, X., Ylinen, E., Zhang, J., Salmenlinna, S., Halkilahti, J., Saxen, H., ...&amp; Matussek, A. (2022). Comparative Genomics of Shiga Toxin-Producing Escherichia coli Strains Isolated from Pediatric Patients with and without Hemolytic Uremic Syndrome from 2000 to 2016 in Finland.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e00660-22.</w:t>
      </w:r>
    </w:p>
    <w:p>
      <w:pPr>
        <w:spacing w:after="0" w:line="139" w:lineRule="exact"/>
        <w:rPr>
          <w:color w:val="auto"/>
          <w:sz w:val="20"/>
          <w:szCs w:val="20"/>
        </w:rPr>
      </w:pPr>
    </w:p>
    <w:p>
      <w:pPr>
        <w:spacing w:after="0" w:line="348" w:lineRule="auto"/>
        <w:ind w:left="720" w:right="80" w:hanging="719"/>
        <w:rPr>
          <w:color w:val="auto"/>
          <w:sz w:val="20"/>
          <w:szCs w:val="20"/>
        </w:rPr>
      </w:pPr>
      <w:r>
        <w:rPr>
          <w:rFonts w:ascii="Times New Roman" w:hAnsi="Times New Roman" w:eastAsia="Times New Roman" w:cs="Times New Roman"/>
          <w:color w:val="auto"/>
          <w:sz w:val="24"/>
          <w:szCs w:val="24"/>
        </w:rPr>
        <w:t xml:space="preserve">Baker-Austin, C., Oliver, J. D., Alam, M., Ali, A., Waldor, M. K., Qadri, F., &amp; Martinez-Urtaza, J. (2018). Vibrio spp. infections. </w:t>
      </w:r>
      <w:r>
        <w:rPr>
          <w:rFonts w:ascii="Times New Roman" w:hAnsi="Times New Roman" w:eastAsia="Times New Roman" w:cs="Times New Roman"/>
          <w:i/>
          <w:iCs/>
          <w:color w:val="auto"/>
          <w:sz w:val="24"/>
          <w:szCs w:val="24"/>
        </w:rPr>
        <w:t>Nature Reviews Disease Primers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(1), 1-19.</w:t>
      </w:r>
    </w:p>
    <w:p>
      <w:pPr>
        <w:spacing w:after="0" w:line="148" w:lineRule="exact"/>
        <w:rPr>
          <w:color w:val="auto"/>
          <w:sz w:val="20"/>
          <w:szCs w:val="20"/>
        </w:rPr>
      </w:pPr>
    </w:p>
    <w:p>
      <w:pPr>
        <w:spacing w:after="0" w:line="348" w:lineRule="auto"/>
        <w:ind w:left="720" w:right="60" w:hanging="719"/>
        <w:rPr>
          <w:color w:val="auto"/>
          <w:sz w:val="20"/>
          <w:szCs w:val="20"/>
        </w:rPr>
      </w:pPr>
      <w:r>
        <w:rPr>
          <w:rFonts w:ascii="Times New Roman" w:hAnsi="Times New Roman" w:eastAsia="Times New Roman" w:cs="Times New Roman"/>
          <w:color w:val="auto"/>
          <w:sz w:val="24"/>
          <w:szCs w:val="24"/>
        </w:rPr>
        <w:t>Balali, G. I., Yar, D. D., Afua Dela, V. G., &amp; Adjei-Kusi, P. (2020). Microbial contamination, an increasing threat to the consumption of fresh fruits and vegetables in today’s</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world. </w:t>
      </w:r>
      <w:r>
        <w:rPr>
          <w:rFonts w:ascii="Times New Roman" w:hAnsi="Times New Roman" w:eastAsia="Times New Roman" w:cs="Times New Roman"/>
          <w:i/>
          <w:iCs/>
          <w:color w:val="auto"/>
          <w:sz w:val="24"/>
          <w:szCs w:val="24"/>
        </w:rPr>
        <w:t>International Journal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269" w:lineRule="exact"/>
        <w:rPr>
          <w:color w:val="auto"/>
          <w:sz w:val="20"/>
          <w:szCs w:val="20"/>
        </w:rPr>
      </w:pPr>
    </w:p>
    <w:p>
      <w:pPr>
        <w:spacing w:after="0" w:line="350" w:lineRule="auto"/>
        <w:ind w:left="720" w:right="280" w:hanging="719"/>
        <w:rPr>
          <w:color w:val="auto"/>
          <w:sz w:val="20"/>
          <w:szCs w:val="20"/>
        </w:rPr>
      </w:pPr>
      <w:r>
        <w:rPr>
          <w:rFonts w:ascii="Times New Roman" w:hAnsi="Times New Roman" w:eastAsia="Times New Roman" w:cs="Times New Roman"/>
          <w:color w:val="auto"/>
          <w:sz w:val="24"/>
          <w:szCs w:val="24"/>
        </w:rPr>
        <w:t xml:space="preserve">Bari, M. L., &amp; Yeasmin, S. (2018). Foodborne diseases and responsible agents. In </w:t>
      </w:r>
      <w:r>
        <w:rPr>
          <w:rFonts w:ascii="Times New Roman" w:hAnsi="Times New Roman" w:eastAsia="Times New Roman" w:cs="Times New Roman"/>
          <w:i/>
          <w:iCs/>
          <w:color w:val="auto"/>
          <w:sz w:val="24"/>
          <w:szCs w:val="24"/>
        </w:rPr>
        <w:t>Food Safety and Preservation</w:t>
      </w:r>
      <w:r>
        <w:rPr>
          <w:rFonts w:ascii="Times New Roman" w:hAnsi="Times New Roman" w:eastAsia="Times New Roman" w:cs="Times New Roman"/>
          <w:color w:val="auto"/>
          <w:sz w:val="24"/>
          <w:szCs w:val="24"/>
        </w:rPr>
        <w:t xml:space="preserve"> (pp. 195-229). Academic Press.</w:t>
      </w:r>
    </w:p>
    <w:p>
      <w:pPr>
        <w:spacing w:after="0" w:line="143" w:lineRule="exact"/>
        <w:rPr>
          <w:color w:val="auto"/>
          <w:sz w:val="20"/>
          <w:szCs w:val="20"/>
        </w:rPr>
      </w:pPr>
    </w:p>
    <w:p>
      <w:pPr>
        <w:spacing w:after="0" w:line="350" w:lineRule="auto"/>
        <w:ind w:left="720" w:right="220" w:hanging="719"/>
        <w:rPr>
          <w:color w:val="auto"/>
          <w:sz w:val="20"/>
          <w:szCs w:val="20"/>
        </w:rPr>
      </w:pPr>
      <w:r>
        <w:rPr>
          <w:rFonts w:ascii="Times New Roman" w:hAnsi="Times New Roman" w:eastAsia="Times New Roman" w:cs="Times New Roman"/>
          <w:color w:val="auto"/>
          <w:sz w:val="24"/>
          <w:szCs w:val="24"/>
        </w:rPr>
        <w:t>Barry, E., Cassels, F., Riddle, M., Walker, R., &amp; Wierzba, T. (2019). Vaccines against Shigella and Enterotoxigenic Escherichia coli: A summary of the 2018 VASE</w:t>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Conference.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37</w:t>
      </w:r>
      <w:r>
        <w:rPr>
          <w:rFonts w:ascii="Times New Roman" w:hAnsi="Times New Roman" w:eastAsia="Times New Roman" w:cs="Times New Roman"/>
          <w:color w:val="auto"/>
          <w:sz w:val="24"/>
          <w:szCs w:val="24"/>
        </w:rPr>
        <w:t>(34), 4768-4774.</w:t>
      </w:r>
    </w:p>
    <w:p>
      <w:pPr>
        <w:spacing w:after="0" w:line="271"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Bedasa, S., Shiferaw, D., Abraha, A., &amp; Moges, T. (2018). Occurrence and antimicrobial susceptibility profile of Escherichia coli O157: H7 from food of animal origin in Bishoftu town, Central Ethiopia. </w:t>
      </w:r>
      <w:r>
        <w:rPr>
          <w:rFonts w:ascii="Times New Roman" w:hAnsi="Times New Roman" w:eastAsia="Times New Roman" w:cs="Times New Roman"/>
          <w:i/>
          <w:iCs/>
          <w:color w:val="auto"/>
          <w:sz w:val="24"/>
          <w:szCs w:val="24"/>
        </w:rPr>
        <w:t>International Journal of Food Contamination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 1-8.</w:t>
      </w:r>
    </w:p>
    <w:p>
      <w:pPr>
        <w:spacing w:after="0" w:line="140"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Berhanu, G., &amp; Pal, M. (2020). Emerging role of enterohemorrhagic Escherichia coli as a global foodborne pathogen. </w:t>
      </w:r>
      <w:r>
        <w:rPr>
          <w:rFonts w:ascii="Times New Roman" w:hAnsi="Times New Roman" w:eastAsia="Times New Roman" w:cs="Times New Roman"/>
          <w:i/>
          <w:iCs/>
          <w:color w:val="auto"/>
          <w:sz w:val="24"/>
          <w:szCs w:val="24"/>
        </w:rPr>
        <w:t>Journal of Emerging Environmental Technologies and Health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 60-68.</w:t>
      </w:r>
    </w:p>
    <w:p>
      <w:pPr>
        <w:spacing w:after="0" w:line="143"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Bessaiah, H., Pokharel, P., Loucif, H., Kulbay, M., Sasseville, C., Habouria, H., ...&amp; Dozois, C. M. (2021). The RyfA small RNA regulates oxidative and osmotic stress responses and virulence in uropathogenic Escherichia coli. </w:t>
      </w:r>
      <w:r>
        <w:rPr>
          <w:rFonts w:ascii="Times New Roman" w:hAnsi="Times New Roman" w:eastAsia="Times New Roman" w:cs="Times New Roman"/>
          <w:i/>
          <w:iCs/>
          <w:color w:val="auto"/>
          <w:sz w:val="24"/>
          <w:szCs w:val="24"/>
        </w:rPr>
        <w:t>PLoS Pathogens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(5), e1009617.</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Bintsis, T. (2018). Microbial pollution and food safety. </w:t>
      </w:r>
      <w:r>
        <w:rPr>
          <w:rFonts w:ascii="Times New Roman" w:hAnsi="Times New Roman" w:eastAsia="Times New Roman" w:cs="Times New Roman"/>
          <w:i/>
          <w:iCs/>
          <w:color w:val="auto"/>
          <w:sz w:val="24"/>
          <w:szCs w:val="24"/>
        </w:rPr>
        <w:t>AIMS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 377.</w:t>
      </w: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56</w:t>
      </w:r>
    </w:p>
    <w:p>
      <w:pPr>
        <w:sectPr>
          <w:pgSz w:w="12240" w:h="15840"/>
          <w:pgMar w:top="1440" w:right="1440" w:bottom="403" w:left="1440" w:header="0" w:footer="0" w:gutter="0"/>
          <w:cols w:equalWidth="0" w:num="1">
            <w:col w:w="9360"/>
          </w:cols>
        </w:sectPr>
      </w:pPr>
    </w:p>
    <w:p>
      <w:pPr>
        <w:spacing w:after="0"/>
        <w:rPr>
          <w:color w:val="auto"/>
          <w:sz w:val="20"/>
          <w:szCs w:val="20"/>
        </w:rPr>
      </w:pPr>
      <w:bookmarkStart w:id="62" w:name="page68"/>
      <w:bookmarkEnd w:id="62"/>
      <w:r>
        <w:rPr>
          <w:rFonts w:ascii="Times New Roman" w:hAnsi="Times New Roman" w:eastAsia="Times New Roman" w:cs="Times New Roman"/>
          <w:color w:val="auto"/>
          <w:sz w:val="24"/>
          <w:szCs w:val="24"/>
        </w:rPr>
        <w:t>Boisen, N., Østerlund, M. T., Joensen, K. G., Santiago, A. E., Mandomando, I., Cravioto, A., ...</w:t>
      </w:r>
    </w:p>
    <w:p>
      <w:pPr>
        <w:spacing w:after="0" w:line="149" w:lineRule="exact"/>
        <w:rPr>
          <w:color w:val="auto"/>
          <w:sz w:val="20"/>
          <w:szCs w:val="20"/>
        </w:rPr>
      </w:pPr>
    </w:p>
    <w:p>
      <w:pPr>
        <w:numPr>
          <w:ilvl w:val="0"/>
          <w:numId w:val="7"/>
        </w:numPr>
        <w:tabs>
          <w:tab w:val="left" w:pos="965"/>
        </w:tabs>
        <w:spacing w:after="0" w:line="350" w:lineRule="auto"/>
        <w:ind w:left="720" w:right="1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Nataro, J. P. (2020). Redefining enteroaggregative Escherichia coli (EAEC): Genomic characterization of epidemiological EAEC strains. </w:t>
      </w:r>
      <w:r>
        <w:rPr>
          <w:rFonts w:ascii="Times New Roman" w:hAnsi="Times New Roman" w:eastAsia="Times New Roman" w:cs="Times New Roman"/>
          <w:i/>
          <w:iCs/>
          <w:color w:val="auto"/>
          <w:sz w:val="24"/>
          <w:szCs w:val="24"/>
        </w:rPr>
        <w:t>PLoS neglected tropical</w:t>
      </w:r>
    </w:p>
    <w:p>
      <w:pPr>
        <w:spacing w:after="0" w:line="10"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(9), e0008613.</w:t>
      </w:r>
    </w:p>
    <w:p>
      <w:pPr>
        <w:spacing w:after="0" w:line="271" w:lineRule="exact"/>
        <w:rPr>
          <w:color w:val="auto"/>
          <w:sz w:val="20"/>
          <w:szCs w:val="20"/>
        </w:rPr>
      </w:pPr>
    </w:p>
    <w:p>
      <w:pPr>
        <w:spacing w:after="0" w:line="348" w:lineRule="auto"/>
        <w:ind w:left="720" w:right="900" w:hanging="719"/>
        <w:rPr>
          <w:color w:val="auto"/>
          <w:sz w:val="20"/>
          <w:szCs w:val="20"/>
        </w:rPr>
      </w:pPr>
      <w:r>
        <w:rPr>
          <w:rFonts w:ascii="Times New Roman" w:hAnsi="Times New Roman" w:eastAsia="Times New Roman" w:cs="Times New Roman"/>
          <w:color w:val="auto"/>
          <w:sz w:val="24"/>
          <w:szCs w:val="24"/>
        </w:rPr>
        <w:t>Burgos, D., &amp; Ivanov, D. (2021). Food retail supply chain resilience and the COVID-19 pandemic: A digital twin-based impact analysis and improvement</w:t>
      </w:r>
    </w:p>
    <w:p>
      <w:pPr>
        <w:spacing w:after="0" w:line="28" w:lineRule="exact"/>
        <w:rPr>
          <w:color w:val="auto"/>
          <w:sz w:val="20"/>
          <w:szCs w:val="20"/>
        </w:rPr>
      </w:pPr>
    </w:p>
    <w:p>
      <w:pPr>
        <w:spacing w:after="0" w:line="348" w:lineRule="auto"/>
        <w:ind w:left="720" w:right="240"/>
        <w:rPr>
          <w:color w:val="auto"/>
          <w:sz w:val="20"/>
          <w:szCs w:val="20"/>
        </w:rPr>
      </w:pPr>
      <w:r>
        <w:rPr>
          <w:rFonts w:ascii="Times New Roman" w:hAnsi="Times New Roman" w:eastAsia="Times New Roman" w:cs="Times New Roman"/>
          <w:color w:val="auto"/>
          <w:sz w:val="24"/>
          <w:szCs w:val="24"/>
        </w:rPr>
        <w:t xml:space="preserve">directions. </w:t>
      </w:r>
      <w:r>
        <w:rPr>
          <w:rFonts w:ascii="Times New Roman" w:hAnsi="Times New Roman" w:eastAsia="Times New Roman" w:cs="Times New Roman"/>
          <w:i/>
          <w:iCs/>
          <w:color w:val="auto"/>
          <w:sz w:val="24"/>
          <w:szCs w:val="24"/>
        </w:rPr>
        <w:t>Transportation Research Part E: Logistics and Transportation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152</w:t>
      </w:r>
      <w:r>
        <w:rPr>
          <w:rFonts w:ascii="Times New Roman" w:hAnsi="Times New Roman" w:eastAsia="Times New Roman" w:cs="Times New Roman"/>
          <w:color w:val="auto"/>
          <w:sz w:val="24"/>
          <w:szCs w:val="24"/>
        </w:rPr>
        <w:t>, 102412.</w:t>
      </w:r>
    </w:p>
    <w:p>
      <w:pPr>
        <w:spacing w:after="0" w:line="148" w:lineRule="exact"/>
        <w:rPr>
          <w:color w:val="auto"/>
          <w:sz w:val="20"/>
          <w:szCs w:val="20"/>
        </w:rPr>
      </w:pPr>
    </w:p>
    <w:p>
      <w:pPr>
        <w:spacing w:after="0" w:line="354" w:lineRule="auto"/>
        <w:ind w:left="720" w:right="260" w:hanging="719"/>
        <w:jc w:val="both"/>
        <w:rPr>
          <w:color w:val="auto"/>
          <w:sz w:val="20"/>
          <w:szCs w:val="20"/>
        </w:rPr>
      </w:pPr>
      <w:r>
        <w:rPr>
          <w:rFonts w:ascii="Times New Roman" w:hAnsi="Times New Roman" w:eastAsia="Times New Roman" w:cs="Times New Roman"/>
          <w:color w:val="auto"/>
          <w:sz w:val="24"/>
          <w:szCs w:val="24"/>
        </w:rPr>
        <w:t>Butt, S., Allison, L., Vishram, B., Greig, D. R., Aird, H., McDonald, E., ...&amp; Smith-Palmer, A. (2021). Epidemiological investigations identified an outbreak of Shiga toxin-producing Escherichia coli serotype O26: H11 associated with pre-packed</w:t>
      </w:r>
    </w:p>
    <w:p>
      <w:pPr>
        <w:spacing w:after="0" w:line="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sandwiches. </w:t>
      </w:r>
      <w:r>
        <w:rPr>
          <w:rFonts w:ascii="Times New Roman" w:hAnsi="Times New Roman" w:eastAsia="Times New Roman" w:cs="Times New Roman"/>
          <w:i/>
          <w:iCs/>
          <w:color w:val="auto"/>
          <w:sz w:val="24"/>
          <w:szCs w:val="24"/>
        </w:rPr>
        <w:t>Epidemiology &amp; 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149</w:t>
      </w:r>
      <w:r>
        <w:rPr>
          <w:rFonts w:ascii="Times New Roman" w:hAnsi="Times New Roman" w:eastAsia="Times New Roman" w:cs="Times New Roman"/>
          <w:color w:val="auto"/>
          <w:sz w:val="24"/>
          <w:szCs w:val="24"/>
        </w:rPr>
        <w:t>.</w:t>
      </w:r>
    </w:p>
    <w:p>
      <w:pPr>
        <w:spacing w:after="0" w:line="271" w:lineRule="exact"/>
        <w:rPr>
          <w:color w:val="auto"/>
          <w:sz w:val="20"/>
          <w:szCs w:val="20"/>
        </w:rPr>
      </w:pPr>
    </w:p>
    <w:p>
      <w:pPr>
        <w:spacing w:after="0" w:line="373" w:lineRule="auto"/>
        <w:ind w:left="720" w:right="160" w:hanging="719"/>
        <w:rPr>
          <w:color w:val="auto"/>
          <w:sz w:val="20"/>
          <w:szCs w:val="20"/>
        </w:rPr>
      </w:pPr>
      <w:r>
        <w:rPr>
          <w:rFonts w:ascii="Times New Roman" w:hAnsi="Times New Roman" w:eastAsia="Times New Roman" w:cs="Times New Roman"/>
          <w:color w:val="auto"/>
          <w:sz w:val="23"/>
          <w:szCs w:val="23"/>
        </w:rPr>
        <w:t xml:space="preserve">Carlino, M. (2019). </w:t>
      </w:r>
      <w:r>
        <w:rPr>
          <w:rFonts w:ascii="Times New Roman" w:hAnsi="Times New Roman" w:eastAsia="Times New Roman" w:cs="Times New Roman"/>
          <w:i/>
          <w:iCs/>
          <w:color w:val="auto"/>
          <w:sz w:val="23"/>
          <w:szCs w:val="23"/>
        </w:rPr>
        <w:t>Virulence Phenotypes of Enteropathogenic Escherichia coli Isolated from Diarrheal Stool Samples in the USA</w:t>
      </w:r>
      <w:r>
        <w:rPr>
          <w:rFonts w:ascii="Times New Roman" w:hAnsi="Times New Roman" w:eastAsia="Times New Roman" w:cs="Times New Roman"/>
          <w:color w:val="auto"/>
          <w:sz w:val="23"/>
          <w:szCs w:val="23"/>
        </w:rPr>
        <w:t xml:space="preserve"> (Doctoral dissertation, Loyola University Chicago).</w:t>
      </w:r>
    </w:p>
    <w:p>
      <w:pPr>
        <w:spacing w:after="0" w:line="126"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Charmpi, C., Van der Veken, D., Van Reckem, E., De Vuyst, L., &amp; Leroy, F. (2020). Raw meat quality and salt levels affect the bacterial species diversity and community dynamics during the fermentation of pork mince.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89</w:t>
      </w:r>
      <w:r>
        <w:rPr>
          <w:rFonts w:ascii="Times New Roman" w:hAnsi="Times New Roman" w:eastAsia="Times New Roman" w:cs="Times New Roman"/>
          <w:color w:val="auto"/>
          <w:sz w:val="24"/>
          <w:szCs w:val="24"/>
        </w:rPr>
        <w:t>, 103434.</w:t>
      </w:r>
    </w:p>
    <w:p>
      <w:pPr>
        <w:spacing w:after="0" w:line="140" w:lineRule="exact"/>
        <w:rPr>
          <w:color w:val="auto"/>
          <w:sz w:val="20"/>
          <w:szCs w:val="20"/>
        </w:rPr>
      </w:pPr>
    </w:p>
    <w:p>
      <w:pPr>
        <w:spacing w:after="0" w:line="350" w:lineRule="auto"/>
        <w:ind w:left="720" w:hanging="719"/>
        <w:rPr>
          <w:color w:val="auto"/>
          <w:sz w:val="20"/>
          <w:szCs w:val="20"/>
        </w:rPr>
      </w:pPr>
      <w:r>
        <w:rPr>
          <w:rFonts w:ascii="Times New Roman" w:hAnsi="Times New Roman" w:eastAsia="Times New Roman" w:cs="Times New Roman"/>
          <w:color w:val="auto"/>
          <w:sz w:val="24"/>
          <w:szCs w:val="24"/>
        </w:rPr>
        <w:t xml:space="preserve">Chaves, W. A., Monroe, M. C., &amp; Sieving, K. E. (2019). Wild meat trade and consumption in the Central Amazon, Brazil. </w:t>
      </w:r>
      <w:r>
        <w:rPr>
          <w:rFonts w:ascii="Times New Roman" w:hAnsi="Times New Roman" w:eastAsia="Times New Roman" w:cs="Times New Roman"/>
          <w:i/>
          <w:iCs/>
          <w:color w:val="auto"/>
          <w:sz w:val="24"/>
          <w:szCs w:val="24"/>
        </w:rPr>
        <w:t>Human 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47</w:t>
      </w:r>
      <w:r>
        <w:rPr>
          <w:rFonts w:ascii="Times New Roman" w:hAnsi="Times New Roman" w:eastAsia="Times New Roman" w:cs="Times New Roman"/>
          <w:color w:val="auto"/>
          <w:sz w:val="24"/>
          <w:szCs w:val="24"/>
        </w:rPr>
        <w:t>(5), 733-746.</w:t>
      </w:r>
    </w:p>
    <w:p>
      <w:pPr>
        <w:spacing w:after="0" w:line="143"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Chen, Y., Li, X., Wang, S., Guan, L., Li, X., Hu, D., ...&amp; Qian, P. (2020). A novel tail-associated O91-specific polysaccharide depolymerase from a podophage reveals lytic efficacy of shiga toxin-producing Escherichia coli. </w:t>
      </w:r>
      <w:r>
        <w:rPr>
          <w:rFonts w:ascii="Times New Roman" w:hAnsi="Times New Roman" w:eastAsia="Times New Roman" w:cs="Times New Roman"/>
          <w:i/>
          <w:iCs/>
          <w:color w:val="auto"/>
          <w:sz w:val="24"/>
          <w:szCs w:val="24"/>
        </w:rPr>
        <w:t>Applied and environmental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86</w:t>
      </w:r>
      <w:r>
        <w:rPr>
          <w:rFonts w:ascii="Times New Roman" w:hAnsi="Times New Roman" w:eastAsia="Times New Roman" w:cs="Times New Roman"/>
          <w:color w:val="auto"/>
          <w:sz w:val="24"/>
          <w:szCs w:val="24"/>
        </w:rPr>
        <w:t>(9), e00145-20.</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Chi Mang, Y. (2021). Food-borne Diseases: Progress and Challenges.</w:t>
      </w:r>
    </w:p>
    <w:p>
      <w:pPr>
        <w:spacing w:after="0" w:line="271" w:lineRule="exact"/>
        <w:rPr>
          <w:color w:val="auto"/>
          <w:sz w:val="20"/>
          <w:szCs w:val="20"/>
        </w:rPr>
      </w:pPr>
    </w:p>
    <w:p>
      <w:pPr>
        <w:spacing w:after="0" w:line="348" w:lineRule="auto"/>
        <w:ind w:left="720" w:right="520" w:hanging="719"/>
        <w:rPr>
          <w:color w:val="auto"/>
          <w:sz w:val="20"/>
          <w:szCs w:val="20"/>
        </w:rPr>
      </w:pPr>
      <w:r>
        <w:rPr>
          <w:rFonts w:ascii="Times New Roman" w:hAnsi="Times New Roman" w:eastAsia="Times New Roman" w:cs="Times New Roman"/>
          <w:color w:val="auto"/>
          <w:sz w:val="24"/>
          <w:szCs w:val="24"/>
        </w:rPr>
        <w:t xml:space="preserve">Chifunda, K., &amp; Kelly, P. (2019). Parasitic infections of the gut in children. </w:t>
      </w:r>
      <w:r>
        <w:rPr>
          <w:rFonts w:ascii="Times New Roman" w:hAnsi="Times New Roman" w:eastAsia="Times New Roman" w:cs="Times New Roman"/>
          <w:i/>
          <w:iCs/>
          <w:color w:val="auto"/>
          <w:sz w:val="24"/>
          <w:szCs w:val="24"/>
        </w:rPr>
        <w:t>Paediatrics and international child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(1), 65-72.</w:t>
      </w:r>
    </w:p>
    <w:p>
      <w:pPr>
        <w:spacing w:after="0" w:line="148"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Chigor, V., Ibangha, I. A., Chigor, C., &amp; Titilawo, Y. (2020). Treated wastewater used in fresh produce irrigation in Nsukka, Southeast Nigeria is a reservoir of enterotoxigenic and multidrug-resistant Escherichia coli.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(4), e03780.</w:t>
      </w:r>
    </w:p>
    <w:p>
      <w:pPr>
        <w:spacing w:after="0" w:line="11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57</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63" w:name="page69"/>
      <w:bookmarkEnd w:id="63"/>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Cieplak, T., Soffer, N., Sulakvelidze, A., &amp; Nielsen, D. S. (2018). A bacteriophage cocktail targeting Escherichia coli reduces E. coli in simulated gut conditions, while preserving a non-targeted representative commensal normal microbiota. </w:t>
      </w:r>
      <w:r>
        <w:rPr>
          <w:rFonts w:ascii="Times New Roman" w:hAnsi="Times New Roman" w:eastAsia="Times New Roman" w:cs="Times New Roman"/>
          <w:i/>
          <w:iCs/>
          <w:color w:val="auto"/>
          <w:sz w:val="24"/>
          <w:szCs w:val="24"/>
        </w:rPr>
        <w:t>Gut microbes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(5), 391-399.</w:t>
      </w:r>
    </w:p>
    <w:p>
      <w:pPr>
        <w:spacing w:after="0" w:line="140" w:lineRule="exact"/>
        <w:rPr>
          <w:color w:val="auto"/>
          <w:sz w:val="20"/>
          <w:szCs w:val="20"/>
        </w:rPr>
      </w:pPr>
    </w:p>
    <w:p>
      <w:pPr>
        <w:spacing w:after="0" w:line="354" w:lineRule="auto"/>
        <w:ind w:left="720" w:right="200" w:hanging="719"/>
        <w:rPr>
          <w:color w:val="auto"/>
          <w:sz w:val="20"/>
          <w:szCs w:val="20"/>
        </w:rPr>
      </w:pPr>
      <w:r>
        <w:rPr>
          <w:rFonts w:ascii="Times New Roman" w:hAnsi="Times New Roman" w:eastAsia="Times New Roman" w:cs="Times New Roman"/>
          <w:color w:val="auto"/>
          <w:sz w:val="24"/>
          <w:szCs w:val="24"/>
        </w:rPr>
        <w:t xml:space="preserve">Coulombe, G., Catford, A., Martinez-Perez, A., &amp; Buenaventura, E. (2020). Outbreaks of Escherichia coli O157: H7 infections linked to Romaine lettuce in Canada from 2008 to 2018: an analysis of food safety context. </w:t>
      </w:r>
      <w:r>
        <w:rPr>
          <w:rFonts w:ascii="Times New Roman" w:hAnsi="Times New Roman" w:eastAsia="Times New Roman" w:cs="Times New Roman"/>
          <w:i/>
          <w:iCs/>
          <w:color w:val="auto"/>
          <w:sz w:val="24"/>
          <w:szCs w:val="24"/>
        </w:rPr>
        <w:t>Journal of Food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83</w:t>
      </w:r>
      <w:r>
        <w:rPr>
          <w:rFonts w:ascii="Times New Roman" w:hAnsi="Times New Roman" w:eastAsia="Times New Roman" w:cs="Times New Roman"/>
          <w:color w:val="auto"/>
          <w:sz w:val="24"/>
          <w:szCs w:val="24"/>
        </w:rPr>
        <w:t>(8), 1444-1462.</w:t>
      </w:r>
    </w:p>
    <w:p>
      <w:pPr>
        <w:spacing w:after="0" w:line="142"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Dagher, L. A., Hassan, J., Kharroubi, S., Jaafar, H., &amp; Kassem, I. I. (2021). Nationwide assessment of water quality in rivers across Lebanon by quantifying fecal indicators densities and profiling antibiotic resistance of Escherichia coli.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883.</w:t>
      </w:r>
    </w:p>
    <w:p>
      <w:pPr>
        <w:spacing w:after="0" w:line="140"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Dallman, T. J., Greig, D. R., Gharbia, S. E., &amp; Jenkins, C. (2021). Phylogenetic structure of Shiga toxin-producing Escherichia coli O157: H7 from sub-lineage to SNPs. </w:t>
      </w:r>
      <w:r>
        <w:rPr>
          <w:rFonts w:ascii="Times New Roman" w:hAnsi="Times New Roman" w:eastAsia="Times New Roman" w:cs="Times New Roman"/>
          <w:i/>
          <w:iCs/>
          <w:color w:val="auto"/>
          <w:sz w:val="24"/>
          <w:szCs w:val="24"/>
        </w:rPr>
        <w:t>Microbial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w:t>
      </w:r>
    </w:p>
    <w:p>
      <w:pPr>
        <w:spacing w:after="0" w:line="142" w:lineRule="exact"/>
        <w:rPr>
          <w:color w:val="auto"/>
          <w:sz w:val="20"/>
          <w:szCs w:val="20"/>
        </w:rPr>
      </w:pPr>
    </w:p>
    <w:p>
      <w:pPr>
        <w:spacing w:after="0" w:line="354" w:lineRule="auto"/>
        <w:ind w:left="720" w:right="700" w:hanging="719"/>
        <w:jc w:val="both"/>
        <w:rPr>
          <w:color w:val="auto"/>
          <w:sz w:val="20"/>
          <w:szCs w:val="20"/>
        </w:rPr>
      </w:pPr>
      <w:r>
        <w:rPr>
          <w:rFonts w:ascii="Times New Roman" w:hAnsi="Times New Roman" w:eastAsia="Times New Roman" w:cs="Times New Roman"/>
          <w:color w:val="auto"/>
          <w:sz w:val="24"/>
          <w:szCs w:val="24"/>
        </w:rPr>
        <w:t xml:space="preserve">Davis, G. S., Waits, K., Nordstrom, L., Grande, H., Weaver, B., Papp, K., ...&amp; Price, L. B. (2018). Antibiotic-resistant Escherichia coli from retail poultry meat with different antibiotic use claims. </w:t>
      </w:r>
      <w:r>
        <w:rPr>
          <w:rFonts w:ascii="Times New Roman" w:hAnsi="Times New Roman" w:eastAsia="Times New Roman" w:cs="Times New Roman"/>
          <w:i/>
          <w:iCs/>
          <w:color w:val="auto"/>
          <w:sz w:val="24"/>
          <w:szCs w:val="24"/>
        </w:rPr>
        <w:t>BMC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(1), 1-7.</w:t>
      </w:r>
    </w:p>
    <w:p>
      <w:pPr>
        <w:spacing w:after="0" w:line="140" w:lineRule="exact"/>
        <w:rPr>
          <w:color w:val="auto"/>
          <w:sz w:val="20"/>
          <w:szCs w:val="20"/>
        </w:rPr>
      </w:pPr>
    </w:p>
    <w:p>
      <w:pPr>
        <w:spacing w:after="0" w:line="354" w:lineRule="auto"/>
        <w:ind w:left="720" w:right="440" w:hanging="719"/>
        <w:rPr>
          <w:color w:val="auto"/>
          <w:sz w:val="20"/>
          <w:szCs w:val="20"/>
        </w:rPr>
      </w:pPr>
      <w:r>
        <w:rPr>
          <w:rFonts w:ascii="Times New Roman" w:hAnsi="Times New Roman" w:eastAsia="Times New Roman" w:cs="Times New Roman"/>
          <w:color w:val="auto"/>
          <w:sz w:val="24"/>
          <w:szCs w:val="24"/>
        </w:rPr>
        <w:t xml:space="preserve">Day, M. J., Carey, S., Clercx, C., Kohn, B., MarsilIo, F., Thiry, E., ...&amp; Walker, D. J. (2020). Aetiology of canine infectious respiratory disease complex and prevalence of its pathogens in Europe. </w:t>
      </w:r>
      <w:r>
        <w:rPr>
          <w:rFonts w:ascii="Times New Roman" w:hAnsi="Times New Roman" w:eastAsia="Times New Roman" w:cs="Times New Roman"/>
          <w:i/>
          <w:iCs/>
          <w:color w:val="auto"/>
          <w:sz w:val="24"/>
          <w:szCs w:val="24"/>
        </w:rPr>
        <w:t>Journal of comparative pathology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176</w:t>
      </w:r>
      <w:r>
        <w:rPr>
          <w:rFonts w:ascii="Times New Roman" w:hAnsi="Times New Roman" w:eastAsia="Times New Roman" w:cs="Times New Roman"/>
          <w:color w:val="auto"/>
          <w:sz w:val="24"/>
          <w:szCs w:val="24"/>
        </w:rPr>
        <w:t>, 86-108.</w:t>
      </w:r>
    </w:p>
    <w:p>
      <w:pPr>
        <w:spacing w:after="0" w:line="142"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Delsart, M., Pol, F., Dufour, B., Rose, N., &amp; Fablet, C. (2020). Pig farming in alternative systems: strengths and challenges in terms of animal welfare, biosecurity, animal health and pork safety. </w:t>
      </w:r>
      <w:r>
        <w:rPr>
          <w:rFonts w:ascii="Times New Roman" w:hAnsi="Times New Roman" w:eastAsia="Times New Roman" w:cs="Times New Roman"/>
          <w:i/>
          <w:iCs/>
          <w:color w:val="auto"/>
          <w:sz w:val="24"/>
          <w:szCs w:val="24"/>
        </w:rPr>
        <w:t>Agriculture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261.</w:t>
      </w:r>
    </w:p>
    <w:p>
      <w:pPr>
        <w:spacing w:after="0" w:line="140" w:lineRule="exact"/>
        <w:rPr>
          <w:color w:val="auto"/>
          <w:sz w:val="20"/>
          <w:szCs w:val="20"/>
        </w:rPr>
      </w:pPr>
    </w:p>
    <w:p>
      <w:pPr>
        <w:spacing w:after="0" w:line="354" w:lineRule="auto"/>
        <w:ind w:left="720" w:right="540" w:hanging="719"/>
        <w:rPr>
          <w:color w:val="auto"/>
          <w:sz w:val="20"/>
          <w:szCs w:val="20"/>
        </w:rPr>
      </w:pPr>
      <w:r>
        <w:rPr>
          <w:rFonts w:ascii="Times New Roman" w:hAnsi="Times New Roman" w:eastAsia="Times New Roman" w:cs="Times New Roman"/>
          <w:color w:val="auto"/>
          <w:sz w:val="24"/>
          <w:szCs w:val="24"/>
        </w:rPr>
        <w:t xml:space="preserve">Desvaux, M., Dalmasso, G., Beyrouthy, R., Barnich, N., Delmas, J., &amp; Bonnet, R. (2020). Pathogenicity factors of genomic islands in intestinal and extraintestinal Escherichia coli. </w:t>
      </w:r>
      <w:r>
        <w:rPr>
          <w:rFonts w:ascii="Times New Roman" w:hAnsi="Times New Roman" w:eastAsia="Times New Roman" w:cs="Times New Roman"/>
          <w:i/>
          <w:iCs/>
          <w:color w:val="auto"/>
          <w:sz w:val="24"/>
          <w:szCs w:val="24"/>
        </w:rPr>
        <w:t>Frontiers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2065.</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Detwiler, D. (2020). </w:t>
      </w:r>
      <w:r>
        <w:rPr>
          <w:rFonts w:ascii="Times New Roman" w:hAnsi="Times New Roman" w:eastAsia="Times New Roman" w:cs="Times New Roman"/>
          <w:i/>
          <w:iCs/>
          <w:color w:val="auto"/>
          <w:sz w:val="24"/>
          <w:szCs w:val="24"/>
        </w:rPr>
        <w:t>Food Safety: Past, Present, and Predictions</w:t>
      </w:r>
      <w:r>
        <w:rPr>
          <w:rFonts w:ascii="Times New Roman" w:hAnsi="Times New Roman" w:eastAsia="Times New Roman" w:cs="Times New Roman"/>
          <w:color w:val="auto"/>
          <w:sz w:val="24"/>
          <w:szCs w:val="24"/>
        </w:rPr>
        <w:t>. Academic Press.</w:t>
      </w:r>
    </w:p>
    <w:p>
      <w:pPr>
        <w:spacing w:after="0" w:line="269" w:lineRule="exact"/>
        <w:rPr>
          <w:color w:val="auto"/>
          <w:sz w:val="20"/>
          <w:szCs w:val="20"/>
        </w:rPr>
      </w:pPr>
    </w:p>
    <w:p>
      <w:pPr>
        <w:spacing w:after="0" w:line="354" w:lineRule="auto"/>
        <w:ind w:left="720" w:right="540" w:hanging="719"/>
        <w:rPr>
          <w:color w:val="auto"/>
          <w:sz w:val="20"/>
          <w:szCs w:val="20"/>
        </w:rPr>
      </w:pPr>
      <w:r>
        <w:rPr>
          <w:rFonts w:ascii="Times New Roman" w:hAnsi="Times New Roman" w:eastAsia="Times New Roman" w:cs="Times New Roman"/>
          <w:color w:val="auto"/>
          <w:sz w:val="24"/>
          <w:szCs w:val="24"/>
        </w:rPr>
        <w:t xml:space="preserve">Detzner, J., Pohlentz, G., &amp; Müthing, J. (2020). Valid presumption of Shiga toxin-mediated damage of developing erythrocytes in EHEC-associated hemolytic uremic syndrome.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(6), 373.</w:t>
      </w:r>
    </w:p>
    <w:p>
      <w:pPr>
        <w:spacing w:after="0" w:line="200" w:lineRule="exact"/>
        <w:rPr>
          <w:color w:val="auto"/>
          <w:sz w:val="20"/>
          <w:szCs w:val="20"/>
        </w:rPr>
      </w:pPr>
    </w:p>
    <w:p>
      <w:pPr>
        <w:spacing w:after="0" w:line="33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58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4" w:name="page70"/>
      <w:bookmarkEnd w:id="64"/>
    </w:p>
    <w:p>
      <w:pPr>
        <w:spacing w:after="0" w:line="354" w:lineRule="auto"/>
        <w:ind w:left="720" w:right="580" w:hanging="719"/>
        <w:rPr>
          <w:color w:val="auto"/>
          <w:sz w:val="20"/>
          <w:szCs w:val="20"/>
        </w:rPr>
      </w:pPr>
      <w:r>
        <w:rPr>
          <w:rFonts w:ascii="Times New Roman" w:hAnsi="Times New Roman" w:eastAsia="Times New Roman" w:cs="Times New Roman"/>
          <w:color w:val="auto"/>
          <w:sz w:val="24"/>
          <w:szCs w:val="24"/>
        </w:rPr>
        <w:t xml:space="preserve">Devane, M. L., Moriarty, E., Weaver, L., Cookson, A., &amp; Gilpin, B. (2020). Fecal indicator bacteria from environmental sources; strategies for identification to improve water quality monitoring. </w:t>
      </w:r>
      <w:r>
        <w:rPr>
          <w:rFonts w:ascii="Times New Roman" w:hAnsi="Times New Roman" w:eastAsia="Times New Roman" w:cs="Times New Roman"/>
          <w:i/>
          <w:iCs/>
          <w:color w:val="auto"/>
          <w:sz w:val="24"/>
          <w:szCs w:val="24"/>
        </w:rPr>
        <w:t>Water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185</w:t>
      </w:r>
      <w:r>
        <w:rPr>
          <w:rFonts w:ascii="Times New Roman" w:hAnsi="Times New Roman" w:eastAsia="Times New Roman" w:cs="Times New Roman"/>
          <w:color w:val="auto"/>
          <w:sz w:val="24"/>
          <w:szCs w:val="24"/>
        </w:rPr>
        <w:t>, 116204.</w:t>
      </w:r>
    </w:p>
    <w:p>
      <w:pPr>
        <w:spacing w:after="0" w:line="140" w:lineRule="exact"/>
        <w:rPr>
          <w:color w:val="auto"/>
          <w:sz w:val="20"/>
          <w:szCs w:val="20"/>
        </w:rPr>
      </w:pPr>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Dias, D., Costa, S., Fonseca, C., Baraúna, R., Caetano, T., &amp; Mendo, S. (2022). Pathogenicity of Shiga toxin-producing Escherichia coli (STEC) from wildlife: Should we care?. </w:t>
      </w:r>
      <w:r>
        <w:rPr>
          <w:rFonts w:ascii="Times New Roman" w:hAnsi="Times New Roman" w:eastAsia="Times New Roman" w:cs="Times New Roman"/>
          <w:i/>
          <w:iCs/>
          <w:color w:val="auto"/>
          <w:sz w:val="24"/>
          <w:szCs w:val="24"/>
        </w:rPr>
        <w:t>Science of The Total Environment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812</w:t>
      </w:r>
      <w:r>
        <w:rPr>
          <w:rFonts w:ascii="Times New Roman" w:hAnsi="Times New Roman" w:eastAsia="Times New Roman" w:cs="Times New Roman"/>
          <w:color w:val="auto"/>
          <w:sz w:val="24"/>
          <w:szCs w:val="24"/>
        </w:rPr>
        <w:t>, 152324.</w:t>
      </w:r>
    </w:p>
    <w:p>
      <w:pPr>
        <w:spacing w:after="0" w:line="142" w:lineRule="exact"/>
        <w:rPr>
          <w:color w:val="auto"/>
          <w:sz w:val="20"/>
          <w:szCs w:val="20"/>
        </w:rPr>
      </w:pPr>
    </w:p>
    <w:p>
      <w:pPr>
        <w:spacing w:after="0" w:line="354" w:lineRule="auto"/>
        <w:ind w:left="720" w:right="860" w:hanging="719"/>
        <w:rPr>
          <w:color w:val="auto"/>
          <w:sz w:val="20"/>
          <w:szCs w:val="20"/>
        </w:rPr>
      </w:pPr>
      <w:r>
        <w:rPr>
          <w:rFonts w:ascii="Times New Roman" w:hAnsi="Times New Roman" w:eastAsia="Times New Roman" w:cs="Times New Roman"/>
          <w:color w:val="auto"/>
          <w:sz w:val="24"/>
          <w:szCs w:val="24"/>
        </w:rPr>
        <w:t xml:space="preserve">Duan, Q., Xia, P., Nandre, R., Zhang, W., &amp; Zhu, G. (2019). Review of newly identified functions associated with the heat-labile toxin of enterotoxigenic Escherichia coli.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 292.</w:t>
      </w:r>
    </w:p>
    <w:p>
      <w:pPr>
        <w:spacing w:after="0" w:line="140" w:lineRule="exact"/>
        <w:rPr>
          <w:color w:val="auto"/>
          <w:sz w:val="20"/>
          <w:szCs w:val="20"/>
        </w:rPr>
      </w:pPr>
    </w:p>
    <w:p>
      <w:pPr>
        <w:spacing w:after="0" w:line="350" w:lineRule="auto"/>
        <w:ind w:left="720" w:right="1240" w:hanging="719"/>
        <w:rPr>
          <w:color w:val="auto"/>
          <w:sz w:val="20"/>
          <w:szCs w:val="20"/>
        </w:rPr>
      </w:pPr>
      <w:r>
        <w:rPr>
          <w:rFonts w:ascii="Times New Roman" w:hAnsi="Times New Roman" w:eastAsia="Times New Roman" w:cs="Times New Roman"/>
          <w:color w:val="auto"/>
          <w:sz w:val="24"/>
          <w:szCs w:val="24"/>
        </w:rPr>
        <w:t xml:space="preserve">Dubreuil, J. D. (2020). Fruit extracts to control pathogenic Escherichia coli: A sweet solution.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(2), e03410.</w:t>
      </w:r>
    </w:p>
    <w:p>
      <w:pPr>
        <w:spacing w:after="0" w:line="143" w:lineRule="exact"/>
        <w:rPr>
          <w:color w:val="auto"/>
          <w:sz w:val="20"/>
          <w:szCs w:val="20"/>
        </w:rPr>
      </w:pPr>
    </w:p>
    <w:p>
      <w:pPr>
        <w:spacing w:after="0" w:line="356" w:lineRule="auto"/>
        <w:ind w:left="720" w:right="300" w:hanging="719"/>
        <w:rPr>
          <w:color w:val="auto"/>
          <w:sz w:val="20"/>
          <w:szCs w:val="20"/>
        </w:rPr>
      </w:pPr>
      <w:r>
        <w:rPr>
          <w:rFonts w:ascii="Times New Roman" w:hAnsi="Times New Roman" w:eastAsia="Times New Roman" w:cs="Times New Roman"/>
          <w:color w:val="auto"/>
          <w:sz w:val="24"/>
          <w:szCs w:val="24"/>
        </w:rPr>
        <w:t xml:space="preserve">Duc, H. M., Son, H. M., Yi, H. P. S., Sato, J., Ngan, P. H., Masuda, Y., ... &amp; Miyamoto, T. (2020). Isolation, characterization and application of a polyvalent phage capable of controlling Salmonella and Escherichia coli O157: H7 in different food matrices. </w:t>
      </w:r>
      <w:r>
        <w:rPr>
          <w:rFonts w:ascii="Times New Roman" w:hAnsi="Times New Roman" w:eastAsia="Times New Roman" w:cs="Times New Roman"/>
          <w:i/>
          <w:iCs/>
          <w:color w:val="auto"/>
          <w:sz w:val="24"/>
          <w:szCs w:val="24"/>
        </w:rPr>
        <w:t>Food research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131</w:t>
      </w:r>
      <w:r>
        <w:rPr>
          <w:rFonts w:ascii="Times New Roman" w:hAnsi="Times New Roman" w:eastAsia="Times New Roman" w:cs="Times New Roman"/>
          <w:color w:val="auto"/>
          <w:sz w:val="24"/>
          <w:szCs w:val="24"/>
        </w:rPr>
        <w:t>, 108977.</w:t>
      </w:r>
    </w:p>
    <w:p>
      <w:pPr>
        <w:spacing w:after="0" w:line="139" w:lineRule="exact"/>
        <w:rPr>
          <w:color w:val="auto"/>
          <w:sz w:val="20"/>
          <w:szCs w:val="20"/>
        </w:rPr>
      </w:pPr>
    </w:p>
    <w:p>
      <w:pPr>
        <w:spacing w:after="0" w:line="350" w:lineRule="auto"/>
        <w:ind w:left="720" w:right="80" w:hanging="719"/>
        <w:rPr>
          <w:color w:val="auto"/>
          <w:sz w:val="20"/>
          <w:szCs w:val="20"/>
        </w:rPr>
      </w:pPr>
      <w:r>
        <w:rPr>
          <w:rFonts w:ascii="Times New Roman" w:hAnsi="Times New Roman" w:eastAsia="Times New Roman" w:cs="Times New Roman"/>
          <w:color w:val="auto"/>
          <w:sz w:val="24"/>
          <w:szCs w:val="24"/>
        </w:rPr>
        <w:t xml:space="preserve">Duze, S. T., Marimani, M., &amp; Patel, M. (2021). Tolerance of Listeria monocytogenes to biocides used in food processing environments.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97</w:t>
      </w:r>
      <w:r>
        <w:rPr>
          <w:rFonts w:ascii="Times New Roman" w:hAnsi="Times New Roman" w:eastAsia="Times New Roman" w:cs="Times New Roman"/>
          <w:color w:val="auto"/>
          <w:sz w:val="24"/>
          <w:szCs w:val="24"/>
        </w:rPr>
        <w:t>, 103758.</w:t>
      </w:r>
    </w:p>
    <w:p>
      <w:pPr>
        <w:spacing w:after="0" w:line="143"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Ehuwa, O., Jaiswal, A. K., &amp; Jaiswal, S. (2021). Salmonella, food safety and food handling practices.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907.</w:t>
      </w:r>
    </w:p>
    <w:p>
      <w:pPr>
        <w:spacing w:after="0" w:line="143"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Ehuwa, O., Jaiswal, A. K., &amp; Jaiswal, S. (2021). Salmonella, food safety and food handling practices.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907.</w:t>
      </w:r>
    </w:p>
    <w:p>
      <w:pPr>
        <w:spacing w:after="0" w:line="143" w:lineRule="exact"/>
        <w:rPr>
          <w:color w:val="auto"/>
          <w:sz w:val="20"/>
          <w:szCs w:val="20"/>
        </w:rPr>
      </w:pPr>
    </w:p>
    <w:p>
      <w:pPr>
        <w:spacing w:after="0" w:line="350" w:lineRule="auto"/>
        <w:ind w:left="720" w:right="140" w:hanging="719"/>
        <w:rPr>
          <w:color w:val="auto"/>
          <w:sz w:val="20"/>
          <w:szCs w:val="20"/>
        </w:rPr>
      </w:pPr>
      <w:r>
        <w:rPr>
          <w:rFonts w:ascii="Times New Roman" w:hAnsi="Times New Roman" w:eastAsia="Times New Roman" w:cs="Times New Roman"/>
          <w:color w:val="auto"/>
          <w:sz w:val="24"/>
          <w:szCs w:val="24"/>
        </w:rPr>
        <w:t xml:space="preserve">Ekici, G., &amp; Dümen, E. (2019). Escherichia coli and food safety. In </w:t>
      </w:r>
      <w:r>
        <w:rPr>
          <w:rFonts w:ascii="Times New Roman" w:hAnsi="Times New Roman" w:eastAsia="Times New Roman" w:cs="Times New Roman"/>
          <w:i/>
          <w:iCs/>
          <w:color w:val="auto"/>
          <w:sz w:val="24"/>
          <w:szCs w:val="24"/>
        </w:rPr>
        <w:t>The universe of Escherichia coli</w:t>
      </w:r>
      <w:r>
        <w:rPr>
          <w:rFonts w:ascii="Times New Roman" w:hAnsi="Times New Roman" w:eastAsia="Times New Roman" w:cs="Times New Roman"/>
          <w:color w:val="auto"/>
          <w:sz w:val="24"/>
          <w:szCs w:val="24"/>
        </w:rPr>
        <w:t>. IntechOpen.</w:t>
      </w:r>
    </w:p>
    <w:p>
      <w:pPr>
        <w:spacing w:after="0" w:line="144" w:lineRule="exact"/>
        <w:rPr>
          <w:color w:val="auto"/>
          <w:sz w:val="20"/>
          <w:szCs w:val="20"/>
        </w:rPr>
      </w:pPr>
    </w:p>
    <w:p>
      <w:pPr>
        <w:spacing w:after="0" w:line="350" w:lineRule="auto"/>
        <w:ind w:left="720" w:right="140" w:hanging="719"/>
        <w:rPr>
          <w:color w:val="auto"/>
          <w:sz w:val="20"/>
          <w:szCs w:val="20"/>
        </w:rPr>
      </w:pPr>
      <w:r>
        <w:rPr>
          <w:rFonts w:ascii="Times New Roman" w:hAnsi="Times New Roman" w:eastAsia="Times New Roman" w:cs="Times New Roman"/>
          <w:color w:val="auto"/>
          <w:sz w:val="24"/>
          <w:szCs w:val="24"/>
        </w:rPr>
        <w:t xml:space="preserve">Ekici, G., &amp; Dümen, E. (2019). Escherichia coli and food safety. In </w:t>
      </w:r>
      <w:r>
        <w:rPr>
          <w:rFonts w:ascii="Times New Roman" w:hAnsi="Times New Roman" w:eastAsia="Times New Roman" w:cs="Times New Roman"/>
          <w:i/>
          <w:iCs/>
          <w:color w:val="auto"/>
          <w:sz w:val="24"/>
          <w:szCs w:val="24"/>
        </w:rPr>
        <w:t>The universe of Escherichia coli</w:t>
      </w:r>
      <w:r>
        <w:rPr>
          <w:rFonts w:ascii="Times New Roman" w:hAnsi="Times New Roman" w:eastAsia="Times New Roman" w:cs="Times New Roman"/>
          <w:color w:val="auto"/>
          <w:sz w:val="24"/>
          <w:szCs w:val="24"/>
        </w:rPr>
        <w:t>. IntechOpen.</w:t>
      </w:r>
    </w:p>
    <w:p>
      <w:pPr>
        <w:spacing w:after="0" w:line="143" w:lineRule="exact"/>
        <w:rPr>
          <w:color w:val="auto"/>
          <w:sz w:val="20"/>
          <w:szCs w:val="20"/>
        </w:rPr>
      </w:pPr>
    </w:p>
    <w:p>
      <w:pPr>
        <w:spacing w:after="0" w:line="350" w:lineRule="auto"/>
        <w:ind w:left="720" w:right="440" w:hanging="719"/>
        <w:rPr>
          <w:color w:val="auto"/>
          <w:sz w:val="20"/>
          <w:szCs w:val="20"/>
        </w:rPr>
      </w:pPr>
      <w:r>
        <w:rPr>
          <w:rFonts w:ascii="Times New Roman" w:hAnsi="Times New Roman" w:eastAsia="Times New Roman" w:cs="Times New Roman"/>
          <w:color w:val="auto"/>
          <w:sz w:val="24"/>
          <w:szCs w:val="24"/>
        </w:rPr>
        <w:t xml:space="preserve">Ellis, S. (2018). </w:t>
      </w:r>
      <w:r>
        <w:rPr>
          <w:rFonts w:ascii="Times New Roman" w:hAnsi="Times New Roman" w:eastAsia="Times New Roman" w:cs="Times New Roman"/>
          <w:i/>
          <w:iCs/>
          <w:color w:val="auto"/>
          <w:sz w:val="24"/>
          <w:szCs w:val="24"/>
        </w:rPr>
        <w:t>Investigating enteroaggregative Escherichia coli virulence factors in human intestinal infection</w:t>
      </w:r>
      <w:r>
        <w:rPr>
          <w:rFonts w:ascii="Times New Roman" w:hAnsi="Times New Roman" w:eastAsia="Times New Roman" w:cs="Times New Roman"/>
          <w:color w:val="auto"/>
          <w:sz w:val="24"/>
          <w:szCs w:val="24"/>
        </w:rPr>
        <w:t xml:space="preserve"> (Doctoral dissertation, University of East Anglia).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59</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5" w:name="page71"/>
      <w:bookmarkEnd w:id="65"/>
    </w:p>
    <w:p>
      <w:pPr>
        <w:spacing w:after="0" w:line="354" w:lineRule="auto"/>
        <w:ind w:left="720" w:right="620" w:hanging="719"/>
        <w:jc w:val="both"/>
        <w:rPr>
          <w:color w:val="auto"/>
          <w:sz w:val="20"/>
          <w:szCs w:val="20"/>
        </w:rPr>
      </w:pPr>
      <w:r>
        <w:rPr>
          <w:rFonts w:ascii="Times New Roman" w:hAnsi="Times New Roman" w:eastAsia="Times New Roman" w:cs="Times New Roman"/>
          <w:color w:val="auto"/>
          <w:sz w:val="24"/>
          <w:szCs w:val="24"/>
        </w:rPr>
        <w:t xml:space="preserve">Elsyaed, M. S. A. E., &amp; Mounir, M. (2020). Virulence factors and antimicrobial resistance patterns of non-o157 Shiga toxin-producing Escherichia coli isolated from different sources at Sadat city. </w:t>
      </w:r>
      <w:r>
        <w:rPr>
          <w:rFonts w:ascii="Times New Roman" w:hAnsi="Times New Roman" w:eastAsia="Times New Roman" w:cs="Times New Roman"/>
          <w:i/>
          <w:iCs/>
          <w:color w:val="auto"/>
          <w:sz w:val="24"/>
          <w:szCs w:val="24"/>
        </w:rPr>
        <w:t>MRJI.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30</w:t>
      </w:r>
      <w:r>
        <w:rPr>
          <w:rFonts w:ascii="Times New Roman" w:hAnsi="Times New Roman" w:eastAsia="Times New Roman" w:cs="Times New Roman"/>
          <w:color w:val="auto"/>
          <w:sz w:val="24"/>
          <w:szCs w:val="24"/>
        </w:rPr>
        <w:t>, 64-73.</w:t>
      </w:r>
    </w:p>
    <w:p>
      <w:pPr>
        <w:spacing w:after="0" w:line="140" w:lineRule="exact"/>
        <w:rPr>
          <w:color w:val="auto"/>
          <w:sz w:val="20"/>
          <w:szCs w:val="20"/>
        </w:rPr>
      </w:pPr>
    </w:p>
    <w:p>
      <w:pPr>
        <w:spacing w:after="0" w:line="354" w:lineRule="auto"/>
        <w:ind w:left="720" w:right="480" w:hanging="719"/>
        <w:jc w:val="both"/>
        <w:rPr>
          <w:color w:val="auto"/>
          <w:sz w:val="20"/>
          <w:szCs w:val="20"/>
        </w:rPr>
      </w:pPr>
      <w:r>
        <w:rPr>
          <w:rFonts w:ascii="Times New Roman" w:hAnsi="Times New Roman" w:eastAsia="Times New Roman" w:cs="Times New Roman"/>
          <w:color w:val="auto"/>
          <w:sz w:val="24"/>
          <w:szCs w:val="24"/>
        </w:rPr>
        <w:t xml:space="preserve">Ema, F. A., Shanta, R. N., Rahman, M. Z., Islam, M. A., &amp; Khatun, M.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 1497.</w:t>
      </w:r>
    </w:p>
    <w:p>
      <w:pPr>
        <w:spacing w:after="0" w:line="142"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Ema, F. A., Shanta, R. N., Rahman, M., Islam, M., &amp; Khatun,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w:t>
      </w:r>
    </w:p>
    <w:p>
      <w:pPr>
        <w:spacing w:after="0" w:line="140"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Ema, F. A., Shanta, R. N., Rahman, M., Islam, M., &amp; Khatun,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w:t>
      </w:r>
    </w:p>
    <w:p>
      <w:pPr>
        <w:spacing w:after="0" w:line="142" w:lineRule="exact"/>
        <w:rPr>
          <w:color w:val="auto"/>
          <w:sz w:val="20"/>
          <w:szCs w:val="20"/>
        </w:rPr>
      </w:pPr>
    </w:p>
    <w:p>
      <w:pPr>
        <w:spacing w:after="0" w:line="356" w:lineRule="auto"/>
        <w:ind w:left="720" w:right="120" w:hanging="719"/>
        <w:rPr>
          <w:color w:val="auto"/>
          <w:sz w:val="20"/>
          <w:szCs w:val="20"/>
        </w:rPr>
      </w:pPr>
      <w:r>
        <w:rPr>
          <w:rFonts w:ascii="Times New Roman" w:hAnsi="Times New Roman" w:eastAsia="Times New Roman" w:cs="Times New Roman"/>
          <w:color w:val="auto"/>
          <w:sz w:val="24"/>
          <w:szCs w:val="24"/>
        </w:rPr>
        <w:t xml:space="preserve">Exeni, R. A., Fernandez-Brando, R. J., Santiago, A. P., Fiorentino, G. A., Exeni, A. M., Ramos, M. V., &amp; Palermo, M. S. (2018). Pathogenic role of inflammatory response during Shiga toxin-associated hemolytic uremic syndrome (HUS). </w:t>
      </w:r>
      <w:r>
        <w:rPr>
          <w:rFonts w:ascii="Times New Roman" w:hAnsi="Times New Roman" w:eastAsia="Times New Roman" w:cs="Times New Roman"/>
          <w:i/>
          <w:iCs/>
          <w:color w:val="auto"/>
          <w:sz w:val="24"/>
          <w:szCs w:val="24"/>
        </w:rPr>
        <w:t>Pediatric Nephrology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(11), 2057-2071.</w:t>
      </w:r>
    </w:p>
    <w:p>
      <w:pPr>
        <w:spacing w:after="0" w:line="139" w:lineRule="exact"/>
        <w:rPr>
          <w:color w:val="auto"/>
          <w:sz w:val="20"/>
          <w:szCs w:val="20"/>
        </w:rPr>
      </w:pPr>
    </w:p>
    <w:p>
      <w:pPr>
        <w:spacing w:after="0" w:line="373" w:lineRule="auto"/>
        <w:ind w:left="720" w:right="240" w:hanging="719"/>
        <w:rPr>
          <w:color w:val="auto"/>
          <w:sz w:val="20"/>
          <w:szCs w:val="20"/>
        </w:rPr>
      </w:pPr>
      <w:r>
        <w:rPr>
          <w:rFonts w:ascii="Times New Roman" w:hAnsi="Times New Roman" w:eastAsia="Times New Roman" w:cs="Times New Roman"/>
          <w:color w:val="auto"/>
          <w:sz w:val="23"/>
          <w:szCs w:val="23"/>
        </w:rPr>
        <w:t xml:space="preserve">Fa, J. E., Nasi, R., &amp; van Vliet, N. (2019). Bushmeat, anthropogenic change, and human health in tropical rainforests: The case of the Ebola virus. </w:t>
      </w:r>
      <w:r>
        <w:rPr>
          <w:rFonts w:ascii="Times New Roman" w:hAnsi="Times New Roman" w:eastAsia="Times New Roman" w:cs="Times New Roman"/>
          <w:i/>
          <w:iCs/>
          <w:color w:val="auto"/>
          <w:sz w:val="23"/>
          <w:szCs w:val="23"/>
        </w:rPr>
        <w:t>Sante Publique</w:t>
      </w:r>
      <w:r>
        <w:rPr>
          <w:rFonts w:ascii="Times New Roman" w:hAnsi="Times New Roman" w:eastAsia="Times New Roman" w:cs="Times New Roman"/>
          <w:color w:val="auto"/>
          <w:sz w:val="23"/>
          <w:szCs w:val="23"/>
        </w:rPr>
        <w:t>, (HS1), 107-114.</w:t>
      </w:r>
    </w:p>
    <w:p>
      <w:pPr>
        <w:spacing w:after="0" w:line="126"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Fallah, F., Parhiz, S., &amp; Azimi, L. (2019). Distribution and antibiotic resistance pattern of bacteria isolated from patients with community-acquired urinary tract infections in Iran: a cross-sectional study. </w:t>
      </w:r>
      <w:r>
        <w:rPr>
          <w:rFonts w:ascii="Times New Roman" w:hAnsi="Times New Roman" w:eastAsia="Times New Roman" w:cs="Times New Roman"/>
          <w:i/>
          <w:iCs/>
          <w:color w:val="auto"/>
          <w:sz w:val="24"/>
          <w:szCs w:val="24"/>
        </w:rPr>
        <w:t>International Journal of Health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(2).</w:t>
      </w:r>
    </w:p>
    <w:p>
      <w:pPr>
        <w:spacing w:after="0" w:line="140" w:lineRule="exact"/>
        <w:rPr>
          <w:color w:val="auto"/>
          <w:sz w:val="20"/>
          <w:szCs w:val="20"/>
        </w:rPr>
      </w:pPr>
    </w:p>
    <w:p>
      <w:pPr>
        <w:spacing w:after="0" w:line="354" w:lineRule="auto"/>
        <w:ind w:left="720" w:right="280" w:hanging="719"/>
        <w:rPr>
          <w:color w:val="auto"/>
          <w:sz w:val="20"/>
          <w:szCs w:val="20"/>
        </w:rPr>
      </w:pPr>
      <w:r>
        <w:rPr>
          <w:rFonts w:ascii="Times New Roman" w:hAnsi="Times New Roman" w:eastAsia="Times New Roman" w:cs="Times New Roman"/>
          <w:color w:val="auto"/>
          <w:sz w:val="24"/>
          <w:szCs w:val="24"/>
        </w:rPr>
        <w:t xml:space="preserve">FitzGerald, E. S., Luz, N. F., &amp; Jamieson, A. M. (2020). Competitive cell death interactions in pulmonary infection: host modulation versus pathogen manipulation. </w:t>
      </w:r>
      <w:r>
        <w:rPr>
          <w:rFonts w:ascii="Times New Roman" w:hAnsi="Times New Roman" w:eastAsia="Times New Roman" w:cs="Times New Roman"/>
          <w:i/>
          <w:iCs/>
          <w:color w:val="auto"/>
          <w:sz w:val="24"/>
          <w:szCs w:val="24"/>
        </w:rPr>
        <w:t>Frontiers in Immunology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814.</w:t>
      </w:r>
    </w:p>
    <w:p>
      <w:pPr>
        <w:spacing w:after="0" w:line="143"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Fogolari, M., Mavian, C., Angeletti, S., Salemi, M., Lampel, K. A., &amp; Maurelli, A. T. (2018). Distribution and characterization of Shiga toxin converting temperate phages carried by Shigella flexneri in Hispaniola. </w:t>
      </w:r>
      <w:r>
        <w:rPr>
          <w:rFonts w:ascii="Times New Roman" w:hAnsi="Times New Roman" w:eastAsia="Times New Roman" w:cs="Times New Roman"/>
          <w:i/>
          <w:iCs/>
          <w:color w:val="auto"/>
          <w:sz w:val="24"/>
          <w:szCs w:val="24"/>
        </w:rPr>
        <w:t>Infection, Genetics and Evolution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65</w:t>
      </w:r>
      <w:r>
        <w:rPr>
          <w:rFonts w:ascii="Times New Roman" w:hAnsi="Times New Roman" w:eastAsia="Times New Roman" w:cs="Times New Roman"/>
          <w:color w:val="auto"/>
          <w:sz w:val="24"/>
          <w:szCs w:val="24"/>
        </w:rPr>
        <w:t>, 321-328.\</w:t>
      </w:r>
    </w:p>
    <w:p>
      <w:pPr>
        <w:spacing w:after="0" w:line="140" w:lineRule="exact"/>
        <w:rPr>
          <w:color w:val="auto"/>
          <w:sz w:val="20"/>
          <w:szCs w:val="20"/>
        </w:rPr>
      </w:pPr>
    </w:p>
    <w:p>
      <w:pPr>
        <w:spacing w:after="0" w:line="350" w:lineRule="auto"/>
        <w:ind w:left="720" w:hanging="719"/>
        <w:rPr>
          <w:color w:val="auto"/>
          <w:sz w:val="20"/>
          <w:szCs w:val="20"/>
        </w:rPr>
      </w:pPr>
      <w:r>
        <w:rPr>
          <w:rFonts w:ascii="Times New Roman" w:hAnsi="Times New Roman" w:eastAsia="Times New Roman" w:cs="Times New Roman"/>
          <w:color w:val="auto"/>
          <w:sz w:val="24"/>
          <w:szCs w:val="24"/>
        </w:rPr>
        <w:t xml:space="preserve">Fouladkhah, A. C., Thompson, B., &amp; Camp, J. S. (2019). Safety of food and water supplies in the landscape of changing climate.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(10), 469.</w:t>
      </w:r>
    </w:p>
    <w:p>
      <w:pPr>
        <w:spacing w:after="0" w:line="1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6" w:name="page72"/>
      <w:bookmarkEnd w:id="66"/>
    </w:p>
    <w:p>
      <w:pPr>
        <w:spacing w:after="0" w:line="354" w:lineRule="auto"/>
        <w:ind w:left="720" w:right="720" w:hanging="719"/>
        <w:rPr>
          <w:color w:val="auto"/>
          <w:sz w:val="20"/>
          <w:szCs w:val="20"/>
        </w:rPr>
      </w:pPr>
      <w:r>
        <w:rPr>
          <w:rFonts w:ascii="Times New Roman" w:hAnsi="Times New Roman" w:eastAsia="Times New Roman" w:cs="Times New Roman"/>
          <w:color w:val="auto"/>
          <w:sz w:val="24"/>
          <w:szCs w:val="24"/>
        </w:rPr>
        <w:t xml:space="preserve">Gallo, M., Ferrara, L., Calogero, A., Montesano, D., &amp; Naviglio, D. (2020). Relationships between food and diseases: what to know to ensure food safety. </w:t>
      </w:r>
      <w:r>
        <w:rPr>
          <w:rFonts w:ascii="Times New Roman" w:hAnsi="Times New Roman" w:eastAsia="Times New Roman" w:cs="Times New Roman"/>
          <w:i/>
          <w:iCs/>
          <w:color w:val="auto"/>
          <w:sz w:val="24"/>
          <w:szCs w:val="24"/>
        </w:rPr>
        <w:t>Food Research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137</w:t>
      </w:r>
      <w:r>
        <w:rPr>
          <w:rFonts w:ascii="Times New Roman" w:hAnsi="Times New Roman" w:eastAsia="Times New Roman" w:cs="Times New Roman"/>
          <w:color w:val="auto"/>
          <w:sz w:val="24"/>
          <w:szCs w:val="24"/>
        </w:rPr>
        <w:t>, 109414.</w:t>
      </w:r>
    </w:p>
    <w:p>
      <w:pPr>
        <w:spacing w:after="0" w:line="140" w:lineRule="exact"/>
        <w:rPr>
          <w:color w:val="auto"/>
          <w:sz w:val="20"/>
          <w:szCs w:val="20"/>
        </w:rPr>
      </w:pPr>
    </w:p>
    <w:p>
      <w:pPr>
        <w:spacing w:after="0" w:line="350" w:lineRule="auto"/>
        <w:ind w:left="720" w:right="720" w:hanging="719"/>
        <w:rPr>
          <w:color w:val="auto"/>
          <w:sz w:val="20"/>
          <w:szCs w:val="20"/>
        </w:rPr>
      </w:pPr>
      <w:r>
        <w:rPr>
          <w:rFonts w:ascii="Times New Roman" w:hAnsi="Times New Roman" w:eastAsia="Times New Roman" w:cs="Times New Roman"/>
          <w:color w:val="auto"/>
          <w:sz w:val="24"/>
          <w:szCs w:val="24"/>
        </w:rPr>
        <w:t xml:space="preserve">Gebisa, E. S., Gerasu, M. A., &amp; Leggese, D. T. (2019). A Review on Virulence Factors of Escherichia Coli. </w:t>
      </w:r>
      <w:r>
        <w:rPr>
          <w:rFonts w:ascii="Times New Roman" w:hAnsi="Times New Roman" w:eastAsia="Times New Roman" w:cs="Times New Roman"/>
          <w:i/>
          <w:iCs/>
          <w:color w:val="auto"/>
          <w:sz w:val="24"/>
          <w:szCs w:val="24"/>
        </w:rPr>
        <w:t>Animal and Veterinary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83-93.</w:t>
      </w:r>
    </w:p>
    <w:p>
      <w:pPr>
        <w:spacing w:after="0" w:line="143" w:lineRule="exact"/>
        <w:rPr>
          <w:color w:val="auto"/>
          <w:sz w:val="20"/>
          <w:szCs w:val="20"/>
        </w:rPr>
      </w:pPr>
    </w:p>
    <w:p>
      <w:pPr>
        <w:spacing w:after="0" w:line="350" w:lineRule="auto"/>
        <w:ind w:left="720" w:right="720" w:hanging="719"/>
        <w:rPr>
          <w:color w:val="auto"/>
          <w:sz w:val="20"/>
          <w:szCs w:val="20"/>
        </w:rPr>
      </w:pPr>
      <w:r>
        <w:rPr>
          <w:rFonts w:ascii="Times New Roman" w:hAnsi="Times New Roman" w:eastAsia="Times New Roman" w:cs="Times New Roman"/>
          <w:color w:val="auto"/>
          <w:sz w:val="24"/>
          <w:szCs w:val="24"/>
        </w:rPr>
        <w:t xml:space="preserve">Gebisa, E. S., Gerasu, M. A., &amp; Leggese, D. T. (2019). A Review on Virulence Factors of Escherichia Coli. </w:t>
      </w:r>
      <w:r>
        <w:rPr>
          <w:rFonts w:ascii="Times New Roman" w:hAnsi="Times New Roman" w:eastAsia="Times New Roman" w:cs="Times New Roman"/>
          <w:i/>
          <w:iCs/>
          <w:color w:val="auto"/>
          <w:sz w:val="24"/>
          <w:szCs w:val="24"/>
        </w:rPr>
        <w:t>Animal and Veterinary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83-93.</w:t>
      </w:r>
    </w:p>
    <w:p>
      <w:pPr>
        <w:spacing w:after="0" w:line="143" w:lineRule="exact"/>
        <w:rPr>
          <w:color w:val="auto"/>
          <w:sz w:val="20"/>
          <w:szCs w:val="20"/>
        </w:rPr>
      </w:pPr>
    </w:p>
    <w:p>
      <w:pPr>
        <w:spacing w:after="0" w:line="357" w:lineRule="auto"/>
        <w:ind w:left="720" w:right="40" w:hanging="719"/>
        <w:rPr>
          <w:color w:val="auto"/>
          <w:sz w:val="20"/>
          <w:szCs w:val="20"/>
        </w:rPr>
      </w:pPr>
      <w:r>
        <w:rPr>
          <w:rFonts w:ascii="Times New Roman" w:hAnsi="Times New Roman" w:eastAsia="Times New Roman" w:cs="Times New Roman"/>
          <w:color w:val="auto"/>
          <w:sz w:val="24"/>
          <w:szCs w:val="24"/>
        </w:rPr>
        <w:t xml:space="preserve">Ghosh, D., Chowdhury, G., Samanta, P., Shaw, S., Deb, A. K., Bardhan, M., ...&amp; Mukhopadhyay, A. K. (2022). Characterization of diarrhoeagenic Escherichia coli with special reference to antimicrobial resistance isolated from hospitalized diarrhoeal patients in Kolkata (2012–2019), India. </w:t>
      </w:r>
      <w:r>
        <w:rPr>
          <w:rFonts w:ascii="Times New Roman" w:hAnsi="Times New Roman" w:eastAsia="Times New Roman" w:cs="Times New Roman"/>
          <w:i/>
          <w:iCs/>
          <w:color w:val="auto"/>
          <w:sz w:val="24"/>
          <w:szCs w:val="24"/>
        </w:rPr>
        <w:t>Journal of Applied Microbiology</w:t>
      </w:r>
      <w:r>
        <w:rPr>
          <w:rFonts w:ascii="Times New Roman" w:hAnsi="Times New Roman" w:eastAsia="Times New Roman" w:cs="Times New Roman"/>
          <w:color w:val="auto"/>
          <w:sz w:val="24"/>
          <w:szCs w:val="24"/>
        </w:rPr>
        <w:t>.</w:t>
      </w:r>
    </w:p>
    <w:p>
      <w:pPr>
        <w:spacing w:after="0" w:line="135" w:lineRule="exact"/>
        <w:rPr>
          <w:color w:val="auto"/>
          <w:sz w:val="20"/>
          <w:szCs w:val="20"/>
        </w:rPr>
      </w:pPr>
    </w:p>
    <w:p>
      <w:pPr>
        <w:spacing w:after="0" w:line="356" w:lineRule="auto"/>
        <w:ind w:left="720" w:right="540" w:hanging="719"/>
        <w:rPr>
          <w:color w:val="auto"/>
          <w:sz w:val="20"/>
          <w:szCs w:val="20"/>
        </w:rPr>
      </w:pPr>
      <w:r>
        <w:rPr>
          <w:rFonts w:ascii="Times New Roman" w:hAnsi="Times New Roman" w:eastAsia="Times New Roman" w:cs="Times New Roman"/>
          <w:color w:val="auto"/>
          <w:sz w:val="24"/>
          <w:szCs w:val="24"/>
        </w:rPr>
        <w:t xml:space="preserve">Gibani, M. M., Jin, C., Shrestha, S., Moore, M., Norman, L., Voysey, M., ...&amp; Pollard, A. J. (2020). Homologous and heterologous re-challenge with Salmonella Typhi and Salmonella Paratyphi A in a randomised controlled human infection model. </w:t>
      </w:r>
      <w:r>
        <w:rPr>
          <w:rFonts w:ascii="Times New Roman" w:hAnsi="Times New Roman" w:eastAsia="Times New Roman" w:cs="Times New Roman"/>
          <w:i/>
          <w:iCs/>
          <w:color w:val="auto"/>
          <w:sz w:val="24"/>
          <w:szCs w:val="24"/>
        </w:rPr>
        <w:t>PLoS neglected tropical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(10), e0008783.</w:t>
      </w:r>
    </w:p>
    <w:p>
      <w:pPr>
        <w:spacing w:after="0" w:line="139"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Gill, A., Dussault, F., McMahon, T., Petronella, N., Wang, X., Cebelinski, E., ...&amp; Carrillo, C. (2022). Characterization of Atypical Shiga Toxin Gene Sequences and Description of Stx2j, a New Subtype. </w:t>
      </w:r>
      <w:r>
        <w:rPr>
          <w:rFonts w:ascii="Times New Roman" w:hAnsi="Times New Roman" w:eastAsia="Times New Roman" w:cs="Times New Roman"/>
          <w:i/>
          <w:iCs/>
          <w:color w:val="auto"/>
          <w:sz w:val="24"/>
          <w:szCs w:val="24"/>
        </w:rPr>
        <w:t>Journal of Clinical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60</w:t>
      </w:r>
      <w:r>
        <w:rPr>
          <w:rFonts w:ascii="Times New Roman" w:hAnsi="Times New Roman" w:eastAsia="Times New Roman" w:cs="Times New Roman"/>
          <w:color w:val="auto"/>
          <w:sz w:val="24"/>
          <w:szCs w:val="24"/>
        </w:rPr>
        <w:t>(3), e02229-21.</w:t>
      </w:r>
    </w:p>
    <w:p>
      <w:pPr>
        <w:spacing w:after="0" w:line="142" w:lineRule="exact"/>
        <w:rPr>
          <w:color w:val="auto"/>
          <w:sz w:val="20"/>
          <w:szCs w:val="20"/>
        </w:rPr>
      </w:pPr>
    </w:p>
    <w:p>
      <w:pPr>
        <w:spacing w:after="0" w:line="354" w:lineRule="auto"/>
        <w:ind w:left="720" w:right="700" w:hanging="719"/>
        <w:rPr>
          <w:color w:val="auto"/>
          <w:sz w:val="20"/>
          <w:szCs w:val="20"/>
        </w:rPr>
      </w:pPr>
      <w:r>
        <w:rPr>
          <w:rFonts w:ascii="Times New Roman" w:hAnsi="Times New Roman" w:eastAsia="Times New Roman" w:cs="Times New Roman"/>
          <w:color w:val="auto"/>
          <w:sz w:val="24"/>
          <w:szCs w:val="24"/>
        </w:rPr>
        <w:t xml:space="preserve">Giri, S., Kudva, V., Shetty, K., &amp; Shetty, V. (2021). Prevalence and characterization of extended-spectrum β-lactamase-producing antibiotic-resistant Escherichia coli and Klebsiella pneumoniae in ready-to-eat street foods.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850.</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Gokoglu, N. (2019). Novel natural food preservatives and applications in seafood preservation:</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 review. </w:t>
      </w:r>
      <w:r>
        <w:rPr>
          <w:rFonts w:ascii="Times New Roman" w:hAnsi="Times New Roman" w:eastAsia="Times New Roman" w:cs="Times New Roman"/>
          <w:i/>
          <w:iCs/>
          <w:color w:val="auto"/>
          <w:sz w:val="24"/>
          <w:szCs w:val="24"/>
        </w:rPr>
        <w:t>Journal of the Science of Food and Agriculture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99</w:t>
      </w:r>
      <w:r>
        <w:rPr>
          <w:rFonts w:ascii="Times New Roman" w:hAnsi="Times New Roman" w:eastAsia="Times New Roman" w:cs="Times New Roman"/>
          <w:color w:val="auto"/>
          <w:sz w:val="24"/>
          <w:szCs w:val="24"/>
        </w:rPr>
        <w:t>(5), 2068-2077.</w:t>
      </w:r>
    </w:p>
    <w:p>
      <w:pPr>
        <w:spacing w:after="0" w:line="270" w:lineRule="exact"/>
        <w:rPr>
          <w:color w:val="auto"/>
          <w:sz w:val="20"/>
          <w:szCs w:val="20"/>
        </w:rPr>
      </w:pPr>
    </w:p>
    <w:p>
      <w:pPr>
        <w:spacing w:after="0" w:line="354" w:lineRule="auto"/>
        <w:ind w:left="720" w:right="340" w:hanging="719"/>
        <w:rPr>
          <w:color w:val="auto"/>
          <w:sz w:val="20"/>
          <w:szCs w:val="20"/>
        </w:rPr>
      </w:pPr>
      <w:r>
        <w:rPr>
          <w:rFonts w:ascii="Times New Roman" w:hAnsi="Times New Roman" w:eastAsia="Times New Roman" w:cs="Times New Roman"/>
          <w:color w:val="auto"/>
          <w:sz w:val="24"/>
          <w:szCs w:val="24"/>
        </w:rPr>
        <w:t xml:space="preserve">Gong, Y., Zhao, D., &amp; Wang, Q. (2018). An overview of field-scale studies on remediation of soil contaminated with heavy metals and metalloids: Technical progress over the last decade. </w:t>
      </w:r>
      <w:r>
        <w:rPr>
          <w:rFonts w:ascii="Times New Roman" w:hAnsi="Times New Roman" w:eastAsia="Times New Roman" w:cs="Times New Roman"/>
          <w:i/>
          <w:iCs/>
          <w:color w:val="auto"/>
          <w:sz w:val="24"/>
          <w:szCs w:val="24"/>
        </w:rPr>
        <w:t>Water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147</w:t>
      </w:r>
      <w:r>
        <w:rPr>
          <w:rFonts w:ascii="Times New Roman" w:hAnsi="Times New Roman" w:eastAsia="Times New Roman" w:cs="Times New Roman"/>
          <w:color w:val="auto"/>
          <w:sz w:val="24"/>
          <w:szCs w:val="24"/>
        </w:rPr>
        <w:t>, 440-460.</w:t>
      </w:r>
    </w:p>
    <w:p>
      <w:pPr>
        <w:spacing w:after="0" w:line="142" w:lineRule="exact"/>
        <w:rPr>
          <w:color w:val="auto"/>
          <w:sz w:val="20"/>
          <w:szCs w:val="20"/>
        </w:rPr>
      </w:pPr>
    </w:p>
    <w:p>
      <w:pPr>
        <w:spacing w:after="0" w:line="348" w:lineRule="auto"/>
        <w:ind w:right="1800"/>
        <w:jc w:val="center"/>
        <w:rPr>
          <w:color w:val="auto"/>
          <w:sz w:val="20"/>
          <w:szCs w:val="20"/>
        </w:rPr>
      </w:pPr>
      <w:r>
        <w:rPr>
          <w:rFonts w:ascii="Times New Roman" w:hAnsi="Times New Roman" w:eastAsia="Times New Roman" w:cs="Times New Roman"/>
          <w:color w:val="auto"/>
          <w:sz w:val="24"/>
          <w:szCs w:val="24"/>
        </w:rPr>
        <w:t xml:space="preserve">Gonzalez, B. E., &amp; Michaels, M. G. (2021). Safe living after transplantation or chemotherapy. </w:t>
      </w:r>
      <w:r>
        <w:rPr>
          <w:rFonts w:ascii="Times New Roman" w:hAnsi="Times New Roman" w:eastAsia="Times New Roman" w:cs="Times New Roman"/>
          <w:i/>
          <w:iCs/>
          <w:color w:val="auto"/>
          <w:sz w:val="24"/>
          <w:szCs w:val="24"/>
        </w:rPr>
        <w:t>Green MD, editor;, Michales MG, editor</w:t>
      </w:r>
      <w:r>
        <w:rPr>
          <w:rFonts w:ascii="Times New Roman" w:hAnsi="Times New Roman" w:eastAsia="Times New Roman" w:cs="Times New Roman"/>
          <w:color w:val="auto"/>
          <w:sz w:val="24"/>
          <w:szCs w:val="24"/>
        </w:rPr>
        <w:t>, 90-96.</w:t>
      </w:r>
    </w:p>
    <w:p>
      <w:pPr>
        <w:spacing w:after="0" w:line="200" w:lineRule="exact"/>
        <w:rPr>
          <w:color w:val="auto"/>
          <w:sz w:val="20"/>
          <w:szCs w:val="20"/>
        </w:rPr>
      </w:pPr>
    </w:p>
    <w:p>
      <w:pPr>
        <w:spacing w:after="0" w:line="33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7" w:name="page73"/>
      <w:bookmarkEnd w:id="67"/>
    </w:p>
    <w:p>
      <w:pPr>
        <w:spacing w:after="0" w:line="348" w:lineRule="auto"/>
        <w:ind w:left="720" w:right="960" w:hanging="719"/>
        <w:rPr>
          <w:color w:val="auto"/>
          <w:sz w:val="20"/>
          <w:szCs w:val="20"/>
        </w:rPr>
      </w:pPr>
      <w:r>
        <w:rPr>
          <w:rFonts w:ascii="Times New Roman" w:hAnsi="Times New Roman" w:eastAsia="Times New Roman" w:cs="Times New Roman"/>
          <w:color w:val="auto"/>
          <w:sz w:val="24"/>
          <w:szCs w:val="24"/>
        </w:rPr>
        <w:t>Good, L. (2022). Genomic comparison of shiga toxin-producing E. coli O157: H7 from ruminants and humans.</w:t>
      </w:r>
    </w:p>
    <w:p>
      <w:pPr>
        <w:spacing w:after="0" w:line="148" w:lineRule="exact"/>
        <w:rPr>
          <w:color w:val="auto"/>
          <w:sz w:val="20"/>
          <w:szCs w:val="20"/>
        </w:rPr>
      </w:pPr>
    </w:p>
    <w:p>
      <w:pPr>
        <w:spacing w:after="0" w:line="348" w:lineRule="auto"/>
        <w:ind w:left="720" w:right="360" w:hanging="719"/>
        <w:rPr>
          <w:color w:val="auto"/>
          <w:sz w:val="20"/>
          <w:szCs w:val="20"/>
        </w:rPr>
      </w:pPr>
      <w:r>
        <w:rPr>
          <w:rFonts w:ascii="Times New Roman" w:hAnsi="Times New Roman" w:eastAsia="Times New Roman" w:cs="Times New Roman"/>
          <w:color w:val="auto"/>
          <w:sz w:val="24"/>
          <w:szCs w:val="24"/>
        </w:rPr>
        <w:t xml:space="preserve">Gourama, H. (2020). Foodborne pathogens. In </w:t>
      </w:r>
      <w:r>
        <w:rPr>
          <w:rFonts w:ascii="Times New Roman" w:hAnsi="Times New Roman" w:eastAsia="Times New Roman" w:cs="Times New Roman"/>
          <w:i/>
          <w:iCs/>
          <w:color w:val="auto"/>
          <w:sz w:val="24"/>
          <w:szCs w:val="24"/>
        </w:rPr>
        <w:t>Food safety engineering</w:t>
      </w:r>
      <w:r>
        <w:rPr>
          <w:rFonts w:ascii="Times New Roman" w:hAnsi="Times New Roman" w:eastAsia="Times New Roman" w:cs="Times New Roman"/>
          <w:color w:val="auto"/>
          <w:sz w:val="24"/>
          <w:szCs w:val="24"/>
        </w:rPr>
        <w:t xml:space="preserve"> (pp. 25-49). Springer, Cham.</w:t>
      </w:r>
    </w:p>
    <w:p>
      <w:pPr>
        <w:spacing w:after="0" w:line="148" w:lineRule="exact"/>
        <w:rPr>
          <w:color w:val="auto"/>
          <w:sz w:val="20"/>
          <w:szCs w:val="20"/>
        </w:rPr>
      </w:pPr>
    </w:p>
    <w:p>
      <w:pPr>
        <w:spacing w:after="0" w:line="348" w:lineRule="auto"/>
        <w:ind w:left="720" w:right="360" w:hanging="719"/>
        <w:rPr>
          <w:color w:val="auto"/>
          <w:sz w:val="20"/>
          <w:szCs w:val="20"/>
        </w:rPr>
      </w:pPr>
      <w:r>
        <w:rPr>
          <w:rFonts w:ascii="Times New Roman" w:hAnsi="Times New Roman" w:eastAsia="Times New Roman" w:cs="Times New Roman"/>
          <w:color w:val="auto"/>
          <w:sz w:val="24"/>
          <w:szCs w:val="24"/>
        </w:rPr>
        <w:t xml:space="preserve">Gourama, H. (2020). Foodborne pathogens. In </w:t>
      </w:r>
      <w:r>
        <w:rPr>
          <w:rFonts w:ascii="Times New Roman" w:hAnsi="Times New Roman" w:eastAsia="Times New Roman" w:cs="Times New Roman"/>
          <w:i/>
          <w:iCs/>
          <w:color w:val="auto"/>
          <w:sz w:val="24"/>
          <w:szCs w:val="24"/>
        </w:rPr>
        <w:t>Food safety engineering</w:t>
      </w:r>
      <w:r>
        <w:rPr>
          <w:rFonts w:ascii="Times New Roman" w:hAnsi="Times New Roman" w:eastAsia="Times New Roman" w:cs="Times New Roman"/>
          <w:color w:val="auto"/>
          <w:sz w:val="24"/>
          <w:szCs w:val="24"/>
        </w:rPr>
        <w:t xml:space="preserve"> (pp. 25-49). Springer, Cham.</w:t>
      </w:r>
    </w:p>
    <w:p>
      <w:pPr>
        <w:spacing w:after="0" w:line="148"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Govindarajan, D. K., Viswalingam, N., Meganathan, Y., &amp; Kandaswamy, K. (2020). Adherence patterns of Escherichia coli in the intestine and its role in pathogenesis. </w:t>
      </w:r>
      <w:r>
        <w:rPr>
          <w:rFonts w:ascii="Times New Roman" w:hAnsi="Times New Roman" w:eastAsia="Times New Roman" w:cs="Times New Roman"/>
          <w:i/>
          <w:iCs/>
          <w:color w:val="auto"/>
          <w:sz w:val="24"/>
          <w:szCs w:val="24"/>
        </w:rPr>
        <w:t>Medicine in Microecology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 100025.</w:t>
      </w:r>
    </w:p>
    <w:p>
      <w:pPr>
        <w:spacing w:after="0" w:line="13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3"/>
          <w:szCs w:val="23"/>
        </w:rPr>
        <w:t>Haley, B. J., Kim, S. W., Salaheen, S., Hovingh, E., &amp; Van Kessel, J. A. S. (2022). Virulome and</w:t>
      </w:r>
    </w:p>
    <w:p>
      <w:pPr>
        <w:spacing w:after="0" w:line="151" w:lineRule="exact"/>
        <w:rPr>
          <w:color w:val="auto"/>
          <w:sz w:val="20"/>
          <w:szCs w:val="20"/>
        </w:rPr>
      </w:pPr>
    </w:p>
    <w:p>
      <w:pPr>
        <w:spacing w:after="0" w:line="354" w:lineRule="auto"/>
        <w:ind w:left="720" w:right="140"/>
        <w:rPr>
          <w:color w:val="auto"/>
          <w:sz w:val="20"/>
          <w:szCs w:val="20"/>
        </w:rPr>
      </w:pPr>
      <w:r>
        <w:rPr>
          <w:rFonts w:ascii="Times New Roman" w:hAnsi="Times New Roman" w:eastAsia="Times New Roman" w:cs="Times New Roman"/>
          <w:color w:val="auto"/>
          <w:sz w:val="24"/>
          <w:szCs w:val="24"/>
        </w:rPr>
        <w:t xml:space="preserve">genome analyses identify associations between antimicrobial resistance genes and virulence factors in highly drug-resistant Escherichia coli isolated from veal calves.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(3), e0265445.</w:t>
      </w:r>
    </w:p>
    <w:p>
      <w:pPr>
        <w:spacing w:after="0" w:line="140"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Hansson, I., Sandberg, M., Habib, I., Lowman, R., &amp; Engvall, E. O. (2018). Knowledge gaps in control of Campylobacter for prevention of campylobacteriosis. </w:t>
      </w:r>
      <w:r>
        <w:rPr>
          <w:rFonts w:ascii="Times New Roman" w:hAnsi="Times New Roman" w:eastAsia="Times New Roman" w:cs="Times New Roman"/>
          <w:i/>
          <w:iCs/>
          <w:color w:val="auto"/>
          <w:sz w:val="24"/>
          <w:szCs w:val="24"/>
        </w:rPr>
        <w:t>Transboundary and emerging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65</w:t>
      </w:r>
      <w:r>
        <w:rPr>
          <w:rFonts w:ascii="Times New Roman" w:hAnsi="Times New Roman" w:eastAsia="Times New Roman" w:cs="Times New Roman"/>
          <w:color w:val="auto"/>
          <w:sz w:val="24"/>
          <w:szCs w:val="24"/>
        </w:rPr>
        <w:t>, 30-48.</w:t>
      </w:r>
    </w:p>
    <w:p>
      <w:pPr>
        <w:spacing w:after="0" w:line="142" w:lineRule="exact"/>
        <w:rPr>
          <w:color w:val="auto"/>
          <w:sz w:val="20"/>
          <w:szCs w:val="20"/>
        </w:rPr>
      </w:pPr>
    </w:p>
    <w:p>
      <w:pPr>
        <w:spacing w:after="0" w:line="348" w:lineRule="auto"/>
        <w:ind w:left="720" w:right="1140" w:hanging="719"/>
        <w:rPr>
          <w:color w:val="auto"/>
          <w:sz w:val="20"/>
          <w:szCs w:val="20"/>
        </w:rPr>
      </w:pPr>
      <w:r>
        <w:rPr>
          <w:rFonts w:ascii="Times New Roman" w:hAnsi="Times New Roman" w:eastAsia="Times New Roman" w:cs="Times New Roman"/>
          <w:color w:val="auto"/>
          <w:sz w:val="24"/>
          <w:szCs w:val="24"/>
        </w:rPr>
        <w:t xml:space="preserve">Hassan, A. O., Ojo, B. O., &amp; Abdulrahman, A. O. (2021). Escherichia coli as a global pathogen. </w:t>
      </w:r>
      <w:r>
        <w:rPr>
          <w:rFonts w:ascii="Times New Roman" w:hAnsi="Times New Roman" w:eastAsia="Times New Roman" w:cs="Times New Roman"/>
          <w:i/>
          <w:iCs/>
          <w:color w:val="auto"/>
          <w:sz w:val="24"/>
          <w:szCs w:val="24"/>
        </w:rPr>
        <w:t>Achievers Journal of Scientific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 239-260.</w:t>
      </w:r>
    </w:p>
    <w:p>
      <w:pPr>
        <w:spacing w:after="0" w:line="148" w:lineRule="exact"/>
        <w:rPr>
          <w:color w:val="auto"/>
          <w:sz w:val="20"/>
          <w:szCs w:val="20"/>
        </w:rPr>
      </w:pPr>
    </w:p>
    <w:p>
      <w:pPr>
        <w:spacing w:after="0" w:line="348" w:lineRule="auto"/>
        <w:ind w:left="720" w:right="1140" w:hanging="719"/>
        <w:rPr>
          <w:color w:val="auto"/>
          <w:sz w:val="20"/>
          <w:szCs w:val="20"/>
        </w:rPr>
      </w:pPr>
      <w:r>
        <w:rPr>
          <w:rFonts w:ascii="Times New Roman" w:hAnsi="Times New Roman" w:eastAsia="Times New Roman" w:cs="Times New Roman"/>
          <w:color w:val="auto"/>
          <w:sz w:val="24"/>
          <w:szCs w:val="24"/>
        </w:rPr>
        <w:t xml:space="preserve">Hassan, A. O., Ojo, B. O., &amp; Abdulrahman, A. O. (2021). Escherichia coli as a global pathogen. </w:t>
      </w:r>
      <w:r>
        <w:rPr>
          <w:rFonts w:ascii="Times New Roman" w:hAnsi="Times New Roman" w:eastAsia="Times New Roman" w:cs="Times New Roman"/>
          <w:i/>
          <w:iCs/>
          <w:color w:val="auto"/>
          <w:sz w:val="24"/>
          <w:szCs w:val="24"/>
        </w:rPr>
        <w:t>Achievers Journal of Scientific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 239-260.</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Hassan, D. A. T. (2020). Management of Abattoir Waste in Somalia: A Case Study of</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Mogadishu Slaughterhouse. </w:t>
      </w:r>
      <w:r>
        <w:rPr>
          <w:rFonts w:ascii="Times New Roman" w:hAnsi="Times New Roman" w:eastAsia="Times New Roman" w:cs="Times New Roman"/>
          <w:i/>
          <w:iCs/>
          <w:color w:val="auto"/>
          <w:sz w:val="24"/>
          <w:szCs w:val="24"/>
        </w:rPr>
        <w:t>Kesmonds International University: Bamenda, Cameroon</w:t>
      </w:r>
      <w:r>
        <w:rPr>
          <w:rFonts w:ascii="Times New Roman" w:hAnsi="Times New Roman" w:eastAsia="Times New Roman" w:cs="Times New Roman"/>
          <w:color w:val="auto"/>
          <w:sz w:val="24"/>
          <w:szCs w:val="24"/>
        </w:rPr>
        <w:t>.</w:t>
      </w:r>
    </w:p>
    <w:p>
      <w:pPr>
        <w:spacing w:after="0" w:line="272" w:lineRule="exact"/>
        <w:rPr>
          <w:color w:val="auto"/>
          <w:sz w:val="20"/>
          <w:szCs w:val="20"/>
        </w:rPr>
      </w:pPr>
    </w:p>
    <w:p>
      <w:pPr>
        <w:spacing w:after="0" w:line="348" w:lineRule="auto"/>
        <w:ind w:left="720" w:hanging="719"/>
        <w:rPr>
          <w:color w:val="auto"/>
          <w:sz w:val="20"/>
          <w:szCs w:val="20"/>
        </w:rPr>
      </w:pPr>
      <w:r>
        <w:rPr>
          <w:rFonts w:ascii="Times New Roman" w:hAnsi="Times New Roman" w:eastAsia="Times New Roman" w:cs="Times New Roman"/>
          <w:color w:val="auto"/>
          <w:sz w:val="24"/>
          <w:szCs w:val="24"/>
        </w:rPr>
        <w:t xml:space="preserve">Heredia, N., &amp; García, S. (2018). Animals as sources of food-borne pathogens: A review. </w:t>
      </w:r>
      <w:r>
        <w:rPr>
          <w:rFonts w:ascii="Times New Roman" w:hAnsi="Times New Roman" w:eastAsia="Times New Roman" w:cs="Times New Roman"/>
          <w:i/>
          <w:iCs/>
          <w:color w:val="auto"/>
          <w:sz w:val="24"/>
          <w:szCs w:val="24"/>
        </w:rPr>
        <w:t>Animal 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 250-255.</w:t>
      </w:r>
    </w:p>
    <w:p>
      <w:pPr>
        <w:spacing w:after="0" w:line="148" w:lineRule="exact"/>
        <w:rPr>
          <w:color w:val="auto"/>
          <w:sz w:val="20"/>
          <w:szCs w:val="20"/>
        </w:rPr>
      </w:pPr>
    </w:p>
    <w:p>
      <w:pPr>
        <w:spacing w:after="0" w:line="348" w:lineRule="auto"/>
        <w:ind w:left="720" w:right="400" w:hanging="719"/>
        <w:rPr>
          <w:color w:val="auto"/>
          <w:sz w:val="20"/>
          <w:szCs w:val="20"/>
        </w:rPr>
      </w:pPr>
      <w:r>
        <w:rPr>
          <w:rFonts w:ascii="Times New Roman" w:hAnsi="Times New Roman" w:eastAsia="Times New Roman" w:cs="Times New Roman"/>
          <w:color w:val="auto"/>
          <w:sz w:val="24"/>
          <w:szCs w:val="24"/>
        </w:rPr>
        <w:t>Hilderink, M. H., &amp; de Winter, I. I. (2021). No need to beat around the bushmeat–The role of wildlife trade and conservation initiatives in the emergence of zoonotic</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diseases.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(7), e07692.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62</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8" w:name="page74"/>
      <w:bookmarkEnd w:id="68"/>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Hinenoya, A., Nagano, K., Okuno, K., Nagita, A., Hatanaka, N., Awasthi, S. P., &amp; Yamasaki, S. (2020). Development of XRM-MacConkey agar selective medium for the isolation of Escherichia albertii. </w:t>
      </w:r>
      <w:r>
        <w:rPr>
          <w:rFonts w:ascii="Times New Roman" w:hAnsi="Times New Roman" w:eastAsia="Times New Roman" w:cs="Times New Roman"/>
          <w:i/>
          <w:iCs/>
          <w:color w:val="auto"/>
          <w:sz w:val="24"/>
          <w:szCs w:val="24"/>
        </w:rPr>
        <w:t>Diagnostic Microbiology and Infectious Disease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97</w:t>
      </w:r>
      <w:r>
        <w:rPr>
          <w:rFonts w:ascii="Times New Roman" w:hAnsi="Times New Roman" w:eastAsia="Times New Roman" w:cs="Times New Roman"/>
          <w:color w:val="auto"/>
          <w:sz w:val="24"/>
          <w:szCs w:val="24"/>
        </w:rPr>
        <w:t>(1), 115006.</w:t>
      </w:r>
    </w:p>
    <w:p>
      <w:pPr>
        <w:spacing w:after="0" w:line="140"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Hozzari, A., Behzadi, P., Kerishchi Khiabani, P., Sholeh, M., &amp; Sabokroo, N. (2020). Clinical cases, drug resistance, and virulence genes profiling in Uropathogenic Escherichia coli. </w:t>
      </w:r>
      <w:r>
        <w:rPr>
          <w:rFonts w:ascii="Times New Roman" w:hAnsi="Times New Roman" w:eastAsia="Times New Roman" w:cs="Times New Roman"/>
          <w:i/>
          <w:iCs/>
          <w:color w:val="auto"/>
          <w:sz w:val="24"/>
          <w:szCs w:val="24"/>
        </w:rPr>
        <w:t>Journal of applied genetics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61</w:t>
      </w:r>
      <w:r>
        <w:rPr>
          <w:rFonts w:ascii="Times New Roman" w:hAnsi="Times New Roman" w:eastAsia="Times New Roman" w:cs="Times New Roman"/>
          <w:color w:val="auto"/>
          <w:sz w:val="24"/>
          <w:szCs w:val="24"/>
        </w:rPr>
        <w:t>(2), 265-273.</w:t>
      </w:r>
    </w:p>
    <w:p>
      <w:pPr>
        <w:spacing w:after="0" w:line="142"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Huang, X., Yang, X., Shi, X., Erickson, D. L., Nagaraja, T. G., &amp; Meng, J. (2021). Whole-genome sequencing analysis of uncommon Shiga toxin-producing Escherichia coli from cattle: Virulence gene profiles, antimicrobial resistance predictions, and identification of novel O-serogroups.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99</w:t>
      </w:r>
      <w:r>
        <w:rPr>
          <w:rFonts w:ascii="Times New Roman" w:hAnsi="Times New Roman" w:eastAsia="Times New Roman" w:cs="Times New Roman"/>
          <w:color w:val="auto"/>
          <w:sz w:val="24"/>
          <w:szCs w:val="24"/>
        </w:rPr>
        <w:t>, 103821.</w:t>
      </w:r>
    </w:p>
    <w:p>
      <w:pPr>
        <w:spacing w:after="0" w:line="139" w:lineRule="exact"/>
        <w:rPr>
          <w:color w:val="auto"/>
          <w:sz w:val="20"/>
          <w:szCs w:val="20"/>
        </w:rPr>
      </w:pPr>
    </w:p>
    <w:p>
      <w:pPr>
        <w:spacing w:after="0" w:line="348" w:lineRule="auto"/>
        <w:ind w:left="720" w:right="40" w:hanging="719"/>
        <w:rPr>
          <w:color w:val="auto"/>
          <w:sz w:val="20"/>
          <w:szCs w:val="20"/>
        </w:rPr>
      </w:pPr>
      <w:r>
        <w:rPr>
          <w:rFonts w:ascii="Times New Roman" w:hAnsi="Times New Roman" w:eastAsia="Times New Roman" w:cs="Times New Roman"/>
          <w:color w:val="auto"/>
          <w:sz w:val="24"/>
          <w:szCs w:val="24"/>
        </w:rPr>
        <w:t xml:space="preserve">Iko Afé, O. H., Kpoclou, Y. E., Douny, C., Anihouvi, V. B., Igout, A., Mahillon, J., ... &amp; Scippo, M. L. (2021). Chemical hazards in smoked meat and fish. </w:t>
      </w:r>
      <w:r>
        <w:rPr>
          <w:rFonts w:ascii="Times New Roman" w:hAnsi="Times New Roman" w:eastAsia="Times New Roman" w:cs="Times New Roman"/>
          <w:i/>
          <w:iCs/>
          <w:color w:val="auto"/>
          <w:sz w:val="24"/>
          <w:szCs w:val="24"/>
        </w:rPr>
        <w:t>Food Science &amp;</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(12), 6903-6922.</w:t>
      </w:r>
    </w:p>
    <w:p>
      <w:pPr>
        <w:spacing w:after="0" w:line="269" w:lineRule="exact"/>
        <w:rPr>
          <w:color w:val="auto"/>
          <w:sz w:val="20"/>
          <w:szCs w:val="20"/>
        </w:rPr>
      </w:pPr>
    </w:p>
    <w:p>
      <w:pPr>
        <w:spacing w:after="0" w:line="350" w:lineRule="auto"/>
        <w:ind w:left="720" w:right="600" w:hanging="719"/>
        <w:rPr>
          <w:color w:val="auto"/>
          <w:sz w:val="20"/>
          <w:szCs w:val="20"/>
        </w:rPr>
      </w:pPr>
      <w:r>
        <w:rPr>
          <w:rFonts w:ascii="Times New Roman" w:hAnsi="Times New Roman" w:eastAsia="Times New Roman" w:cs="Times New Roman"/>
          <w:color w:val="auto"/>
          <w:sz w:val="24"/>
          <w:szCs w:val="24"/>
        </w:rPr>
        <w:t xml:space="preserve">Ingber, D. E. (2022). Human organs-on-chips for disease modelling, drug development and personalized medicine. </w:t>
      </w:r>
      <w:r>
        <w:rPr>
          <w:rFonts w:ascii="Times New Roman" w:hAnsi="Times New Roman" w:eastAsia="Times New Roman" w:cs="Times New Roman"/>
          <w:i/>
          <w:iCs/>
          <w:color w:val="auto"/>
          <w:sz w:val="24"/>
          <w:szCs w:val="24"/>
        </w:rPr>
        <w:t>Nature Reviews Genetics</w:t>
      </w:r>
      <w:r>
        <w:rPr>
          <w:rFonts w:ascii="Times New Roman" w:hAnsi="Times New Roman" w:eastAsia="Times New Roman" w:cs="Times New Roman"/>
          <w:color w:val="auto"/>
          <w:sz w:val="24"/>
          <w:szCs w:val="24"/>
        </w:rPr>
        <w:t>, 1-25.</w:t>
      </w:r>
    </w:p>
    <w:p>
      <w:pPr>
        <w:spacing w:after="0" w:line="143" w:lineRule="exact"/>
        <w:rPr>
          <w:color w:val="auto"/>
          <w:sz w:val="20"/>
          <w:szCs w:val="20"/>
        </w:rPr>
      </w:pPr>
    </w:p>
    <w:p>
      <w:pPr>
        <w:spacing w:after="0" w:line="354" w:lineRule="auto"/>
        <w:ind w:left="720" w:right="480" w:hanging="719"/>
        <w:rPr>
          <w:color w:val="auto"/>
          <w:sz w:val="20"/>
          <w:szCs w:val="20"/>
        </w:rPr>
      </w:pPr>
      <w:r>
        <w:rPr>
          <w:rFonts w:ascii="Times New Roman" w:hAnsi="Times New Roman" w:eastAsia="Times New Roman" w:cs="Times New Roman"/>
          <w:color w:val="auto"/>
          <w:sz w:val="24"/>
          <w:szCs w:val="24"/>
        </w:rPr>
        <w:t xml:space="preserve">Iwu, C. D., &amp; Okoh, A. I. (2019). Preharvest transmission routes of fresh produce associated bacterial pathogens with outbreak potentials: a review.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(22), 4407.</w:t>
      </w:r>
    </w:p>
    <w:p>
      <w:pPr>
        <w:spacing w:after="0" w:line="142" w:lineRule="exact"/>
        <w:rPr>
          <w:color w:val="auto"/>
          <w:sz w:val="20"/>
          <w:szCs w:val="20"/>
        </w:rPr>
      </w:pPr>
    </w:p>
    <w:p>
      <w:pPr>
        <w:spacing w:after="0" w:line="354" w:lineRule="auto"/>
        <w:ind w:left="720" w:right="460" w:hanging="719"/>
        <w:rPr>
          <w:color w:val="auto"/>
          <w:sz w:val="20"/>
          <w:szCs w:val="20"/>
        </w:rPr>
      </w:pPr>
      <w:r>
        <w:rPr>
          <w:rFonts w:ascii="Times New Roman" w:hAnsi="Times New Roman" w:eastAsia="Times New Roman" w:cs="Times New Roman"/>
          <w:color w:val="auto"/>
          <w:sz w:val="24"/>
          <w:szCs w:val="24"/>
        </w:rPr>
        <w:t xml:space="preserve">Iwu, C. D., du Plessis, E., Korsten, L., &amp; Okoh, A. I. (2021). Prevalence of E. coli O157: H7 strains in irrigation water and agricultural soil in two district municipalities in South Africa. </w:t>
      </w:r>
      <w:r>
        <w:rPr>
          <w:rFonts w:ascii="Times New Roman" w:hAnsi="Times New Roman" w:eastAsia="Times New Roman" w:cs="Times New Roman"/>
          <w:i/>
          <w:iCs/>
          <w:color w:val="auto"/>
          <w:sz w:val="24"/>
          <w:szCs w:val="24"/>
        </w:rPr>
        <w:t>International Journal of Environmental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78</w:t>
      </w:r>
      <w:r>
        <w:rPr>
          <w:rFonts w:ascii="Times New Roman" w:hAnsi="Times New Roman" w:eastAsia="Times New Roman" w:cs="Times New Roman"/>
          <w:color w:val="auto"/>
          <w:sz w:val="24"/>
          <w:szCs w:val="24"/>
        </w:rPr>
        <w:t>(3), 474-483.</w:t>
      </w:r>
    </w:p>
    <w:p>
      <w:pPr>
        <w:spacing w:after="0" w:line="140"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Jajere, S. M. (2019). A review of Salmonella enterica with particular focus on the pathogenicity and virulence factors, host specificity and antimicrobial resistance including multidrug resistance.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(4), 504.</w:t>
      </w:r>
    </w:p>
    <w:p>
      <w:pPr>
        <w:spacing w:after="0" w:line="143" w:lineRule="exact"/>
        <w:rPr>
          <w:color w:val="auto"/>
          <w:sz w:val="20"/>
          <w:szCs w:val="20"/>
        </w:rPr>
      </w:pPr>
    </w:p>
    <w:p>
      <w:pPr>
        <w:spacing w:after="0" w:line="338" w:lineRule="exact"/>
        <w:ind w:left="720" w:right="80" w:hanging="719"/>
        <w:rPr>
          <w:color w:val="auto"/>
          <w:sz w:val="20"/>
          <w:szCs w:val="20"/>
        </w:rPr>
      </w:pPr>
      <w:r>
        <w:rPr>
          <w:rFonts w:ascii="Times New Roman" w:hAnsi="Times New Roman" w:eastAsia="Times New Roman" w:cs="Times New Roman"/>
          <w:color w:val="auto"/>
          <w:sz w:val="23"/>
          <w:szCs w:val="23"/>
        </w:rPr>
        <w:t xml:space="preserve">Jamwal, A., &amp; Phulia, V. (2021). Multisectoral one health approach to make aquaculture and </w:t>
      </w:r>
      <w:r>
        <w:rPr>
          <w:rFonts w:ascii="MS PGothic" w:hAnsi="MS PGothic" w:eastAsia="MS PGothic" w:cs="MS PGothic"/>
          <w:color w:val="auto"/>
          <w:sz w:val="23"/>
          <w:szCs w:val="23"/>
        </w:rPr>
        <w:t>fisheries resilient to a future pandemic‐like situation.</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Fish and Fisheries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22</w:t>
      </w:r>
      <w:r>
        <w:rPr>
          <w:rFonts w:ascii="Times New Roman" w:hAnsi="Times New Roman" w:eastAsia="Times New Roman" w:cs="Times New Roman"/>
          <w:color w:val="auto"/>
          <w:sz w:val="23"/>
          <w:szCs w:val="23"/>
        </w:rPr>
        <w:t>(2), 449-463.</w:t>
      </w:r>
    </w:p>
    <w:p>
      <w:pPr>
        <w:spacing w:after="0" w:line="274" w:lineRule="exact"/>
        <w:rPr>
          <w:color w:val="auto"/>
          <w:sz w:val="20"/>
          <w:szCs w:val="20"/>
        </w:rPr>
      </w:pPr>
    </w:p>
    <w:p>
      <w:pPr>
        <w:spacing w:after="0" w:line="375" w:lineRule="auto"/>
        <w:ind w:left="720" w:right="40" w:hanging="719"/>
        <w:rPr>
          <w:color w:val="auto"/>
          <w:sz w:val="20"/>
          <w:szCs w:val="20"/>
        </w:rPr>
      </w:pPr>
      <w:r>
        <w:rPr>
          <w:rFonts w:ascii="Times New Roman" w:hAnsi="Times New Roman" w:eastAsia="Times New Roman" w:cs="Times New Roman"/>
          <w:color w:val="auto"/>
          <w:sz w:val="23"/>
          <w:szCs w:val="23"/>
        </w:rPr>
        <w:t xml:space="preserve">Javadi, K., Mohebi, S., Motamedifar, M., &amp; Hadi, N. (2020). Characterization and antibiotic resistance pattern of diffusely adherent Escherichia coli (DAEC), isolated from paediatric diarrhoea in Shiraz, southern Iran. </w:t>
      </w:r>
      <w:r>
        <w:rPr>
          <w:rFonts w:ascii="Times New Roman" w:hAnsi="Times New Roman" w:eastAsia="Times New Roman" w:cs="Times New Roman"/>
          <w:i/>
          <w:iCs/>
          <w:color w:val="auto"/>
          <w:sz w:val="23"/>
          <w:szCs w:val="23"/>
        </w:rPr>
        <w:t>New Microbes and New Infections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38</w:t>
      </w:r>
      <w:r>
        <w:rPr>
          <w:rFonts w:ascii="Times New Roman" w:hAnsi="Times New Roman" w:eastAsia="Times New Roman" w:cs="Times New Roman"/>
          <w:color w:val="auto"/>
          <w:sz w:val="23"/>
          <w:szCs w:val="23"/>
        </w:rPr>
        <w:t>, 100780.</w:t>
      </w:r>
    </w:p>
    <w:p>
      <w:pPr>
        <w:spacing w:after="0" w:line="9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63</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9" w:name="page75"/>
      <w:bookmarkEnd w:id="69"/>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Jones, M. S., Fu, Z., Reganold, J. P., Karp, D. S., Besser, T. E., Tylianakis, J. M., &amp; Snyder, W. E. (2019). Organic farming promotes biotic resistance to foodborne human pathogens. </w:t>
      </w:r>
      <w:r>
        <w:rPr>
          <w:rFonts w:ascii="Times New Roman" w:hAnsi="Times New Roman" w:eastAsia="Times New Roman" w:cs="Times New Roman"/>
          <w:i/>
          <w:iCs/>
          <w:color w:val="auto"/>
          <w:sz w:val="24"/>
          <w:szCs w:val="24"/>
        </w:rPr>
        <w:t>Journal of Applied 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56</w:t>
      </w:r>
      <w:r>
        <w:rPr>
          <w:rFonts w:ascii="Times New Roman" w:hAnsi="Times New Roman" w:eastAsia="Times New Roman" w:cs="Times New Roman"/>
          <w:color w:val="auto"/>
          <w:sz w:val="24"/>
          <w:szCs w:val="24"/>
        </w:rPr>
        <w:t>(5), 1117-1127.</w:t>
      </w:r>
    </w:p>
    <w:p>
      <w:pPr>
        <w:spacing w:after="0" w:line="140"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4"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60" w:hanging="719"/>
        <w:rPr>
          <w:color w:val="auto"/>
          <w:sz w:val="20"/>
          <w:szCs w:val="20"/>
        </w:rPr>
      </w:pPr>
      <w:r>
        <w:rPr>
          <w:rFonts w:ascii="Times New Roman" w:hAnsi="Times New Roman" w:eastAsia="Times New Roman" w:cs="Times New Roman"/>
          <w:color w:val="auto"/>
          <w:sz w:val="24"/>
          <w:szCs w:val="24"/>
        </w:rPr>
        <w:t xml:space="preserve">Kain, T., &amp; Fowler, R. (2019). Preparing intensive care for the next pandemic influenza. </w:t>
      </w:r>
      <w:r>
        <w:rPr>
          <w:rFonts w:ascii="Times New Roman" w:hAnsi="Times New Roman" w:eastAsia="Times New Roman" w:cs="Times New Roman"/>
          <w:i/>
          <w:iCs/>
          <w:color w:val="auto"/>
          <w:sz w:val="24"/>
          <w:szCs w:val="24"/>
        </w:rPr>
        <w:t>Critical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23</w:t>
      </w:r>
      <w:r>
        <w:rPr>
          <w:rFonts w:ascii="Times New Roman" w:hAnsi="Times New Roman" w:eastAsia="Times New Roman" w:cs="Times New Roman"/>
          <w:color w:val="auto"/>
          <w:sz w:val="24"/>
          <w:szCs w:val="24"/>
        </w:rPr>
        <w:t>(1), 1-9.</w:t>
      </w:r>
    </w:p>
    <w:p>
      <w:pPr>
        <w:spacing w:after="0" w:line="143" w:lineRule="exact"/>
        <w:rPr>
          <w:color w:val="auto"/>
          <w:sz w:val="20"/>
          <w:szCs w:val="20"/>
        </w:rPr>
      </w:pPr>
    </w:p>
    <w:p>
      <w:pPr>
        <w:spacing w:after="0" w:line="350" w:lineRule="auto"/>
        <w:ind w:left="720" w:right="660" w:hanging="719"/>
        <w:rPr>
          <w:color w:val="auto"/>
          <w:sz w:val="20"/>
          <w:szCs w:val="20"/>
        </w:rPr>
      </w:pPr>
      <w:r>
        <w:rPr>
          <w:rFonts w:ascii="Times New Roman" w:hAnsi="Times New Roman" w:eastAsia="Times New Roman" w:cs="Times New Roman"/>
          <w:color w:val="auto"/>
          <w:sz w:val="24"/>
          <w:szCs w:val="24"/>
        </w:rPr>
        <w:t xml:space="preserve">Kamboj, S., Gupta, N., Bandral, J. D., Gandotra, G., &amp; Anjum, N. (2020). Food safety and hygiene: a review. </w:t>
      </w:r>
      <w:r>
        <w:rPr>
          <w:rFonts w:ascii="Times New Roman" w:hAnsi="Times New Roman" w:eastAsia="Times New Roman" w:cs="Times New Roman"/>
          <w:i/>
          <w:iCs/>
          <w:color w:val="auto"/>
          <w:sz w:val="24"/>
          <w:szCs w:val="24"/>
        </w:rPr>
        <w:t>International Journal of Chemical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(2), 358-368.</w:t>
      </w:r>
    </w:p>
    <w:p>
      <w:pPr>
        <w:spacing w:after="0" w:line="143" w:lineRule="exact"/>
        <w:rPr>
          <w:color w:val="auto"/>
          <w:sz w:val="20"/>
          <w:szCs w:val="20"/>
        </w:rPr>
      </w:pPr>
    </w:p>
    <w:p>
      <w:pPr>
        <w:spacing w:after="0" w:line="350" w:lineRule="auto"/>
        <w:ind w:left="720" w:right="560" w:hanging="719"/>
        <w:rPr>
          <w:color w:val="auto"/>
          <w:sz w:val="20"/>
          <w:szCs w:val="20"/>
        </w:rPr>
      </w:pPr>
      <w:r>
        <w:rPr>
          <w:rFonts w:ascii="Times New Roman" w:hAnsi="Times New Roman" w:eastAsia="Times New Roman" w:cs="Times New Roman"/>
          <w:color w:val="auto"/>
          <w:sz w:val="24"/>
          <w:szCs w:val="24"/>
        </w:rPr>
        <w:t xml:space="preserve">Kaufman, J., Temple-Smith, M., &amp; Sanci, L. (2019). Urinary tract infections in children: an overview of diagnosis and management. </w:t>
      </w:r>
      <w:r>
        <w:rPr>
          <w:rFonts w:ascii="Times New Roman" w:hAnsi="Times New Roman" w:eastAsia="Times New Roman" w:cs="Times New Roman"/>
          <w:i/>
          <w:iCs/>
          <w:color w:val="auto"/>
          <w:sz w:val="24"/>
          <w:szCs w:val="24"/>
        </w:rPr>
        <w:t>BMJ paediatrics open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w:t>
      </w:r>
    </w:p>
    <w:p>
      <w:pPr>
        <w:spacing w:after="0" w:line="143" w:lineRule="exact"/>
        <w:rPr>
          <w:color w:val="auto"/>
          <w:sz w:val="20"/>
          <w:szCs w:val="20"/>
        </w:rPr>
      </w:pPr>
    </w:p>
    <w:p>
      <w:pPr>
        <w:spacing w:after="0" w:line="356" w:lineRule="auto"/>
        <w:ind w:left="720" w:right="300" w:hanging="719"/>
        <w:rPr>
          <w:color w:val="auto"/>
          <w:sz w:val="20"/>
          <w:szCs w:val="20"/>
        </w:rPr>
      </w:pPr>
      <w:r>
        <w:rPr>
          <w:rFonts w:ascii="Times New Roman" w:hAnsi="Times New Roman" w:eastAsia="Times New Roman" w:cs="Times New Roman"/>
          <w:color w:val="auto"/>
          <w:sz w:val="24"/>
          <w:szCs w:val="24"/>
        </w:rPr>
        <w:t xml:space="preserve">Kerr, R. B., Nyantakyi-Frimpong, H., Dakishoni, L., Lupafya, E., Shumba, L., Luginaah, I., &amp; Snapp, S. S. (2018). Knowledge politics in participatory climate change adaptation research on agroecology in Malawi. </w:t>
      </w:r>
      <w:r>
        <w:rPr>
          <w:rFonts w:ascii="Times New Roman" w:hAnsi="Times New Roman" w:eastAsia="Times New Roman" w:cs="Times New Roman"/>
          <w:i/>
          <w:iCs/>
          <w:color w:val="auto"/>
          <w:sz w:val="24"/>
          <w:szCs w:val="24"/>
        </w:rPr>
        <w:t>Renewable Agriculture and Food Systems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(3), 238-251.</w:t>
      </w:r>
    </w:p>
    <w:p>
      <w:pPr>
        <w:spacing w:after="0" w:line="139"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Khalil, I., Walker, R., Porter, C. K., Muhib, F., Chilengi, R., Cravioto, A., ...&amp; Bourgeois, A. L. (2021). Enterotoxigenic Escherichia coli (ETEC) vaccines: Priority activities to enable product development, licensure, and global access.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(31), 4266-4277.</w:t>
      </w:r>
    </w:p>
    <w:p>
      <w:pPr>
        <w:spacing w:after="0" w:line="143"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Khalil, I., Walker, R., Porter, C. K., Muhib, F., Chilengi, R., Cravioto, A., ...&amp; Bourgeois, A. L. (2021). Enterotoxigenic Escherichia coli (ETEC) vaccines: Priority activities to enable product development, licensure, and global access.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(31), 4266-4277.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0" w:name="page76"/>
      <w:bookmarkEnd w:id="70"/>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Khalil, M., Berawi, M. A., Heryanto, R., &amp; Rizalie, A. (2019). Waste to energy technology: The potential of sustainable biogas production from animal waste in Indonesia. </w:t>
      </w:r>
      <w:r>
        <w:rPr>
          <w:rFonts w:ascii="Times New Roman" w:hAnsi="Times New Roman" w:eastAsia="Times New Roman" w:cs="Times New Roman"/>
          <w:i/>
          <w:iCs/>
          <w:color w:val="auto"/>
          <w:sz w:val="24"/>
          <w:szCs w:val="24"/>
        </w:rPr>
        <w:t>Renewable and Sustainable Energy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105</w:t>
      </w:r>
      <w:r>
        <w:rPr>
          <w:rFonts w:ascii="Times New Roman" w:hAnsi="Times New Roman" w:eastAsia="Times New Roman" w:cs="Times New Roman"/>
          <w:color w:val="auto"/>
          <w:sz w:val="24"/>
          <w:szCs w:val="24"/>
        </w:rPr>
        <w:t>, 323-331.</w:t>
      </w:r>
    </w:p>
    <w:p>
      <w:pPr>
        <w:spacing w:after="0" w:line="140" w:lineRule="exact"/>
        <w:rPr>
          <w:color w:val="auto"/>
          <w:sz w:val="20"/>
          <w:szCs w:val="20"/>
        </w:rPr>
      </w:pPr>
    </w:p>
    <w:p>
      <w:pPr>
        <w:spacing w:after="0" w:line="356" w:lineRule="auto"/>
        <w:ind w:left="720" w:right="160" w:hanging="719"/>
        <w:rPr>
          <w:color w:val="auto"/>
          <w:sz w:val="20"/>
          <w:szCs w:val="20"/>
        </w:rPr>
      </w:pPr>
      <w:r>
        <w:rPr>
          <w:rFonts w:ascii="Times New Roman" w:hAnsi="Times New Roman" w:eastAsia="Times New Roman" w:cs="Times New Roman"/>
          <w:color w:val="auto"/>
          <w:sz w:val="24"/>
          <w:szCs w:val="24"/>
        </w:rPr>
        <w:t xml:space="preserve">Khan, S. A., Imtiaz, M. A., Sayeed, M., Shaikat, A. H., &amp; Hassan, M. M. (2020). Antimicrobial resistance pattern in domestic animal-wildlife-environmental niche via the food chain to humans with a Bangladesh perspective; a systematic review. </w:t>
      </w:r>
      <w:r>
        <w:rPr>
          <w:rFonts w:ascii="Times New Roman" w:hAnsi="Times New Roman" w:eastAsia="Times New Roman" w:cs="Times New Roman"/>
          <w:i/>
          <w:iCs/>
          <w:color w:val="auto"/>
          <w:sz w:val="24"/>
          <w:szCs w:val="24"/>
        </w:rPr>
        <w:t>BMC veterinary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(1), 1-13.</w:t>
      </w:r>
    </w:p>
    <w:p>
      <w:pPr>
        <w:spacing w:after="0" w:line="139" w:lineRule="exact"/>
        <w:rPr>
          <w:color w:val="auto"/>
          <w:sz w:val="20"/>
          <w:szCs w:val="20"/>
        </w:rPr>
      </w:pPr>
    </w:p>
    <w:p>
      <w:pPr>
        <w:spacing w:after="0" w:line="357" w:lineRule="auto"/>
        <w:ind w:left="720" w:right="20" w:hanging="719"/>
        <w:rPr>
          <w:color w:val="auto"/>
          <w:sz w:val="20"/>
          <w:szCs w:val="20"/>
        </w:rPr>
      </w:pPr>
      <w:r>
        <w:rPr>
          <w:rFonts w:ascii="Times New Roman" w:hAnsi="Times New Roman" w:eastAsia="Times New Roman" w:cs="Times New Roman"/>
          <w:color w:val="auto"/>
          <w:sz w:val="24"/>
          <w:szCs w:val="24"/>
        </w:rPr>
        <w:t xml:space="preserve">Khatri, S., Moore, W., Gibson, P. G., Leigh, R., Bourdin, A., Maspero, J., ...&amp; Ortega, H. (2019). Assessment of the long-term safety of mepolizumab and durability of clinical response in patients with severe eosinophilic asthma. </w:t>
      </w:r>
      <w:r>
        <w:rPr>
          <w:rFonts w:ascii="Times New Roman" w:hAnsi="Times New Roman" w:eastAsia="Times New Roman" w:cs="Times New Roman"/>
          <w:i/>
          <w:iCs/>
          <w:color w:val="auto"/>
          <w:sz w:val="24"/>
          <w:szCs w:val="24"/>
        </w:rPr>
        <w:t>Journal of Allergy and Clinical Immunology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143</w:t>
      </w:r>
      <w:r>
        <w:rPr>
          <w:rFonts w:ascii="Times New Roman" w:hAnsi="Times New Roman" w:eastAsia="Times New Roman" w:cs="Times New Roman"/>
          <w:color w:val="auto"/>
          <w:sz w:val="24"/>
          <w:szCs w:val="24"/>
        </w:rPr>
        <w:t>(5), 1742-1751.</w:t>
      </w:r>
    </w:p>
    <w:p>
      <w:pPr>
        <w:spacing w:after="0" w:line="135"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0"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2"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Koch, A. K., Mønster, D., Nafziger, J., &amp; Veflen, N. (2022). Fostering safe food handling among consumers: Causal evidence on game-and video-based online interventions.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135</w:t>
      </w:r>
      <w:r>
        <w:rPr>
          <w:rFonts w:ascii="Times New Roman" w:hAnsi="Times New Roman" w:eastAsia="Times New Roman" w:cs="Times New Roman"/>
          <w:color w:val="auto"/>
          <w:sz w:val="24"/>
          <w:szCs w:val="24"/>
        </w:rPr>
        <w:t>, 108825.</w:t>
      </w:r>
    </w:p>
    <w:p>
      <w:pPr>
        <w:spacing w:after="0" w:line="140" w:lineRule="exact"/>
        <w:rPr>
          <w:color w:val="auto"/>
          <w:sz w:val="20"/>
          <w:szCs w:val="20"/>
        </w:rPr>
      </w:pPr>
    </w:p>
    <w:p>
      <w:pPr>
        <w:spacing w:after="0" w:line="354" w:lineRule="auto"/>
        <w:ind w:left="720" w:right="60" w:hanging="719"/>
        <w:rPr>
          <w:color w:val="auto"/>
          <w:sz w:val="20"/>
          <w:szCs w:val="20"/>
        </w:rPr>
      </w:pPr>
      <w:r>
        <w:rPr>
          <w:rFonts w:ascii="Times New Roman" w:hAnsi="Times New Roman" w:eastAsia="Times New Roman" w:cs="Times New Roman"/>
          <w:color w:val="auto"/>
          <w:sz w:val="24"/>
          <w:szCs w:val="24"/>
        </w:rPr>
        <w:t xml:space="preserve">Koolebogile, G. P. (2020). </w:t>
      </w:r>
      <w:r>
        <w:rPr>
          <w:rFonts w:ascii="Times New Roman" w:hAnsi="Times New Roman" w:eastAsia="Times New Roman" w:cs="Times New Roman"/>
          <w:i/>
          <w:iCs/>
          <w:color w:val="auto"/>
          <w:sz w:val="24"/>
          <w:szCs w:val="24"/>
        </w:rPr>
        <w:t>Prevalence and virulence gene profiling of shigatoxigenic Escherichia coli 0157: H7 strains isolated from cattle</w:t>
      </w:r>
      <w:r>
        <w:rPr>
          <w:rFonts w:ascii="Times New Roman" w:hAnsi="Times New Roman" w:eastAsia="Times New Roman" w:cs="Times New Roman"/>
          <w:color w:val="auto"/>
          <w:sz w:val="24"/>
          <w:szCs w:val="24"/>
        </w:rPr>
        <w:t xml:space="preserve"> (Doctoral dissertation, North-West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University (South Africa)).</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Kotloff, K. L. (2022). Bacterial diarrhoea. </w:t>
      </w:r>
      <w:r>
        <w:rPr>
          <w:rFonts w:ascii="Times New Roman" w:hAnsi="Times New Roman" w:eastAsia="Times New Roman" w:cs="Times New Roman"/>
          <w:i/>
          <w:iCs/>
          <w:color w:val="auto"/>
          <w:sz w:val="24"/>
          <w:szCs w:val="24"/>
        </w:rPr>
        <w:t>Current Opinion in 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w:t>
      </w:r>
      <w:r>
        <w:rPr>
          <w:rFonts w:ascii="Times New Roman" w:hAnsi="Times New Roman" w:eastAsia="Times New Roman" w:cs="Times New Roman"/>
          <w:color w:val="auto"/>
          <w:sz w:val="24"/>
          <w:szCs w:val="24"/>
        </w:rPr>
        <w:t>(2), 147-155.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1" w:name="page77"/>
      <w:bookmarkEnd w:id="71"/>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Kumari, S., &amp; Kulkarni, P. (2022). Potential Concern of Foodborne Pathogens in the Food Industry. In </w:t>
      </w:r>
      <w:r>
        <w:rPr>
          <w:rFonts w:ascii="Times New Roman" w:hAnsi="Times New Roman" w:eastAsia="Times New Roman" w:cs="Times New Roman"/>
          <w:i/>
          <w:iCs/>
          <w:color w:val="auto"/>
          <w:sz w:val="24"/>
          <w:szCs w:val="24"/>
        </w:rPr>
        <w:t>Biological and Chemical Hazards in Food and Food Products</w:t>
      </w:r>
      <w:r>
        <w:rPr>
          <w:rFonts w:ascii="Times New Roman" w:hAnsi="Times New Roman" w:eastAsia="Times New Roman" w:cs="Times New Roman"/>
          <w:color w:val="auto"/>
          <w:sz w:val="24"/>
          <w:szCs w:val="24"/>
        </w:rPr>
        <w:t xml:space="preserve"> (pp. 27-61). Apple Academic Press.</w:t>
      </w:r>
    </w:p>
    <w:p>
      <w:pPr>
        <w:spacing w:after="0" w:line="140"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Lama, J. K., &amp; Bachoon, D. S. (2018). Detection of Brucella suis, Campylobacter jejuni, and Escherichia coli strains in feral pig (Sus scrofa) communities of Georgia. </w:t>
      </w:r>
      <w:r>
        <w:rPr>
          <w:rFonts w:ascii="Times New Roman" w:hAnsi="Times New Roman" w:eastAsia="Times New Roman" w:cs="Times New Roman"/>
          <w:i/>
          <w:iCs/>
          <w:color w:val="auto"/>
          <w:sz w:val="24"/>
          <w:szCs w:val="24"/>
        </w:rPr>
        <w:t>Vector-Borne and Zoonotic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(7), 350-355.</w:t>
      </w:r>
    </w:p>
    <w:p>
      <w:pPr>
        <w:spacing w:after="0" w:line="142" w:lineRule="exact"/>
        <w:rPr>
          <w:color w:val="auto"/>
          <w:sz w:val="20"/>
          <w:szCs w:val="20"/>
        </w:rPr>
      </w:pPr>
    </w:p>
    <w:p>
      <w:pPr>
        <w:spacing w:after="0" w:line="348" w:lineRule="auto"/>
        <w:ind w:left="720" w:right="160" w:hanging="719"/>
        <w:rPr>
          <w:color w:val="auto"/>
          <w:sz w:val="20"/>
          <w:szCs w:val="20"/>
        </w:rPr>
      </w:pPr>
      <w:r>
        <w:rPr>
          <w:rFonts w:ascii="Times New Roman" w:hAnsi="Times New Roman" w:eastAsia="Times New Roman" w:cs="Times New Roman"/>
          <w:color w:val="auto"/>
          <w:sz w:val="24"/>
          <w:szCs w:val="24"/>
        </w:rPr>
        <w:t xml:space="preserve">Larsson, D. G., &amp; Flach, C. F. (2022). Antibiotic resistance in the environment. </w:t>
      </w:r>
      <w:r>
        <w:rPr>
          <w:rFonts w:ascii="Times New Roman" w:hAnsi="Times New Roman" w:eastAsia="Times New Roman" w:cs="Times New Roman"/>
          <w:i/>
          <w:iCs/>
          <w:color w:val="auto"/>
          <w:sz w:val="24"/>
          <w:szCs w:val="24"/>
        </w:rPr>
        <w:t>Nature Reviews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(5), 257-269.</w:t>
      </w:r>
    </w:p>
    <w:p>
      <w:pPr>
        <w:spacing w:after="0" w:line="148"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Laura, B., Federica, G., Francesca, V., Stefano, K., Gioacchino, L., Gian, L. D. A., &amp; Claudio, R. (2018). Hemolytic uremic syndrome: differential diagnosis with the onset of inflammatory bowel diseases. </w:t>
      </w:r>
      <w:r>
        <w:rPr>
          <w:rFonts w:ascii="Times New Roman" w:hAnsi="Times New Roman" w:eastAsia="Times New Roman" w:cs="Times New Roman"/>
          <w:i/>
          <w:iCs/>
          <w:color w:val="auto"/>
          <w:sz w:val="24"/>
          <w:szCs w:val="24"/>
        </w:rPr>
        <w:t>Acta Bio Medica: Atenei Parmensis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89</w:t>
      </w:r>
      <w:r>
        <w:rPr>
          <w:rFonts w:ascii="Times New Roman" w:hAnsi="Times New Roman" w:eastAsia="Times New Roman" w:cs="Times New Roman"/>
          <w:color w:val="auto"/>
          <w:sz w:val="24"/>
          <w:szCs w:val="24"/>
        </w:rPr>
        <w:t>(Suppl 9), 153.</w:t>
      </w:r>
    </w:p>
    <w:p>
      <w:pPr>
        <w:spacing w:after="0" w:line="140" w:lineRule="exact"/>
        <w:rPr>
          <w:color w:val="auto"/>
          <w:sz w:val="20"/>
          <w:szCs w:val="20"/>
        </w:rPr>
      </w:pPr>
    </w:p>
    <w:p>
      <w:pPr>
        <w:spacing w:after="0" w:line="350" w:lineRule="auto"/>
        <w:ind w:left="720" w:right="780" w:hanging="719"/>
        <w:rPr>
          <w:color w:val="auto"/>
          <w:sz w:val="20"/>
          <w:szCs w:val="20"/>
        </w:rPr>
      </w:pPr>
      <w:r>
        <w:rPr>
          <w:rFonts w:ascii="Times New Roman" w:hAnsi="Times New Roman" w:eastAsia="Times New Roman" w:cs="Times New Roman"/>
          <w:color w:val="auto"/>
          <w:sz w:val="24"/>
          <w:szCs w:val="24"/>
        </w:rPr>
        <w:t>Lawal, O. U., Parreira, V. R., &amp; Goodridge, L. (2022). The Biology and the Evolutionary Dynamics of Diarrheagenic Escherichia coli Pathotypes.</w:t>
      </w:r>
    </w:p>
    <w:p>
      <w:pPr>
        <w:spacing w:after="0" w:line="143" w:lineRule="exact"/>
        <w:rPr>
          <w:color w:val="auto"/>
          <w:sz w:val="20"/>
          <w:szCs w:val="20"/>
        </w:rPr>
      </w:pPr>
    </w:p>
    <w:p>
      <w:pPr>
        <w:spacing w:after="0" w:line="354" w:lineRule="auto"/>
        <w:ind w:left="720" w:right="660" w:hanging="719"/>
        <w:rPr>
          <w:color w:val="auto"/>
          <w:sz w:val="20"/>
          <w:szCs w:val="20"/>
        </w:rPr>
      </w:pPr>
      <w:r>
        <w:rPr>
          <w:rFonts w:ascii="Times New Roman" w:hAnsi="Times New Roman" w:eastAsia="Times New Roman" w:cs="Times New Roman"/>
          <w:color w:val="auto"/>
          <w:sz w:val="24"/>
          <w:szCs w:val="24"/>
        </w:rPr>
        <w:t xml:space="preserve">Lázár, V., Martins, A., Spohn, R., Daruka, L., Grézal, G., Fekete, G., ...&amp; Pál, C. (2018). Antibiotic-resistant bacteria show widespread collateral sensitivity to antimicrobial peptides. </w:t>
      </w:r>
      <w:r>
        <w:rPr>
          <w:rFonts w:ascii="Times New Roman" w:hAnsi="Times New Roman" w:eastAsia="Times New Roman" w:cs="Times New Roman"/>
          <w:i/>
          <w:iCs/>
          <w:color w:val="auto"/>
          <w:sz w:val="24"/>
          <w:szCs w:val="24"/>
        </w:rPr>
        <w:t>Nature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(6), 718-731.</w:t>
      </w:r>
    </w:p>
    <w:p>
      <w:pPr>
        <w:spacing w:after="0" w:line="142" w:lineRule="exact"/>
        <w:rPr>
          <w:color w:val="auto"/>
          <w:sz w:val="20"/>
          <w:szCs w:val="20"/>
        </w:rPr>
      </w:pPr>
    </w:p>
    <w:p>
      <w:pPr>
        <w:spacing w:after="0" w:line="348" w:lineRule="auto"/>
        <w:ind w:right="60"/>
        <w:jc w:val="center"/>
        <w:rPr>
          <w:color w:val="auto"/>
          <w:sz w:val="20"/>
          <w:szCs w:val="20"/>
        </w:rPr>
      </w:pPr>
      <w:r>
        <w:rPr>
          <w:rFonts w:ascii="Times New Roman" w:hAnsi="Times New Roman" w:eastAsia="Times New Roman" w:cs="Times New Roman"/>
          <w:color w:val="auto"/>
          <w:sz w:val="24"/>
          <w:szCs w:val="24"/>
        </w:rPr>
        <w:t xml:space="preserve">Le Guennec, L., Coureuil, M., Nassif, X., &amp; Bourdoulous, S. (2020). Strategies used by bacterial pathogens to cross the blood–brain barrier. </w:t>
      </w:r>
      <w:r>
        <w:rPr>
          <w:rFonts w:ascii="Times New Roman" w:hAnsi="Times New Roman" w:eastAsia="Times New Roman" w:cs="Times New Roman"/>
          <w:i/>
          <w:iCs/>
          <w:color w:val="auto"/>
          <w:sz w:val="24"/>
          <w:szCs w:val="24"/>
        </w:rPr>
        <w:t>Cellular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(1), e13132.</w:t>
      </w:r>
    </w:p>
    <w:p>
      <w:pPr>
        <w:spacing w:after="0" w:line="148" w:lineRule="exact"/>
        <w:rPr>
          <w:color w:val="auto"/>
          <w:sz w:val="20"/>
          <w:szCs w:val="20"/>
        </w:rPr>
      </w:pPr>
    </w:p>
    <w:p>
      <w:pPr>
        <w:spacing w:after="0" w:line="348" w:lineRule="auto"/>
        <w:ind w:left="720" w:right="460" w:hanging="719"/>
        <w:rPr>
          <w:color w:val="auto"/>
          <w:sz w:val="20"/>
          <w:szCs w:val="20"/>
        </w:rPr>
      </w:pPr>
      <w:r>
        <w:rPr>
          <w:rFonts w:ascii="Times New Roman" w:hAnsi="Times New Roman" w:eastAsia="Times New Roman" w:cs="Times New Roman"/>
          <w:color w:val="auto"/>
          <w:sz w:val="24"/>
          <w:szCs w:val="24"/>
        </w:rPr>
        <w:t xml:space="preserve">Ledwaba, S. E. (2020). </w:t>
      </w:r>
      <w:r>
        <w:rPr>
          <w:rFonts w:ascii="Times New Roman" w:hAnsi="Times New Roman" w:eastAsia="Times New Roman" w:cs="Times New Roman"/>
          <w:i/>
          <w:iCs/>
          <w:color w:val="auto"/>
          <w:sz w:val="24"/>
          <w:szCs w:val="24"/>
        </w:rPr>
        <w:t>Modeling diarrheagenic E. coli infections and co-infections: specific roles of diet and pathogen</w:t>
      </w:r>
      <w:r>
        <w:rPr>
          <w:rFonts w:ascii="Times New Roman" w:hAnsi="Times New Roman" w:eastAsia="Times New Roman" w:cs="Times New Roman"/>
          <w:color w:val="auto"/>
          <w:sz w:val="24"/>
          <w:szCs w:val="24"/>
        </w:rPr>
        <w:t xml:space="preserve"> (Doctoral dissertation).</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Lee, M. S., &amp; Tesh, V. L. (2019). Roles of Shiga toxins in immunopathology.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(4), 212.</w:t>
      </w:r>
    </w:p>
    <w:p>
      <w:pPr>
        <w:spacing w:after="0" w:line="269" w:lineRule="exact"/>
        <w:rPr>
          <w:color w:val="auto"/>
          <w:sz w:val="20"/>
          <w:szCs w:val="20"/>
        </w:rPr>
      </w:pPr>
    </w:p>
    <w:p>
      <w:pPr>
        <w:spacing w:after="0" w:line="350" w:lineRule="auto"/>
        <w:ind w:left="720" w:right="180" w:hanging="719"/>
        <w:rPr>
          <w:color w:val="auto"/>
          <w:sz w:val="20"/>
          <w:szCs w:val="20"/>
        </w:rPr>
      </w:pPr>
      <w:r>
        <w:rPr>
          <w:rFonts w:ascii="Times New Roman" w:hAnsi="Times New Roman" w:eastAsia="Times New Roman" w:cs="Times New Roman"/>
          <w:color w:val="auto"/>
          <w:sz w:val="24"/>
          <w:szCs w:val="24"/>
        </w:rPr>
        <w:t xml:space="preserve">Lemmen, S. W., &amp; Lewalter, K. (2018). Antibiotic stewardship and horizontal infection control are more effective than screening, isolation and eradication. </w:t>
      </w:r>
      <w:r>
        <w:rPr>
          <w:rFonts w:ascii="Times New Roman" w:hAnsi="Times New Roman" w:eastAsia="Times New Roman" w:cs="Times New Roman"/>
          <w:i/>
          <w:iCs/>
          <w:color w:val="auto"/>
          <w:sz w:val="24"/>
          <w:szCs w:val="24"/>
        </w:rPr>
        <w:t>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46</w:t>
      </w:r>
      <w:r>
        <w:rPr>
          <w:rFonts w:ascii="Times New Roman" w:hAnsi="Times New Roman" w:eastAsia="Times New Roman" w:cs="Times New Roman"/>
          <w:color w:val="auto"/>
          <w:sz w:val="24"/>
          <w:szCs w:val="24"/>
        </w:rPr>
        <w:t>(5), 581-590.</w:t>
      </w:r>
    </w:p>
    <w:p>
      <w:pPr>
        <w:spacing w:after="0" w:line="144" w:lineRule="exact"/>
        <w:rPr>
          <w:color w:val="auto"/>
          <w:sz w:val="20"/>
          <w:szCs w:val="20"/>
        </w:rPr>
      </w:pPr>
    </w:p>
    <w:p>
      <w:pPr>
        <w:spacing w:after="0" w:line="354" w:lineRule="auto"/>
        <w:ind w:left="720" w:right="300" w:hanging="719"/>
        <w:jc w:val="both"/>
        <w:rPr>
          <w:color w:val="auto"/>
          <w:sz w:val="20"/>
          <w:szCs w:val="20"/>
        </w:rPr>
      </w:pPr>
      <w:r>
        <w:rPr>
          <w:rFonts w:ascii="Times New Roman" w:hAnsi="Times New Roman" w:eastAsia="Times New Roman" w:cs="Times New Roman"/>
          <w:color w:val="auto"/>
          <w:sz w:val="24"/>
          <w:szCs w:val="24"/>
        </w:rPr>
        <w:t xml:space="preserve">Lenzi, A., Marvasi, M., &amp; Baldi, A. (2021). Agronomic practices to limit pre-and post-harvest contamination and proliferation of human pathogenic Enterobacteriaceae in vegetable produce.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119</w:t>
      </w:r>
      <w:r>
        <w:rPr>
          <w:rFonts w:ascii="Times New Roman" w:hAnsi="Times New Roman" w:eastAsia="Times New Roman" w:cs="Times New Roman"/>
          <w:color w:val="auto"/>
          <w:sz w:val="24"/>
          <w:szCs w:val="24"/>
        </w:rPr>
        <w:t>, 107486.</w:t>
      </w:r>
    </w:p>
    <w:p>
      <w:pPr>
        <w:spacing w:after="0" w:line="142" w:lineRule="exact"/>
        <w:rPr>
          <w:color w:val="auto"/>
          <w:sz w:val="20"/>
          <w:szCs w:val="20"/>
        </w:rPr>
      </w:pPr>
    </w:p>
    <w:p>
      <w:pPr>
        <w:spacing w:after="0" w:line="373" w:lineRule="auto"/>
        <w:ind w:left="720" w:right="320" w:hanging="719"/>
        <w:jc w:val="both"/>
        <w:rPr>
          <w:color w:val="auto"/>
          <w:sz w:val="20"/>
          <w:szCs w:val="20"/>
        </w:rPr>
      </w:pPr>
      <w:r>
        <w:rPr>
          <w:rFonts w:ascii="Times New Roman" w:hAnsi="Times New Roman" w:eastAsia="Times New Roman" w:cs="Times New Roman"/>
          <w:color w:val="auto"/>
          <w:sz w:val="23"/>
          <w:szCs w:val="23"/>
        </w:rPr>
        <w:t xml:space="preserve">Leung, A. K., Leung, A. A., Wong, A. H., &amp; Hon, K. L. (2019). Travelers’ diarrhea: a clinical review. </w:t>
      </w:r>
      <w:r>
        <w:rPr>
          <w:rFonts w:ascii="Times New Roman" w:hAnsi="Times New Roman" w:eastAsia="Times New Roman" w:cs="Times New Roman"/>
          <w:i/>
          <w:iCs/>
          <w:color w:val="auto"/>
          <w:sz w:val="23"/>
          <w:szCs w:val="23"/>
        </w:rPr>
        <w:t>Recent patents on inflammation &amp; allergy drug discovery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13</w:t>
      </w:r>
      <w:r>
        <w:rPr>
          <w:rFonts w:ascii="Times New Roman" w:hAnsi="Times New Roman" w:eastAsia="Times New Roman" w:cs="Times New Roman"/>
          <w:color w:val="auto"/>
          <w:sz w:val="23"/>
          <w:szCs w:val="23"/>
        </w:rPr>
        <w:t>(1), 38-48.</w:t>
      </w:r>
    </w:p>
    <w:p>
      <w:pPr>
        <w:spacing w:after="0" w:line="27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2" w:name="page78"/>
      <w:bookmarkEnd w:id="72"/>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 xml:space="preserve">Levine, M. M., Girón, J. A., &amp; Noriega, F. R. (2020). Fimbrial vaccines. In </w:t>
      </w:r>
      <w:r>
        <w:rPr>
          <w:rFonts w:ascii="Times New Roman" w:hAnsi="Times New Roman" w:eastAsia="Times New Roman" w:cs="Times New Roman"/>
          <w:i/>
          <w:iCs/>
          <w:color w:val="auto"/>
          <w:sz w:val="24"/>
          <w:szCs w:val="24"/>
        </w:rPr>
        <w:t>Fimbriae</w:t>
      </w:r>
      <w:r>
        <w:rPr>
          <w:rFonts w:ascii="Times New Roman" w:hAnsi="Times New Roman" w:eastAsia="Times New Roman" w:cs="Times New Roman"/>
          <w:color w:val="auto"/>
          <w:sz w:val="24"/>
          <w:szCs w:val="24"/>
        </w:rPr>
        <w:t xml:space="preserve"> (pp. 255-270). CRC Press.</w:t>
      </w:r>
    </w:p>
    <w:p>
      <w:pPr>
        <w:spacing w:after="0" w:line="148" w:lineRule="exact"/>
        <w:rPr>
          <w:color w:val="auto"/>
          <w:sz w:val="20"/>
          <w:szCs w:val="20"/>
        </w:rPr>
      </w:pPr>
    </w:p>
    <w:p>
      <w:pPr>
        <w:spacing w:after="0" w:line="364" w:lineRule="exact"/>
        <w:ind w:left="720" w:right="280" w:hanging="719"/>
        <w:rPr>
          <w:color w:val="auto"/>
          <w:sz w:val="20"/>
          <w:szCs w:val="20"/>
        </w:rPr>
      </w:pPr>
      <w:r>
        <w:rPr>
          <w:rFonts w:ascii="Times New Roman" w:hAnsi="Times New Roman" w:eastAsia="Times New Roman" w:cs="Times New Roman"/>
          <w:color w:val="auto"/>
          <w:sz w:val="24"/>
          <w:szCs w:val="24"/>
        </w:rPr>
        <w:t>Lin, Y. K., Wu, H. J., Hieu, N. V., Chu, P. Y., Do, T. V. T., Yao, F. Y. D., ...&amp; Ching, C. T. S. (2022). A New Biorecognition-Element-</w:t>
      </w:r>
      <w:r>
        <w:rPr>
          <w:rFonts w:ascii="MS PGothic" w:hAnsi="MS PGothic" w:eastAsia="MS PGothic" w:cs="MS PGothic"/>
          <w:color w:val="auto"/>
          <w:sz w:val="24"/>
          <w:szCs w:val="24"/>
        </w:rPr>
        <w:t>Free IDμE Sensor for the Identification and</w:t>
      </w:r>
      <w:r>
        <w:rPr>
          <w:rFonts w:ascii="Times New Roman" w:hAnsi="Times New Roman" w:eastAsia="Times New Roman" w:cs="Times New Roman"/>
          <w:color w:val="auto"/>
          <w:sz w:val="24"/>
          <w:szCs w:val="24"/>
        </w:rPr>
        <w:t xml:space="preserve"> Quantification of E. coli. </w:t>
      </w:r>
      <w:r>
        <w:rPr>
          <w:rFonts w:ascii="Times New Roman" w:hAnsi="Times New Roman" w:eastAsia="Times New Roman" w:cs="Times New Roman"/>
          <w:i/>
          <w:iCs/>
          <w:color w:val="auto"/>
          <w:sz w:val="24"/>
          <w:szCs w:val="24"/>
        </w:rPr>
        <w:t>Biosensors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(8), 561.</w:t>
      </w:r>
    </w:p>
    <w:p>
      <w:pPr>
        <w:spacing w:after="0" w:line="2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Liu, Y., Li, H., Chen, X., Tong, P., Zhang, Y., Zhu, M., ...&amp; Cai, W. (2022). Characterization of</w:t>
      </w:r>
    </w:p>
    <w:p>
      <w:pPr>
        <w:spacing w:after="0" w:line="151" w:lineRule="exact"/>
        <w:rPr>
          <w:color w:val="auto"/>
          <w:sz w:val="20"/>
          <w:szCs w:val="20"/>
        </w:rPr>
      </w:pPr>
    </w:p>
    <w:p>
      <w:pPr>
        <w:spacing w:after="0" w:line="365" w:lineRule="exact"/>
        <w:ind w:left="720" w:right="720"/>
        <w:rPr>
          <w:color w:val="auto"/>
          <w:sz w:val="20"/>
          <w:szCs w:val="20"/>
        </w:rPr>
      </w:pPr>
      <w:r>
        <w:rPr>
          <w:rFonts w:ascii="MS PGothic" w:hAnsi="MS PGothic" w:eastAsia="MS PGothic" w:cs="MS PGothic"/>
          <w:color w:val="auto"/>
          <w:sz w:val="24"/>
          <w:szCs w:val="24"/>
        </w:rPr>
        <w:t>Shiga toxin‐producing Escherichia coli isolated from Cattle and Sheep in Xinjiang province, China, using whole‐genome</w:t>
      </w:r>
      <w:r>
        <w:rPr>
          <w:rFonts w:ascii="Times New Roman" w:hAnsi="Times New Roman" w:eastAsia="Times New Roman" w:cs="Times New Roman"/>
          <w:color w:val="auto"/>
          <w:sz w:val="24"/>
          <w:szCs w:val="24"/>
        </w:rPr>
        <w:t xml:space="preserve"> sequencing. </w:t>
      </w:r>
      <w:r>
        <w:rPr>
          <w:rFonts w:ascii="Times New Roman" w:hAnsi="Times New Roman" w:eastAsia="Times New Roman" w:cs="Times New Roman"/>
          <w:i/>
          <w:iCs/>
          <w:color w:val="auto"/>
          <w:sz w:val="24"/>
          <w:szCs w:val="24"/>
        </w:rPr>
        <w:t>Transboundary and Emerging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69</w:t>
      </w:r>
      <w:r>
        <w:rPr>
          <w:rFonts w:ascii="Times New Roman" w:hAnsi="Times New Roman" w:eastAsia="Times New Roman" w:cs="Times New Roman"/>
          <w:color w:val="auto"/>
          <w:sz w:val="24"/>
          <w:szCs w:val="24"/>
        </w:rPr>
        <w:t>(2), 413-422.</w:t>
      </w:r>
    </w:p>
    <w:p>
      <w:pPr>
        <w:spacing w:after="0" w:line="2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Long-Marin, S. C., &amp; Smith, D. E. (2021). Infectious Disease Prevention and</w:t>
      </w:r>
    </w:p>
    <w:p>
      <w:pPr>
        <w:spacing w:after="0" w:line="151" w:lineRule="exact"/>
        <w:rPr>
          <w:color w:val="auto"/>
          <w:sz w:val="20"/>
          <w:szCs w:val="20"/>
        </w:rPr>
      </w:pPr>
    </w:p>
    <w:p>
      <w:pPr>
        <w:spacing w:after="0" w:line="348" w:lineRule="auto"/>
        <w:ind w:left="720" w:right="440"/>
        <w:rPr>
          <w:color w:val="auto"/>
          <w:sz w:val="20"/>
          <w:szCs w:val="20"/>
        </w:rPr>
      </w:pPr>
      <w:r>
        <w:rPr>
          <w:rFonts w:ascii="Times New Roman" w:hAnsi="Times New Roman" w:eastAsia="Times New Roman" w:cs="Times New Roman"/>
          <w:color w:val="auto"/>
          <w:sz w:val="24"/>
          <w:szCs w:val="24"/>
        </w:rPr>
        <w:t xml:space="preserve">Control. </w:t>
      </w:r>
      <w:r>
        <w:rPr>
          <w:rFonts w:ascii="Times New Roman" w:hAnsi="Times New Roman" w:eastAsia="Times New Roman" w:cs="Times New Roman"/>
          <w:i/>
          <w:iCs/>
          <w:color w:val="auto"/>
          <w:sz w:val="24"/>
          <w:szCs w:val="24"/>
        </w:rPr>
        <w:t>Foundations for Population Health in Community/Public Health Nursing-E-Book</w:t>
      </w:r>
      <w:r>
        <w:rPr>
          <w:rFonts w:ascii="Times New Roman" w:hAnsi="Times New Roman" w:eastAsia="Times New Roman" w:cs="Times New Roman"/>
          <w:color w:val="auto"/>
          <w:sz w:val="24"/>
          <w:szCs w:val="24"/>
        </w:rPr>
        <w:t>, 194.</w:t>
      </w:r>
    </w:p>
    <w:p>
      <w:pPr>
        <w:spacing w:after="0" w:line="148" w:lineRule="exact"/>
        <w:rPr>
          <w:color w:val="auto"/>
          <w:sz w:val="20"/>
          <w:szCs w:val="20"/>
        </w:rPr>
      </w:pPr>
    </w:p>
    <w:p>
      <w:pPr>
        <w:spacing w:after="0" w:line="356" w:lineRule="auto"/>
        <w:ind w:left="720" w:right="380" w:hanging="719"/>
        <w:rPr>
          <w:color w:val="auto"/>
          <w:sz w:val="20"/>
          <w:szCs w:val="20"/>
        </w:rPr>
      </w:pPr>
      <w:r>
        <w:rPr>
          <w:rFonts w:ascii="Times New Roman" w:hAnsi="Times New Roman" w:eastAsia="Times New Roman" w:cs="Times New Roman"/>
          <w:color w:val="auto"/>
          <w:sz w:val="24"/>
          <w:szCs w:val="24"/>
        </w:rPr>
        <w:t xml:space="preserve">Luna-Guevara, J. J., Arenas-Hernandez, M. M., Martínez de la Peña, C., Silva, J. L., &amp; Luna-Guevara, M. L. (2019). The role of pathogenic E. coli in fresh vegetables: Behavior, contamination factors, and preventive measures. </w:t>
      </w:r>
      <w:r>
        <w:rPr>
          <w:rFonts w:ascii="Times New Roman" w:hAnsi="Times New Roman" w:eastAsia="Times New Roman" w:cs="Times New Roman"/>
          <w:i/>
          <w:iCs/>
          <w:color w:val="auto"/>
          <w:sz w:val="24"/>
          <w:szCs w:val="24"/>
        </w:rPr>
        <w:t>International journal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2019</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48" w:lineRule="auto"/>
        <w:ind w:left="720" w:right="420" w:hanging="719"/>
        <w:rPr>
          <w:color w:val="auto"/>
          <w:sz w:val="20"/>
          <w:szCs w:val="20"/>
        </w:rPr>
      </w:pPr>
      <w:r>
        <w:rPr>
          <w:rFonts w:ascii="Times New Roman" w:hAnsi="Times New Roman" w:eastAsia="Times New Roman" w:cs="Times New Roman"/>
          <w:color w:val="auto"/>
          <w:sz w:val="24"/>
          <w:szCs w:val="24"/>
        </w:rPr>
        <w:t>M Ikeh, I., C Anele, B., &amp;A Ogbodo, U. (2021). Assessment of Microbiological Quality Associated with Ready-to-Eat Bush Meat Sold at Rumuokoro Market in Rivers State.</w:t>
      </w:r>
    </w:p>
    <w:p>
      <w:pPr>
        <w:spacing w:after="0" w:line="148"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Ma, T., &amp; Suzuki, Y. (2018). Dissect the mode of action of probiotics in affecting host-microbial interactions and immunity in food producing animals. </w:t>
      </w:r>
      <w:r>
        <w:rPr>
          <w:rFonts w:ascii="Times New Roman" w:hAnsi="Times New Roman" w:eastAsia="Times New Roman" w:cs="Times New Roman"/>
          <w:i/>
          <w:iCs/>
          <w:color w:val="auto"/>
          <w:sz w:val="24"/>
          <w:szCs w:val="24"/>
        </w:rPr>
        <w:t>Veterinary immunology and immunopathology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205</w:t>
      </w:r>
      <w:r>
        <w:rPr>
          <w:rFonts w:ascii="Times New Roman" w:hAnsi="Times New Roman" w:eastAsia="Times New Roman" w:cs="Times New Roman"/>
          <w:color w:val="auto"/>
          <w:sz w:val="24"/>
          <w:szCs w:val="24"/>
        </w:rPr>
        <w:t>, 35-48.</w:t>
      </w:r>
    </w:p>
    <w:p>
      <w:pPr>
        <w:spacing w:after="0" w:line="140" w:lineRule="exact"/>
        <w:rPr>
          <w:color w:val="auto"/>
          <w:sz w:val="20"/>
          <w:szCs w:val="20"/>
        </w:rPr>
      </w:pPr>
    </w:p>
    <w:p>
      <w:pPr>
        <w:spacing w:after="0" w:line="357" w:lineRule="auto"/>
        <w:ind w:left="720" w:right="20" w:hanging="719"/>
        <w:rPr>
          <w:color w:val="auto"/>
          <w:sz w:val="20"/>
          <w:szCs w:val="20"/>
        </w:rPr>
      </w:pPr>
      <w:r>
        <w:rPr>
          <w:rFonts w:ascii="Times New Roman" w:hAnsi="Times New Roman" w:eastAsia="Times New Roman" w:cs="Times New Roman"/>
          <w:color w:val="auto"/>
          <w:sz w:val="24"/>
          <w:szCs w:val="24"/>
        </w:rPr>
        <w:t xml:space="preserve">Mahros, M. A., Abd-Elghany, S. M., &amp; Sallam, K. I. (2021). Multidrug-, methicillin-, and vancomycin-resistant Staphylococcus aureus isolated from ready-to-eat meat sandwiches: An ongoing food and public health concern.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346</w:t>
      </w:r>
      <w:r>
        <w:rPr>
          <w:rFonts w:ascii="Times New Roman" w:hAnsi="Times New Roman" w:eastAsia="Times New Roman" w:cs="Times New Roman"/>
          <w:color w:val="auto"/>
          <w:sz w:val="24"/>
          <w:szCs w:val="24"/>
        </w:rPr>
        <w:t>, 109165.</w:t>
      </w:r>
    </w:p>
    <w:p>
      <w:pPr>
        <w:spacing w:after="0" w:line="135" w:lineRule="exact"/>
        <w:rPr>
          <w:color w:val="auto"/>
          <w:sz w:val="20"/>
          <w:szCs w:val="20"/>
        </w:rPr>
      </w:pPr>
    </w:p>
    <w:p>
      <w:pPr>
        <w:spacing w:after="0" w:line="364" w:lineRule="exact"/>
        <w:ind w:left="720" w:right="240" w:hanging="719"/>
        <w:rPr>
          <w:color w:val="auto"/>
          <w:sz w:val="20"/>
          <w:szCs w:val="20"/>
        </w:rPr>
      </w:pPr>
      <w:r>
        <w:rPr>
          <w:rFonts w:ascii="Times New Roman" w:hAnsi="Times New Roman" w:eastAsia="Times New Roman" w:cs="Times New Roman"/>
          <w:color w:val="auto"/>
          <w:sz w:val="24"/>
          <w:szCs w:val="24"/>
        </w:rPr>
        <w:t>Mare, A. D., Ciurea, C. N., Man, A., Tudor, B., Moldovan, V., Decean, L., &amp; Toma, F. (2021). Enteropathogenic Escherichia coli</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A summary of the literature. </w:t>
      </w:r>
      <w:r>
        <w:rPr>
          <w:rFonts w:ascii="Times New Roman" w:hAnsi="Times New Roman" w:eastAsia="Times New Roman" w:cs="Times New Roman"/>
          <w:i/>
          <w:iCs/>
          <w:color w:val="auto"/>
          <w:sz w:val="24"/>
          <w:szCs w:val="24"/>
        </w:rPr>
        <w:t>Gastroenterology Insights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(1), 28-40.</w:t>
      </w: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67</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3" w:name="page79"/>
      <w:bookmarkEnd w:id="73"/>
    </w:p>
    <w:p>
      <w:pPr>
        <w:spacing w:after="0" w:line="348" w:lineRule="auto"/>
        <w:ind w:left="720" w:right="2320" w:hanging="719"/>
        <w:rPr>
          <w:color w:val="auto"/>
          <w:sz w:val="20"/>
          <w:szCs w:val="20"/>
        </w:rPr>
      </w:pPr>
      <w:r>
        <w:rPr>
          <w:rFonts w:ascii="Times New Roman" w:hAnsi="Times New Roman" w:eastAsia="Times New Roman" w:cs="Times New Roman"/>
          <w:color w:val="auto"/>
          <w:sz w:val="24"/>
          <w:szCs w:val="24"/>
        </w:rPr>
        <w:t xml:space="preserve">Martinez-Medina, M. (2021). Pathogenic Escherichia coli: Infections and Therapies.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(2), 112.</w:t>
      </w:r>
    </w:p>
    <w:p>
      <w:pPr>
        <w:spacing w:after="0" w:line="148" w:lineRule="exact"/>
        <w:rPr>
          <w:color w:val="auto"/>
          <w:sz w:val="20"/>
          <w:szCs w:val="20"/>
        </w:rPr>
      </w:pPr>
    </w:p>
    <w:p>
      <w:pPr>
        <w:spacing w:after="0" w:line="356" w:lineRule="auto"/>
        <w:ind w:left="720" w:right="20" w:hanging="719"/>
        <w:rPr>
          <w:color w:val="auto"/>
          <w:sz w:val="20"/>
          <w:szCs w:val="20"/>
        </w:rPr>
      </w:pPr>
      <w:r>
        <w:rPr>
          <w:rFonts w:ascii="Times New Roman" w:hAnsi="Times New Roman" w:eastAsia="Times New Roman" w:cs="Times New Roman"/>
          <w:color w:val="auto"/>
          <w:sz w:val="24"/>
          <w:szCs w:val="24"/>
        </w:rPr>
        <w:t xml:space="preserve">Martins, F. H., Kumar, A., Abe, C. M., Carvalho, E., Nishiyama-Jr, M., Xing, C., ...&amp; Elias, W. P. (2020). EspFu-mediated actin assembly enhances enteropathogenic Escherichia coli adherence and activates host cell inflammatory signaling pathways. </w:t>
      </w:r>
      <w:r>
        <w:rPr>
          <w:rFonts w:ascii="Times New Roman" w:hAnsi="Times New Roman" w:eastAsia="Times New Roman" w:cs="Times New Roman"/>
          <w:i/>
          <w:iCs/>
          <w:color w:val="auto"/>
          <w:sz w:val="24"/>
          <w:szCs w:val="24"/>
        </w:rPr>
        <w:t>MBio</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(2), e00617-20.</w:t>
      </w:r>
    </w:p>
    <w:p>
      <w:pPr>
        <w:spacing w:after="0" w:line="139" w:lineRule="exact"/>
        <w:rPr>
          <w:color w:val="auto"/>
          <w:sz w:val="20"/>
          <w:szCs w:val="20"/>
        </w:rPr>
      </w:pPr>
    </w:p>
    <w:p>
      <w:pPr>
        <w:spacing w:after="0" w:line="354" w:lineRule="auto"/>
        <w:ind w:left="720" w:right="280" w:hanging="719"/>
        <w:jc w:val="both"/>
        <w:rPr>
          <w:color w:val="auto"/>
          <w:sz w:val="20"/>
          <w:szCs w:val="20"/>
        </w:rPr>
      </w:pPr>
      <w:r>
        <w:rPr>
          <w:rFonts w:ascii="Times New Roman" w:hAnsi="Times New Roman" w:eastAsia="Times New Roman" w:cs="Times New Roman"/>
          <w:color w:val="auto"/>
          <w:sz w:val="24"/>
          <w:szCs w:val="24"/>
        </w:rPr>
        <w:t xml:space="preserve">Mathebula, S. (2018). </w:t>
      </w:r>
      <w:r>
        <w:rPr>
          <w:rFonts w:ascii="Times New Roman" w:hAnsi="Times New Roman" w:eastAsia="Times New Roman" w:cs="Times New Roman"/>
          <w:i/>
          <w:iCs/>
          <w:color w:val="auto"/>
          <w:sz w:val="24"/>
          <w:szCs w:val="24"/>
        </w:rPr>
        <w:t>The Prevalence of intestinal parasites eggs and pathogenic Escherichia coli on the hands of school children in the Vhembe District of the Limpopo Province of South Africa</w:t>
      </w:r>
      <w:r>
        <w:rPr>
          <w:rFonts w:ascii="Times New Roman" w:hAnsi="Times New Roman" w:eastAsia="Times New Roman" w:cs="Times New Roman"/>
          <w:color w:val="auto"/>
          <w:sz w:val="24"/>
          <w:szCs w:val="24"/>
        </w:rPr>
        <w:t xml:space="preserve"> (Doctoral dissertation).</w:t>
      </w:r>
    </w:p>
    <w:p>
      <w:pPr>
        <w:spacing w:after="0" w:line="140" w:lineRule="exact"/>
        <w:rPr>
          <w:color w:val="auto"/>
          <w:sz w:val="20"/>
          <w:szCs w:val="20"/>
        </w:rPr>
      </w:pPr>
    </w:p>
    <w:p>
      <w:pPr>
        <w:spacing w:after="0" w:line="241" w:lineRule="exact"/>
        <w:ind w:right="40"/>
        <w:jc w:val="center"/>
        <w:rPr>
          <w:color w:val="auto"/>
          <w:sz w:val="20"/>
          <w:szCs w:val="20"/>
        </w:rPr>
      </w:pPr>
      <w:r>
        <w:rPr>
          <w:rFonts w:ascii="MS PGothic" w:hAnsi="MS PGothic" w:eastAsia="MS PGothic" w:cs="MS PGothic"/>
          <w:color w:val="auto"/>
          <w:sz w:val="24"/>
          <w:szCs w:val="24"/>
        </w:rPr>
        <w:t>Menanteau, P., Kempf, F., Trotereau, J., Virlogeux‐Payant, I., Gitton, E., Dalifard, J., ...&amp; Velge,</w:t>
      </w:r>
    </w:p>
    <w:p>
      <w:pPr>
        <w:spacing w:after="0" w:line="175" w:lineRule="exact"/>
        <w:rPr>
          <w:color w:val="auto"/>
          <w:sz w:val="20"/>
          <w:szCs w:val="20"/>
        </w:rPr>
      </w:pPr>
    </w:p>
    <w:p>
      <w:pPr>
        <w:spacing w:after="0" w:line="338" w:lineRule="exact"/>
        <w:ind w:left="720" w:right="580"/>
        <w:rPr>
          <w:color w:val="auto"/>
          <w:sz w:val="20"/>
          <w:szCs w:val="20"/>
        </w:rPr>
      </w:pPr>
      <w:r>
        <w:rPr>
          <w:rFonts w:ascii="Times New Roman" w:hAnsi="Times New Roman" w:eastAsia="Times New Roman" w:cs="Times New Roman"/>
          <w:color w:val="auto"/>
          <w:sz w:val="23"/>
          <w:szCs w:val="23"/>
        </w:rPr>
        <w:t>P.</w:t>
      </w:r>
      <w:r>
        <w:rPr>
          <w:rFonts w:ascii="MS PGothic" w:hAnsi="MS PGothic" w:eastAsia="MS PGothic" w:cs="MS PGothic"/>
          <w:color w:val="auto"/>
          <w:sz w:val="23"/>
          <w:szCs w:val="23"/>
        </w:rPr>
        <w:t xml:space="preserve"> (2018). Role of systemic infection, cross contaminations and super‐shedders in</w:t>
      </w:r>
      <w:r>
        <w:rPr>
          <w:rFonts w:ascii="Times New Roman" w:hAnsi="Times New Roman" w:eastAsia="Times New Roman" w:cs="Times New Roman"/>
          <w:color w:val="auto"/>
          <w:sz w:val="23"/>
          <w:szCs w:val="23"/>
        </w:rPr>
        <w:t xml:space="preserve"> Salmonella carrier state in chicken. </w:t>
      </w:r>
      <w:r>
        <w:rPr>
          <w:rFonts w:ascii="Times New Roman" w:hAnsi="Times New Roman" w:eastAsia="Times New Roman" w:cs="Times New Roman"/>
          <w:i/>
          <w:iCs/>
          <w:color w:val="auto"/>
          <w:sz w:val="23"/>
          <w:szCs w:val="23"/>
        </w:rPr>
        <w:t>Environmental microbiology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20</w:t>
      </w:r>
      <w:r>
        <w:rPr>
          <w:rFonts w:ascii="Times New Roman" w:hAnsi="Times New Roman" w:eastAsia="Times New Roman" w:cs="Times New Roman"/>
          <w:color w:val="auto"/>
          <w:sz w:val="23"/>
          <w:szCs w:val="23"/>
        </w:rPr>
        <w:t>(9), 3246-3260.</w:t>
      </w:r>
    </w:p>
    <w:p>
      <w:pPr>
        <w:spacing w:after="0" w:line="2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Meng, J., &amp; Doyle, M. P. (2020). Shiga Escherichia Toxin-Producing coli. </w:t>
      </w:r>
      <w:r>
        <w:rPr>
          <w:rFonts w:ascii="Times New Roman" w:hAnsi="Times New Roman" w:eastAsia="Times New Roman" w:cs="Times New Roman"/>
          <w:i/>
          <w:iCs/>
          <w:color w:val="auto"/>
          <w:sz w:val="24"/>
          <w:szCs w:val="24"/>
        </w:rPr>
        <w:t>Food Microbiology:</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Fundamentals and Frontiers</w:t>
      </w:r>
      <w:r>
        <w:rPr>
          <w:rFonts w:ascii="Times New Roman" w:hAnsi="Times New Roman" w:eastAsia="Times New Roman" w:cs="Times New Roman"/>
          <w:color w:val="auto"/>
          <w:sz w:val="24"/>
          <w:szCs w:val="24"/>
        </w:rPr>
        <w:t>, 289.</w:t>
      </w:r>
    </w:p>
    <w:p>
      <w:pPr>
        <w:spacing w:after="0" w:line="25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Meng, J., &amp; Doyle, M. P. (2020). Shiga Escherichia Toxin-Producing coli. </w:t>
      </w:r>
      <w:r>
        <w:rPr>
          <w:rFonts w:ascii="Times New Roman" w:hAnsi="Times New Roman" w:eastAsia="Times New Roman" w:cs="Times New Roman"/>
          <w:i/>
          <w:iCs/>
          <w:color w:val="auto"/>
          <w:sz w:val="24"/>
          <w:szCs w:val="24"/>
        </w:rPr>
        <w:t>Food Microbiology:</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Fundamentals and Frontiers</w:t>
      </w:r>
      <w:r>
        <w:rPr>
          <w:rFonts w:ascii="Times New Roman" w:hAnsi="Times New Roman" w:eastAsia="Times New Roman" w:cs="Times New Roman"/>
          <w:color w:val="auto"/>
          <w:sz w:val="24"/>
          <w:szCs w:val="24"/>
        </w:rPr>
        <w:t>, 289.</w:t>
      </w:r>
    </w:p>
    <w:p>
      <w:pPr>
        <w:spacing w:after="0" w:line="271" w:lineRule="exact"/>
        <w:rPr>
          <w:color w:val="auto"/>
          <w:sz w:val="20"/>
          <w:szCs w:val="20"/>
        </w:rPr>
      </w:pPr>
    </w:p>
    <w:p>
      <w:pPr>
        <w:spacing w:after="0" w:line="241" w:lineRule="exact"/>
        <w:rPr>
          <w:color w:val="auto"/>
          <w:sz w:val="20"/>
          <w:szCs w:val="20"/>
        </w:rPr>
      </w:pPr>
      <w:r>
        <w:rPr>
          <w:rFonts w:ascii="MS PGothic" w:hAnsi="MS PGothic" w:eastAsia="MS PGothic" w:cs="MS PGothic"/>
          <w:color w:val="auto"/>
          <w:sz w:val="24"/>
          <w:szCs w:val="24"/>
        </w:rPr>
        <w:t>Menge, C. (2020). Molecular biology of Escherichia coli Shiga toxins’ effects on mammalian</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cells.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(5), 345.</w:t>
      </w:r>
    </w:p>
    <w:p>
      <w:pPr>
        <w:spacing w:after="0" w:line="271" w:lineRule="exact"/>
        <w:rPr>
          <w:color w:val="auto"/>
          <w:sz w:val="20"/>
          <w:szCs w:val="20"/>
        </w:rPr>
      </w:pPr>
    </w:p>
    <w:p>
      <w:pPr>
        <w:spacing w:after="0" w:line="354" w:lineRule="auto"/>
        <w:ind w:left="720" w:right="400" w:hanging="719"/>
        <w:rPr>
          <w:color w:val="auto"/>
          <w:sz w:val="20"/>
          <w:szCs w:val="20"/>
        </w:rPr>
      </w:pPr>
      <w:r>
        <w:rPr>
          <w:rFonts w:ascii="Times New Roman" w:hAnsi="Times New Roman" w:eastAsia="Times New Roman" w:cs="Times New Roman"/>
          <w:color w:val="auto"/>
          <w:sz w:val="24"/>
          <w:szCs w:val="24"/>
        </w:rPr>
        <w:t xml:space="preserve">Mengistu, D. A., &amp; Tolera, S. T. (2020). Prevalence of microorganisms of public health significance in ready-to-eat foods sold in developing countries: systematic review and meta-analysis. </w:t>
      </w:r>
      <w:r>
        <w:rPr>
          <w:rFonts w:ascii="Times New Roman" w:hAnsi="Times New Roman" w:eastAsia="Times New Roman" w:cs="Times New Roman"/>
          <w:i/>
          <w:iCs/>
          <w:color w:val="auto"/>
          <w:sz w:val="24"/>
          <w:szCs w:val="24"/>
        </w:rPr>
        <w:t>International journal of food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140" w:lineRule="exact"/>
        <w:rPr>
          <w:color w:val="auto"/>
          <w:sz w:val="20"/>
          <w:szCs w:val="20"/>
        </w:rPr>
      </w:pPr>
    </w:p>
    <w:p>
      <w:pPr>
        <w:spacing w:after="0" w:line="339" w:lineRule="exact"/>
        <w:ind w:left="720" w:right="120" w:hanging="719"/>
        <w:rPr>
          <w:color w:val="auto"/>
          <w:sz w:val="20"/>
          <w:szCs w:val="20"/>
        </w:rPr>
      </w:pPr>
      <w:r>
        <w:rPr>
          <w:rFonts w:ascii="Times New Roman" w:hAnsi="Times New Roman" w:eastAsia="Times New Roman" w:cs="Times New Roman"/>
          <w:color w:val="auto"/>
          <w:sz w:val="23"/>
          <w:szCs w:val="23"/>
        </w:rPr>
        <w:t>Mens</w:t>
      </w:r>
      <w:r>
        <w:rPr>
          <w:rFonts w:ascii="MS PGothic" w:hAnsi="MS PGothic" w:eastAsia="MS PGothic" w:cs="MS PGothic"/>
          <w:color w:val="auto"/>
          <w:sz w:val="23"/>
          <w:szCs w:val="23"/>
        </w:rPr>
        <w:t>ah, D. O., Mintah, F. O., Oteng, S. A., Lillywhite, R., &amp; Oyebode, O. (2022). ‘We're meat, so we need to eat meat to be who we are’: Understanding motivations that increase or</w:t>
      </w:r>
    </w:p>
    <w:p>
      <w:pPr>
        <w:spacing w:after="0" w:line="151" w:lineRule="exact"/>
        <w:rPr>
          <w:color w:val="auto"/>
          <w:sz w:val="20"/>
          <w:szCs w:val="20"/>
        </w:rPr>
      </w:pPr>
    </w:p>
    <w:p>
      <w:pPr>
        <w:spacing w:after="0" w:line="350" w:lineRule="auto"/>
        <w:ind w:left="720" w:right="740"/>
        <w:rPr>
          <w:color w:val="auto"/>
          <w:sz w:val="20"/>
          <w:szCs w:val="20"/>
        </w:rPr>
      </w:pPr>
      <w:r>
        <w:rPr>
          <w:rFonts w:ascii="Times New Roman" w:hAnsi="Times New Roman" w:eastAsia="Times New Roman" w:cs="Times New Roman"/>
          <w:color w:val="auto"/>
          <w:sz w:val="24"/>
          <w:szCs w:val="24"/>
        </w:rPr>
        <w:t xml:space="preserve">reduce meat consumption among emerging adults in the University of Ghana food environment. </w:t>
      </w:r>
      <w:r>
        <w:rPr>
          <w:rFonts w:ascii="Times New Roman" w:hAnsi="Times New Roman" w:eastAsia="Times New Roman" w:cs="Times New Roman"/>
          <w:i/>
          <w:iCs/>
          <w:color w:val="auto"/>
          <w:sz w:val="24"/>
          <w:szCs w:val="24"/>
        </w:rPr>
        <w:t>Meat Science</w:t>
      </w:r>
      <w:r>
        <w:rPr>
          <w:rFonts w:ascii="Times New Roman" w:hAnsi="Times New Roman" w:eastAsia="Times New Roman" w:cs="Times New Roman"/>
          <w:color w:val="auto"/>
          <w:sz w:val="24"/>
          <w:szCs w:val="24"/>
        </w:rPr>
        <w:t>, 108927.</w:t>
      </w:r>
    </w:p>
    <w:p>
      <w:pPr>
        <w:spacing w:after="0" w:line="143" w:lineRule="exact"/>
        <w:rPr>
          <w:color w:val="auto"/>
          <w:sz w:val="20"/>
          <w:szCs w:val="20"/>
        </w:rPr>
      </w:pPr>
    </w:p>
    <w:p>
      <w:pPr>
        <w:spacing w:after="0" w:line="241" w:lineRule="exact"/>
        <w:rPr>
          <w:color w:val="auto"/>
          <w:sz w:val="20"/>
          <w:szCs w:val="20"/>
        </w:rPr>
      </w:pPr>
      <w:r>
        <w:rPr>
          <w:rFonts w:ascii="MS PGothic" w:hAnsi="MS PGothic" w:eastAsia="MS PGothic" w:cs="MS PGothic"/>
          <w:color w:val="auto"/>
          <w:sz w:val="24"/>
          <w:szCs w:val="24"/>
        </w:rPr>
        <w:t>Meštrović, T., Matijašić, M., Perić, M., Čipčić Paljetak, H., Barešić, A., &amp; Verbanac, D. (2020).</w:t>
      </w:r>
    </w:p>
    <w:p>
      <w:pPr>
        <w:spacing w:after="0" w:line="16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role of gut, vaginal, and urinary microbiome in urinary tract infections: from bench</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to bedside. </w:t>
      </w:r>
      <w:r>
        <w:rPr>
          <w:rFonts w:ascii="Times New Roman" w:hAnsi="Times New Roman" w:eastAsia="Times New Roman" w:cs="Times New Roman"/>
          <w:i/>
          <w:iCs/>
          <w:color w:val="auto"/>
          <w:sz w:val="24"/>
          <w:szCs w:val="24"/>
        </w:rPr>
        <w:t>Diagnostics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(1), 7.</w:t>
      </w: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4" w:name="page80"/>
      <w:bookmarkEnd w:id="74"/>
    </w:p>
    <w:p>
      <w:pPr>
        <w:spacing w:after="0" w:line="348" w:lineRule="auto"/>
        <w:ind w:right="160"/>
        <w:jc w:val="right"/>
        <w:rPr>
          <w:color w:val="auto"/>
          <w:sz w:val="20"/>
          <w:szCs w:val="20"/>
        </w:rPr>
      </w:pPr>
      <w:r>
        <w:rPr>
          <w:rFonts w:ascii="Times New Roman" w:hAnsi="Times New Roman" w:eastAsia="Times New Roman" w:cs="Times New Roman"/>
          <w:color w:val="auto"/>
          <w:sz w:val="24"/>
          <w:szCs w:val="24"/>
        </w:rPr>
        <w:t xml:space="preserve">Milbank, C., &amp; Vira, B. (2022). Wildmeat consumption and zoonotic spillover: contextualising disease emergence and policy responses. </w:t>
      </w:r>
      <w:r>
        <w:rPr>
          <w:rFonts w:ascii="Times New Roman" w:hAnsi="Times New Roman" w:eastAsia="Times New Roman" w:cs="Times New Roman"/>
          <w:i/>
          <w:iCs/>
          <w:color w:val="auto"/>
          <w:sz w:val="24"/>
          <w:szCs w:val="24"/>
        </w:rPr>
        <w:t>The Lancet Planetary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(5), e439-e448.</w:t>
      </w:r>
    </w:p>
    <w:p>
      <w:pPr>
        <w:spacing w:after="0" w:line="148"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Momoh, A., &amp; Ayodele-Asowata, A. A. (2022). Molecular analysis of the resistant factor of virulent uropathogenic Escherichia coli in volunteered females of Elizade University. </w:t>
      </w:r>
      <w:r>
        <w:rPr>
          <w:rFonts w:ascii="Times New Roman" w:hAnsi="Times New Roman" w:eastAsia="Times New Roman" w:cs="Times New Roman"/>
          <w:i/>
          <w:iCs/>
          <w:color w:val="auto"/>
          <w:sz w:val="24"/>
          <w:szCs w:val="24"/>
        </w:rPr>
        <w:t>Microbes and Infectious Diseases</w:t>
      </w:r>
      <w:r>
        <w:rPr>
          <w:rFonts w:ascii="Times New Roman" w:hAnsi="Times New Roman" w:eastAsia="Times New Roman" w:cs="Times New Roman"/>
          <w:color w:val="auto"/>
          <w:sz w:val="24"/>
          <w:szCs w:val="24"/>
        </w:rPr>
        <w:t>.</w:t>
      </w:r>
    </w:p>
    <w:p>
      <w:pPr>
        <w:spacing w:after="0" w:line="140" w:lineRule="exact"/>
        <w:rPr>
          <w:color w:val="auto"/>
          <w:sz w:val="20"/>
          <w:szCs w:val="20"/>
        </w:rPr>
      </w:pPr>
    </w:p>
    <w:p>
      <w:pPr>
        <w:spacing w:after="0" w:line="376" w:lineRule="auto"/>
        <w:ind w:left="720" w:right="140" w:hanging="719"/>
        <w:rPr>
          <w:color w:val="auto"/>
          <w:sz w:val="20"/>
          <w:szCs w:val="20"/>
        </w:rPr>
      </w:pPr>
      <w:r>
        <w:rPr>
          <w:rFonts w:ascii="Times New Roman" w:hAnsi="Times New Roman" w:eastAsia="Times New Roman" w:cs="Times New Roman"/>
          <w:color w:val="auto"/>
          <w:sz w:val="23"/>
          <w:szCs w:val="23"/>
        </w:rPr>
        <w:t xml:space="preserve">Morris, S., &amp; Cerceo, E. (2020). Trends, epidemiology, and management of multi-drug resistant gram-negative bacterial infections in the hospitalized setting. </w:t>
      </w:r>
      <w:r>
        <w:rPr>
          <w:rFonts w:ascii="Times New Roman" w:hAnsi="Times New Roman" w:eastAsia="Times New Roman" w:cs="Times New Roman"/>
          <w:i/>
          <w:iCs/>
          <w:color w:val="auto"/>
          <w:sz w:val="23"/>
          <w:szCs w:val="23"/>
        </w:rPr>
        <w:t>Antibiotics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9</w:t>
      </w:r>
      <w:r>
        <w:rPr>
          <w:rFonts w:ascii="Times New Roman" w:hAnsi="Times New Roman" w:eastAsia="Times New Roman" w:cs="Times New Roman"/>
          <w:color w:val="auto"/>
          <w:sz w:val="23"/>
          <w:szCs w:val="23"/>
        </w:rPr>
        <w:t>(4), 196.</w:t>
      </w:r>
    </w:p>
    <w:p>
      <w:pPr>
        <w:spacing w:after="0" w:line="119"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Mostafidi, M., Sanjabi, M. R., Shirkhan, F., &amp; Zahedi, M. T. (2020). A review of recent trends in the development of the microbial safety of fruits and vegetables. </w:t>
      </w:r>
      <w:r>
        <w:rPr>
          <w:rFonts w:ascii="Times New Roman" w:hAnsi="Times New Roman" w:eastAsia="Times New Roman" w:cs="Times New Roman"/>
          <w:i/>
          <w:iCs/>
          <w:color w:val="auto"/>
          <w:sz w:val="24"/>
          <w:szCs w:val="24"/>
        </w:rPr>
        <w:t>Trends in Food Science &amp; 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103</w:t>
      </w:r>
      <w:r>
        <w:rPr>
          <w:rFonts w:ascii="Times New Roman" w:hAnsi="Times New Roman" w:eastAsia="Times New Roman" w:cs="Times New Roman"/>
          <w:color w:val="auto"/>
          <w:sz w:val="24"/>
          <w:szCs w:val="24"/>
        </w:rPr>
        <w:t>, 321-332.</w:t>
      </w:r>
    </w:p>
    <w:p>
      <w:pPr>
        <w:spacing w:after="0" w:line="143" w:lineRule="exact"/>
        <w:rPr>
          <w:color w:val="auto"/>
          <w:sz w:val="20"/>
          <w:szCs w:val="20"/>
        </w:rPr>
      </w:pPr>
    </w:p>
    <w:p>
      <w:pPr>
        <w:spacing w:after="0" w:line="356" w:lineRule="auto"/>
        <w:ind w:left="720" w:right="440" w:hanging="719"/>
        <w:rPr>
          <w:color w:val="auto"/>
          <w:sz w:val="20"/>
          <w:szCs w:val="20"/>
        </w:rPr>
      </w:pPr>
      <w:r>
        <w:rPr>
          <w:rFonts w:ascii="Times New Roman" w:hAnsi="Times New Roman" w:eastAsia="Times New Roman" w:cs="Times New Roman"/>
          <w:color w:val="auto"/>
          <w:sz w:val="24"/>
          <w:szCs w:val="24"/>
        </w:rPr>
        <w:t xml:space="preserve">Mousavi, S. M., Babakhani, S., Moradi, L., Karami, S., Shahbandeh, M., Mirshekar, M., ...&amp; Moghadam, M. T. (2021). Bacteriophage as a novel therapeutic weapon for killing colistin-resistant multi-drug-resistant and extensively drug-resistant gram-negative bacteria. </w:t>
      </w:r>
      <w:r>
        <w:rPr>
          <w:rFonts w:ascii="Times New Roman" w:hAnsi="Times New Roman" w:eastAsia="Times New Roman" w:cs="Times New Roman"/>
          <w:i/>
          <w:iCs/>
          <w:color w:val="auto"/>
          <w:sz w:val="24"/>
          <w:szCs w:val="24"/>
        </w:rPr>
        <w:t>Current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78</w:t>
      </w:r>
      <w:r>
        <w:rPr>
          <w:rFonts w:ascii="Times New Roman" w:hAnsi="Times New Roman" w:eastAsia="Times New Roman" w:cs="Times New Roman"/>
          <w:color w:val="auto"/>
          <w:sz w:val="24"/>
          <w:szCs w:val="24"/>
        </w:rPr>
        <w:t>(12), 4023-4036.</w:t>
      </w:r>
    </w:p>
    <w:p>
      <w:pPr>
        <w:spacing w:after="0" w:line="1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Moxley, R. A. (2022). Enterobacteriaceae: Escherichia. </w:t>
      </w:r>
      <w:r>
        <w:rPr>
          <w:rFonts w:ascii="Times New Roman" w:hAnsi="Times New Roman" w:eastAsia="Times New Roman" w:cs="Times New Roman"/>
          <w:i/>
          <w:iCs/>
          <w:color w:val="auto"/>
          <w:sz w:val="24"/>
          <w:szCs w:val="24"/>
        </w:rPr>
        <w:t>Veterinary Microbiology</w:t>
      </w:r>
      <w:r>
        <w:rPr>
          <w:rFonts w:ascii="Times New Roman" w:hAnsi="Times New Roman" w:eastAsia="Times New Roman" w:cs="Times New Roman"/>
          <w:color w:val="auto"/>
          <w:sz w:val="24"/>
          <w:szCs w:val="24"/>
        </w:rPr>
        <w:t>, 56-74.</w:t>
      </w:r>
    </w:p>
    <w:p>
      <w:pPr>
        <w:spacing w:after="0" w:line="269"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Mulaosmanovic, E., Windstam, S. T., Vågsholm, I., &amp; Alsanius, B. W. (2021). Size Matters: Biological and Food Safety Relevance of Leaf Damage for Colonization of Escherichia coli O157: H7 gfp+. </w:t>
      </w:r>
      <w:r>
        <w:rPr>
          <w:rFonts w:ascii="Times New Roman" w:hAnsi="Times New Roman" w:eastAsia="Times New Roman" w:cs="Times New Roman"/>
          <w:i/>
          <w:iCs/>
          <w:color w:val="auto"/>
          <w:sz w:val="24"/>
          <w:szCs w:val="24"/>
        </w:rPr>
        <w:t>Frontiers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608086.</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Munhoz, D. D., Santos, F. F., Mitsunari, T., Schüroff, P. A., Elias, W. P., Carvalho, E., &amp; Piazza, R. M. (2021). Hybrid atypical enteropathogenic and extraintestinal Escherichia coli (aEPEC/ExPEC) BA1250 strain: a draft genome. </w:t>
      </w:r>
      <w:r>
        <w:rPr>
          <w:rFonts w:ascii="Times New Roman" w:hAnsi="Times New Roman" w:eastAsia="Times New Roman" w:cs="Times New Roman"/>
          <w:i/>
          <w:iCs/>
          <w:color w:val="auto"/>
          <w:sz w:val="24"/>
          <w:szCs w:val="24"/>
        </w:rPr>
        <w:t>Pathogens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(4), 475.</w:t>
      </w:r>
    </w:p>
    <w:p>
      <w:pPr>
        <w:spacing w:after="0" w:line="140" w:lineRule="exact"/>
        <w:rPr>
          <w:color w:val="auto"/>
          <w:sz w:val="20"/>
          <w:szCs w:val="20"/>
        </w:rPr>
      </w:pPr>
    </w:p>
    <w:p>
      <w:pPr>
        <w:spacing w:after="0" w:line="357" w:lineRule="auto"/>
        <w:ind w:left="720" w:right="80" w:hanging="719"/>
        <w:rPr>
          <w:color w:val="auto"/>
          <w:sz w:val="20"/>
          <w:szCs w:val="20"/>
        </w:rPr>
      </w:pPr>
      <w:r>
        <w:rPr>
          <w:rFonts w:ascii="Times New Roman" w:hAnsi="Times New Roman" w:eastAsia="Times New Roman" w:cs="Times New Roman"/>
          <w:color w:val="auto"/>
          <w:sz w:val="24"/>
          <w:szCs w:val="24"/>
        </w:rPr>
        <w:t xml:space="preserve">Muronga, M., Quispe, C., Tshikhudo, P. P., Msagati, T. A. M., Mudau, F. N., Martorell, M., ...&amp; Sharifi-Rad, J. (2021). Three selected edible crops of the genus momordica as potential sources of phytochemicals: biochemical, nutritional, and medicinal values. </w:t>
      </w:r>
      <w:r>
        <w:rPr>
          <w:rFonts w:ascii="Times New Roman" w:hAnsi="Times New Roman" w:eastAsia="Times New Roman" w:cs="Times New Roman"/>
          <w:i/>
          <w:iCs/>
          <w:color w:val="auto"/>
          <w:sz w:val="24"/>
          <w:szCs w:val="24"/>
        </w:rPr>
        <w:t>Frontiers in Pharmacology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 625546.</w:t>
      </w:r>
    </w:p>
    <w:p>
      <w:pPr>
        <w:spacing w:after="0" w:line="135" w:lineRule="exact"/>
        <w:rPr>
          <w:color w:val="auto"/>
          <w:sz w:val="20"/>
          <w:szCs w:val="20"/>
        </w:rPr>
      </w:pPr>
    </w:p>
    <w:p>
      <w:pPr>
        <w:spacing w:after="0" w:line="354" w:lineRule="auto"/>
        <w:ind w:left="720" w:right="80" w:hanging="719"/>
        <w:rPr>
          <w:color w:val="auto"/>
          <w:sz w:val="20"/>
          <w:szCs w:val="20"/>
        </w:rPr>
      </w:pPr>
      <w:r>
        <w:rPr>
          <w:rFonts w:ascii="Times New Roman" w:hAnsi="Times New Roman" w:eastAsia="Times New Roman" w:cs="Times New Roman"/>
          <w:color w:val="auto"/>
          <w:sz w:val="24"/>
          <w:szCs w:val="24"/>
        </w:rPr>
        <w:t xml:space="preserve">Murray, L., &amp; Saiman, L. (2022). Potential opportunities and challenges for infection prevention and control for cystic fibrosis in the modern era. </w:t>
      </w:r>
      <w:r>
        <w:rPr>
          <w:rFonts w:ascii="Times New Roman" w:hAnsi="Times New Roman" w:eastAsia="Times New Roman" w:cs="Times New Roman"/>
          <w:i/>
          <w:iCs/>
          <w:color w:val="auto"/>
          <w:sz w:val="24"/>
          <w:szCs w:val="24"/>
        </w:rPr>
        <w:t>Current Opinion in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(4), 346-352.</w:t>
      </w: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69</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5" w:name="page81"/>
      <w:bookmarkEnd w:id="75"/>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Mutuku, C., Gazdag, Z., &amp; Melegh, S. (2022). Occurrence of antibiotics and bacterial resistance genes in wastewater: resistance mechanisms and antimicrobial resistance control approaches. </w:t>
      </w:r>
      <w:r>
        <w:rPr>
          <w:rFonts w:ascii="Times New Roman" w:hAnsi="Times New Roman" w:eastAsia="Times New Roman" w:cs="Times New Roman"/>
          <w:i/>
          <w:iCs/>
          <w:color w:val="auto"/>
          <w:sz w:val="24"/>
          <w:szCs w:val="24"/>
        </w:rPr>
        <w:t>World Journal of Microbiology and Biotechnology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(9), 1-27.</w:t>
      </w:r>
    </w:p>
    <w:p>
      <w:pPr>
        <w:spacing w:after="0" w:line="140" w:lineRule="exact"/>
        <w:rPr>
          <w:color w:val="auto"/>
          <w:sz w:val="20"/>
          <w:szCs w:val="20"/>
        </w:rPr>
      </w:pPr>
    </w:p>
    <w:p>
      <w:pPr>
        <w:spacing w:after="0" w:line="354" w:lineRule="auto"/>
        <w:ind w:left="720" w:right="660" w:hanging="719"/>
        <w:rPr>
          <w:color w:val="auto"/>
          <w:sz w:val="20"/>
          <w:szCs w:val="20"/>
        </w:rPr>
      </w:pPr>
      <w:r>
        <w:rPr>
          <w:rFonts w:ascii="Times New Roman" w:hAnsi="Times New Roman" w:eastAsia="Times New Roman" w:cs="Times New Roman"/>
          <w:color w:val="auto"/>
          <w:sz w:val="24"/>
          <w:szCs w:val="24"/>
        </w:rPr>
        <w:t xml:space="preserve">Naik, S. A., Ahmad, A., Irshad, M., &amp; Rasool, G. (2019). CLINICAL PROFILE AND BACTERIOLOGICAL SPECTRUM OF NEONATAL SEPSIS, IN A TERTIARY CARE HOSPITAL, KASHMIR INDIA. </w:t>
      </w:r>
      <w:r>
        <w:rPr>
          <w:rFonts w:ascii="Times New Roman" w:hAnsi="Times New Roman" w:eastAsia="Times New Roman" w:cs="Times New Roman"/>
          <w:i/>
          <w:iCs/>
          <w:color w:val="auto"/>
          <w:sz w:val="24"/>
          <w:szCs w:val="24"/>
        </w:rPr>
        <w:t>JEMDS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(6), 346-51.</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Ngene, A. C., Aguiyi, J. C., Uzal, U., Egbere, J. O., Onyimba, I. A., Umera, A. E., &amp; Nnadi, N.</w:t>
      </w:r>
    </w:p>
    <w:p>
      <w:pPr>
        <w:spacing w:after="0" w:line="149" w:lineRule="exact"/>
        <w:rPr>
          <w:color w:val="auto"/>
          <w:sz w:val="20"/>
          <w:szCs w:val="20"/>
        </w:rPr>
      </w:pPr>
    </w:p>
    <w:p>
      <w:pPr>
        <w:numPr>
          <w:ilvl w:val="0"/>
          <w:numId w:val="8"/>
        </w:numPr>
        <w:tabs>
          <w:tab w:val="left" w:pos="987"/>
        </w:tabs>
        <w:spacing w:after="0" w:line="350" w:lineRule="auto"/>
        <w:ind w:left="720" w:right="5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(2020). Bacteriophages as Bio-control agent against Food-Borne Pathogen E. coli O157: H7. </w:t>
      </w:r>
      <w:r>
        <w:rPr>
          <w:rFonts w:ascii="Times New Roman" w:hAnsi="Times New Roman" w:eastAsia="Times New Roman" w:cs="Times New Roman"/>
          <w:i/>
          <w:iCs/>
          <w:color w:val="auto"/>
          <w:sz w:val="24"/>
          <w:szCs w:val="24"/>
        </w:rPr>
        <w:t>IOSR Journal of Pharmacy and Biological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(2), 23-36.</w:t>
      </w:r>
    </w:p>
    <w:p>
      <w:pPr>
        <w:spacing w:after="0" w:line="1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Ngene, A. C., Aguiyi, J. C., Uzal, U., Egbere, J. O., Onyimba, I. A., Umera, A. E., &amp; Nnadi, N.</w:t>
      </w:r>
    </w:p>
    <w:p>
      <w:pPr>
        <w:spacing w:after="0" w:line="151" w:lineRule="exact"/>
        <w:rPr>
          <w:color w:val="auto"/>
          <w:sz w:val="20"/>
          <w:szCs w:val="20"/>
        </w:rPr>
      </w:pPr>
    </w:p>
    <w:p>
      <w:pPr>
        <w:numPr>
          <w:ilvl w:val="0"/>
          <w:numId w:val="9"/>
        </w:numPr>
        <w:tabs>
          <w:tab w:val="left" w:pos="987"/>
        </w:tabs>
        <w:spacing w:after="0" w:line="348" w:lineRule="auto"/>
        <w:ind w:left="720" w:right="5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(2020). Bacteriophages as Bio-control agent against Food-Borne Pathogen E. coli O157: H7. </w:t>
      </w:r>
      <w:r>
        <w:rPr>
          <w:rFonts w:ascii="Times New Roman" w:hAnsi="Times New Roman" w:eastAsia="Times New Roman" w:cs="Times New Roman"/>
          <w:i/>
          <w:iCs/>
          <w:color w:val="auto"/>
          <w:sz w:val="24"/>
          <w:szCs w:val="24"/>
        </w:rPr>
        <w:t>IOSR Journal of Pharmacy and Biological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(2), 23-36.</w:t>
      </w:r>
    </w:p>
    <w:p>
      <w:pPr>
        <w:spacing w:after="0" w:line="148" w:lineRule="exact"/>
        <w:rPr>
          <w:color w:val="auto"/>
          <w:sz w:val="20"/>
          <w:szCs w:val="20"/>
        </w:rPr>
      </w:pPr>
    </w:p>
    <w:p>
      <w:pPr>
        <w:spacing w:after="0" w:line="354" w:lineRule="auto"/>
        <w:ind w:left="720" w:right="80" w:hanging="719"/>
        <w:jc w:val="both"/>
        <w:rPr>
          <w:color w:val="auto"/>
          <w:sz w:val="20"/>
          <w:szCs w:val="20"/>
        </w:rPr>
      </w:pPr>
      <w:r>
        <w:rPr>
          <w:rFonts w:ascii="Times New Roman" w:hAnsi="Times New Roman" w:eastAsia="Times New Roman" w:cs="Times New Roman"/>
          <w:color w:val="auto"/>
          <w:sz w:val="24"/>
          <w:szCs w:val="24"/>
        </w:rPr>
        <w:t xml:space="preserve">Nguyen, T. T. H., Iguchi, A., Ohata, R., Kawai, H., Ooka, T., Nakajima, H., &amp; Iyoda, S. (2021). Distribution of Novel Og Types in Shiga Toxin-Producing Escherichia coli Isolated from Healthy Cattle. </w:t>
      </w:r>
      <w:r>
        <w:rPr>
          <w:rFonts w:ascii="Times New Roman" w:hAnsi="Times New Roman" w:eastAsia="Times New Roman" w:cs="Times New Roman"/>
          <w:i/>
          <w:iCs/>
          <w:color w:val="auto"/>
          <w:sz w:val="24"/>
          <w:szCs w:val="24"/>
        </w:rPr>
        <w:t>Journal of Clinical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59</w:t>
      </w:r>
      <w:r>
        <w:rPr>
          <w:rFonts w:ascii="Times New Roman" w:hAnsi="Times New Roman" w:eastAsia="Times New Roman" w:cs="Times New Roman"/>
          <w:color w:val="auto"/>
          <w:sz w:val="24"/>
          <w:szCs w:val="24"/>
        </w:rPr>
        <w:t>(3), e02624-20.</w:t>
      </w:r>
    </w:p>
    <w:p>
      <w:pPr>
        <w:spacing w:after="0" w:line="140" w:lineRule="exact"/>
        <w:rPr>
          <w:color w:val="auto"/>
          <w:sz w:val="20"/>
          <w:szCs w:val="20"/>
        </w:rPr>
      </w:pPr>
    </w:p>
    <w:p>
      <w:pPr>
        <w:spacing w:after="0" w:line="350" w:lineRule="auto"/>
        <w:ind w:left="720" w:right="480" w:hanging="719"/>
        <w:rPr>
          <w:color w:val="auto"/>
          <w:sz w:val="20"/>
          <w:szCs w:val="20"/>
        </w:rPr>
      </w:pPr>
      <w:r>
        <w:rPr>
          <w:rFonts w:ascii="Times New Roman" w:hAnsi="Times New Roman" w:eastAsia="Times New Roman" w:cs="Times New Roman"/>
          <w:color w:val="auto"/>
          <w:sz w:val="24"/>
          <w:szCs w:val="24"/>
        </w:rPr>
        <w:t xml:space="preserve">Niman, N. H. (2021). </w:t>
      </w:r>
      <w:r>
        <w:rPr>
          <w:rFonts w:ascii="Times New Roman" w:hAnsi="Times New Roman" w:eastAsia="Times New Roman" w:cs="Times New Roman"/>
          <w:i/>
          <w:iCs/>
          <w:color w:val="auto"/>
          <w:sz w:val="24"/>
          <w:szCs w:val="24"/>
        </w:rPr>
        <w:t>Defending beef: The ecological and nutritional case for meat</w:t>
      </w:r>
      <w:r>
        <w:rPr>
          <w:rFonts w:ascii="Times New Roman" w:hAnsi="Times New Roman" w:eastAsia="Times New Roman" w:cs="Times New Roman"/>
          <w:color w:val="auto"/>
          <w:sz w:val="24"/>
          <w:szCs w:val="24"/>
        </w:rPr>
        <w:t>. Chelsea Green Publishing.</w:t>
      </w:r>
    </w:p>
    <w:p>
      <w:pPr>
        <w:spacing w:after="0" w:line="143" w:lineRule="exact"/>
        <w:rPr>
          <w:color w:val="auto"/>
          <w:sz w:val="20"/>
          <w:szCs w:val="20"/>
        </w:rPr>
      </w:pPr>
    </w:p>
    <w:p>
      <w:pPr>
        <w:spacing w:after="0" w:line="350" w:lineRule="auto"/>
        <w:ind w:left="720" w:right="2120" w:hanging="719"/>
        <w:rPr>
          <w:color w:val="auto"/>
          <w:sz w:val="20"/>
          <w:szCs w:val="20"/>
        </w:rPr>
      </w:pPr>
      <w:r>
        <w:rPr>
          <w:rFonts w:ascii="Times New Roman" w:hAnsi="Times New Roman" w:eastAsia="Times New Roman" w:cs="Times New Roman"/>
          <w:color w:val="auto"/>
          <w:sz w:val="24"/>
          <w:szCs w:val="24"/>
        </w:rPr>
        <w:t xml:space="preserve">Novick, R. P. (2019). Pathogenicity islands and their role in staphylococcal biology.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7-3.</w:t>
      </w:r>
    </w:p>
    <w:p>
      <w:pPr>
        <w:spacing w:after="0" w:line="143"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Nowshad, F., Mustari, N., &amp; Khan, M. S. (2021). Overview of microbial contamination of foods and associated risk factors. In </w:t>
      </w:r>
      <w:r>
        <w:rPr>
          <w:rFonts w:ascii="Times New Roman" w:hAnsi="Times New Roman" w:eastAsia="Times New Roman" w:cs="Times New Roman"/>
          <w:i/>
          <w:iCs/>
          <w:color w:val="auto"/>
          <w:sz w:val="24"/>
          <w:szCs w:val="24"/>
        </w:rPr>
        <w:t>Techniques to Measure Food Safety and Quality</w:t>
      </w:r>
      <w:r>
        <w:rPr>
          <w:rFonts w:ascii="Times New Roman" w:hAnsi="Times New Roman" w:eastAsia="Times New Roman" w:cs="Times New Roman"/>
          <w:color w:val="auto"/>
          <w:sz w:val="24"/>
          <w:szCs w:val="24"/>
        </w:rPr>
        <w:t xml:space="preserve"> (pp. 11-29). Springer, Cham.</w:t>
      </w:r>
    </w:p>
    <w:p>
      <w:pPr>
        <w:spacing w:after="0" w:line="143" w:lineRule="exact"/>
        <w:rPr>
          <w:color w:val="auto"/>
          <w:sz w:val="20"/>
          <w:szCs w:val="20"/>
        </w:rPr>
      </w:pPr>
    </w:p>
    <w:p>
      <w:pPr>
        <w:spacing w:after="0" w:line="348" w:lineRule="auto"/>
        <w:ind w:left="720" w:right="940" w:hanging="719"/>
        <w:rPr>
          <w:color w:val="auto"/>
          <w:sz w:val="20"/>
          <w:szCs w:val="20"/>
        </w:rPr>
      </w:pPr>
      <w:r>
        <w:rPr>
          <w:rFonts w:ascii="Times New Roman" w:hAnsi="Times New Roman" w:eastAsia="Times New Roman" w:cs="Times New Roman"/>
          <w:color w:val="auto"/>
          <w:sz w:val="24"/>
          <w:szCs w:val="24"/>
        </w:rPr>
        <w:t xml:space="preserve">Odabasi, I. O., &amp; Bulbul, A. (2020). Neonatal sepsis. </w:t>
      </w:r>
      <w:r>
        <w:rPr>
          <w:rFonts w:ascii="Times New Roman" w:hAnsi="Times New Roman" w:eastAsia="Times New Roman" w:cs="Times New Roman"/>
          <w:i/>
          <w:iCs/>
          <w:color w:val="auto"/>
          <w:sz w:val="24"/>
          <w:szCs w:val="24"/>
        </w:rPr>
        <w:t>The Medical Bulletin of Sisli Etfal Hospital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54</w:t>
      </w:r>
      <w:r>
        <w:rPr>
          <w:rFonts w:ascii="Times New Roman" w:hAnsi="Times New Roman" w:eastAsia="Times New Roman" w:cs="Times New Roman"/>
          <w:color w:val="auto"/>
          <w:sz w:val="24"/>
          <w:szCs w:val="24"/>
        </w:rPr>
        <w:t>(2), 142.</w:t>
      </w:r>
    </w:p>
    <w:p>
      <w:pPr>
        <w:spacing w:after="0" w:line="148" w:lineRule="exact"/>
        <w:rPr>
          <w:color w:val="auto"/>
          <w:sz w:val="20"/>
          <w:szCs w:val="20"/>
        </w:rPr>
      </w:pPr>
    </w:p>
    <w:p>
      <w:pPr>
        <w:spacing w:after="0" w:line="373" w:lineRule="auto"/>
        <w:ind w:left="720" w:right="440" w:hanging="719"/>
        <w:rPr>
          <w:color w:val="auto"/>
          <w:sz w:val="20"/>
          <w:szCs w:val="20"/>
        </w:rPr>
      </w:pPr>
      <w:r>
        <w:rPr>
          <w:rFonts w:ascii="Times New Roman" w:hAnsi="Times New Roman" w:eastAsia="Times New Roman" w:cs="Times New Roman"/>
          <w:color w:val="auto"/>
          <w:sz w:val="23"/>
          <w:szCs w:val="23"/>
        </w:rPr>
        <w:t xml:space="preserve">Ogunrinola, G. A., Oyewale, J. O., Oshamika, O. O., &amp; Olasehinde, G. I. (2020). The human microbiome and its impacts on health. </w:t>
      </w:r>
      <w:r>
        <w:rPr>
          <w:rFonts w:ascii="Times New Roman" w:hAnsi="Times New Roman" w:eastAsia="Times New Roman" w:cs="Times New Roman"/>
          <w:i/>
          <w:iCs/>
          <w:color w:val="auto"/>
          <w:sz w:val="23"/>
          <w:szCs w:val="23"/>
        </w:rPr>
        <w:t>International Journal of Microbiology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2020</w:t>
      </w:r>
      <w:r>
        <w:rPr>
          <w:rFonts w:ascii="Times New Roman" w:hAnsi="Times New Roman" w:eastAsia="Times New Roman" w:cs="Times New Roman"/>
          <w:color w:val="auto"/>
          <w:sz w:val="23"/>
          <w:szCs w:val="23"/>
        </w:rPr>
        <w:t>.</w:t>
      </w:r>
    </w:p>
    <w:p>
      <w:pPr>
        <w:spacing w:after="0" w:line="126" w:lineRule="exact"/>
        <w:rPr>
          <w:color w:val="auto"/>
          <w:sz w:val="20"/>
          <w:szCs w:val="20"/>
        </w:rPr>
      </w:pPr>
    </w:p>
    <w:p>
      <w:pPr>
        <w:spacing w:after="0" w:line="373" w:lineRule="auto"/>
        <w:ind w:left="720" w:right="180" w:hanging="719"/>
        <w:rPr>
          <w:color w:val="auto"/>
          <w:sz w:val="20"/>
          <w:szCs w:val="20"/>
        </w:rPr>
      </w:pPr>
      <w:r>
        <w:rPr>
          <w:rFonts w:ascii="Times New Roman" w:hAnsi="Times New Roman" w:eastAsia="Times New Roman" w:cs="Times New Roman"/>
          <w:color w:val="auto"/>
          <w:sz w:val="23"/>
          <w:szCs w:val="23"/>
        </w:rPr>
        <w:t>Okposhi, U. S., Shuaibu, K. A., Aleruchi, C., Yusuf, F. A., &amp; Naja’atu, S. H. (2022). Antibiotic Resistance and Phynotypic Detection of AmpC Beta-Lactamase Producing Escherichia</w:t>
      </w:r>
    </w:p>
    <w:p>
      <w:pPr>
        <w:spacing w:after="0" w:line="39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6" w:name="page82"/>
      <w:bookmarkEnd w:id="76"/>
    </w:p>
    <w:p>
      <w:pPr>
        <w:spacing w:after="0" w:line="348" w:lineRule="auto"/>
        <w:ind w:left="720" w:right="60"/>
        <w:rPr>
          <w:color w:val="auto"/>
          <w:sz w:val="20"/>
          <w:szCs w:val="20"/>
        </w:rPr>
      </w:pPr>
      <w:r>
        <w:rPr>
          <w:rFonts w:ascii="Times New Roman" w:hAnsi="Times New Roman" w:eastAsia="Times New Roman" w:cs="Times New Roman"/>
          <w:color w:val="auto"/>
          <w:sz w:val="24"/>
          <w:szCs w:val="24"/>
        </w:rPr>
        <w:t xml:space="preserve">coli from Urine of Students Attending Fulafia Clinic. </w:t>
      </w:r>
      <w:r>
        <w:rPr>
          <w:rFonts w:ascii="Times New Roman" w:hAnsi="Times New Roman" w:eastAsia="Times New Roman" w:cs="Times New Roman"/>
          <w:i/>
          <w:iCs/>
          <w:color w:val="auto"/>
          <w:sz w:val="24"/>
          <w:szCs w:val="24"/>
        </w:rPr>
        <w:t>Open Access Library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(7), 1-10.</w:t>
      </w:r>
    </w:p>
    <w:p>
      <w:pPr>
        <w:spacing w:after="0" w:line="148" w:lineRule="exact"/>
        <w:rPr>
          <w:color w:val="auto"/>
          <w:sz w:val="20"/>
          <w:szCs w:val="20"/>
        </w:rPr>
      </w:pPr>
    </w:p>
    <w:p>
      <w:pPr>
        <w:spacing w:after="0" w:line="356" w:lineRule="auto"/>
        <w:ind w:left="720" w:right="180" w:hanging="719"/>
        <w:rPr>
          <w:color w:val="auto"/>
          <w:sz w:val="20"/>
          <w:szCs w:val="20"/>
        </w:rPr>
      </w:pPr>
      <w:r>
        <w:rPr>
          <w:rFonts w:ascii="Times New Roman" w:hAnsi="Times New Roman" w:eastAsia="Times New Roman" w:cs="Times New Roman"/>
          <w:color w:val="auto"/>
          <w:sz w:val="24"/>
          <w:szCs w:val="24"/>
        </w:rPr>
        <w:t xml:space="preserve">Oldendorff, F., Linnér, A., Finder, M., Eisenlauer, P., Kjellberg, M., Giske, C. G., &amp; Nordberg, V. (2022). Case Report: Fatal Outcome for a Preterm Newborn With Meningitis Caused by Extended-Spectrum β-Lactamase-Producing Escherichia coli Sequence Type 1193. </w:t>
      </w:r>
      <w:r>
        <w:rPr>
          <w:rFonts w:ascii="Times New Roman" w:hAnsi="Times New Roman" w:eastAsia="Times New Roman" w:cs="Times New Roman"/>
          <w:i/>
          <w:iCs/>
          <w:color w:val="auto"/>
          <w:sz w:val="24"/>
          <w:szCs w:val="24"/>
        </w:rPr>
        <w:t>Frontiers in 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Onyekuru, A. N., Ezea, C. P., &amp; Ihemezie, E. J. (2018). Assessment of the Structural Effects of Ebola Disease Outbreak on Bush Meat Enterprise in Nigeria: Implications on Biodiversity Conservation. </w:t>
      </w:r>
      <w:r>
        <w:rPr>
          <w:rFonts w:ascii="Times New Roman" w:hAnsi="Times New Roman" w:eastAsia="Times New Roman" w:cs="Times New Roman"/>
          <w:i/>
          <w:iCs/>
          <w:color w:val="auto"/>
          <w:sz w:val="24"/>
          <w:szCs w:val="24"/>
        </w:rPr>
        <w:t>JAERI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 1-13.</w:t>
      </w:r>
    </w:p>
    <w:p>
      <w:pPr>
        <w:spacing w:after="0" w:line="140" w:lineRule="exact"/>
        <w:rPr>
          <w:color w:val="auto"/>
          <w:sz w:val="20"/>
          <w:szCs w:val="20"/>
        </w:rPr>
      </w:pPr>
    </w:p>
    <w:p>
      <w:pPr>
        <w:spacing w:after="0" w:line="350" w:lineRule="auto"/>
        <w:ind w:left="720" w:right="280" w:hanging="719"/>
        <w:rPr>
          <w:color w:val="auto"/>
          <w:sz w:val="20"/>
          <w:szCs w:val="20"/>
        </w:rPr>
      </w:pPr>
      <w:r>
        <w:rPr>
          <w:rFonts w:ascii="Times New Roman" w:hAnsi="Times New Roman" w:eastAsia="Times New Roman" w:cs="Times New Roman"/>
          <w:color w:val="auto"/>
          <w:sz w:val="24"/>
          <w:szCs w:val="24"/>
        </w:rPr>
        <w:t xml:space="preserve">Otoo, E. A. (2019). </w:t>
      </w:r>
      <w:r>
        <w:rPr>
          <w:rFonts w:ascii="Times New Roman" w:hAnsi="Times New Roman" w:eastAsia="Times New Roman" w:cs="Times New Roman"/>
          <w:i/>
          <w:iCs/>
          <w:color w:val="auto"/>
          <w:sz w:val="24"/>
          <w:szCs w:val="24"/>
        </w:rPr>
        <w:t>Radiation Preservation of Smoked Guinea Fowl (Numida meleagris) Meat for Enhanced Shelf Life</w:t>
      </w:r>
      <w:r>
        <w:rPr>
          <w:rFonts w:ascii="Times New Roman" w:hAnsi="Times New Roman" w:eastAsia="Times New Roman" w:cs="Times New Roman"/>
          <w:color w:val="auto"/>
          <w:sz w:val="24"/>
          <w:szCs w:val="24"/>
        </w:rPr>
        <w:t xml:space="preserve"> (Doctoral dissertation, University of Ghana).</w:t>
      </w:r>
    </w:p>
    <w:p>
      <w:pPr>
        <w:spacing w:after="0" w:line="143" w:lineRule="exact"/>
        <w:rPr>
          <w:color w:val="auto"/>
          <w:sz w:val="20"/>
          <w:szCs w:val="20"/>
        </w:rPr>
      </w:pPr>
    </w:p>
    <w:p>
      <w:pPr>
        <w:spacing w:after="0" w:line="376" w:lineRule="auto"/>
        <w:ind w:left="720" w:right="380" w:hanging="719"/>
        <w:rPr>
          <w:color w:val="auto"/>
          <w:sz w:val="20"/>
          <w:szCs w:val="20"/>
        </w:rPr>
      </w:pPr>
      <w:r>
        <w:rPr>
          <w:rFonts w:ascii="Times New Roman" w:hAnsi="Times New Roman" w:eastAsia="Times New Roman" w:cs="Times New Roman"/>
          <w:color w:val="auto"/>
          <w:sz w:val="23"/>
          <w:szCs w:val="23"/>
        </w:rPr>
        <w:t xml:space="preserve">Pakbin, B., Brück, W. M., &amp; Rossen, J. W. (2021). Virulence factors of enteric pathogenic Escherichia coli: A review. </w:t>
      </w:r>
      <w:r>
        <w:rPr>
          <w:rFonts w:ascii="Times New Roman" w:hAnsi="Times New Roman" w:eastAsia="Times New Roman" w:cs="Times New Roman"/>
          <w:i/>
          <w:iCs/>
          <w:color w:val="auto"/>
          <w:sz w:val="23"/>
          <w:szCs w:val="23"/>
        </w:rPr>
        <w:t>International journal of molecular sciences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22</w:t>
      </w:r>
      <w:r>
        <w:rPr>
          <w:rFonts w:ascii="Times New Roman" w:hAnsi="Times New Roman" w:eastAsia="Times New Roman" w:cs="Times New Roman"/>
          <w:color w:val="auto"/>
          <w:sz w:val="23"/>
          <w:szCs w:val="23"/>
        </w:rPr>
        <w:t>(18), 9922.</w:t>
      </w:r>
    </w:p>
    <w:p>
      <w:pPr>
        <w:spacing w:after="0" w:line="1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Panel, E. B., Koutsoumanis, K., Allende, A., Alvarez-Ordónez, A., Bover-Cid, S., Chemaly, M.,</w:t>
      </w:r>
    </w:p>
    <w:p>
      <w:pPr>
        <w:spacing w:after="0" w:line="151" w:lineRule="exact"/>
        <w:rPr>
          <w:color w:val="auto"/>
          <w:sz w:val="20"/>
          <w:szCs w:val="20"/>
        </w:rPr>
      </w:pPr>
    </w:p>
    <w:p>
      <w:pPr>
        <w:spacing w:after="0" w:line="354" w:lineRule="auto"/>
        <w:ind w:left="720" w:right="60"/>
        <w:rPr>
          <w:color w:val="auto"/>
          <w:sz w:val="20"/>
          <w:szCs w:val="20"/>
        </w:rPr>
      </w:pPr>
      <w:r>
        <w:rPr>
          <w:rFonts w:ascii="Times New Roman" w:hAnsi="Times New Roman" w:eastAsia="Times New Roman" w:cs="Times New Roman"/>
          <w:color w:val="auto"/>
          <w:sz w:val="24"/>
          <w:szCs w:val="24"/>
        </w:rPr>
        <w:t xml:space="preserve">...&amp; Bolton, D. (2020). Pathogenicity assessment of Shiga toxin-producing Escherichia coli (STEC) and the public health risk posed by contamination of food with STEC. </w:t>
      </w:r>
      <w:r>
        <w:rPr>
          <w:rFonts w:ascii="Times New Roman" w:hAnsi="Times New Roman" w:eastAsia="Times New Roman" w:cs="Times New Roman"/>
          <w:i/>
          <w:iCs/>
          <w:color w:val="auto"/>
          <w:sz w:val="24"/>
          <w:szCs w:val="24"/>
        </w:rPr>
        <w:t>EFSA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(1), e05967.</w:t>
      </w:r>
    </w:p>
    <w:p>
      <w:pPr>
        <w:spacing w:after="0" w:line="12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Park, D. W., Lim, G. Y., Lee, Y. D., &amp; Park, J. H. (2020). Characteristics of lytic phage</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vB_EcoM-ECP26 and reduction of shiga-toxin producing Escherichia coli on produce</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romaine. </w:t>
      </w:r>
      <w:r>
        <w:rPr>
          <w:rFonts w:ascii="Times New Roman" w:hAnsi="Times New Roman" w:eastAsia="Times New Roman" w:cs="Times New Roman"/>
          <w:i/>
          <w:iCs/>
          <w:color w:val="auto"/>
          <w:sz w:val="24"/>
          <w:szCs w:val="24"/>
        </w:rPr>
        <w:t>Applied Biological Chemistry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63</w:t>
      </w:r>
      <w:r>
        <w:rPr>
          <w:rFonts w:ascii="Times New Roman" w:hAnsi="Times New Roman" w:eastAsia="Times New Roman" w:cs="Times New Roman"/>
          <w:color w:val="auto"/>
          <w:sz w:val="24"/>
          <w:szCs w:val="24"/>
        </w:rPr>
        <w:t>(1), 1-9.</w:t>
      </w:r>
    </w:p>
    <w:p>
      <w:pPr>
        <w:spacing w:after="0" w:line="271" w:lineRule="exact"/>
        <w:rPr>
          <w:color w:val="auto"/>
          <w:sz w:val="20"/>
          <w:szCs w:val="20"/>
        </w:rPr>
      </w:pPr>
    </w:p>
    <w:p>
      <w:pPr>
        <w:spacing w:after="0" w:line="354" w:lineRule="auto"/>
        <w:ind w:left="720" w:right="220" w:hanging="719"/>
        <w:jc w:val="both"/>
        <w:rPr>
          <w:color w:val="auto"/>
          <w:sz w:val="20"/>
          <w:szCs w:val="20"/>
        </w:rPr>
      </w:pPr>
      <w:r>
        <w:rPr>
          <w:rFonts w:ascii="Times New Roman" w:hAnsi="Times New Roman" w:eastAsia="Times New Roman" w:cs="Times New Roman"/>
          <w:color w:val="auto"/>
          <w:sz w:val="24"/>
          <w:szCs w:val="24"/>
        </w:rPr>
        <w:t xml:space="preserve">Patterson, L., Navarro-Gonzalez, N., Jay-Russell, M. T., Aminabadi, P., &amp; Pires, A. F. (2022). Risk factors of Shiga toxin-producing Escherichia coli in livestock raised on diversified small-scale farms in California. </w:t>
      </w:r>
      <w:r>
        <w:rPr>
          <w:rFonts w:ascii="Times New Roman" w:hAnsi="Times New Roman" w:eastAsia="Times New Roman" w:cs="Times New Roman"/>
          <w:i/>
          <w:iCs/>
          <w:color w:val="auto"/>
          <w:sz w:val="24"/>
          <w:szCs w:val="24"/>
        </w:rPr>
        <w:t>Epidemiology &amp; 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150</w:t>
      </w:r>
      <w:r>
        <w:rPr>
          <w:rFonts w:ascii="Times New Roman" w:hAnsi="Times New Roman" w:eastAsia="Times New Roman" w:cs="Times New Roman"/>
          <w:color w:val="auto"/>
          <w:sz w:val="24"/>
          <w:szCs w:val="24"/>
        </w:rPr>
        <w:t>.</w:t>
      </w:r>
    </w:p>
    <w:p>
      <w:pPr>
        <w:spacing w:after="0" w:line="128"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Petro, C. D., Duncan, J. K., Seldina, Y. I., Allué-Guardia, A., Eppinger, M., Riddle, M. S., ... &amp;</w:t>
      </w:r>
    </w:p>
    <w:p>
      <w:pPr>
        <w:spacing w:after="0" w:line="151" w:lineRule="exact"/>
        <w:rPr>
          <w:color w:val="auto"/>
          <w:sz w:val="20"/>
          <w:szCs w:val="20"/>
        </w:rPr>
      </w:pPr>
    </w:p>
    <w:p>
      <w:pPr>
        <w:spacing w:after="0" w:line="354" w:lineRule="auto"/>
        <w:ind w:left="720" w:right="940"/>
        <w:jc w:val="both"/>
        <w:rPr>
          <w:color w:val="auto"/>
          <w:sz w:val="20"/>
          <w:szCs w:val="20"/>
        </w:rPr>
      </w:pPr>
      <w:r>
        <w:rPr>
          <w:rFonts w:ascii="Times New Roman" w:hAnsi="Times New Roman" w:eastAsia="Times New Roman" w:cs="Times New Roman"/>
          <w:color w:val="auto"/>
          <w:sz w:val="24"/>
          <w:szCs w:val="24"/>
        </w:rPr>
        <w:t xml:space="preserve">Melton-Celsa, A. R. (2020). Genetic and virulence profiles of enteroaggregative Escherichia coli (EAEC) isolated from deployed military personnel (DMP) with Travelers' Diarrhea.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7" w:name="page83"/>
      <w:bookmarkEnd w:id="77"/>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Pinto, G., Sampaio, M., Dias, O., Almeida, C., Azeredo, J., &amp; Oliveira, H. (2021). Insights into the genome architecture and evolution of Shiga toxin encoding bacteriophages of Escherichia coli. </w:t>
      </w:r>
      <w:r>
        <w:rPr>
          <w:rFonts w:ascii="Times New Roman" w:hAnsi="Times New Roman" w:eastAsia="Times New Roman" w:cs="Times New Roman"/>
          <w:i/>
          <w:iCs/>
          <w:color w:val="auto"/>
          <w:sz w:val="24"/>
          <w:szCs w:val="24"/>
        </w:rPr>
        <w:t>BMC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(1), 1-13.</w:t>
      </w:r>
    </w:p>
    <w:p>
      <w:pPr>
        <w:spacing w:after="0" w:line="140" w:lineRule="exact"/>
        <w:rPr>
          <w:color w:val="auto"/>
          <w:sz w:val="20"/>
          <w:szCs w:val="20"/>
        </w:rPr>
      </w:pPr>
    </w:p>
    <w:p>
      <w:pPr>
        <w:spacing w:after="0" w:line="354" w:lineRule="auto"/>
        <w:ind w:left="720" w:right="140" w:hanging="719"/>
        <w:rPr>
          <w:color w:val="auto"/>
          <w:sz w:val="20"/>
          <w:szCs w:val="20"/>
        </w:rPr>
      </w:pPr>
      <w:r>
        <w:rPr>
          <w:rFonts w:ascii="Times New Roman" w:hAnsi="Times New Roman" w:eastAsia="Times New Roman" w:cs="Times New Roman"/>
          <w:color w:val="auto"/>
          <w:sz w:val="24"/>
          <w:szCs w:val="24"/>
        </w:rPr>
        <w:t>Porter, C. K., Talaat, K. R., Isidean, S. D., Kardinaal, A., Chakraborty, S., Gutiérrez, R. L., ... &amp; Bourgeois, A. L. (2021). The Controlled Human Infection Model for Enterotoxigenic Escherichia coli.</w:t>
      </w:r>
    </w:p>
    <w:p>
      <w:pPr>
        <w:spacing w:after="0" w:line="142"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Pradhan, A. K., Pang, H., &amp; Mishra, A. (2019). Foodborne disease outbreaks associated with organic foods: animal and plant products. In </w:t>
      </w:r>
      <w:r>
        <w:rPr>
          <w:rFonts w:ascii="Times New Roman" w:hAnsi="Times New Roman" w:eastAsia="Times New Roman" w:cs="Times New Roman"/>
          <w:i/>
          <w:iCs/>
          <w:color w:val="auto"/>
          <w:sz w:val="24"/>
          <w:szCs w:val="24"/>
        </w:rPr>
        <w:t>Safety and Practice for Organic Food</w:t>
      </w:r>
      <w:r>
        <w:rPr>
          <w:rFonts w:ascii="Times New Roman" w:hAnsi="Times New Roman" w:eastAsia="Times New Roman" w:cs="Times New Roman"/>
          <w:color w:val="auto"/>
          <w:sz w:val="24"/>
          <w:szCs w:val="24"/>
        </w:rPr>
        <w:t xml:space="preserve"> (pp. 135-150). Academic Press.</w:t>
      </w:r>
    </w:p>
    <w:p>
      <w:pPr>
        <w:spacing w:after="0" w:line="140"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Puopolo, K. M., Benitz, W. E., Zaoutis, T. E., Cummings, J., Juul, S., Hand, I., ...&amp; COMMITTEE ON INFECTIOUS DISEASES. (2018). Management of neonates born at≤ 34 6/7 weeks’ gestation with suspected or proven early-onset bacterial</w:t>
      </w:r>
    </w:p>
    <w:p>
      <w:pPr>
        <w:spacing w:after="0" w:line="1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sepsis. </w:t>
      </w:r>
      <w:r>
        <w:rPr>
          <w:rFonts w:ascii="Times New Roman" w:hAnsi="Times New Roman" w:eastAsia="Times New Roman" w:cs="Times New Roman"/>
          <w:i/>
          <w:iCs/>
          <w:color w:val="auto"/>
          <w:sz w:val="24"/>
          <w:szCs w:val="24"/>
        </w:rPr>
        <w:t>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142</w:t>
      </w:r>
      <w:r>
        <w:rPr>
          <w:rFonts w:ascii="Times New Roman" w:hAnsi="Times New Roman" w:eastAsia="Times New Roman" w:cs="Times New Roman"/>
          <w:color w:val="auto"/>
          <w:sz w:val="24"/>
          <w:szCs w:val="24"/>
        </w:rPr>
        <w:t>(6).</w:t>
      </w:r>
    </w:p>
    <w:p>
      <w:pPr>
        <w:spacing w:after="0" w:line="269"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Puopolo, K. M., Benitz, W. E., Zaoutis, T. E., Cummings, J., Juul, S., Hand, I., ...&amp; COMMITTEE ON INFECTIOUS DISEASES. (2018). Management of neonates born at≤ 34 6/7 weeks’ gestation with suspected or proven early-onset bacterial</w:t>
      </w:r>
    </w:p>
    <w:p>
      <w:pPr>
        <w:spacing w:after="0" w:line="1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sepsis. </w:t>
      </w:r>
      <w:r>
        <w:rPr>
          <w:rFonts w:ascii="Times New Roman" w:hAnsi="Times New Roman" w:eastAsia="Times New Roman" w:cs="Times New Roman"/>
          <w:i/>
          <w:iCs/>
          <w:color w:val="auto"/>
          <w:sz w:val="24"/>
          <w:szCs w:val="24"/>
        </w:rPr>
        <w:t>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142</w:t>
      </w:r>
      <w:r>
        <w:rPr>
          <w:rFonts w:ascii="Times New Roman" w:hAnsi="Times New Roman" w:eastAsia="Times New Roman" w:cs="Times New Roman"/>
          <w:color w:val="auto"/>
          <w:sz w:val="24"/>
          <w:szCs w:val="24"/>
        </w:rPr>
        <w:t>(6).</w:t>
      </w:r>
    </w:p>
    <w:p>
      <w:pPr>
        <w:spacing w:after="0" w:line="269" w:lineRule="exact"/>
        <w:rPr>
          <w:color w:val="auto"/>
          <w:sz w:val="20"/>
          <w:szCs w:val="20"/>
        </w:rPr>
      </w:pPr>
    </w:p>
    <w:p>
      <w:pPr>
        <w:spacing w:after="0" w:line="350" w:lineRule="auto"/>
        <w:ind w:left="720" w:right="340" w:hanging="719"/>
        <w:rPr>
          <w:color w:val="auto"/>
          <w:sz w:val="20"/>
          <w:szCs w:val="20"/>
        </w:rPr>
      </w:pPr>
      <w:r>
        <w:rPr>
          <w:rFonts w:ascii="Times New Roman" w:hAnsi="Times New Roman" w:eastAsia="Times New Roman" w:cs="Times New Roman"/>
          <w:color w:val="auto"/>
          <w:sz w:val="24"/>
          <w:szCs w:val="24"/>
        </w:rPr>
        <w:t xml:space="preserve">Puvača, N., &amp; de Llanos Frutos, R. (2021). Antimicrobial resistance in escherichia coli strains isolated from humans and Pet animals.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(1), 69.</w:t>
      </w:r>
    </w:p>
    <w:p>
      <w:pPr>
        <w:spacing w:after="0" w:line="143" w:lineRule="exact"/>
        <w:rPr>
          <w:color w:val="auto"/>
          <w:sz w:val="20"/>
          <w:szCs w:val="20"/>
        </w:rPr>
      </w:pPr>
    </w:p>
    <w:p>
      <w:pPr>
        <w:spacing w:after="0" w:line="350" w:lineRule="auto"/>
        <w:ind w:left="720" w:right="400" w:hanging="719"/>
        <w:rPr>
          <w:color w:val="auto"/>
          <w:sz w:val="20"/>
          <w:szCs w:val="20"/>
        </w:rPr>
      </w:pPr>
      <w:r>
        <w:rPr>
          <w:rFonts w:ascii="Times New Roman" w:hAnsi="Times New Roman" w:eastAsia="Times New Roman" w:cs="Times New Roman"/>
          <w:color w:val="auto"/>
          <w:sz w:val="24"/>
          <w:szCs w:val="24"/>
        </w:rPr>
        <w:t xml:space="preserve">Rahim, M. (2019). </w:t>
      </w:r>
      <w:r>
        <w:rPr>
          <w:rFonts w:ascii="Times New Roman" w:hAnsi="Times New Roman" w:eastAsia="Times New Roman" w:cs="Times New Roman"/>
          <w:i/>
          <w:iCs/>
          <w:color w:val="auto"/>
          <w:sz w:val="24"/>
          <w:szCs w:val="24"/>
        </w:rPr>
        <w:t>Antimicrobial activity and bio-potency of homoeopathy medicines against enteric pathogens</w:t>
      </w:r>
      <w:r>
        <w:rPr>
          <w:rFonts w:ascii="Times New Roman" w:hAnsi="Times New Roman" w:eastAsia="Times New Roman" w:cs="Times New Roman"/>
          <w:color w:val="auto"/>
          <w:sz w:val="24"/>
          <w:szCs w:val="24"/>
        </w:rPr>
        <w:t xml:space="preserve"> (Doctoral dissertation, University of Dhaka).</w:t>
      </w:r>
    </w:p>
    <w:p>
      <w:pPr>
        <w:spacing w:after="0" w:line="1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Rahman, M., Sobur, M., Islam, M., Ievy, S., Hossain, M., El Zowalaty, M. E., ...&amp; Ashour, H.</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 (2020). Zoonotic diseases: etiology, impact, and control.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(9), 1405.</w:t>
      </w:r>
    </w:p>
    <w:p>
      <w:pPr>
        <w:spacing w:after="0" w:line="270" w:lineRule="exact"/>
        <w:rPr>
          <w:color w:val="auto"/>
          <w:sz w:val="20"/>
          <w:szCs w:val="20"/>
        </w:rPr>
      </w:pPr>
    </w:p>
    <w:p>
      <w:pPr>
        <w:spacing w:after="0" w:line="356" w:lineRule="auto"/>
        <w:ind w:left="720" w:right="500" w:hanging="719"/>
        <w:rPr>
          <w:color w:val="auto"/>
          <w:sz w:val="20"/>
          <w:szCs w:val="20"/>
        </w:rPr>
      </w:pPr>
      <w:r>
        <w:rPr>
          <w:rFonts w:ascii="Times New Roman" w:hAnsi="Times New Roman" w:eastAsia="Times New Roman" w:cs="Times New Roman"/>
          <w:color w:val="auto"/>
          <w:sz w:val="24"/>
          <w:szCs w:val="24"/>
        </w:rPr>
        <w:t xml:space="preserve">Ramos, T. M., Jay-Russell, M. T., Millner, P. D., Shade, J., Misiewicz, T., Sorge, U. S., ...&amp; Pires, A. F. (2019). Assessment of biological soil amendments of animal origin use, research needs, and extension opportunities in organic production. </w:t>
      </w:r>
      <w:r>
        <w:rPr>
          <w:rFonts w:ascii="Times New Roman" w:hAnsi="Times New Roman" w:eastAsia="Times New Roman" w:cs="Times New Roman"/>
          <w:i/>
          <w:iCs/>
          <w:color w:val="auto"/>
          <w:sz w:val="24"/>
          <w:szCs w:val="24"/>
        </w:rPr>
        <w:t>Frontiers in Sustainable Food Systems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 73.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72</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8" w:name="page84"/>
      <w:bookmarkEnd w:id="78"/>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Rani, A., Ravindran, V. B., Surapaneni, A., Mantri, N., &amp; Ball, A. S. (2021). Trends in point-of-care diagnosis for Escherichia coli O157: H7 in food and water.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349</w:t>
      </w:r>
      <w:r>
        <w:rPr>
          <w:rFonts w:ascii="Times New Roman" w:hAnsi="Times New Roman" w:eastAsia="Times New Roman" w:cs="Times New Roman"/>
          <w:color w:val="auto"/>
          <w:sz w:val="24"/>
          <w:szCs w:val="24"/>
        </w:rPr>
        <w:t>, 109233.</w:t>
      </w:r>
    </w:p>
    <w:p>
      <w:pPr>
        <w:spacing w:after="0" w:line="140" w:lineRule="exact"/>
        <w:rPr>
          <w:color w:val="auto"/>
          <w:sz w:val="20"/>
          <w:szCs w:val="20"/>
        </w:rPr>
      </w:pPr>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Rani, A., Ravindran, V. B., Surapaneni, A., Mantri, N., &amp; Ball, A. S. (2021). Trends in point-of-care diagnosis for Escherichia coli O157: H7 in food and water.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349</w:t>
      </w:r>
      <w:r>
        <w:rPr>
          <w:rFonts w:ascii="Times New Roman" w:hAnsi="Times New Roman" w:eastAsia="Times New Roman" w:cs="Times New Roman"/>
          <w:color w:val="auto"/>
          <w:sz w:val="24"/>
          <w:szCs w:val="24"/>
        </w:rPr>
        <w:t>, 109233.</w:t>
      </w:r>
    </w:p>
    <w:p>
      <w:pPr>
        <w:spacing w:after="0" w:line="142" w:lineRule="exact"/>
        <w:rPr>
          <w:color w:val="auto"/>
          <w:sz w:val="20"/>
          <w:szCs w:val="20"/>
        </w:rPr>
      </w:pPr>
    </w:p>
    <w:p>
      <w:pPr>
        <w:spacing w:after="0" w:line="348" w:lineRule="auto"/>
        <w:ind w:left="720" w:right="900" w:hanging="719"/>
        <w:rPr>
          <w:color w:val="auto"/>
          <w:sz w:val="20"/>
          <w:szCs w:val="20"/>
        </w:rPr>
      </w:pPr>
      <w:r>
        <w:rPr>
          <w:rFonts w:ascii="Times New Roman" w:hAnsi="Times New Roman" w:eastAsia="Times New Roman" w:cs="Times New Roman"/>
          <w:color w:val="auto"/>
          <w:sz w:val="24"/>
          <w:szCs w:val="24"/>
        </w:rPr>
        <w:t>Raso, M. M. (2021). Characterization and immunogenicity of O-Antigen based Shigella Generalized Modules for Membrane Antigens vaccines.</w:t>
      </w:r>
    </w:p>
    <w:p>
      <w:pPr>
        <w:spacing w:after="0" w:line="148"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Rasool, R., Fayaz, A., ul Shafiq, M., Singh, H., &amp; Ahmed, P. (2021). Land use land cover change in Kashmir Himalaya: Linking remote sensing with an indicator based DPSIR approach. </w:t>
      </w:r>
      <w:r>
        <w:rPr>
          <w:rFonts w:ascii="Times New Roman" w:hAnsi="Times New Roman" w:eastAsia="Times New Roman" w:cs="Times New Roman"/>
          <w:i/>
          <w:iCs/>
          <w:color w:val="auto"/>
          <w:sz w:val="24"/>
          <w:szCs w:val="24"/>
        </w:rPr>
        <w:t>Ecological Indicators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125</w:t>
      </w:r>
      <w:r>
        <w:rPr>
          <w:rFonts w:ascii="Times New Roman" w:hAnsi="Times New Roman" w:eastAsia="Times New Roman" w:cs="Times New Roman"/>
          <w:color w:val="auto"/>
          <w:sz w:val="24"/>
          <w:szCs w:val="24"/>
        </w:rPr>
        <w:t>, 107447.</w:t>
      </w:r>
    </w:p>
    <w:p>
      <w:pPr>
        <w:spacing w:after="0" w:line="140"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Rasschaert, G., De Zutter, L., Herman, L., &amp; Heyndrickx, M. (2020). Campylobacter contamination of broilers: The role of transport and slaughterhouse.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322</w:t>
      </w:r>
      <w:r>
        <w:rPr>
          <w:rFonts w:ascii="Times New Roman" w:hAnsi="Times New Roman" w:eastAsia="Times New Roman" w:cs="Times New Roman"/>
          <w:color w:val="auto"/>
          <w:sz w:val="24"/>
          <w:szCs w:val="24"/>
        </w:rPr>
        <w:t>, 108564.</w:t>
      </w:r>
    </w:p>
    <w:p>
      <w:pPr>
        <w:spacing w:after="0" w:line="142"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Riggio, G. M., Wang, Q., Kniel, K. E., &amp; Gibson, K. E. (2019). Microgreens—A review of food safety considerations along the farm to fork continuum.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290</w:t>
      </w:r>
      <w:r>
        <w:rPr>
          <w:rFonts w:ascii="Times New Roman" w:hAnsi="Times New Roman" w:eastAsia="Times New Roman" w:cs="Times New Roman"/>
          <w:color w:val="auto"/>
          <w:sz w:val="24"/>
          <w:szCs w:val="24"/>
        </w:rPr>
        <w:t>, 76-85.</w:t>
      </w:r>
    </w:p>
    <w:p>
      <w:pPr>
        <w:spacing w:after="0" w:line="140" w:lineRule="exact"/>
        <w:rPr>
          <w:color w:val="auto"/>
          <w:sz w:val="20"/>
          <w:szCs w:val="20"/>
        </w:rPr>
      </w:pPr>
    </w:p>
    <w:p>
      <w:pPr>
        <w:spacing w:after="0" w:line="350" w:lineRule="auto"/>
        <w:ind w:left="720" w:right="1820" w:hanging="719"/>
        <w:rPr>
          <w:color w:val="auto"/>
          <w:sz w:val="20"/>
          <w:szCs w:val="20"/>
        </w:rPr>
      </w:pPr>
      <w:r>
        <w:rPr>
          <w:rFonts w:ascii="Times New Roman" w:hAnsi="Times New Roman" w:eastAsia="Times New Roman" w:cs="Times New Roman"/>
          <w:color w:val="auto"/>
          <w:sz w:val="24"/>
          <w:szCs w:val="24"/>
        </w:rPr>
        <w:t xml:space="preserve">Riley, L. W. (2020). Distinguishing pathovars from nonpathovars: Escherichia coli.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(4), 8-4.</w:t>
      </w:r>
    </w:p>
    <w:p>
      <w:pPr>
        <w:spacing w:after="0" w:line="143" w:lineRule="exact"/>
        <w:rPr>
          <w:color w:val="auto"/>
          <w:sz w:val="20"/>
          <w:szCs w:val="20"/>
        </w:rPr>
      </w:pPr>
    </w:p>
    <w:p>
      <w:pPr>
        <w:spacing w:after="0" w:line="350" w:lineRule="auto"/>
        <w:ind w:left="720" w:right="1820" w:hanging="719"/>
        <w:rPr>
          <w:color w:val="auto"/>
          <w:sz w:val="20"/>
          <w:szCs w:val="20"/>
        </w:rPr>
      </w:pPr>
      <w:r>
        <w:rPr>
          <w:rFonts w:ascii="Times New Roman" w:hAnsi="Times New Roman" w:eastAsia="Times New Roman" w:cs="Times New Roman"/>
          <w:color w:val="auto"/>
          <w:sz w:val="24"/>
          <w:szCs w:val="24"/>
        </w:rPr>
        <w:t xml:space="preserve">Riley, L. W. (2020). Distinguishing pathovars from nonpathovars: Escherichia coli.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(4), 8-4.</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Rogler, G., Singh, A., Kavanaugh, A., &amp; Rubin, D. T. (2021). Extraintestinal manifestations of inflammatory bowel disease: current concepts, treatment, and implications for disease management. </w:t>
      </w:r>
      <w:r>
        <w:rPr>
          <w:rFonts w:ascii="Times New Roman" w:hAnsi="Times New Roman" w:eastAsia="Times New Roman" w:cs="Times New Roman"/>
          <w:i/>
          <w:iCs/>
          <w:color w:val="auto"/>
          <w:sz w:val="24"/>
          <w:szCs w:val="24"/>
        </w:rPr>
        <w:t>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161</w:t>
      </w:r>
      <w:r>
        <w:rPr>
          <w:rFonts w:ascii="Times New Roman" w:hAnsi="Times New Roman" w:eastAsia="Times New Roman" w:cs="Times New Roman"/>
          <w:color w:val="auto"/>
          <w:sz w:val="24"/>
          <w:szCs w:val="24"/>
        </w:rPr>
        <w:t>(4), 1118-1132.</w:t>
      </w:r>
    </w:p>
    <w:p>
      <w:pPr>
        <w:spacing w:after="0" w:line="143"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Rossi, E., Leccese, G., Baldelli, V., Bibi, A., Scalone, E., Camilloni, C., ...&amp; Landini, P. (2022). Inactivation of the Pyrimidine Biosynthesis pyrD Gene Negatively Affects Biofilm Formation and Virulence Determinants in the Crohn’s Disease-Associated Adherent Invasive Escherichia coli LF82 Strain.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(3), 537.</w:t>
      </w:r>
    </w:p>
    <w:p>
      <w:pPr>
        <w:spacing w:after="0" w:line="200" w:lineRule="exact"/>
        <w:rPr>
          <w:color w:val="auto"/>
          <w:sz w:val="20"/>
          <w:szCs w:val="20"/>
        </w:rPr>
      </w:pPr>
    </w:p>
    <w:p>
      <w:pPr>
        <w:spacing w:after="0" w:line="32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73</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9" w:name="page85"/>
      <w:bookmarkEnd w:id="79"/>
    </w:p>
    <w:p>
      <w:pPr>
        <w:spacing w:after="0" w:line="356" w:lineRule="auto"/>
        <w:ind w:left="720" w:right="240" w:hanging="719"/>
        <w:rPr>
          <w:color w:val="auto"/>
          <w:sz w:val="20"/>
          <w:szCs w:val="20"/>
        </w:rPr>
      </w:pPr>
      <w:r>
        <w:rPr>
          <w:rFonts w:ascii="Times New Roman" w:hAnsi="Times New Roman" w:eastAsia="Times New Roman" w:cs="Times New Roman"/>
          <w:color w:val="auto"/>
          <w:sz w:val="24"/>
          <w:szCs w:val="24"/>
        </w:rPr>
        <w:t xml:space="preserve">Roussel, C., Chabaud, S., Lessard-Lord, J., Cattero, V., Pellerin, F. A., Feutry, P., ...&amp; Desjardins, Y. (2022). UPEC Colonic-Virulence and Urovirulence Are Blunted by Proanthocyanidins-Rich Cranberry Extract Microbial Metabolites in a Gut Model and a 3D Tissue-Engineered Urothelium.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e02432-21.</w:t>
      </w:r>
    </w:p>
    <w:p>
      <w:pPr>
        <w:spacing w:after="0" w:line="139" w:lineRule="exact"/>
        <w:rPr>
          <w:color w:val="auto"/>
          <w:sz w:val="20"/>
          <w:szCs w:val="20"/>
        </w:rPr>
      </w:pPr>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SADIQ, A. O. (2020). DETECTION OF SALMONELLA SPP AND PATHOGENIC E. COLI IN THE STREET VENDED FRESH BEEF AND OFFALS.</w:t>
      </w:r>
    </w:p>
    <w:p>
      <w:pPr>
        <w:spacing w:after="0" w:line="148"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0"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2"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0"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Saylors, K. E., Mouiche, M. M., Lucas, A., McIver, D. J., Matsida, A., Clary, C., ...&amp; Tamoufe, U. (2021). Market characteristics and zoonotic disease risk perception in Cameroon bushmeat markets. </w:t>
      </w:r>
      <w:r>
        <w:rPr>
          <w:rFonts w:ascii="Times New Roman" w:hAnsi="Times New Roman" w:eastAsia="Times New Roman" w:cs="Times New Roman"/>
          <w:i/>
          <w:iCs/>
          <w:color w:val="auto"/>
          <w:sz w:val="24"/>
          <w:szCs w:val="24"/>
        </w:rPr>
        <w:t>Social Science &amp;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268</w:t>
      </w:r>
      <w:r>
        <w:rPr>
          <w:rFonts w:ascii="Times New Roman" w:hAnsi="Times New Roman" w:eastAsia="Times New Roman" w:cs="Times New Roman"/>
          <w:color w:val="auto"/>
          <w:sz w:val="24"/>
          <w:szCs w:val="24"/>
        </w:rPr>
        <w:t>, 113358.</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Schiller, P., Knödler, M., Berger, P., Greune, L., Fruth, A., Mellmann, A., ...&amp; Dobrindt, U. (2021). The superior adherence phenotype of E. coli O104: H4 is directly mediated by the aggregative adherence fimbriae type I. </w:t>
      </w:r>
      <w:r>
        <w:rPr>
          <w:rFonts w:ascii="Times New Roman" w:hAnsi="Times New Roman" w:eastAsia="Times New Roman" w:cs="Times New Roman"/>
          <w:i/>
          <w:iCs/>
          <w:color w:val="auto"/>
          <w:sz w:val="24"/>
          <w:szCs w:val="24"/>
        </w:rPr>
        <w:t>Virulence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(1), 346-359.</w:t>
      </w:r>
    </w:p>
    <w:p>
      <w:pPr>
        <w:spacing w:after="0" w:line="140"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Schuetz, A. N. (2019, May). Emerging agents of gastroenteritis: Aeromonas, Plesiomonas, and the diarrheagenic pathotypes of Escherichia coli. In </w:t>
      </w:r>
      <w:r>
        <w:rPr>
          <w:rFonts w:ascii="Times New Roman" w:hAnsi="Times New Roman" w:eastAsia="Times New Roman" w:cs="Times New Roman"/>
          <w:i/>
          <w:iCs/>
          <w:color w:val="auto"/>
          <w:sz w:val="24"/>
          <w:szCs w:val="24"/>
        </w:rPr>
        <w:t>Seminars in Diagnostic Pathology</w:t>
      </w:r>
      <w:r>
        <w:rPr>
          <w:rFonts w:ascii="Times New Roman" w:hAnsi="Times New Roman" w:eastAsia="Times New Roman" w:cs="Times New Roman"/>
          <w:color w:val="auto"/>
          <w:sz w:val="24"/>
          <w:szCs w:val="24"/>
        </w:rPr>
        <w:t xml:space="preserve"> (Vol. 36, No. 3, pp. 187-192). WB Saunders.</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Schuetz, A. N. (2019, May). Emerging agents of gastroenteritis: Aeromonas, Plesiomonas, and the diarrheagenic pathotypes of Escherichia coli. In </w:t>
      </w:r>
      <w:r>
        <w:rPr>
          <w:rFonts w:ascii="Times New Roman" w:hAnsi="Times New Roman" w:eastAsia="Times New Roman" w:cs="Times New Roman"/>
          <w:i/>
          <w:iCs/>
          <w:color w:val="auto"/>
          <w:sz w:val="24"/>
          <w:szCs w:val="24"/>
        </w:rPr>
        <w:t>Seminars in Diagnostic Pathology</w:t>
      </w:r>
      <w:r>
        <w:rPr>
          <w:rFonts w:ascii="Times New Roman" w:hAnsi="Times New Roman" w:eastAsia="Times New Roman" w:cs="Times New Roman"/>
          <w:color w:val="auto"/>
          <w:sz w:val="24"/>
          <w:szCs w:val="24"/>
        </w:rPr>
        <w:t xml:space="preserve"> (Vol. 36, No. 3, pp. 187-192). WB Saunders.</w:t>
      </w:r>
    </w:p>
    <w:p>
      <w:pPr>
        <w:spacing w:after="0" w:line="140" w:lineRule="exact"/>
        <w:rPr>
          <w:color w:val="auto"/>
          <w:sz w:val="20"/>
          <w:szCs w:val="20"/>
        </w:rPr>
      </w:pPr>
    </w:p>
    <w:p>
      <w:pPr>
        <w:spacing w:after="0" w:line="350" w:lineRule="auto"/>
        <w:ind w:left="720" w:right="1000" w:hanging="719"/>
        <w:rPr>
          <w:color w:val="auto"/>
          <w:sz w:val="20"/>
          <w:szCs w:val="20"/>
        </w:rPr>
      </w:pPr>
      <w:r>
        <w:rPr>
          <w:rFonts w:ascii="Times New Roman" w:hAnsi="Times New Roman" w:eastAsia="Times New Roman" w:cs="Times New Roman"/>
          <w:color w:val="auto"/>
          <w:sz w:val="24"/>
          <w:szCs w:val="24"/>
        </w:rPr>
        <w:t xml:space="preserve">Schweon, S. J., &amp; Vitale, L. J. (2020). Zoonoses: Preventing disease transmission from animals. </w:t>
      </w:r>
      <w:r>
        <w:rPr>
          <w:rFonts w:ascii="Times New Roman" w:hAnsi="Times New Roman" w:eastAsia="Times New Roman" w:cs="Times New Roman"/>
          <w:i/>
          <w:iCs/>
          <w:color w:val="auto"/>
          <w:sz w:val="24"/>
          <w:szCs w:val="24"/>
        </w:rPr>
        <w:t>Nursing2020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50</w:t>
      </w:r>
      <w:r>
        <w:rPr>
          <w:rFonts w:ascii="Times New Roman" w:hAnsi="Times New Roman" w:eastAsia="Times New Roman" w:cs="Times New Roman"/>
          <w:color w:val="auto"/>
          <w:sz w:val="24"/>
          <w:szCs w:val="24"/>
        </w:rPr>
        <w:t>(10), 13-16.</w:t>
      </w:r>
    </w:p>
    <w:p>
      <w:pPr>
        <w:spacing w:after="0" w:line="1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0" w:name="page86"/>
      <w:bookmarkEnd w:id="80"/>
    </w:p>
    <w:p>
      <w:pPr>
        <w:spacing w:after="0" w:line="348" w:lineRule="auto"/>
        <w:ind w:left="720" w:right="720" w:hanging="719"/>
        <w:rPr>
          <w:color w:val="auto"/>
          <w:sz w:val="20"/>
          <w:szCs w:val="20"/>
        </w:rPr>
      </w:pPr>
      <w:r>
        <w:rPr>
          <w:rFonts w:ascii="Times New Roman" w:hAnsi="Times New Roman" w:eastAsia="Times New Roman" w:cs="Times New Roman"/>
          <w:color w:val="auto"/>
          <w:sz w:val="24"/>
          <w:szCs w:val="24"/>
        </w:rPr>
        <w:t xml:space="preserve">Schwidder, M., Heinisch, L., &amp; Schmidt, H. (2019). Genetics, toxicity, and distribution of enterohemorrhagic Escherichia coli hemolysin.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(9), 502.</w:t>
      </w:r>
    </w:p>
    <w:p>
      <w:pPr>
        <w:spacing w:after="0" w:line="148" w:lineRule="exact"/>
        <w:rPr>
          <w:color w:val="auto"/>
          <w:sz w:val="20"/>
          <w:szCs w:val="20"/>
        </w:rPr>
      </w:pPr>
    </w:p>
    <w:p>
      <w:pPr>
        <w:spacing w:after="0" w:line="348" w:lineRule="auto"/>
        <w:ind w:left="720" w:hanging="719"/>
        <w:rPr>
          <w:color w:val="auto"/>
          <w:sz w:val="20"/>
          <w:szCs w:val="20"/>
        </w:rPr>
      </w:pPr>
      <w:r>
        <w:rPr>
          <w:rFonts w:ascii="Times New Roman" w:hAnsi="Times New Roman" w:eastAsia="Times New Roman" w:cs="Times New Roman"/>
          <w:color w:val="auto"/>
          <w:sz w:val="24"/>
          <w:szCs w:val="24"/>
        </w:rPr>
        <w:t xml:space="preserve">Sell, J., &amp; Dolan, B. (2018). Common gastrointestinal infections. </w:t>
      </w:r>
      <w:r>
        <w:rPr>
          <w:rFonts w:ascii="Times New Roman" w:hAnsi="Times New Roman" w:eastAsia="Times New Roman" w:cs="Times New Roman"/>
          <w:i/>
          <w:iCs/>
          <w:color w:val="auto"/>
          <w:sz w:val="24"/>
          <w:szCs w:val="24"/>
        </w:rPr>
        <w:t>Primary Care: Clinics in Office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45</w:t>
      </w:r>
      <w:r>
        <w:rPr>
          <w:rFonts w:ascii="Times New Roman" w:hAnsi="Times New Roman" w:eastAsia="Times New Roman" w:cs="Times New Roman"/>
          <w:color w:val="auto"/>
          <w:sz w:val="24"/>
          <w:szCs w:val="24"/>
        </w:rPr>
        <w:t>(3), 519-532.</w:t>
      </w:r>
    </w:p>
    <w:p>
      <w:pPr>
        <w:spacing w:after="0" w:line="148" w:lineRule="exact"/>
        <w:rPr>
          <w:color w:val="auto"/>
          <w:sz w:val="20"/>
          <w:szCs w:val="20"/>
        </w:rPr>
      </w:pPr>
    </w:p>
    <w:p>
      <w:pPr>
        <w:spacing w:after="0" w:line="348" w:lineRule="auto"/>
        <w:ind w:left="720" w:right="340" w:hanging="719"/>
        <w:rPr>
          <w:color w:val="auto"/>
          <w:sz w:val="20"/>
          <w:szCs w:val="20"/>
        </w:rPr>
      </w:pPr>
      <w:r>
        <w:rPr>
          <w:rFonts w:ascii="Times New Roman" w:hAnsi="Times New Roman" w:eastAsia="Times New Roman" w:cs="Times New Roman"/>
          <w:color w:val="auto"/>
          <w:sz w:val="24"/>
          <w:szCs w:val="24"/>
        </w:rPr>
        <w:t xml:space="preserve">Seo, H., Duan, Q., &amp; Zhang, W. (2020). Vaccines against gastroenteritis, current progress and challenges. </w:t>
      </w:r>
      <w:r>
        <w:rPr>
          <w:rFonts w:ascii="Times New Roman" w:hAnsi="Times New Roman" w:eastAsia="Times New Roman" w:cs="Times New Roman"/>
          <w:i/>
          <w:iCs/>
          <w:color w:val="auto"/>
          <w:sz w:val="24"/>
          <w:szCs w:val="24"/>
        </w:rPr>
        <w:t>Gut Microbes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(6), 1486-1517.</w:t>
      </w:r>
    </w:p>
    <w:p>
      <w:pPr>
        <w:spacing w:after="0" w:line="148"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Settanni, C. R., Ianiro, G., Ponziani, F. R., Bibbò, S., Segal, J. P., Cammarota, G., &amp; Gasbarrini, A. (2021). COVID-19 as a trigger of irritable bowel syndrome: A review of potential mechanisms. </w:t>
      </w:r>
      <w:r>
        <w:rPr>
          <w:rFonts w:ascii="Times New Roman" w:hAnsi="Times New Roman" w:eastAsia="Times New Roman" w:cs="Times New Roman"/>
          <w:i/>
          <w:iCs/>
          <w:color w:val="auto"/>
          <w:sz w:val="24"/>
          <w:szCs w:val="24"/>
        </w:rPr>
        <w:t>World Journal of 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w:t>
      </w:r>
      <w:r>
        <w:rPr>
          <w:rFonts w:ascii="Times New Roman" w:hAnsi="Times New Roman" w:eastAsia="Times New Roman" w:cs="Times New Roman"/>
          <w:color w:val="auto"/>
          <w:sz w:val="24"/>
          <w:szCs w:val="24"/>
        </w:rPr>
        <w:t>(43), 7433.</w:t>
      </w:r>
    </w:p>
    <w:p>
      <w:pPr>
        <w:spacing w:after="0" w:line="140" w:lineRule="exact"/>
        <w:rPr>
          <w:color w:val="auto"/>
          <w:sz w:val="20"/>
          <w:szCs w:val="20"/>
        </w:rPr>
      </w:pPr>
    </w:p>
    <w:p>
      <w:pPr>
        <w:spacing w:after="0" w:line="354" w:lineRule="auto"/>
        <w:ind w:left="720" w:right="280" w:hanging="719"/>
        <w:rPr>
          <w:color w:val="auto"/>
          <w:sz w:val="20"/>
          <w:szCs w:val="20"/>
        </w:rPr>
      </w:pPr>
      <w:r>
        <w:rPr>
          <w:rFonts w:ascii="Times New Roman" w:hAnsi="Times New Roman" w:eastAsia="Times New Roman" w:cs="Times New Roman"/>
          <w:color w:val="auto"/>
          <w:sz w:val="24"/>
          <w:szCs w:val="24"/>
        </w:rPr>
        <w:t xml:space="preserve">Sharif, K., Watad, A., Coplan, L., Lichtbroun, B., Krosser, A., Lichtbroun, M., ...&amp; Shoenfeld, Y. (2018). The role of stress in the mosaic of autoimmunity: an overlooked association. </w:t>
      </w:r>
      <w:r>
        <w:rPr>
          <w:rFonts w:ascii="Times New Roman" w:hAnsi="Times New Roman" w:eastAsia="Times New Roman" w:cs="Times New Roman"/>
          <w:i/>
          <w:iCs/>
          <w:color w:val="auto"/>
          <w:sz w:val="24"/>
          <w:szCs w:val="24"/>
        </w:rPr>
        <w:t>Autoimmunity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(10), 967-983.</w:t>
      </w:r>
    </w:p>
    <w:p>
      <w:pPr>
        <w:spacing w:after="0" w:line="142" w:lineRule="exact"/>
        <w:rPr>
          <w:color w:val="auto"/>
          <w:sz w:val="20"/>
          <w:szCs w:val="20"/>
        </w:rPr>
      </w:pPr>
    </w:p>
    <w:p>
      <w:pPr>
        <w:spacing w:after="0" w:line="348" w:lineRule="auto"/>
        <w:ind w:left="720" w:right="140" w:hanging="719"/>
        <w:rPr>
          <w:color w:val="auto"/>
          <w:sz w:val="20"/>
          <w:szCs w:val="20"/>
        </w:rPr>
      </w:pPr>
      <w:r>
        <w:rPr>
          <w:rFonts w:ascii="Times New Roman" w:hAnsi="Times New Roman" w:eastAsia="Times New Roman" w:cs="Times New Roman"/>
          <w:color w:val="auto"/>
          <w:sz w:val="24"/>
          <w:szCs w:val="24"/>
        </w:rPr>
        <w:t>Sharma, S., Abrol, R., &amp; Chandel, R. S. (2022). Lactose intolerance or milk allergy: Beliefs and differences.</w:t>
      </w:r>
    </w:p>
    <w:p>
      <w:pPr>
        <w:spacing w:after="0" w:line="148" w:lineRule="exact"/>
        <w:rPr>
          <w:color w:val="auto"/>
          <w:sz w:val="20"/>
          <w:szCs w:val="20"/>
        </w:rPr>
      </w:pPr>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 xml:space="preserve">Singh, P., Metgud, S. C., Roy, S., &amp; Purwar, S. (2019). Evolution of diarrheagenic Escherichia coli pathotypes in India. </w:t>
      </w:r>
      <w:r>
        <w:rPr>
          <w:rFonts w:ascii="Times New Roman" w:hAnsi="Times New Roman" w:eastAsia="Times New Roman" w:cs="Times New Roman"/>
          <w:i/>
          <w:iCs/>
          <w:color w:val="auto"/>
          <w:sz w:val="24"/>
          <w:szCs w:val="24"/>
        </w:rPr>
        <w:t>Journal of laboratory physicians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(04), 346-351.</w:t>
      </w:r>
    </w:p>
    <w:p>
      <w:pPr>
        <w:spacing w:after="0" w:line="148" w:lineRule="exact"/>
        <w:rPr>
          <w:color w:val="auto"/>
          <w:sz w:val="20"/>
          <w:szCs w:val="20"/>
        </w:rPr>
      </w:pPr>
    </w:p>
    <w:p>
      <w:pPr>
        <w:spacing w:after="0" w:line="354" w:lineRule="auto"/>
        <w:ind w:left="720" w:right="1000" w:hanging="719"/>
        <w:jc w:val="both"/>
        <w:rPr>
          <w:color w:val="auto"/>
          <w:sz w:val="20"/>
          <w:szCs w:val="20"/>
        </w:rPr>
      </w:pPr>
      <w:r>
        <w:rPr>
          <w:rFonts w:ascii="Times New Roman" w:hAnsi="Times New Roman" w:eastAsia="Times New Roman" w:cs="Times New Roman"/>
          <w:color w:val="auto"/>
          <w:sz w:val="24"/>
          <w:szCs w:val="24"/>
        </w:rPr>
        <w:t xml:space="preserve">Sinkel, D., Khouryieh, H., Daday, J. K., Stone, M., &amp; Shen, C. (2018). Knowledge and implementation of Good Agricultural Practices among Kentucky fresh produce farmers. </w:t>
      </w:r>
      <w:r>
        <w:rPr>
          <w:rFonts w:ascii="Times New Roman" w:hAnsi="Times New Roman" w:eastAsia="Times New Roman" w:cs="Times New Roman"/>
          <w:i/>
          <w:iCs/>
          <w:color w:val="auto"/>
          <w:sz w:val="24"/>
          <w:szCs w:val="24"/>
        </w:rPr>
        <w:t>Food Prot. Trends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(2), 111-121.</w:t>
      </w:r>
    </w:p>
    <w:p>
      <w:pPr>
        <w:spacing w:after="0" w:line="140" w:lineRule="exact"/>
        <w:rPr>
          <w:color w:val="auto"/>
          <w:sz w:val="20"/>
          <w:szCs w:val="20"/>
        </w:rPr>
      </w:pPr>
    </w:p>
    <w:p>
      <w:pPr>
        <w:spacing w:after="0" w:line="357" w:lineRule="auto"/>
        <w:ind w:left="720" w:right="220" w:hanging="719"/>
        <w:rPr>
          <w:color w:val="auto"/>
          <w:sz w:val="20"/>
          <w:szCs w:val="20"/>
        </w:rPr>
      </w:pPr>
      <w:r>
        <w:rPr>
          <w:rFonts w:ascii="Times New Roman" w:hAnsi="Times New Roman" w:eastAsia="Times New Roman" w:cs="Times New Roman"/>
          <w:color w:val="auto"/>
          <w:sz w:val="24"/>
          <w:szCs w:val="24"/>
        </w:rPr>
        <w:t xml:space="preserve">Sivakumar, M., Abass, G., Vivekanandhan, R., Singh, D. K., Bhilegaonkar, K., Kumar, S., ...&amp; Dubal, Z. (2021). Extended-spectrum beta-lactamase (ESBL) producing and multidrug-resistant Escherichia coli in street foods: a public health concern. </w:t>
      </w:r>
      <w:r>
        <w:rPr>
          <w:rFonts w:ascii="Times New Roman" w:hAnsi="Times New Roman" w:eastAsia="Times New Roman" w:cs="Times New Roman"/>
          <w:i/>
          <w:iCs/>
          <w:color w:val="auto"/>
          <w:sz w:val="24"/>
          <w:szCs w:val="24"/>
        </w:rPr>
        <w:t>Journal of Food Science and 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(4), 1247-1261.</w:t>
      </w:r>
    </w:p>
    <w:p>
      <w:pPr>
        <w:spacing w:after="0" w:line="135" w:lineRule="exact"/>
        <w:rPr>
          <w:color w:val="auto"/>
          <w:sz w:val="20"/>
          <w:szCs w:val="20"/>
        </w:rPr>
      </w:pPr>
    </w:p>
    <w:p>
      <w:pPr>
        <w:spacing w:after="0" w:line="375" w:lineRule="auto"/>
        <w:ind w:left="720" w:right="80" w:hanging="719"/>
        <w:jc w:val="both"/>
        <w:rPr>
          <w:color w:val="auto"/>
          <w:sz w:val="20"/>
          <w:szCs w:val="20"/>
        </w:rPr>
      </w:pPr>
      <w:r>
        <w:rPr>
          <w:rFonts w:ascii="Times New Roman" w:hAnsi="Times New Roman" w:eastAsia="Times New Roman" w:cs="Times New Roman"/>
          <w:color w:val="auto"/>
          <w:sz w:val="23"/>
          <w:szCs w:val="23"/>
        </w:rPr>
        <w:t xml:space="preserve">Smith, E. M., Grassel, C. L., Papadimas, A., Foulke-Abel, J., &amp; Barry, E. M. (2022). The role of CFA/I in adherence and toxin delivery by ETEC expressing multiple colonization factors in the human enteroid model. </w:t>
      </w:r>
      <w:r>
        <w:rPr>
          <w:rFonts w:ascii="Times New Roman" w:hAnsi="Times New Roman" w:eastAsia="Times New Roman" w:cs="Times New Roman"/>
          <w:i/>
          <w:iCs/>
          <w:color w:val="auto"/>
          <w:sz w:val="23"/>
          <w:szCs w:val="23"/>
        </w:rPr>
        <w:t>PLoS Neglected Tropical Diseases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w:t>
      </w:r>
      <w:r>
        <w:rPr>
          <w:rFonts w:ascii="Times New Roman" w:hAnsi="Times New Roman" w:eastAsia="Times New Roman" w:cs="Times New Roman"/>
          <w:color w:val="auto"/>
          <w:sz w:val="23"/>
          <w:szCs w:val="23"/>
        </w:rPr>
        <w:t>(7), e0010638.</w:t>
      </w:r>
    </w:p>
    <w:p>
      <w:pPr>
        <w:spacing w:after="0" w:line="123" w:lineRule="exact"/>
        <w:rPr>
          <w:color w:val="auto"/>
          <w:sz w:val="20"/>
          <w:szCs w:val="20"/>
        </w:rPr>
      </w:pPr>
    </w:p>
    <w:p>
      <w:pPr>
        <w:spacing w:after="0" w:line="348" w:lineRule="auto"/>
        <w:ind w:left="720" w:right="1800" w:hanging="719"/>
        <w:rPr>
          <w:color w:val="auto"/>
          <w:sz w:val="20"/>
          <w:szCs w:val="20"/>
        </w:rPr>
      </w:pPr>
      <w:r>
        <w:rPr>
          <w:rFonts w:ascii="Times New Roman" w:hAnsi="Times New Roman" w:eastAsia="Times New Roman" w:cs="Times New Roman"/>
          <w:color w:val="auto"/>
          <w:sz w:val="24"/>
          <w:szCs w:val="24"/>
        </w:rPr>
        <w:t xml:space="preserve">Smith, J. L., &amp; Fratamico, P. M. (2018). Emerging and re-emerging foodborne pathogens. </w:t>
      </w:r>
      <w:r>
        <w:rPr>
          <w:rFonts w:ascii="Times New Roman" w:hAnsi="Times New Roman" w:eastAsia="Times New Roman" w:cs="Times New Roman"/>
          <w:i/>
          <w:iCs/>
          <w:color w:val="auto"/>
          <w:sz w:val="24"/>
          <w:szCs w:val="24"/>
        </w:rPr>
        <w:t>Foodborne Pathogens and Disease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(12), 737-757.</w:t>
      </w: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1" w:name="page87"/>
      <w:bookmarkEnd w:id="81"/>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Snehaa, K., Singh, T., Dar, S. A., Haque, S., Ramachandran, V. G., Saha, R., ...&amp; Das, S. (2021). Typical and atypical enteropathogenic Escherichia coli in children with acute diarrhoea: changing trend in East Delhi. </w:t>
      </w:r>
      <w:r>
        <w:rPr>
          <w:rFonts w:ascii="Times New Roman" w:hAnsi="Times New Roman" w:eastAsia="Times New Roman" w:cs="Times New Roman"/>
          <w:i/>
          <w:iCs/>
          <w:color w:val="auto"/>
          <w:sz w:val="24"/>
          <w:szCs w:val="24"/>
        </w:rPr>
        <w:t>biomedical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44</w:t>
      </w:r>
      <w:r>
        <w:rPr>
          <w:rFonts w:ascii="Times New Roman" w:hAnsi="Times New Roman" w:eastAsia="Times New Roman" w:cs="Times New Roman"/>
          <w:color w:val="auto"/>
          <w:sz w:val="24"/>
          <w:szCs w:val="24"/>
        </w:rPr>
        <w:t>(4), 471-478.</w:t>
      </w:r>
    </w:p>
    <w:p>
      <w:pPr>
        <w:spacing w:after="0" w:line="140"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Soare, C., Mazeri, S., McAteer, S., McNeilly, T. N., Seguino, A., &amp; Chase-Topping, M. (2022). The microbial condition of Scottish wild deer carcasses collected for human consumption and the hygiene risk factors associated with Escherichia coli and total coliforms contamination.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104102.</w:t>
      </w:r>
    </w:p>
    <w:p>
      <w:pPr>
        <w:spacing w:after="0" w:line="1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Soares, A. S. P. C., da Silva Miranda, C. I., da Fonseca Trindade, H. M., &amp; Coelho, A. C. C.</w:t>
      </w:r>
    </w:p>
    <w:p>
      <w:pPr>
        <w:spacing w:after="0" w:line="1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(2021). Microorganisms Control in Animal Effluents-A One Health Approach.</w:t>
      </w:r>
    </w:p>
    <w:p>
      <w:pPr>
        <w:spacing w:after="0" w:line="269"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Solorzano, J. C., Wensman, J. J., Tråvén, M., Arts, J. A. J., Parmentier, H. K., Bovenhuis, H., &amp; De Koning, D. J. (2019). Genome-wide association study in colostrum reveals QTL on BTA21 for IgG and IgM natural antibodies in Swedish dairy cattle. In </w:t>
      </w:r>
      <w:r>
        <w:rPr>
          <w:rFonts w:ascii="Times New Roman" w:hAnsi="Times New Roman" w:eastAsia="Times New Roman" w:cs="Times New Roman"/>
          <w:i/>
          <w:iCs/>
          <w:color w:val="auto"/>
          <w:sz w:val="24"/>
          <w:szCs w:val="24"/>
        </w:rPr>
        <w:t>Abstracts of the 2019 American Dairy Science Association® Annual Meeting</w:t>
      </w:r>
      <w:r>
        <w:rPr>
          <w:rFonts w:ascii="Times New Roman" w:hAnsi="Times New Roman" w:eastAsia="Times New Roman" w:cs="Times New Roman"/>
          <w:color w:val="auto"/>
          <w:sz w:val="24"/>
          <w:szCs w:val="24"/>
        </w:rPr>
        <w:t xml:space="preserve"> (pp. 289-290).</w:t>
      </w:r>
    </w:p>
    <w:p>
      <w:pPr>
        <w:spacing w:after="0" w:line="139" w:lineRule="exact"/>
        <w:rPr>
          <w:color w:val="auto"/>
          <w:sz w:val="20"/>
          <w:szCs w:val="20"/>
        </w:rPr>
      </w:pPr>
    </w:p>
    <w:p>
      <w:pPr>
        <w:spacing w:after="0" w:line="356" w:lineRule="auto"/>
        <w:ind w:left="720" w:right="240" w:hanging="719"/>
        <w:rPr>
          <w:color w:val="auto"/>
          <w:sz w:val="20"/>
          <w:szCs w:val="20"/>
        </w:rPr>
      </w:pPr>
      <w:r>
        <w:rPr>
          <w:rFonts w:ascii="Times New Roman" w:hAnsi="Times New Roman" w:eastAsia="Times New Roman" w:cs="Times New Roman"/>
          <w:color w:val="auto"/>
          <w:sz w:val="24"/>
          <w:szCs w:val="24"/>
        </w:rPr>
        <w:t xml:space="preserve">Song, W. J., &amp; Kang, D. H. (2022). Inactivation of Salmonella Typhimurium, Escherichia coli O157: H7 and Listeria monocytogenes on alfalfa seeds by the combination treatment of vacuumed hydrogen peroxide vapour and vacuumed dry heat. </w:t>
      </w:r>
      <w:r>
        <w:rPr>
          <w:rFonts w:ascii="Times New Roman" w:hAnsi="Times New Roman" w:eastAsia="Times New Roman" w:cs="Times New Roman"/>
          <w:i/>
          <w:iCs/>
          <w:color w:val="auto"/>
          <w:sz w:val="24"/>
          <w:szCs w:val="24"/>
        </w:rPr>
        <w:t>Letters in Applied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74</w:t>
      </w:r>
      <w:r>
        <w:rPr>
          <w:rFonts w:ascii="Times New Roman" w:hAnsi="Times New Roman" w:eastAsia="Times New Roman" w:cs="Times New Roman"/>
          <w:color w:val="auto"/>
          <w:sz w:val="24"/>
          <w:szCs w:val="24"/>
        </w:rPr>
        <w:t>(6), 909-915.</w:t>
      </w:r>
    </w:p>
    <w:p>
      <w:pPr>
        <w:spacing w:after="0" w:line="139" w:lineRule="exact"/>
        <w:rPr>
          <w:color w:val="auto"/>
          <w:sz w:val="20"/>
          <w:szCs w:val="20"/>
        </w:rPr>
      </w:pPr>
    </w:p>
    <w:p>
      <w:pPr>
        <w:spacing w:after="0" w:line="354" w:lineRule="auto"/>
        <w:ind w:left="720" w:right="360" w:hanging="719"/>
        <w:rPr>
          <w:color w:val="auto"/>
          <w:sz w:val="20"/>
          <w:szCs w:val="20"/>
        </w:rPr>
      </w:pPr>
      <w:r>
        <w:rPr>
          <w:rFonts w:ascii="Times New Roman" w:hAnsi="Times New Roman" w:eastAsia="Times New Roman" w:cs="Times New Roman"/>
          <w:color w:val="auto"/>
          <w:sz w:val="24"/>
          <w:szCs w:val="24"/>
        </w:rPr>
        <w:t xml:space="preserve">SULEIMAN, K., Kolo, I., Mohammed, S. S. D., &amp; Magaji, Y. G. (2022). Bacterial diarrhea among infants in developing countries: An overview of diarrheagenic Escherichia coli (DEC). </w:t>
      </w:r>
      <w:r>
        <w:rPr>
          <w:rFonts w:ascii="Times New Roman" w:hAnsi="Times New Roman" w:eastAsia="Times New Roman" w:cs="Times New Roman"/>
          <w:i/>
          <w:iCs/>
          <w:color w:val="auto"/>
          <w:sz w:val="24"/>
          <w:szCs w:val="24"/>
        </w:rPr>
        <w:t>Gadau Journal of Pure and Allied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(1), 73-81.</w:t>
      </w:r>
    </w:p>
    <w:p>
      <w:pPr>
        <w:spacing w:after="0" w:line="142" w:lineRule="exact"/>
        <w:rPr>
          <w:color w:val="auto"/>
          <w:sz w:val="20"/>
          <w:szCs w:val="20"/>
        </w:rPr>
      </w:pPr>
    </w:p>
    <w:p>
      <w:pPr>
        <w:spacing w:after="0" w:line="354" w:lineRule="auto"/>
        <w:ind w:left="720" w:right="420" w:hanging="719"/>
        <w:rPr>
          <w:color w:val="auto"/>
          <w:sz w:val="20"/>
          <w:szCs w:val="20"/>
        </w:rPr>
      </w:pPr>
      <w:r>
        <w:rPr>
          <w:rFonts w:ascii="Times New Roman" w:hAnsi="Times New Roman" w:eastAsia="Times New Roman" w:cs="Times New Roman"/>
          <w:color w:val="auto"/>
          <w:sz w:val="24"/>
          <w:szCs w:val="24"/>
        </w:rPr>
        <w:t xml:space="preserve">Suleyman, G., Alangaden, G., &amp; Bardossy, A. C. (2018). The role of environmental contamination in the transmission of nosocomial pathogens and healthcare-associated infections. </w:t>
      </w:r>
      <w:r>
        <w:rPr>
          <w:rFonts w:ascii="Times New Roman" w:hAnsi="Times New Roman" w:eastAsia="Times New Roman" w:cs="Times New Roman"/>
          <w:i/>
          <w:iCs/>
          <w:color w:val="auto"/>
          <w:sz w:val="24"/>
          <w:szCs w:val="24"/>
        </w:rPr>
        <w:t>Current infectious disease reports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(6), 1-11.</w:t>
      </w:r>
    </w:p>
    <w:p>
      <w:pPr>
        <w:spacing w:after="0" w:line="140" w:lineRule="exact"/>
        <w:rPr>
          <w:color w:val="auto"/>
          <w:sz w:val="20"/>
          <w:szCs w:val="20"/>
        </w:rPr>
      </w:pPr>
    </w:p>
    <w:p>
      <w:pPr>
        <w:spacing w:after="0" w:line="375" w:lineRule="auto"/>
        <w:ind w:left="720" w:right="440" w:hanging="719"/>
        <w:rPr>
          <w:color w:val="auto"/>
          <w:sz w:val="20"/>
          <w:szCs w:val="20"/>
        </w:rPr>
      </w:pPr>
      <w:r>
        <w:rPr>
          <w:rFonts w:ascii="Times New Roman" w:hAnsi="Times New Roman" w:eastAsia="Times New Roman" w:cs="Times New Roman"/>
          <w:color w:val="auto"/>
          <w:sz w:val="23"/>
          <w:szCs w:val="23"/>
        </w:rPr>
        <w:t xml:space="preserve">Talaat, K. R., Alaimo, C., Martin, P., Bourgeois, A. L., Dreyer, A. M., Kaminski, R. W., ...&amp; Fonck, V. G. (2021). Human challenge study with a Shigella bioconjugate vaccine: Analyses of clinical efficacy and correlate of protection. </w:t>
      </w:r>
      <w:r>
        <w:rPr>
          <w:rFonts w:ascii="Times New Roman" w:hAnsi="Times New Roman" w:eastAsia="Times New Roman" w:cs="Times New Roman"/>
          <w:i/>
          <w:iCs/>
          <w:color w:val="auto"/>
          <w:sz w:val="23"/>
          <w:szCs w:val="23"/>
        </w:rPr>
        <w:t>EBioMedicine</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66</w:t>
      </w:r>
      <w:r>
        <w:rPr>
          <w:rFonts w:ascii="Times New Roman" w:hAnsi="Times New Roman" w:eastAsia="Times New Roman" w:cs="Times New Roman"/>
          <w:color w:val="auto"/>
          <w:sz w:val="23"/>
          <w:szCs w:val="23"/>
        </w:rPr>
        <w:t>, 103310.</w:t>
      </w:r>
    </w:p>
    <w:p>
      <w:pPr>
        <w:spacing w:after="0" w:line="123" w:lineRule="exact"/>
        <w:rPr>
          <w:color w:val="auto"/>
          <w:sz w:val="20"/>
          <w:szCs w:val="20"/>
        </w:rPr>
      </w:pPr>
    </w:p>
    <w:p>
      <w:pPr>
        <w:spacing w:after="0" w:line="348" w:lineRule="auto"/>
        <w:ind w:left="720" w:right="160" w:hanging="719"/>
        <w:rPr>
          <w:color w:val="auto"/>
          <w:sz w:val="20"/>
          <w:szCs w:val="20"/>
        </w:rPr>
      </w:pPr>
      <w:r>
        <w:rPr>
          <w:rFonts w:ascii="Times New Roman" w:hAnsi="Times New Roman" w:eastAsia="Times New Roman" w:cs="Times New Roman"/>
          <w:color w:val="auto"/>
          <w:sz w:val="24"/>
          <w:szCs w:val="24"/>
        </w:rPr>
        <w:t xml:space="preserve">Tang, C., Yang, D., Liao, H., Sun, H., Liu, C., Wei, L., &amp; Li, F. (2019). Edible insects as a food source: a review. </w:t>
      </w:r>
      <w:r>
        <w:rPr>
          <w:rFonts w:ascii="Times New Roman" w:hAnsi="Times New Roman" w:eastAsia="Times New Roman" w:cs="Times New Roman"/>
          <w:i/>
          <w:iCs/>
          <w:color w:val="auto"/>
          <w:sz w:val="24"/>
          <w:szCs w:val="24"/>
        </w:rPr>
        <w:t>Food Production, Processing and 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(1), 1-13.</w:t>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2" w:name="page88"/>
      <w:bookmarkEnd w:id="82"/>
    </w:p>
    <w:p>
      <w:pPr>
        <w:spacing w:after="0" w:line="348" w:lineRule="auto"/>
        <w:ind w:left="720" w:right="60" w:hanging="719"/>
        <w:rPr>
          <w:color w:val="auto"/>
          <w:sz w:val="20"/>
          <w:szCs w:val="20"/>
        </w:rPr>
      </w:pPr>
      <w:r>
        <w:rPr>
          <w:rFonts w:ascii="Times New Roman" w:hAnsi="Times New Roman" w:eastAsia="Times New Roman" w:cs="Times New Roman"/>
          <w:color w:val="auto"/>
          <w:sz w:val="24"/>
          <w:szCs w:val="24"/>
        </w:rPr>
        <w:t xml:space="preserve">Tarr, P. I., &amp; Freedman, S. B. (2022). Why antibiotics should not be used to treat Shiga toxin-producing Escherichia coli infections. </w:t>
      </w:r>
      <w:r>
        <w:rPr>
          <w:rFonts w:ascii="Times New Roman" w:hAnsi="Times New Roman" w:eastAsia="Times New Roman" w:cs="Times New Roman"/>
          <w:i/>
          <w:iCs/>
          <w:color w:val="auto"/>
          <w:sz w:val="24"/>
          <w:szCs w:val="24"/>
        </w:rPr>
        <w:t>Current opinion in 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(1), 30-38.</w:t>
      </w:r>
    </w:p>
    <w:p>
      <w:pPr>
        <w:spacing w:after="0" w:line="148" w:lineRule="exact"/>
        <w:rPr>
          <w:color w:val="auto"/>
          <w:sz w:val="20"/>
          <w:szCs w:val="20"/>
        </w:rPr>
      </w:pPr>
    </w:p>
    <w:p>
      <w:pPr>
        <w:spacing w:after="0" w:line="354" w:lineRule="auto"/>
        <w:ind w:left="720" w:right="340" w:hanging="719"/>
        <w:rPr>
          <w:color w:val="auto"/>
          <w:sz w:val="20"/>
          <w:szCs w:val="20"/>
        </w:rPr>
      </w:pPr>
      <w:r>
        <w:rPr>
          <w:rFonts w:ascii="Times New Roman" w:hAnsi="Times New Roman" w:eastAsia="Times New Roman" w:cs="Times New Roman"/>
          <w:color w:val="auto"/>
          <w:sz w:val="24"/>
          <w:szCs w:val="24"/>
        </w:rPr>
        <w:t xml:space="preserve">Thapa, S. P., Shrestha, S., &amp; Anal, A. K. (2020). Addressing the antibiotic resistance and improving the food safety in food supply chain (farm-to-fork) in Southeast Asia.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108</w:t>
      </w:r>
      <w:r>
        <w:rPr>
          <w:rFonts w:ascii="Times New Roman" w:hAnsi="Times New Roman" w:eastAsia="Times New Roman" w:cs="Times New Roman"/>
          <w:color w:val="auto"/>
          <w:sz w:val="24"/>
          <w:szCs w:val="24"/>
        </w:rPr>
        <w:t>, 106809.</w:t>
      </w:r>
    </w:p>
    <w:p>
      <w:pPr>
        <w:spacing w:after="0" w:line="140" w:lineRule="exact"/>
        <w:rPr>
          <w:color w:val="auto"/>
          <w:sz w:val="20"/>
          <w:szCs w:val="20"/>
        </w:rPr>
      </w:pPr>
    </w:p>
    <w:p>
      <w:pPr>
        <w:spacing w:after="0" w:line="354" w:lineRule="auto"/>
        <w:ind w:left="720" w:right="200" w:hanging="719"/>
        <w:rPr>
          <w:color w:val="auto"/>
          <w:sz w:val="20"/>
          <w:szCs w:val="20"/>
        </w:rPr>
      </w:pPr>
      <w:r>
        <w:rPr>
          <w:rFonts w:ascii="Times New Roman" w:hAnsi="Times New Roman" w:eastAsia="Times New Roman" w:cs="Times New Roman"/>
          <w:color w:val="auto"/>
          <w:sz w:val="24"/>
          <w:szCs w:val="24"/>
        </w:rPr>
        <w:t xml:space="preserve">Thomas, M., &amp; Feng, Y. (2020). Risk of foodborne illness from pet food: assessing pet owners' knowledge, behavior, and risk perception. </w:t>
      </w:r>
      <w:r>
        <w:rPr>
          <w:rFonts w:ascii="Times New Roman" w:hAnsi="Times New Roman" w:eastAsia="Times New Roman" w:cs="Times New Roman"/>
          <w:i/>
          <w:iCs/>
          <w:color w:val="auto"/>
          <w:sz w:val="24"/>
          <w:szCs w:val="24"/>
        </w:rPr>
        <w:t>Journal of Food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83</w:t>
      </w:r>
      <w:r>
        <w:rPr>
          <w:rFonts w:ascii="Times New Roman" w:hAnsi="Times New Roman" w:eastAsia="Times New Roman" w:cs="Times New Roman"/>
          <w:color w:val="auto"/>
          <w:sz w:val="24"/>
          <w:szCs w:val="24"/>
        </w:rPr>
        <w:t>(11), 1998-2007.</w:t>
      </w:r>
    </w:p>
    <w:p>
      <w:pPr>
        <w:spacing w:after="0" w:line="143"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Thomas, R. R., Gaastra, M. L., &amp; Brooks, H. J. (2018). Shiga (Vero)-toxigenic'Escherichia coli': Epidemiology, virulence and disease. </w:t>
      </w:r>
      <w:r>
        <w:rPr>
          <w:rFonts w:ascii="Times New Roman" w:hAnsi="Times New Roman" w:eastAsia="Times New Roman" w:cs="Times New Roman"/>
          <w:i/>
          <w:iCs/>
          <w:color w:val="auto"/>
          <w:sz w:val="24"/>
          <w:szCs w:val="24"/>
        </w:rPr>
        <w:t>New Zealand Journal of Medical Laboratory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72</w:t>
      </w:r>
      <w:r>
        <w:rPr>
          <w:rFonts w:ascii="Times New Roman" w:hAnsi="Times New Roman" w:eastAsia="Times New Roman" w:cs="Times New Roman"/>
          <w:color w:val="auto"/>
          <w:sz w:val="24"/>
          <w:szCs w:val="24"/>
        </w:rPr>
        <w:t>(1), 3-10.</w:t>
      </w:r>
    </w:p>
    <w:p>
      <w:pPr>
        <w:spacing w:after="0" w:line="140" w:lineRule="exact"/>
        <w:rPr>
          <w:color w:val="auto"/>
          <w:sz w:val="20"/>
          <w:szCs w:val="20"/>
        </w:rPr>
      </w:pPr>
    </w:p>
    <w:p>
      <w:pPr>
        <w:spacing w:after="0" w:line="350" w:lineRule="auto"/>
        <w:ind w:left="720" w:right="380" w:hanging="719"/>
        <w:rPr>
          <w:color w:val="auto"/>
          <w:sz w:val="20"/>
          <w:szCs w:val="20"/>
        </w:rPr>
      </w:pPr>
      <w:r>
        <w:rPr>
          <w:rFonts w:ascii="Times New Roman" w:hAnsi="Times New Roman" w:eastAsia="Times New Roman" w:cs="Times New Roman"/>
          <w:color w:val="auto"/>
          <w:sz w:val="24"/>
          <w:szCs w:val="24"/>
        </w:rPr>
        <w:t xml:space="preserve">Todd, E. (2020). Food-borne disease prevention and risk assessment.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(14), 5129.</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Tolen, T. N., Xie, Y., Hairgrove, T. B., Gill, J. J., &amp; Taylor, T. M. (2018). Evaluation of commercial prototype bacteriophage intervention designed for reducing O157 and non-O157 shiga-toxigenic Escherichia coli (STEC) on beef cattle hide.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(7), 114.</w:t>
      </w:r>
    </w:p>
    <w:p>
      <w:pPr>
        <w:spacing w:after="0" w:line="142" w:lineRule="exact"/>
        <w:rPr>
          <w:color w:val="auto"/>
          <w:sz w:val="20"/>
          <w:szCs w:val="20"/>
        </w:rPr>
      </w:pPr>
    </w:p>
    <w:p>
      <w:pPr>
        <w:spacing w:after="0" w:line="348" w:lineRule="auto"/>
        <w:ind w:left="720" w:right="940" w:hanging="719"/>
        <w:rPr>
          <w:color w:val="auto"/>
          <w:sz w:val="20"/>
          <w:szCs w:val="20"/>
        </w:rPr>
      </w:pPr>
      <w:r>
        <w:rPr>
          <w:rFonts w:ascii="Times New Roman" w:hAnsi="Times New Roman" w:eastAsia="Times New Roman" w:cs="Times New Roman"/>
          <w:color w:val="auto"/>
          <w:sz w:val="24"/>
          <w:szCs w:val="24"/>
        </w:rPr>
        <w:t xml:space="preserve">Turniak, M., &amp; Sobieszczańska, B. (2019). Diffusely Adhering. </w:t>
      </w:r>
      <w:r>
        <w:rPr>
          <w:rFonts w:ascii="Times New Roman" w:hAnsi="Times New Roman" w:eastAsia="Times New Roman" w:cs="Times New Roman"/>
          <w:i/>
          <w:iCs/>
          <w:color w:val="auto"/>
          <w:sz w:val="24"/>
          <w:szCs w:val="24"/>
        </w:rPr>
        <w:t>Postępy Mikrobiologii-Advancements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(2), 143-152.</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Upadhyay, R. K. (2021). Climate Induced Virus Generated Communicable Diseases:</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Management Issues and Failures. </w:t>
      </w:r>
      <w:r>
        <w:rPr>
          <w:rFonts w:ascii="Times New Roman" w:hAnsi="Times New Roman" w:eastAsia="Times New Roman" w:cs="Times New Roman"/>
          <w:i/>
          <w:iCs/>
          <w:color w:val="auto"/>
          <w:sz w:val="24"/>
          <w:szCs w:val="24"/>
        </w:rPr>
        <w:t>Journal of Atmospheric Science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(2).</w:t>
      </w:r>
    </w:p>
    <w:p>
      <w:pPr>
        <w:spacing w:after="0" w:line="271" w:lineRule="exact"/>
        <w:rPr>
          <w:color w:val="auto"/>
          <w:sz w:val="20"/>
          <w:szCs w:val="20"/>
        </w:rPr>
      </w:pPr>
    </w:p>
    <w:p>
      <w:pPr>
        <w:spacing w:after="0" w:line="348" w:lineRule="auto"/>
        <w:ind w:left="720" w:right="420" w:hanging="719"/>
        <w:rPr>
          <w:color w:val="auto"/>
          <w:sz w:val="20"/>
          <w:szCs w:val="20"/>
        </w:rPr>
      </w:pPr>
      <w:r>
        <w:rPr>
          <w:rFonts w:ascii="Times New Roman" w:hAnsi="Times New Roman" w:eastAsia="Times New Roman" w:cs="Times New Roman"/>
          <w:color w:val="auto"/>
          <w:sz w:val="24"/>
          <w:szCs w:val="24"/>
        </w:rPr>
        <w:t>Valilis, E., Ramsey, A., Sidiq, S., &amp; DuPont, H. L. (2018). Non-O157 Shiga toxin-producing Escherichia coli—A poorly appreciated enteric pathogen: Systematic</w:t>
      </w:r>
    </w:p>
    <w:p>
      <w:pPr>
        <w:spacing w:after="0" w:line="1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i/>
          <w:iCs/>
          <w:color w:val="auto"/>
          <w:sz w:val="24"/>
          <w:szCs w:val="24"/>
        </w:rPr>
        <w:t>International Journal of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76</w:t>
      </w:r>
      <w:r>
        <w:rPr>
          <w:rFonts w:ascii="Times New Roman" w:hAnsi="Times New Roman" w:eastAsia="Times New Roman" w:cs="Times New Roman"/>
          <w:color w:val="auto"/>
          <w:sz w:val="24"/>
          <w:szCs w:val="24"/>
        </w:rPr>
        <w:t>, 82-87.</w:t>
      </w:r>
    </w:p>
    <w:p>
      <w:pPr>
        <w:spacing w:after="0" w:line="269" w:lineRule="exact"/>
        <w:rPr>
          <w:color w:val="auto"/>
          <w:sz w:val="20"/>
          <w:szCs w:val="20"/>
        </w:rPr>
      </w:pPr>
    </w:p>
    <w:p>
      <w:pPr>
        <w:spacing w:after="0" w:line="350" w:lineRule="auto"/>
        <w:ind w:left="720" w:right="120" w:hanging="719"/>
        <w:rPr>
          <w:color w:val="auto"/>
          <w:sz w:val="20"/>
          <w:szCs w:val="20"/>
        </w:rPr>
      </w:pPr>
      <w:r>
        <w:rPr>
          <w:rFonts w:ascii="Times New Roman" w:hAnsi="Times New Roman" w:eastAsia="Times New Roman" w:cs="Times New Roman"/>
          <w:color w:val="auto"/>
          <w:sz w:val="24"/>
          <w:szCs w:val="24"/>
        </w:rPr>
        <w:t xml:space="preserve">Viegelmann, G. C., Dorji, J., Guo, X., &amp; Lim, H. Y. (2021). Approach to diarrhoeal disorders in children. </w:t>
      </w:r>
      <w:r>
        <w:rPr>
          <w:rFonts w:ascii="Times New Roman" w:hAnsi="Times New Roman" w:eastAsia="Times New Roman" w:cs="Times New Roman"/>
          <w:i/>
          <w:iCs/>
          <w:color w:val="auto"/>
          <w:sz w:val="24"/>
          <w:szCs w:val="24"/>
        </w:rPr>
        <w:t>Singapore 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62</w:t>
      </w:r>
      <w:r>
        <w:rPr>
          <w:rFonts w:ascii="Times New Roman" w:hAnsi="Times New Roman" w:eastAsia="Times New Roman" w:cs="Times New Roman"/>
          <w:color w:val="auto"/>
          <w:sz w:val="24"/>
          <w:szCs w:val="24"/>
        </w:rPr>
        <w:t>(12), 623.</w:t>
      </w:r>
    </w:p>
    <w:p>
      <w:pPr>
        <w:spacing w:after="0" w:line="143" w:lineRule="exact"/>
        <w:rPr>
          <w:color w:val="auto"/>
          <w:sz w:val="20"/>
          <w:szCs w:val="20"/>
        </w:rPr>
      </w:pPr>
    </w:p>
    <w:p>
      <w:pPr>
        <w:spacing w:after="0" w:line="354" w:lineRule="auto"/>
        <w:ind w:left="720" w:right="60" w:hanging="719"/>
        <w:rPr>
          <w:color w:val="auto"/>
          <w:sz w:val="20"/>
          <w:szCs w:val="20"/>
        </w:rPr>
      </w:pPr>
      <w:r>
        <w:rPr>
          <w:rFonts w:ascii="Times New Roman" w:hAnsi="Times New Roman" w:eastAsia="Times New Roman" w:cs="Times New Roman"/>
          <w:color w:val="auto"/>
          <w:sz w:val="24"/>
          <w:szCs w:val="24"/>
        </w:rPr>
        <w:t xml:space="preserve">Viet, N. T., Van Du, V., Thuan, N. D., Van Tong, H., Toan, N. L., Van Mao, C., ... &amp; Son, H. A. (2021). Maternal vaginal colonization and extended-spectrum beta-lactamase-producing bacteria in Vietnamese pregnant women.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572.</w:t>
      </w: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77</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3" w:name="page89"/>
      <w:bookmarkEnd w:id="83"/>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Waititu, K. K. (2020). </w:t>
      </w:r>
      <w:r>
        <w:rPr>
          <w:rFonts w:ascii="Times New Roman" w:hAnsi="Times New Roman" w:eastAsia="Times New Roman" w:cs="Times New Roman"/>
          <w:i/>
          <w:iCs/>
          <w:color w:val="auto"/>
          <w:sz w:val="24"/>
          <w:szCs w:val="24"/>
        </w:rPr>
        <w:t>Molecular Characterization and Antimicrobial Susceptibility Patterns of Escherichia coli in Captive and Wild Olive Baboon (Papio anubis) Gut</w:t>
      </w:r>
      <w:r>
        <w:rPr>
          <w:rFonts w:ascii="Times New Roman" w:hAnsi="Times New Roman" w:eastAsia="Times New Roman" w:cs="Times New Roman"/>
          <w:color w:val="auto"/>
          <w:sz w:val="24"/>
          <w:szCs w:val="24"/>
        </w:rPr>
        <w:t xml:space="preserve"> (Doctoral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dissertation, JKUAT-COHES).</w:t>
      </w:r>
    </w:p>
    <w:p>
      <w:pPr>
        <w:spacing w:after="0" w:line="140" w:lineRule="exact"/>
        <w:rPr>
          <w:color w:val="auto"/>
          <w:sz w:val="20"/>
          <w:szCs w:val="20"/>
        </w:rPr>
      </w:pPr>
    </w:p>
    <w:p>
      <w:pPr>
        <w:spacing w:after="0" w:line="350" w:lineRule="auto"/>
        <w:ind w:left="720" w:right="1180" w:hanging="719"/>
        <w:rPr>
          <w:color w:val="auto"/>
          <w:sz w:val="20"/>
          <w:szCs w:val="20"/>
        </w:rPr>
      </w:pPr>
      <w:r>
        <w:rPr>
          <w:rFonts w:ascii="Times New Roman" w:hAnsi="Times New Roman" w:eastAsia="Times New Roman" w:cs="Times New Roman"/>
          <w:color w:val="auto"/>
          <w:sz w:val="24"/>
          <w:szCs w:val="24"/>
        </w:rPr>
        <w:t xml:space="preserve">Walker, O., Kenny, C. B., &amp; Goel, N. (2019). Neonatal sepsis. </w:t>
      </w:r>
      <w:r>
        <w:rPr>
          <w:rFonts w:ascii="Times New Roman" w:hAnsi="Times New Roman" w:eastAsia="Times New Roman" w:cs="Times New Roman"/>
          <w:i/>
          <w:iCs/>
          <w:color w:val="auto"/>
          <w:sz w:val="24"/>
          <w:szCs w:val="24"/>
        </w:rPr>
        <w:t>Paediatrics and Child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w:t>
      </w:r>
      <w:r>
        <w:rPr>
          <w:rFonts w:ascii="Times New Roman" w:hAnsi="Times New Roman" w:eastAsia="Times New Roman" w:cs="Times New Roman"/>
          <w:color w:val="auto"/>
          <w:sz w:val="24"/>
          <w:szCs w:val="24"/>
        </w:rPr>
        <w:t>(6), 263-268.</w:t>
      </w:r>
    </w:p>
    <w:p>
      <w:pPr>
        <w:spacing w:after="0" w:line="143"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Wilson, D., Dolan, G., Aird, H., Sorrell, S., Dallman, T. J., Jenkins, C., ...&amp; Gorton, R. (2018). Farm-to-fork investigation of an outbreak of Shiga toxin-producing Escherichia coli O157. </w:t>
      </w:r>
      <w:r>
        <w:rPr>
          <w:rFonts w:ascii="Times New Roman" w:hAnsi="Times New Roman" w:eastAsia="Times New Roman" w:cs="Times New Roman"/>
          <w:i/>
          <w:iCs/>
          <w:color w:val="auto"/>
          <w:sz w:val="24"/>
          <w:szCs w:val="24"/>
        </w:rPr>
        <w:t>Microbial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w:t>
      </w:r>
    </w:p>
    <w:p>
      <w:pPr>
        <w:spacing w:after="0" w:line="143" w:lineRule="exact"/>
        <w:rPr>
          <w:color w:val="auto"/>
          <w:sz w:val="20"/>
          <w:szCs w:val="20"/>
        </w:rPr>
      </w:pPr>
    </w:p>
    <w:p>
      <w:pPr>
        <w:spacing w:after="0" w:line="356" w:lineRule="auto"/>
        <w:ind w:left="720" w:right="60" w:hanging="719"/>
        <w:rPr>
          <w:color w:val="auto"/>
          <w:sz w:val="20"/>
          <w:szCs w:val="20"/>
        </w:rPr>
      </w:pPr>
      <w:r>
        <w:rPr>
          <w:rFonts w:ascii="Times New Roman" w:hAnsi="Times New Roman" w:eastAsia="Times New Roman" w:cs="Times New Roman"/>
          <w:color w:val="auto"/>
          <w:sz w:val="24"/>
          <w:szCs w:val="24"/>
        </w:rPr>
        <w:t xml:space="preserve">Wong, C. H., Duque, J. R., Wong, J. S. C., Chan, C. M. V., Lam, C. S. I., Fu, Y. M., ... &amp; Kwan, M. Y. W. (2021). Epidemiology and Trends of Infective Meningitis in Neonates and Infants Less than 3 Months Old in Hong Kong. </w:t>
      </w:r>
      <w:r>
        <w:rPr>
          <w:rFonts w:ascii="Times New Roman" w:hAnsi="Times New Roman" w:eastAsia="Times New Roman" w:cs="Times New Roman"/>
          <w:i/>
          <w:iCs/>
          <w:color w:val="auto"/>
          <w:sz w:val="24"/>
          <w:szCs w:val="24"/>
        </w:rPr>
        <w:t>International Journal of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111</w:t>
      </w:r>
      <w:r>
        <w:rPr>
          <w:rFonts w:ascii="Times New Roman" w:hAnsi="Times New Roman" w:eastAsia="Times New Roman" w:cs="Times New Roman"/>
          <w:color w:val="auto"/>
          <w:sz w:val="24"/>
          <w:szCs w:val="24"/>
        </w:rPr>
        <w:t>, 288-294.</w:t>
      </w:r>
    </w:p>
    <w:p>
      <w:pPr>
        <w:spacing w:after="0" w:line="139" w:lineRule="exact"/>
        <w:rPr>
          <w:color w:val="auto"/>
          <w:sz w:val="20"/>
          <w:szCs w:val="20"/>
        </w:rPr>
      </w:pPr>
    </w:p>
    <w:p>
      <w:pPr>
        <w:spacing w:after="0" w:line="364" w:lineRule="exact"/>
        <w:ind w:left="720" w:right="200" w:hanging="719"/>
        <w:rPr>
          <w:color w:val="auto"/>
          <w:sz w:val="20"/>
          <w:szCs w:val="20"/>
        </w:rPr>
      </w:pPr>
      <w:r>
        <w:rPr>
          <w:rFonts w:ascii="Times New Roman" w:hAnsi="Times New Roman" w:eastAsia="Times New Roman" w:cs="Times New Roman"/>
          <w:color w:val="auto"/>
          <w:sz w:val="24"/>
          <w:szCs w:val="24"/>
        </w:rPr>
        <w:t xml:space="preserve">Yang, F., Zhang, Y., Tariq, A., Jiang, X., Ahmed, Z., Zhihao, Z., ...&amp; Bussmann, R. W. (2020). Food as medicine: A possible preventive measure against coronavirus disease </w:t>
      </w:r>
      <w:r>
        <w:rPr>
          <w:rFonts w:ascii="MS PGothic" w:hAnsi="MS PGothic" w:eastAsia="MS PGothic" w:cs="MS PGothic"/>
          <w:color w:val="auto"/>
          <w:sz w:val="24"/>
          <w:szCs w:val="24"/>
        </w:rPr>
        <w:t>(COVID‐19).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Phytotherapy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w:t>
      </w:r>
      <w:r>
        <w:rPr>
          <w:rFonts w:ascii="Times New Roman" w:hAnsi="Times New Roman" w:eastAsia="Times New Roman" w:cs="Times New Roman"/>
          <w:color w:val="auto"/>
          <w:sz w:val="24"/>
          <w:szCs w:val="24"/>
        </w:rPr>
        <w:t>(12), 3124-3136.</w:t>
      </w:r>
    </w:p>
    <w:p>
      <w:pPr>
        <w:spacing w:after="0" w:line="271"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Yekani, M., Baghi, H. B., Sefidan, F. Y., Azargun, R., Memar, M. Y., &amp; Ghotaslou, R. (2018). The rates of quinolone, trimethoprim/sulfamethoxazole and aminoglycoside resistance among Enterobacteriaceae isolated from urinary tract infections in Azerbaijan, Iran. </w:t>
      </w:r>
      <w:r>
        <w:rPr>
          <w:rFonts w:ascii="Times New Roman" w:hAnsi="Times New Roman" w:eastAsia="Times New Roman" w:cs="Times New Roman"/>
          <w:i/>
          <w:iCs/>
          <w:color w:val="auto"/>
          <w:sz w:val="24"/>
          <w:szCs w:val="24"/>
        </w:rPr>
        <w:t>GMS hygiene and infection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Yim, J. H., Seo, K. H., Chon, J. W., Jeong, D., &amp; Song, K. Y. (2021). Status and Prospects of PCR Detection Methods for Diagnosing Pathogenic Escherichia coli: A Review. </w:t>
      </w:r>
      <w:r>
        <w:rPr>
          <w:rFonts w:ascii="Times New Roman" w:hAnsi="Times New Roman" w:eastAsia="Times New Roman" w:cs="Times New Roman"/>
          <w:i/>
          <w:iCs/>
          <w:color w:val="auto"/>
          <w:sz w:val="24"/>
          <w:szCs w:val="24"/>
        </w:rPr>
        <w:t>Journal of Dairy Science and Biotechnology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(2), 51-62.</w:t>
      </w:r>
    </w:p>
    <w:p>
      <w:pPr>
        <w:spacing w:after="0" w:line="142" w:lineRule="exact"/>
        <w:rPr>
          <w:color w:val="auto"/>
          <w:sz w:val="20"/>
          <w:szCs w:val="20"/>
        </w:rPr>
      </w:pPr>
    </w:p>
    <w:p>
      <w:pPr>
        <w:spacing w:after="0" w:line="377" w:lineRule="exact"/>
        <w:ind w:left="720" w:right="560" w:hanging="719"/>
        <w:rPr>
          <w:color w:val="auto"/>
          <w:sz w:val="20"/>
          <w:szCs w:val="20"/>
        </w:rPr>
      </w:pPr>
      <w:r>
        <w:rPr>
          <w:rFonts w:ascii="Times New Roman" w:hAnsi="Times New Roman" w:eastAsia="Times New Roman" w:cs="Times New Roman"/>
          <w:color w:val="auto"/>
          <w:sz w:val="24"/>
          <w:szCs w:val="24"/>
        </w:rPr>
        <w:t>Ylinen, E., Salmenlinna, S., Halkilahti, J., Jahnukainen, T., Korhonen, L., Virkkala, T., ...&amp; Saxén, H. (2020). Hemolytic uremic syndrome caused by Shiga toxin</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producing Escherichia coli in children: incidence, risk factors, and clinical outcome. </w:t>
      </w:r>
      <w:r>
        <w:rPr>
          <w:rFonts w:ascii="Times New Roman" w:hAnsi="Times New Roman" w:eastAsia="Times New Roman" w:cs="Times New Roman"/>
          <w:i/>
          <w:iCs/>
          <w:color w:val="auto"/>
          <w:sz w:val="24"/>
          <w:szCs w:val="24"/>
        </w:rPr>
        <w:t>Pediatric Nephrology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(9), 1749-1759.</w:t>
      </w:r>
    </w:p>
    <w:p>
      <w:pPr>
        <w:spacing w:after="0" w:line="273" w:lineRule="exact"/>
        <w:rPr>
          <w:color w:val="auto"/>
          <w:sz w:val="20"/>
          <w:szCs w:val="20"/>
        </w:rPr>
      </w:pPr>
    </w:p>
    <w:p>
      <w:pPr>
        <w:spacing w:after="0" w:line="354" w:lineRule="auto"/>
        <w:ind w:left="720" w:right="20" w:hanging="719"/>
        <w:jc w:val="both"/>
        <w:rPr>
          <w:color w:val="auto"/>
          <w:sz w:val="20"/>
          <w:szCs w:val="20"/>
        </w:rPr>
      </w:pPr>
      <w:r>
        <w:rPr>
          <w:rFonts w:ascii="Times New Roman" w:hAnsi="Times New Roman" w:eastAsia="Times New Roman" w:cs="Times New Roman"/>
          <w:color w:val="auto"/>
          <w:sz w:val="24"/>
          <w:szCs w:val="24"/>
        </w:rPr>
        <w:t xml:space="preserve">Yumoto, H., Hirota, K., Hirao, K., Ninomiya, M., Murakami, K., Fujii, H., &amp; Miyake, Y. (2019). The pathogenic factors from oral streptococci for systemic diseases. </w:t>
      </w:r>
      <w:r>
        <w:rPr>
          <w:rFonts w:ascii="Times New Roman" w:hAnsi="Times New Roman" w:eastAsia="Times New Roman" w:cs="Times New Roman"/>
          <w:i/>
          <w:iCs/>
          <w:color w:val="auto"/>
          <w:sz w:val="24"/>
          <w:szCs w:val="24"/>
        </w:rPr>
        <w:t>International journal of molecular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(18), 4571.</w:t>
      </w:r>
    </w:p>
    <w:p>
      <w:pPr>
        <w:spacing w:after="0" w:line="23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4" w:name="page90"/>
      <w:bookmarkEnd w:id="84"/>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Zada, H., Maitlo, A. A., Zaidi, S. Z. U. H., Fatima, K., Shah, M. S., Khan, M. W. Z., ... &amp; Sumreen, L. (2022). Prevalence and Susceptibility Profile of E. Coli O157: H7 Isolated from Raw Milk in Kohat, Pakistan. </w:t>
      </w:r>
      <w:r>
        <w:rPr>
          <w:rFonts w:ascii="Times New Roman" w:hAnsi="Times New Roman" w:eastAsia="Times New Roman" w:cs="Times New Roman"/>
          <w:i/>
          <w:iCs/>
          <w:color w:val="auto"/>
          <w:sz w:val="24"/>
          <w:szCs w:val="24"/>
        </w:rPr>
        <w:t>Pakistan Journal of Medical &amp; Health</w:t>
      </w:r>
    </w:p>
    <w:p>
      <w:pPr>
        <w:spacing w:after="0" w:line="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(03), 602-602.</w:t>
      </w:r>
    </w:p>
    <w:p>
      <w:pPr>
        <w:spacing w:after="0" w:line="271" w:lineRule="exact"/>
        <w:rPr>
          <w:color w:val="auto"/>
          <w:sz w:val="20"/>
          <w:szCs w:val="20"/>
        </w:rPr>
      </w:pPr>
    </w:p>
    <w:p>
      <w:pPr>
        <w:spacing w:after="0" w:line="348" w:lineRule="auto"/>
        <w:ind w:left="720" w:right="20" w:hanging="719"/>
        <w:rPr>
          <w:color w:val="auto"/>
          <w:sz w:val="20"/>
          <w:szCs w:val="20"/>
        </w:rPr>
      </w:pPr>
      <w:r>
        <w:rPr>
          <w:rFonts w:ascii="Times New Roman" w:hAnsi="Times New Roman" w:eastAsia="Times New Roman" w:cs="Times New Roman"/>
          <w:color w:val="auto"/>
          <w:sz w:val="24"/>
          <w:szCs w:val="24"/>
        </w:rPr>
        <w:t>Zhang, X., Li, Y., Ouyang, D., Lei, J., Tan, Q., Xie, L., ...&amp; Yan, W. (2021). Systematical review of interactions between microplastics and microorganisms in the soil</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environment. </w:t>
      </w:r>
      <w:r>
        <w:rPr>
          <w:rFonts w:ascii="Times New Roman" w:hAnsi="Times New Roman" w:eastAsia="Times New Roman" w:cs="Times New Roman"/>
          <w:i/>
          <w:iCs/>
          <w:color w:val="auto"/>
          <w:sz w:val="24"/>
          <w:szCs w:val="24"/>
        </w:rPr>
        <w:t>Journal of Hazardous Materials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418</w:t>
      </w:r>
      <w:r>
        <w:rPr>
          <w:rFonts w:ascii="Times New Roman" w:hAnsi="Times New Roman" w:eastAsia="Times New Roman" w:cs="Times New Roman"/>
          <w:color w:val="auto"/>
          <w:sz w:val="24"/>
          <w:szCs w:val="24"/>
        </w:rPr>
        <w:t>, 126288.</w:t>
      </w:r>
    </w:p>
    <w:p>
      <w:pPr>
        <w:spacing w:after="0" w:line="269" w:lineRule="exact"/>
        <w:rPr>
          <w:color w:val="auto"/>
          <w:sz w:val="20"/>
          <w:szCs w:val="20"/>
        </w:rPr>
      </w:pPr>
    </w:p>
    <w:p>
      <w:pPr>
        <w:spacing w:after="0" w:line="350" w:lineRule="auto"/>
        <w:ind w:left="720" w:right="220" w:hanging="719"/>
        <w:rPr>
          <w:color w:val="auto"/>
          <w:sz w:val="20"/>
          <w:szCs w:val="20"/>
        </w:rPr>
      </w:pPr>
      <w:r>
        <w:rPr>
          <w:rFonts w:ascii="Times New Roman" w:hAnsi="Times New Roman" w:eastAsia="Times New Roman" w:cs="Times New Roman"/>
          <w:color w:val="auto"/>
          <w:sz w:val="24"/>
          <w:szCs w:val="24"/>
        </w:rPr>
        <w:t xml:space="preserve">Zhu, F., Rodado Bernal, M. P., Nahed, A. H., &amp; Bassim, A. (2018). </w:t>
      </w:r>
      <w:r>
        <w:rPr>
          <w:rFonts w:ascii="Times New Roman" w:hAnsi="Times New Roman" w:eastAsia="Times New Roman" w:cs="Times New Roman"/>
          <w:i/>
          <w:iCs/>
          <w:color w:val="auto"/>
          <w:sz w:val="24"/>
          <w:szCs w:val="24"/>
        </w:rPr>
        <w:t>Risk factors for community acquired urinary tract infections caused by extended spectrum β-lactamase</w:t>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(ESBL)</w:t>
      </w:r>
      <w:r>
        <w:rPr>
          <w:rFonts w:ascii="Times New Roman" w:hAnsi="Times New Roman" w:eastAsia="Times New Roman" w:cs="Times New Roman"/>
          <w:color w:val="auto"/>
          <w:sz w:val="24"/>
          <w:szCs w:val="24"/>
        </w:rPr>
        <w:t xml:space="preserve"> (Doctoral dissertation, Universidad del Rosario).</w:t>
      </w:r>
    </w:p>
    <w:p>
      <w:pPr>
        <w:spacing w:after="0" w:line="271" w:lineRule="exact"/>
        <w:rPr>
          <w:color w:val="auto"/>
          <w:sz w:val="20"/>
          <w:szCs w:val="20"/>
        </w:rPr>
      </w:pPr>
    </w:p>
    <w:p>
      <w:pPr>
        <w:spacing w:after="0" w:line="356" w:lineRule="auto"/>
        <w:ind w:left="720" w:right="100" w:hanging="719"/>
        <w:rPr>
          <w:color w:val="auto"/>
          <w:sz w:val="20"/>
          <w:szCs w:val="20"/>
        </w:rPr>
      </w:pPr>
      <w:r>
        <w:rPr>
          <w:rFonts w:ascii="Times New Roman" w:hAnsi="Times New Roman" w:eastAsia="Times New Roman" w:cs="Times New Roman"/>
          <w:color w:val="auto"/>
          <w:sz w:val="24"/>
          <w:szCs w:val="24"/>
        </w:rPr>
        <w:t xml:space="preserve">Zupo, R., Castellana, F., Sardone, R., Sila, A., Giagulli, V. A., Triggiani, V., ...&amp; De Pergola, G. (2020). Preliminary trajectories in dietary behaviors during the COVID-19 pandemic: a public health call to action to face obesity.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(19), 7073.</w:t>
      </w:r>
    </w:p>
    <w:p>
      <w:pPr>
        <w:spacing w:after="0" w:line="126" w:lineRule="exact"/>
        <w:rPr>
          <w:color w:val="auto"/>
          <w:sz w:val="20"/>
          <w:szCs w:val="20"/>
        </w:rPr>
      </w:pPr>
    </w:p>
    <w:p>
      <w:pPr>
        <w:spacing w:after="0" w:line="276" w:lineRule="exact"/>
        <w:rPr>
          <w:color w:val="auto"/>
          <w:sz w:val="20"/>
          <w:szCs w:val="20"/>
        </w:rPr>
      </w:pPr>
      <w:r>
        <w:rPr>
          <w:rFonts w:ascii="Times New Roman" w:hAnsi="Times New Roman" w:eastAsia="Times New Roman" w:cs="Times New Roman"/>
          <w:color w:val="auto"/>
          <w:sz w:val="24"/>
          <w:szCs w:val="24"/>
        </w:rPr>
        <w:t>Zurita, J., Yánez, F.,</w:t>
      </w:r>
      <w:r>
        <w:rPr>
          <w:rFonts w:ascii="MS PGothic" w:hAnsi="MS PGothic" w:eastAsia="MS PGothic" w:cs="MS PGothic"/>
          <w:color w:val="auto"/>
          <w:sz w:val="24"/>
          <w:szCs w:val="24"/>
        </w:rPr>
        <w:t xml:space="preserve"> Sevillano, G., Ortega‐Paredes, D., &amp; Paz y Miño, A. (2020). Ready‐to‐eat</w:t>
      </w:r>
    </w:p>
    <w:p>
      <w:pPr>
        <w:spacing w:after="0" w:line="137" w:lineRule="exact"/>
        <w:rPr>
          <w:color w:val="auto"/>
          <w:sz w:val="20"/>
          <w:szCs w:val="20"/>
        </w:rPr>
      </w:pPr>
    </w:p>
    <w:p>
      <w:pPr>
        <w:spacing w:after="0" w:line="276" w:lineRule="exact"/>
        <w:ind w:left="720"/>
        <w:rPr>
          <w:color w:val="auto"/>
          <w:sz w:val="20"/>
          <w:szCs w:val="20"/>
        </w:rPr>
      </w:pPr>
      <w:r>
        <w:rPr>
          <w:rFonts w:ascii="Times New Roman" w:hAnsi="Times New Roman" w:eastAsia="Times New Roman" w:cs="Times New Roman"/>
          <w:color w:val="auto"/>
          <w:sz w:val="24"/>
          <w:szCs w:val="24"/>
        </w:rPr>
        <w:t>street food: a potential source for dissemination of multi</w:t>
      </w:r>
      <w:r>
        <w:rPr>
          <w:rFonts w:ascii="MS PGothic" w:hAnsi="MS PGothic" w:eastAsia="MS PGothic" w:cs="MS PGothic"/>
          <w:color w:val="auto"/>
          <w:sz w:val="24"/>
          <w:szCs w:val="24"/>
        </w:rPr>
        <w:t>drug‐resistant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Escherichia</w:t>
      </w:r>
    </w:p>
    <w:p>
      <w:pPr>
        <w:spacing w:after="0" w:line="14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coli</w:t>
      </w:r>
      <w:r>
        <w:rPr>
          <w:rFonts w:ascii="Times New Roman" w:hAnsi="Times New Roman" w:eastAsia="Times New Roman" w:cs="Times New Roman"/>
          <w:color w:val="auto"/>
          <w:sz w:val="24"/>
          <w:szCs w:val="24"/>
        </w:rPr>
        <w:t xml:space="preserve">epidemic clones in Quito, Ecuador. </w:t>
      </w:r>
      <w:r>
        <w:rPr>
          <w:rFonts w:ascii="Times New Roman" w:hAnsi="Times New Roman" w:eastAsia="Times New Roman" w:cs="Times New Roman"/>
          <w:i/>
          <w:iCs/>
          <w:color w:val="auto"/>
          <w:sz w:val="24"/>
          <w:szCs w:val="24"/>
        </w:rPr>
        <w:t>Letters in applied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70</w:t>
      </w:r>
      <w:r>
        <w:rPr>
          <w:rFonts w:ascii="Times New Roman" w:hAnsi="Times New Roman" w:eastAsia="Times New Roman" w:cs="Times New Roman"/>
          <w:color w:val="auto"/>
          <w:sz w:val="24"/>
          <w:szCs w:val="24"/>
        </w:rPr>
        <w:t>(3), 203-209.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79</w:t>
      </w:r>
    </w:p>
    <w:sectPr>
      <w:pgSz w:w="12240" w:h="15840"/>
      <w:pgMar w:top="1440" w:right="1440" w:bottom="403"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141F2"/>
    <w:multiLevelType w:val="singleLevel"/>
    <w:tmpl w:val="2EB141F2"/>
    <w:lvl w:ilvl="0" w:tentative="0">
      <w:start w:val="1"/>
      <w:numFmt w:val="bullet"/>
      <w:lvlText w:val="•"/>
      <w:lvlJc w:val="left"/>
    </w:lvl>
  </w:abstractNum>
  <w:abstractNum w:abstractNumId="1">
    <w:nsid w:val="3D1B58BA"/>
    <w:multiLevelType w:val="singleLevel"/>
    <w:tmpl w:val="3D1B58BA"/>
    <w:lvl w:ilvl="0" w:tentative="0">
      <w:start w:val="1"/>
      <w:numFmt w:val="bullet"/>
      <w:lvlText w:val=""/>
      <w:lvlJc w:val="left"/>
    </w:lvl>
  </w:abstractNum>
  <w:abstractNum w:abstractNumId="2">
    <w:nsid w:val="41B71EFB"/>
    <w:multiLevelType w:val="singleLevel"/>
    <w:tmpl w:val="41B71EFB"/>
    <w:lvl w:ilvl="0" w:tentative="0">
      <w:start w:val="3"/>
      <w:numFmt w:val="decimal"/>
      <w:lvlText w:val="%1"/>
      <w:lvlJc w:val="left"/>
    </w:lvl>
  </w:abstractNum>
  <w:abstractNum w:abstractNumId="3">
    <w:nsid w:val="46E87CCD"/>
    <w:multiLevelType w:val="singleLevel"/>
    <w:tmpl w:val="46E87CCD"/>
    <w:lvl w:ilvl="0" w:tentative="0">
      <w:start w:val="1"/>
      <w:numFmt w:val="decimal"/>
      <w:lvlText w:val="%1"/>
      <w:lvlJc w:val="left"/>
    </w:lvl>
  </w:abstractNum>
  <w:abstractNum w:abstractNumId="4">
    <w:nsid w:val="507ED7AB"/>
    <w:multiLevelType w:val="singleLevel"/>
    <w:tmpl w:val="507ED7AB"/>
    <w:lvl w:ilvl="0" w:tentative="0">
      <w:start w:val="2"/>
      <w:numFmt w:val="decimal"/>
      <w:lvlText w:val="%1"/>
      <w:lvlJc w:val="left"/>
    </w:lvl>
  </w:abstractNum>
  <w:abstractNum w:abstractNumId="5">
    <w:nsid w:val="515F007C"/>
    <w:multiLevelType w:val="singleLevel"/>
    <w:tmpl w:val="515F007C"/>
    <w:lvl w:ilvl="0" w:tentative="0">
      <w:start w:val="5"/>
      <w:numFmt w:val="upperLetter"/>
      <w:lvlText w:val="%1."/>
      <w:lvlJc w:val="left"/>
    </w:lvl>
  </w:abstractNum>
  <w:abstractNum w:abstractNumId="6">
    <w:nsid w:val="5BD062C2"/>
    <w:multiLevelType w:val="singleLevel"/>
    <w:tmpl w:val="5BD062C2"/>
    <w:lvl w:ilvl="0" w:tentative="0">
      <w:start w:val="5"/>
      <w:numFmt w:val="upperLetter"/>
      <w:lvlText w:val="%1."/>
      <w:lvlJc w:val="left"/>
    </w:lvl>
  </w:abstractNum>
  <w:abstractNum w:abstractNumId="7">
    <w:nsid w:val="7545E146"/>
    <w:multiLevelType w:val="singleLevel"/>
    <w:tmpl w:val="7545E146"/>
    <w:lvl w:ilvl="0" w:tentative="0">
      <w:start w:val="1"/>
      <w:numFmt w:val="bullet"/>
      <w:lvlText w:val="&amp;"/>
      <w:lvlJc w:val="left"/>
    </w:lvl>
  </w:abstractNum>
  <w:abstractNum w:abstractNumId="8">
    <w:nsid w:val="79E2A9E3"/>
    <w:multiLevelType w:val="singleLevel"/>
    <w:tmpl w:val="79E2A9E3"/>
    <w:lvl w:ilvl="0" w:tentative="0">
      <w:start w:val="1"/>
      <w:numFmt w:val="bullet"/>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B7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2024-02-26T12:52:00Z</dcterms:created>
  <dc:creator>Windows User</dc:creator>
  <cp:lastModifiedBy>user</cp:lastModifiedBy>
  <dcterms:modified xsi:type="dcterms:W3CDTF">2024-02-26T20:09:29Z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997200E5FE424F84B4C22F39537DE4ED</vt:lpwstr>
  </property>
</Properties>
</file>