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360" w:lineRule="auto" w:before="178"/>
        <w:ind w:left="2322" w:right="2002" w:firstLine="0"/>
        <w:jc w:val="center"/>
        <w:rPr>
          <w:b/>
          <w:sz w:val="28"/>
        </w:rPr>
      </w:pPr>
      <w:r>
        <w:rPr>
          <w:b/>
          <w:sz w:val="28"/>
        </w:rPr>
        <w:t>FISCAL AND MONETARY POLICY INTERACTIONS IN THE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NIGERIAN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ECONOMY-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NEW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KEYNESIAN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APPROACH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39"/>
        </w:rPr>
      </w:pPr>
    </w:p>
    <w:p>
      <w:pPr>
        <w:spacing w:before="0"/>
        <w:ind w:left="2322" w:right="1999" w:firstLine="0"/>
        <w:jc w:val="center"/>
        <w:rPr>
          <w:b/>
          <w:sz w:val="28"/>
        </w:rPr>
      </w:pPr>
      <w:r>
        <w:rPr>
          <w:b/>
          <w:sz w:val="28"/>
        </w:rPr>
        <w:t>By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41"/>
        </w:rPr>
      </w:pPr>
    </w:p>
    <w:p>
      <w:pPr>
        <w:spacing w:line="322" w:lineRule="exact" w:before="0"/>
        <w:ind w:left="2322" w:right="1282" w:firstLine="0"/>
        <w:jc w:val="center"/>
        <w:rPr>
          <w:b/>
          <w:sz w:val="28"/>
        </w:rPr>
      </w:pPr>
      <w:r>
        <w:rPr>
          <w:b/>
          <w:sz w:val="28"/>
        </w:rPr>
        <w:t>OYE,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QUEEN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ESTHER</w:t>
      </w:r>
    </w:p>
    <w:p>
      <w:pPr>
        <w:spacing w:before="0"/>
        <w:ind w:left="2322" w:right="1283" w:firstLine="0"/>
        <w:jc w:val="center"/>
        <w:rPr>
          <w:b/>
          <w:sz w:val="28"/>
        </w:rPr>
      </w:pPr>
      <w:r>
        <w:rPr>
          <w:b/>
          <w:sz w:val="28"/>
        </w:rPr>
        <w:t>Matriculation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Number: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04AF00562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41"/>
        </w:rPr>
      </w:pPr>
    </w:p>
    <w:p>
      <w:pPr>
        <w:spacing w:before="1"/>
        <w:ind w:left="2322" w:right="2002" w:firstLine="0"/>
        <w:jc w:val="center"/>
        <w:rPr>
          <w:b/>
          <w:sz w:val="28"/>
        </w:rPr>
      </w:pPr>
      <w:r>
        <w:rPr>
          <w:b/>
          <w:sz w:val="28"/>
        </w:rPr>
        <w:t>NOVEMBER,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2018</w:t>
      </w:r>
    </w:p>
    <w:p>
      <w:pPr>
        <w:spacing w:after="0"/>
        <w:jc w:val="center"/>
        <w:rPr>
          <w:sz w:val="28"/>
        </w:rPr>
        <w:sectPr>
          <w:footerReference w:type="default" r:id="rId5"/>
          <w:type w:val="continuous"/>
          <w:pgSz w:w="12240" w:h="15840"/>
          <w:pgMar w:footer="935" w:top="1500" w:bottom="1120" w:left="40" w:right="0"/>
          <w:pgNumType w:start="1"/>
        </w:sectPr>
      </w:pPr>
    </w:p>
    <w:p>
      <w:pPr>
        <w:spacing w:line="276" w:lineRule="auto" w:before="78"/>
        <w:ind w:left="2322" w:right="2002" w:firstLine="0"/>
        <w:jc w:val="center"/>
        <w:rPr>
          <w:b/>
          <w:sz w:val="28"/>
        </w:rPr>
      </w:pPr>
      <w:r>
        <w:rPr>
          <w:b/>
          <w:sz w:val="28"/>
        </w:rPr>
        <w:t>FISCAL AND MONETARY POLICY INTERACTIONS IN THE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NIGERIAN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ECONOMY-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NEW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KEYNESIAN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APPROACH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35"/>
        </w:rPr>
      </w:pPr>
    </w:p>
    <w:p>
      <w:pPr>
        <w:spacing w:before="0"/>
        <w:ind w:left="2322" w:right="1999" w:firstLine="0"/>
        <w:jc w:val="center"/>
        <w:rPr>
          <w:b/>
          <w:sz w:val="28"/>
        </w:rPr>
      </w:pPr>
      <w:r>
        <w:rPr>
          <w:b/>
          <w:sz w:val="28"/>
        </w:rPr>
        <w:t>By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4"/>
        <w:rPr>
          <w:b/>
          <w:sz w:val="41"/>
        </w:rPr>
      </w:pPr>
    </w:p>
    <w:p>
      <w:pPr>
        <w:spacing w:line="322" w:lineRule="exact" w:before="0"/>
        <w:ind w:left="2193" w:right="2002" w:firstLine="0"/>
        <w:jc w:val="center"/>
        <w:rPr>
          <w:b/>
          <w:sz w:val="28"/>
        </w:rPr>
      </w:pPr>
      <w:r>
        <w:rPr>
          <w:b/>
          <w:sz w:val="28"/>
        </w:rPr>
        <w:t>OYE,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QUEEN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ESTHER</w:t>
      </w:r>
    </w:p>
    <w:p>
      <w:pPr>
        <w:spacing w:before="0"/>
        <w:ind w:left="4410" w:right="3364" w:hanging="111"/>
        <w:jc w:val="left"/>
        <w:rPr>
          <w:b/>
          <w:sz w:val="28"/>
        </w:rPr>
      </w:pPr>
      <w:r>
        <w:rPr>
          <w:b/>
          <w:sz w:val="28"/>
        </w:rPr>
        <w:t>Matriculation Number: 04AF00562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B.Sc,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M.Sc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Covenant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University,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Ota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28"/>
        </w:rPr>
      </w:pPr>
    </w:p>
    <w:p>
      <w:pPr>
        <w:spacing w:line="276" w:lineRule="auto" w:before="0"/>
        <w:ind w:left="1760" w:right="1433" w:firstLine="0"/>
        <w:jc w:val="both"/>
        <w:rPr>
          <w:b/>
          <w:sz w:val="28"/>
        </w:rPr>
      </w:pPr>
      <w:r>
        <w:rPr>
          <w:b/>
          <w:sz w:val="28"/>
        </w:rPr>
        <w:t>A THESIS SUBMITTED TO THE SCHOOL OF POSTGRADUATE IN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PARTIAL FULFILMENT FOR THE AWARD OF THE DEGREE OF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DOCTOR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PHILOSOPHY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DEPARTMENT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ECONOMICS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DEVELOPMENT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STUDIES,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COLLEGE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BUSINESS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SOCIAL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SCIENCES,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COVENANT UNIVERSITY.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39"/>
        </w:rPr>
      </w:pPr>
    </w:p>
    <w:p>
      <w:pPr>
        <w:spacing w:before="1"/>
        <w:ind w:left="2322" w:right="2002" w:firstLine="0"/>
        <w:jc w:val="center"/>
        <w:rPr>
          <w:b/>
          <w:sz w:val="28"/>
        </w:rPr>
      </w:pPr>
      <w:r>
        <w:rPr>
          <w:b/>
          <w:sz w:val="28"/>
        </w:rPr>
        <w:t>NOVEMBER,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2018</w:t>
      </w:r>
    </w:p>
    <w:p>
      <w:pPr>
        <w:spacing w:after="0"/>
        <w:jc w:val="center"/>
        <w:rPr>
          <w:sz w:val="28"/>
        </w:rPr>
        <w:sectPr>
          <w:pgSz w:w="12240" w:h="15840"/>
          <w:pgMar w:header="0" w:footer="935" w:top="1360" w:bottom="1200" w:left="40" w:right="0"/>
        </w:sectPr>
      </w:pPr>
    </w:p>
    <w:p>
      <w:pPr>
        <w:pStyle w:val="BodyText"/>
        <w:ind w:left="125"/>
        <w:rPr>
          <w:sz w:val="20"/>
        </w:rPr>
      </w:pPr>
      <w:r>
        <w:rPr>
          <w:sz w:val="20"/>
        </w:rPr>
        <w:drawing>
          <wp:inline distT="0" distB="0" distL="0" distR="0">
            <wp:extent cx="7512814" cy="848563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814" cy="848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5" w:top="960" w:bottom="1120" w:left="4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96011</wp:posOffset>
            </wp:positionH>
            <wp:positionV relativeFrom="page">
              <wp:posOffset>304800</wp:posOffset>
            </wp:positionV>
            <wp:extent cx="7668768" cy="78105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768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header="0" w:footer="935" w:top="480" w:bottom="1120" w:left="40" w:right="0"/>
        </w:sectPr>
      </w:pPr>
    </w:p>
    <w:p>
      <w:pPr>
        <w:pStyle w:val="BodyText"/>
        <w:ind w:left="305" w:right="-44"/>
        <w:rPr>
          <w:sz w:val="20"/>
        </w:rPr>
      </w:pPr>
      <w:r>
        <w:rPr>
          <w:sz w:val="20"/>
        </w:rPr>
        <w:drawing>
          <wp:inline distT="0" distB="0" distL="0" distR="0">
            <wp:extent cx="7550759" cy="877824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759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5" w:top="560" w:bottom="1120" w:left="40" w:right="0"/>
        </w:sectPr>
      </w:pPr>
    </w:p>
    <w:p>
      <w:pPr>
        <w:pStyle w:val="Heading3"/>
        <w:ind w:left="2322" w:right="2001"/>
        <w:jc w:val="center"/>
      </w:pPr>
      <w:r>
        <w:rPr/>
        <w:t>DEDICATION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360" w:lineRule="auto"/>
        <w:ind w:left="1760" w:right="1430"/>
      </w:pPr>
      <w:r>
        <w:rPr/>
        <w:t>This</w:t>
      </w:r>
      <w:r>
        <w:rPr>
          <w:spacing w:val="6"/>
        </w:rPr>
        <w:t> </w:t>
      </w:r>
      <w:r>
        <w:rPr/>
        <w:t>thesis</w:t>
      </w:r>
      <w:r>
        <w:rPr>
          <w:spacing w:val="6"/>
        </w:rPr>
        <w:t> </w:t>
      </w:r>
      <w:r>
        <w:rPr/>
        <w:t>is</w:t>
      </w:r>
      <w:r>
        <w:rPr>
          <w:spacing w:val="5"/>
        </w:rPr>
        <w:t> </w:t>
      </w:r>
      <w:r>
        <w:rPr/>
        <w:t>dedicated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Almighty</w:t>
      </w:r>
      <w:r>
        <w:rPr>
          <w:spacing w:val="2"/>
        </w:rPr>
        <w:t> </w:t>
      </w:r>
      <w:r>
        <w:rPr/>
        <w:t>God,</w:t>
      </w:r>
      <w:r>
        <w:rPr>
          <w:spacing w:val="5"/>
        </w:rPr>
        <w:t> </w:t>
      </w:r>
      <w:r>
        <w:rPr/>
        <w:t>my</w:t>
      </w:r>
      <w:r>
        <w:rPr>
          <w:spacing w:val="3"/>
        </w:rPr>
        <w:t> </w:t>
      </w:r>
      <w:r>
        <w:rPr/>
        <w:t>Father,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source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wisdom</w:t>
      </w:r>
      <w:r>
        <w:rPr>
          <w:spacing w:val="7"/>
        </w:rPr>
        <w:t> </w:t>
      </w:r>
      <w:r>
        <w:rPr/>
        <w:t>and</w:t>
      </w:r>
      <w:r>
        <w:rPr>
          <w:spacing w:val="12"/>
        </w:rPr>
        <w:t> </w:t>
      </w:r>
      <w:r>
        <w:rPr/>
        <w:t>help.</w:t>
      </w:r>
      <w:r>
        <w:rPr>
          <w:spacing w:val="6"/>
        </w:rPr>
        <w:t> </w:t>
      </w:r>
      <w:r>
        <w:rPr/>
        <w:t>His</w:t>
      </w:r>
      <w:r>
        <w:rPr>
          <w:spacing w:val="-57"/>
        </w:rPr>
        <w:t> </w:t>
      </w:r>
      <w:r>
        <w:rPr/>
        <w:t>son,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beginning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end;</w:t>
      </w:r>
      <w:r>
        <w:rPr>
          <w:spacing w:val="-1"/>
        </w:rPr>
        <w:t> </w:t>
      </w:r>
      <w:r>
        <w:rPr/>
        <w:t>and the</w:t>
      </w:r>
      <w:r>
        <w:rPr>
          <w:spacing w:val="-2"/>
        </w:rPr>
        <w:t> </w:t>
      </w:r>
      <w:r>
        <w:rPr/>
        <w:t>Holy</w:t>
      </w:r>
      <w:r>
        <w:rPr>
          <w:spacing w:val="-5"/>
        </w:rPr>
        <w:t> </w:t>
      </w:r>
      <w:r>
        <w:rPr/>
        <w:t>Spirit</w:t>
      </w:r>
      <w:r>
        <w:rPr>
          <w:spacing w:val="-1"/>
        </w:rPr>
        <w:t> </w:t>
      </w:r>
      <w:r>
        <w:rPr/>
        <w:t>who inspired</w:t>
      </w:r>
      <w:r>
        <w:rPr>
          <w:spacing w:val="-1"/>
        </w:rPr>
        <w:t> </w:t>
      </w:r>
      <w:r>
        <w:rPr/>
        <w:t>and taught</w:t>
      </w:r>
      <w:r>
        <w:rPr>
          <w:spacing w:val="-1"/>
        </w:rPr>
        <w:t> </w:t>
      </w:r>
      <w:r>
        <w:rPr/>
        <w:t>me.</w:t>
      </w:r>
      <w:r>
        <w:rPr>
          <w:spacing w:val="2"/>
        </w:rPr>
        <w:t> </w:t>
      </w:r>
      <w:r>
        <w:rPr/>
        <w:t>I</w:t>
      </w:r>
      <w:r>
        <w:rPr>
          <w:spacing w:val="-5"/>
        </w:rPr>
        <w:t> </w:t>
      </w:r>
      <w:r>
        <w:rPr/>
        <w:t>am</w:t>
      </w:r>
      <w:r>
        <w:rPr>
          <w:spacing w:val="2"/>
        </w:rPr>
        <w:t> </w:t>
      </w:r>
      <w:r>
        <w:rPr/>
        <w:t>grateful.</w:t>
      </w:r>
    </w:p>
    <w:p>
      <w:pPr>
        <w:spacing w:after="0" w:line="360" w:lineRule="auto"/>
        <w:sectPr>
          <w:pgSz w:w="12240" w:h="15840"/>
          <w:pgMar w:header="0" w:footer="935" w:top="1360" w:bottom="1120" w:left="40" w:right="0"/>
        </w:sectPr>
      </w:pPr>
    </w:p>
    <w:p>
      <w:pPr>
        <w:spacing w:before="79"/>
        <w:ind w:left="2321" w:right="2002" w:firstLine="0"/>
        <w:jc w:val="center"/>
        <w:rPr>
          <w:b/>
          <w:sz w:val="23"/>
        </w:rPr>
      </w:pPr>
      <w:r>
        <w:rPr>
          <w:b/>
          <w:sz w:val="23"/>
        </w:rPr>
        <w:t>ACKNOWLEDGEMENTS</w:t>
      </w: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spacing w:line="360" w:lineRule="auto"/>
        <w:ind w:left="1760" w:right="1433"/>
        <w:jc w:val="both"/>
      </w:pPr>
      <w:r>
        <w:rPr/>
        <w:t>I give thanks to my Heavenly Father, who is the God Almighty for the successful completion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thesis.</w:t>
      </w:r>
      <w:r>
        <w:rPr>
          <w:spacing w:val="-2"/>
        </w:rPr>
        <w:t> </w:t>
      </w:r>
      <w:r>
        <w:rPr/>
        <w:t>I</w:t>
      </w:r>
      <w:r>
        <w:rPr>
          <w:spacing w:val="-8"/>
        </w:rPr>
        <w:t> </w:t>
      </w:r>
      <w:r>
        <w:rPr/>
        <w:t>express</w:t>
      </w:r>
      <w:r>
        <w:rPr>
          <w:spacing w:val="-5"/>
        </w:rPr>
        <w:t> </w:t>
      </w:r>
      <w:r>
        <w:rPr/>
        <w:t>my</w:t>
      </w:r>
      <w:r>
        <w:rPr>
          <w:spacing w:val="-8"/>
        </w:rPr>
        <w:t> </w:t>
      </w:r>
      <w:r>
        <w:rPr/>
        <w:t>appreciation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several</w:t>
      </w:r>
      <w:r>
        <w:rPr>
          <w:spacing w:val="-1"/>
        </w:rPr>
        <w:t> </w:t>
      </w:r>
      <w:r>
        <w:rPr/>
        <w:t>individuals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have</w:t>
      </w:r>
      <w:r>
        <w:rPr>
          <w:spacing w:val="-6"/>
        </w:rPr>
        <w:t> </w:t>
      </w:r>
      <w:r>
        <w:rPr/>
        <w:t>contributed</w:t>
      </w:r>
      <w:r>
        <w:rPr>
          <w:spacing w:val="-5"/>
        </w:rPr>
        <w:t> </w:t>
      </w:r>
      <w:r>
        <w:rPr/>
        <w:t>directly</w:t>
      </w:r>
      <w:r>
        <w:rPr>
          <w:spacing w:val="-10"/>
        </w:rPr>
        <w:t> </w:t>
      </w:r>
      <w:r>
        <w:rPr/>
        <w:t>or</w:t>
      </w:r>
      <w:r>
        <w:rPr>
          <w:spacing w:val="-57"/>
        </w:rPr>
        <w:t> </w:t>
      </w:r>
      <w:r>
        <w:rPr/>
        <w:t>indirectly, through the diverse phases of the research and writing of this dissertation. My</w:t>
      </w:r>
      <w:r>
        <w:rPr>
          <w:spacing w:val="1"/>
        </w:rPr>
        <w:t> </w:t>
      </w:r>
      <w:r>
        <w:rPr/>
        <w:t>profound gratitude goes to the Chancellor and Chairman of the Board of Regents, Covenant</w:t>
      </w:r>
      <w:r>
        <w:rPr>
          <w:spacing w:val="1"/>
        </w:rPr>
        <w:t> </w:t>
      </w:r>
      <w:r>
        <w:rPr/>
        <w:t>University,</w:t>
      </w:r>
      <w:r>
        <w:rPr>
          <w:spacing w:val="-6"/>
        </w:rPr>
        <w:t> </w:t>
      </w:r>
      <w:r>
        <w:rPr/>
        <w:t>Dr.</w:t>
      </w:r>
      <w:r>
        <w:rPr>
          <w:spacing w:val="-7"/>
        </w:rPr>
        <w:t> </w:t>
      </w:r>
      <w:r>
        <w:rPr/>
        <w:t>David</w:t>
      </w:r>
      <w:r>
        <w:rPr>
          <w:spacing w:val="-6"/>
        </w:rPr>
        <w:t> </w:t>
      </w:r>
      <w:r>
        <w:rPr/>
        <w:t>O.</w:t>
      </w:r>
      <w:r>
        <w:rPr>
          <w:spacing w:val="-4"/>
        </w:rPr>
        <w:t> </w:t>
      </w:r>
      <w:r>
        <w:rPr/>
        <w:t>Oyedepo,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conducive</w:t>
      </w:r>
      <w:r>
        <w:rPr>
          <w:spacing w:val="-7"/>
        </w:rPr>
        <w:t> </w:t>
      </w:r>
      <w:r>
        <w:rPr/>
        <w:t>spiritual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mentorship</w:t>
      </w:r>
      <w:r>
        <w:rPr>
          <w:spacing w:val="-6"/>
        </w:rPr>
        <w:t> </w:t>
      </w:r>
      <w:r>
        <w:rPr/>
        <w:t>pedestal,</w:t>
      </w:r>
      <w:r>
        <w:rPr>
          <w:spacing w:val="-6"/>
        </w:rPr>
        <w:t> </w:t>
      </w:r>
      <w:r>
        <w:rPr/>
        <w:t>which</w:t>
      </w:r>
      <w:r>
        <w:rPr>
          <w:spacing w:val="-58"/>
        </w:rPr>
        <w:t> </w:t>
      </w:r>
      <w:r>
        <w:rPr/>
        <w:t>facilitated the success of this research work. I acknowledge the Vice-Chancellor Prof. AAA</w:t>
      </w:r>
      <w:r>
        <w:rPr>
          <w:spacing w:val="1"/>
        </w:rPr>
        <w:t> </w:t>
      </w:r>
      <w:r>
        <w:rPr/>
        <w:t>Atayero,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Deputy</w:t>
      </w:r>
      <w:r>
        <w:rPr>
          <w:spacing w:val="-11"/>
        </w:rPr>
        <w:t> </w:t>
      </w:r>
      <w:r>
        <w:rPr/>
        <w:t>Vice-Chancellor,</w:t>
      </w:r>
      <w:r>
        <w:rPr>
          <w:spacing w:val="-9"/>
        </w:rPr>
        <w:t> </w:t>
      </w:r>
      <w:r>
        <w:rPr/>
        <w:t>Prof.</w:t>
      </w:r>
      <w:r>
        <w:rPr>
          <w:spacing w:val="-9"/>
        </w:rPr>
        <w:t> </w:t>
      </w:r>
      <w:r>
        <w:rPr/>
        <w:t>A.</w:t>
      </w:r>
      <w:r>
        <w:rPr>
          <w:spacing w:val="-8"/>
        </w:rPr>
        <w:t> </w:t>
      </w:r>
      <w:r>
        <w:rPr/>
        <w:t>Williams,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Registrar,</w:t>
      </w:r>
      <w:r>
        <w:rPr>
          <w:spacing w:val="-9"/>
        </w:rPr>
        <w:t> </w:t>
      </w:r>
      <w:r>
        <w:rPr/>
        <w:t>Dr.</w:t>
      </w:r>
      <w:r>
        <w:rPr>
          <w:spacing w:val="-9"/>
        </w:rPr>
        <w:t> </w:t>
      </w:r>
      <w:r>
        <w:rPr/>
        <w:t>O.</w:t>
      </w:r>
      <w:r>
        <w:rPr>
          <w:spacing w:val="-9"/>
        </w:rPr>
        <w:t> </w:t>
      </w:r>
      <w:r>
        <w:rPr/>
        <w:t>Oludayo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all</w:t>
      </w:r>
      <w:r>
        <w:rPr>
          <w:spacing w:val="-58"/>
        </w:rPr>
        <w:t> </w:t>
      </w:r>
      <w:r>
        <w:rPr/>
        <w:t>other members of the management team of Covenant University for their commitment to</w:t>
      </w:r>
      <w:r>
        <w:rPr>
          <w:spacing w:val="1"/>
        </w:rPr>
        <w:t> </w:t>
      </w:r>
      <w:r>
        <w:rPr/>
        <w:t>Vision 10:2022 and for providing an academic-enabling environment to learn, research and</w:t>
      </w:r>
      <w:r>
        <w:rPr>
          <w:spacing w:val="1"/>
        </w:rPr>
        <w:t> </w:t>
      </w:r>
      <w:r>
        <w:rPr/>
        <w:t>write</w:t>
      </w:r>
      <w:r>
        <w:rPr>
          <w:spacing w:val="-2"/>
        </w:rPr>
        <w:t> </w:t>
      </w:r>
      <w:r>
        <w:rPr/>
        <w:t>this thesis.</w:t>
      </w:r>
    </w:p>
    <w:p>
      <w:pPr>
        <w:pStyle w:val="BodyText"/>
        <w:spacing w:line="360" w:lineRule="auto" w:before="203"/>
        <w:ind w:left="1760" w:right="1435"/>
        <w:jc w:val="both"/>
      </w:pPr>
      <w:r>
        <w:rPr/>
        <w:t>I acknowledge the meticulous leadership and guidance of the Dean of Postgraduate school,</w:t>
      </w:r>
      <w:r>
        <w:rPr>
          <w:spacing w:val="1"/>
        </w:rPr>
        <w:t> </w:t>
      </w:r>
      <w:r>
        <w:rPr/>
        <w:t>Prof. A.H. Adebayo, the Dean of Business and Social Sciences, Prof. Philip O. Alege and</w:t>
      </w:r>
      <w:r>
        <w:rPr>
          <w:spacing w:val="1"/>
        </w:rPr>
        <w:t> </w:t>
      </w:r>
      <w:r>
        <w:rPr/>
        <w:t>everyone that served as the College and Postgraduate school representative at my College-</w:t>
      </w:r>
      <w:r>
        <w:rPr>
          <w:spacing w:val="1"/>
        </w:rPr>
        <w:t> </w:t>
      </w:r>
      <w:r>
        <w:rPr/>
        <w:t>level presentations, including Prof. U. Uwuigbe, Dr. H. Okodua and Prof. I.S. Afolabi. I</w:t>
      </w:r>
      <w:r>
        <w:rPr>
          <w:spacing w:val="1"/>
        </w:rPr>
        <w:t> </w:t>
      </w:r>
      <w:r>
        <w:rPr/>
        <w:t>recognise your valuable contributions and efforts towards improving the quality of the thesis.</w:t>
      </w:r>
      <w:r>
        <w:rPr>
          <w:spacing w:val="-57"/>
        </w:rPr>
        <w:t> </w:t>
      </w:r>
      <w:r>
        <w:rPr/>
        <w:t>Thank</w:t>
      </w:r>
      <w:r>
        <w:rPr>
          <w:spacing w:val="1"/>
        </w:rPr>
        <w:t> </w:t>
      </w:r>
      <w:r>
        <w:rPr/>
        <w:t>you very</w:t>
      </w:r>
      <w:r>
        <w:rPr>
          <w:spacing w:val="-5"/>
        </w:rPr>
        <w:t> </w:t>
      </w:r>
      <w:r>
        <w:rPr/>
        <w:t>much sirs.</w:t>
      </w:r>
    </w:p>
    <w:p>
      <w:pPr>
        <w:pStyle w:val="BodyText"/>
        <w:spacing w:line="360" w:lineRule="auto" w:before="199"/>
        <w:ind w:left="1760" w:right="1439"/>
        <w:jc w:val="both"/>
      </w:pPr>
      <w:r>
        <w:rPr/>
        <w:t>I particularly acknowledge my Supervisor, Prof. Philip O. Alege, for insisting on nothing but</w:t>
      </w:r>
      <w:r>
        <w:rPr>
          <w:spacing w:val="1"/>
        </w:rPr>
        <w:t> </w:t>
      </w:r>
      <w:r>
        <w:rPr>
          <w:spacing w:val="-1"/>
        </w:rPr>
        <w:t>high-quality</w:t>
      </w:r>
      <w:r>
        <w:rPr>
          <w:spacing w:val="-17"/>
        </w:rPr>
        <w:t> </w:t>
      </w:r>
      <w:r>
        <w:rPr>
          <w:spacing w:val="-1"/>
        </w:rPr>
        <w:t>research.</w:t>
      </w:r>
      <w:r>
        <w:rPr>
          <w:spacing w:val="-11"/>
        </w:rPr>
        <w:t> </w:t>
      </w:r>
      <w:r>
        <w:rPr/>
        <w:t>He</w:t>
      </w:r>
      <w:r>
        <w:rPr>
          <w:spacing w:val="-11"/>
        </w:rPr>
        <w:t> </w:t>
      </w:r>
      <w:r>
        <w:rPr/>
        <w:t>also</w:t>
      </w:r>
      <w:r>
        <w:rPr>
          <w:spacing w:val="-11"/>
        </w:rPr>
        <w:t> </w:t>
      </w:r>
      <w:r>
        <w:rPr/>
        <w:t>took</w:t>
      </w:r>
      <w:r>
        <w:rPr>
          <w:spacing w:val="-12"/>
        </w:rPr>
        <w:t> </w:t>
      </w:r>
      <w:r>
        <w:rPr/>
        <w:t>out</w:t>
      </w:r>
      <w:r>
        <w:rPr>
          <w:spacing w:val="-11"/>
        </w:rPr>
        <w:t> </w:t>
      </w:r>
      <w:r>
        <w:rPr/>
        <w:t>time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read,</w:t>
      </w:r>
      <w:r>
        <w:rPr>
          <w:spacing w:val="-12"/>
        </w:rPr>
        <w:t> </w:t>
      </w:r>
      <w:r>
        <w:rPr/>
        <w:t>correct,</w:t>
      </w:r>
      <w:r>
        <w:rPr>
          <w:spacing w:val="-11"/>
        </w:rPr>
        <w:t> </w:t>
      </w:r>
      <w:r>
        <w:rPr/>
        <w:t>re-read</w:t>
      </w:r>
      <w:r>
        <w:rPr>
          <w:spacing w:val="-12"/>
        </w:rPr>
        <w:t> </w:t>
      </w:r>
      <w:r>
        <w:rPr/>
        <w:t>and</w:t>
      </w:r>
      <w:r>
        <w:rPr>
          <w:spacing w:val="-7"/>
        </w:rPr>
        <w:t> </w:t>
      </w:r>
      <w:r>
        <w:rPr/>
        <w:t>give</w:t>
      </w:r>
      <w:r>
        <w:rPr>
          <w:spacing w:val="-10"/>
        </w:rPr>
        <w:t> </w:t>
      </w:r>
      <w:r>
        <w:rPr/>
        <w:t>helpful</w:t>
      </w:r>
      <w:r>
        <w:rPr>
          <w:spacing w:val="-12"/>
        </w:rPr>
        <w:t> </w:t>
      </w:r>
      <w:r>
        <w:rPr/>
        <w:t>feedbacks</w:t>
      </w:r>
      <w:r>
        <w:rPr>
          <w:spacing w:val="-57"/>
        </w:rPr>
        <w:t> </w:t>
      </w:r>
      <w:r>
        <w:rPr/>
        <w:t>and instructions at each stage of the research writing. I also appreciate his role in mentoring</w:t>
      </w:r>
      <w:r>
        <w:rPr>
          <w:spacing w:val="1"/>
        </w:rPr>
        <w:t> </w:t>
      </w:r>
      <w:r>
        <w:rPr/>
        <w:t>me into the framework of Dynamic Stochastic General Equilibrium models. My profound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Co-Supervisor,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Olomola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wishes,</w:t>
      </w:r>
      <w:r>
        <w:rPr>
          <w:spacing w:val="1"/>
        </w:rPr>
        <w:t> </w:t>
      </w:r>
      <w:r>
        <w:rPr/>
        <w:t>encouragement and constructive criticisms that challenged my thinking and strengthened the</w:t>
      </w:r>
      <w:r>
        <w:rPr>
          <w:spacing w:val="1"/>
        </w:rPr>
        <w:t> </w:t>
      </w:r>
      <w:r>
        <w:rPr/>
        <w:t>quality of this work. I also acknowledge erudite Professors in the Department of Economics</w:t>
      </w:r>
      <w:r>
        <w:rPr>
          <w:spacing w:val="1"/>
        </w:rPr>
        <w:t> </w:t>
      </w:r>
      <w:r>
        <w:rPr/>
        <w:t>and</w:t>
      </w:r>
      <w:r>
        <w:rPr>
          <w:spacing w:val="9"/>
        </w:rPr>
        <w:t> </w:t>
      </w:r>
      <w:r>
        <w:rPr/>
        <w:t>Development</w:t>
      </w:r>
      <w:r>
        <w:rPr>
          <w:spacing w:val="11"/>
        </w:rPr>
        <w:t> </w:t>
      </w:r>
      <w:r>
        <w:rPr/>
        <w:t>Studies,</w:t>
      </w:r>
      <w:r>
        <w:rPr>
          <w:spacing w:val="11"/>
        </w:rPr>
        <w:t> </w:t>
      </w:r>
      <w:r>
        <w:rPr/>
        <w:t>including</w:t>
      </w:r>
      <w:r>
        <w:rPr>
          <w:spacing w:val="11"/>
        </w:rPr>
        <w:t> </w:t>
      </w:r>
      <w:r>
        <w:rPr/>
        <w:t>Prof.</w:t>
      </w:r>
      <w:r>
        <w:rPr>
          <w:spacing w:val="10"/>
        </w:rPr>
        <w:t> </w:t>
      </w:r>
      <w:r>
        <w:rPr/>
        <w:t>O.</w:t>
      </w:r>
      <w:r>
        <w:rPr>
          <w:spacing w:val="10"/>
        </w:rPr>
        <w:t> </w:t>
      </w:r>
      <w:r>
        <w:rPr/>
        <w:t>Olurinola,</w:t>
      </w:r>
      <w:r>
        <w:rPr>
          <w:spacing w:val="10"/>
        </w:rPr>
        <w:t> </w:t>
      </w:r>
      <w:r>
        <w:rPr/>
        <w:t>Prof.</w:t>
      </w:r>
      <w:r>
        <w:rPr>
          <w:spacing w:val="10"/>
        </w:rPr>
        <w:t> </w:t>
      </w:r>
      <w:r>
        <w:rPr/>
        <w:t>G.</w:t>
      </w:r>
      <w:r>
        <w:rPr>
          <w:spacing w:val="10"/>
        </w:rPr>
        <w:t> </w:t>
      </w:r>
      <w:r>
        <w:rPr/>
        <w:t>Oni,</w:t>
      </w:r>
      <w:r>
        <w:rPr>
          <w:spacing w:val="10"/>
        </w:rPr>
        <w:t> </w:t>
      </w:r>
      <w:r>
        <w:rPr/>
        <w:t>Prof.</w:t>
      </w:r>
      <w:r>
        <w:rPr>
          <w:spacing w:val="10"/>
        </w:rPr>
        <w:t> </w:t>
      </w:r>
      <w:r>
        <w:rPr/>
        <w:t>S.</w:t>
      </w:r>
      <w:r>
        <w:rPr>
          <w:spacing w:val="10"/>
        </w:rPr>
        <w:t> </w:t>
      </w:r>
      <w:r>
        <w:rPr/>
        <w:t>Edo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Prof.</w:t>
      </w:r>
    </w:p>
    <w:p>
      <w:pPr>
        <w:pStyle w:val="BodyText"/>
        <w:spacing w:line="360" w:lineRule="auto" w:before="1"/>
        <w:ind w:left="1760" w:right="1444"/>
        <w:jc w:val="both"/>
      </w:pPr>
      <w:r>
        <w:rPr/>
        <w:t>E. Osabuohien who tirelessly read, corrected and offered helpful comments, which motivated</w:t>
      </w:r>
      <w:r>
        <w:rPr>
          <w:spacing w:val="-57"/>
        </w:rPr>
        <w:t> </w:t>
      </w:r>
      <w:r>
        <w:rPr/>
        <w:t>me to reason and write better. I also appreciate the encouragement that I received from the</w:t>
      </w:r>
      <w:r>
        <w:rPr>
          <w:spacing w:val="1"/>
        </w:rPr>
        <w:t> </w:t>
      </w:r>
      <w:r>
        <w:rPr/>
        <w:t>Head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Department,</w:t>
      </w:r>
      <w:r>
        <w:rPr>
          <w:spacing w:val="-2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Studies,</w:t>
      </w:r>
      <w:r>
        <w:rPr>
          <w:spacing w:val="-2"/>
        </w:rPr>
        <w:t> </w:t>
      </w:r>
      <w:r>
        <w:rPr/>
        <w:t>Dr.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Azuh. I</w:t>
      </w:r>
      <w:r>
        <w:rPr>
          <w:spacing w:val="-7"/>
        </w:rPr>
        <w:t> </w:t>
      </w:r>
      <w:r>
        <w:rPr/>
        <w:t>am</w:t>
      </w:r>
      <w:r>
        <w:rPr>
          <w:spacing w:val="-2"/>
        </w:rPr>
        <w:t> </w:t>
      </w:r>
      <w:r>
        <w:rPr/>
        <w:t>grateful</w:t>
      </w:r>
      <w:r>
        <w:rPr>
          <w:spacing w:val="-1"/>
        </w:rPr>
        <w:t> </w:t>
      </w:r>
      <w:r>
        <w:rPr/>
        <w:t>to you</w:t>
      </w:r>
      <w:r>
        <w:rPr>
          <w:spacing w:val="-57"/>
        </w:rPr>
        <w:t> </w:t>
      </w:r>
      <w:r>
        <w:rPr/>
        <w:t>sirs.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40" w:right="0"/>
        </w:sectPr>
      </w:pPr>
    </w:p>
    <w:p>
      <w:pPr>
        <w:pStyle w:val="BodyText"/>
        <w:spacing w:line="360" w:lineRule="auto" w:before="74"/>
        <w:ind w:left="1760" w:right="1440"/>
        <w:jc w:val="both"/>
      </w:pPr>
      <w:r>
        <w:rPr/>
        <w:t>I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mentors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colleagues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2"/>
        </w:rPr>
        <w:t> </w:t>
      </w:r>
      <w:r>
        <w:rPr/>
        <w:t>Studies:</w:t>
      </w:r>
      <w:r>
        <w:rPr>
          <w:spacing w:val="12"/>
        </w:rPr>
        <w:t> </w:t>
      </w:r>
      <w:r>
        <w:rPr/>
        <w:t>Doctors</w:t>
      </w:r>
      <w:r>
        <w:rPr>
          <w:spacing w:val="12"/>
        </w:rPr>
        <w:t> </w:t>
      </w:r>
      <w:r>
        <w:rPr/>
        <w:t>H.</w:t>
      </w:r>
      <w:r>
        <w:rPr>
          <w:spacing w:val="11"/>
        </w:rPr>
        <w:t> </w:t>
      </w:r>
      <w:r>
        <w:rPr/>
        <w:t>Okodua,</w:t>
      </w:r>
      <w:r>
        <w:rPr>
          <w:spacing w:val="13"/>
        </w:rPr>
        <w:t> </w:t>
      </w:r>
      <w:r>
        <w:rPr/>
        <w:t>E.</w:t>
      </w:r>
      <w:r>
        <w:rPr>
          <w:spacing w:val="11"/>
        </w:rPr>
        <w:t> </w:t>
      </w:r>
      <w:r>
        <w:rPr/>
        <w:t>Bowale,</w:t>
      </w:r>
      <w:r>
        <w:rPr>
          <w:spacing w:val="11"/>
        </w:rPr>
        <w:t> </w:t>
      </w:r>
      <w:r>
        <w:rPr/>
        <w:t>M.</w:t>
      </w:r>
      <w:r>
        <w:rPr>
          <w:spacing w:val="12"/>
        </w:rPr>
        <w:t> </w:t>
      </w:r>
      <w:r>
        <w:rPr/>
        <w:t>Oladosu,</w:t>
      </w:r>
      <w:r>
        <w:rPr>
          <w:spacing w:val="13"/>
        </w:rPr>
        <w:t> </w:t>
      </w:r>
      <w:r>
        <w:rPr/>
        <w:t>O.</w:t>
      </w:r>
      <w:r>
        <w:rPr>
          <w:spacing w:val="11"/>
        </w:rPr>
        <w:t> </w:t>
      </w:r>
      <w:r>
        <w:rPr/>
        <w:t>Gershon,</w:t>
      </w:r>
      <w:r>
        <w:rPr>
          <w:spacing w:val="11"/>
        </w:rPr>
        <w:t> </w:t>
      </w:r>
      <w:r>
        <w:rPr/>
        <w:t>B.</w:t>
      </w:r>
      <w:r>
        <w:rPr>
          <w:spacing w:val="12"/>
        </w:rPr>
        <w:t> </w:t>
      </w:r>
      <w:r>
        <w:rPr/>
        <w:t>Ewetan,</w:t>
      </w:r>
    </w:p>
    <w:p>
      <w:pPr>
        <w:pStyle w:val="BodyText"/>
        <w:spacing w:line="360" w:lineRule="auto" w:before="1"/>
        <w:ind w:left="1760" w:right="1435"/>
        <w:jc w:val="both"/>
      </w:pPr>
      <w:r>
        <w:rPr/>
        <w:t>E. Oduntan, A. Matthew, E. Urhie and others. God bless you all for your prayers, advice,</w:t>
      </w:r>
      <w:r>
        <w:rPr>
          <w:spacing w:val="1"/>
        </w:rPr>
        <w:t> </w:t>
      </w:r>
      <w:r>
        <w:rPr/>
        <w:t>constructive feedbacks and contributions at the various departmental and college presentation</w:t>
      </w:r>
      <w:r>
        <w:rPr>
          <w:spacing w:val="-57"/>
        </w:rPr>
        <w:t> </w:t>
      </w:r>
      <w:r>
        <w:rPr/>
        <w:t>of this work. In addition, I acknowledge Dr. A. Adegboye of the Department of Economics,</w:t>
      </w:r>
      <w:r>
        <w:rPr>
          <w:spacing w:val="1"/>
        </w:rPr>
        <w:t> </w:t>
      </w:r>
      <w:r>
        <w:rPr/>
        <w:t>Obafemi Awolowo University whose thesis tremendously aided my understanding of DSGE</w:t>
      </w:r>
      <w:r>
        <w:rPr>
          <w:spacing w:val="1"/>
        </w:rPr>
        <w:t> </w:t>
      </w:r>
      <w:r>
        <w:rPr/>
        <w:t>modelling.</w:t>
      </w:r>
      <w:r>
        <w:rPr>
          <w:spacing w:val="-6"/>
        </w:rPr>
        <w:t> </w:t>
      </w:r>
      <w:r>
        <w:rPr/>
        <w:t>I</w:t>
      </w:r>
      <w:r>
        <w:rPr>
          <w:spacing w:val="-11"/>
        </w:rPr>
        <w:t> </w:t>
      </w:r>
      <w:r>
        <w:rPr/>
        <w:t>also</w:t>
      </w:r>
      <w:r>
        <w:rPr>
          <w:spacing w:val="-7"/>
        </w:rPr>
        <w:t> </w:t>
      </w:r>
      <w:r>
        <w:rPr/>
        <w:t>recognise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Dynare</w:t>
      </w:r>
      <w:r>
        <w:rPr>
          <w:spacing w:val="-8"/>
        </w:rPr>
        <w:t> </w:t>
      </w:r>
      <w:r>
        <w:rPr/>
        <w:t>Forum</w:t>
      </w:r>
      <w:r>
        <w:rPr>
          <w:spacing w:val="-8"/>
        </w:rPr>
        <w:t> </w:t>
      </w:r>
      <w:r>
        <w:rPr/>
        <w:t>moderated</w:t>
      </w:r>
      <w:r>
        <w:rPr>
          <w:spacing w:val="-8"/>
        </w:rPr>
        <w:t> </w:t>
      </w:r>
      <w:r>
        <w:rPr/>
        <w:t>by</w:t>
      </w:r>
      <w:r>
        <w:rPr>
          <w:spacing w:val="-12"/>
        </w:rPr>
        <w:t> </w:t>
      </w:r>
      <w:r>
        <w:rPr/>
        <w:t>Johannes</w:t>
      </w:r>
      <w:r>
        <w:rPr>
          <w:spacing w:val="-7"/>
        </w:rPr>
        <w:t> </w:t>
      </w:r>
      <w:r>
        <w:rPr/>
        <w:t>Pfeifer,</w:t>
      </w:r>
      <w:r>
        <w:rPr>
          <w:spacing w:val="-9"/>
        </w:rPr>
        <w:t> </w:t>
      </w:r>
      <w:r>
        <w:rPr/>
        <w:t>Michel</w:t>
      </w:r>
      <w:r>
        <w:rPr>
          <w:spacing w:val="-7"/>
        </w:rPr>
        <w:t> </w:t>
      </w:r>
      <w:r>
        <w:rPr/>
        <w:t>Julliard,</w:t>
      </w:r>
      <w:r>
        <w:rPr>
          <w:spacing w:val="-57"/>
        </w:rPr>
        <w:t> </w:t>
      </w:r>
      <w:r>
        <w:rPr/>
        <w:t>Stephane Adjemian and Sebastien Villemot. They helped to address bugging simulation and</w:t>
      </w:r>
      <w:r>
        <w:rPr>
          <w:spacing w:val="1"/>
        </w:rPr>
        <w:t> </w:t>
      </w:r>
      <w:r>
        <w:rPr/>
        <w:t>estimation questions.</w:t>
      </w:r>
    </w:p>
    <w:p>
      <w:pPr>
        <w:pStyle w:val="BodyText"/>
        <w:spacing w:line="360" w:lineRule="auto" w:before="201"/>
        <w:ind w:left="1760" w:right="1436"/>
        <w:jc w:val="both"/>
      </w:pPr>
      <w:r>
        <w:rPr/>
        <w:t>My</w:t>
      </w:r>
      <w:r>
        <w:rPr>
          <w:spacing w:val="-10"/>
        </w:rPr>
        <w:t> </w:t>
      </w:r>
      <w:r>
        <w:rPr/>
        <w:t>special gratitude goes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-10"/>
        </w:rPr>
        <w:t> </w:t>
      </w:r>
      <w:r>
        <w:rPr/>
        <w:t>dear</w:t>
      </w:r>
      <w:r>
        <w:rPr>
          <w:spacing w:val="-1"/>
        </w:rPr>
        <w:t> </w:t>
      </w:r>
      <w:r>
        <w:rPr/>
        <w:t>parents,</w:t>
      </w:r>
      <w:r>
        <w:rPr>
          <w:spacing w:val="-1"/>
        </w:rPr>
        <w:t> </w:t>
      </w:r>
      <w:r>
        <w:rPr/>
        <w:t>Rev.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Pastor</w:t>
      </w:r>
      <w:r>
        <w:rPr>
          <w:spacing w:val="-2"/>
        </w:rPr>
        <w:t> </w:t>
      </w:r>
      <w:r>
        <w:rPr/>
        <w:t>(Mrs.)</w:t>
      </w:r>
      <w:r>
        <w:rPr>
          <w:spacing w:val="-2"/>
        </w:rPr>
        <w:t> </w:t>
      </w:r>
      <w:r>
        <w:rPr/>
        <w:t>B.</w:t>
      </w:r>
      <w:r>
        <w:rPr>
          <w:spacing w:val="-1"/>
        </w:rPr>
        <w:t> </w:t>
      </w:r>
      <w:r>
        <w:rPr/>
        <w:t>Oluwatimiro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their</w:t>
      </w:r>
      <w:r>
        <w:rPr>
          <w:spacing w:val="-58"/>
        </w:rPr>
        <w:t> </w:t>
      </w:r>
      <w:r>
        <w:rPr/>
        <w:t>prayers,</w:t>
      </w:r>
      <w:r>
        <w:rPr>
          <w:spacing w:val="-10"/>
        </w:rPr>
        <w:t> </w:t>
      </w:r>
      <w:r>
        <w:rPr/>
        <w:t>financial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moral</w:t>
      </w:r>
      <w:r>
        <w:rPr>
          <w:spacing w:val="-9"/>
        </w:rPr>
        <w:t> </w:t>
      </w:r>
      <w:r>
        <w:rPr/>
        <w:t>support</w:t>
      </w:r>
      <w:r>
        <w:rPr>
          <w:spacing w:val="-9"/>
        </w:rPr>
        <w:t> </w:t>
      </w:r>
      <w:r>
        <w:rPr/>
        <w:t>all</w:t>
      </w:r>
      <w:r>
        <w:rPr>
          <w:spacing w:val="-8"/>
        </w:rPr>
        <w:t> </w:t>
      </w:r>
      <w:r>
        <w:rPr/>
        <w:t>through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years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academic</w:t>
      </w:r>
      <w:r>
        <w:rPr>
          <w:spacing w:val="-10"/>
        </w:rPr>
        <w:t> </w:t>
      </w:r>
      <w:r>
        <w:rPr/>
        <w:t>pursuit.</w:t>
      </w:r>
      <w:r>
        <w:rPr>
          <w:spacing w:val="-10"/>
        </w:rPr>
        <w:t> </w:t>
      </w:r>
      <w:r>
        <w:rPr/>
        <w:t>I</w:t>
      </w:r>
      <w:r>
        <w:rPr>
          <w:spacing w:val="-14"/>
        </w:rPr>
        <w:t> </w:t>
      </w:r>
      <w:r>
        <w:rPr/>
        <w:t>would</w:t>
      </w:r>
      <w:r>
        <w:rPr>
          <w:spacing w:val="-9"/>
        </w:rPr>
        <w:t> </w:t>
      </w:r>
      <w:r>
        <w:rPr/>
        <w:t>also</w:t>
      </w:r>
      <w:r>
        <w:rPr>
          <w:spacing w:val="-8"/>
        </w:rPr>
        <w:t> </w:t>
      </w:r>
      <w:r>
        <w:rPr/>
        <w:t>not</w:t>
      </w:r>
      <w:r>
        <w:rPr>
          <w:spacing w:val="-58"/>
        </w:rPr>
        <w:t> </w:t>
      </w:r>
      <w:r>
        <w:rPr/>
        <w:t>fail to specially acknowledge my husband, Gbenga Oye and my children: EriOluwa and</w:t>
      </w:r>
      <w:r>
        <w:rPr>
          <w:spacing w:val="1"/>
        </w:rPr>
        <w:t> </w:t>
      </w:r>
      <w:r>
        <w:rPr/>
        <w:t>IbukunOluwa. Thank you for all that you are to me in God. I deeply appreciate your love,</w:t>
      </w:r>
      <w:r>
        <w:rPr>
          <w:spacing w:val="1"/>
        </w:rPr>
        <w:t> </w:t>
      </w:r>
      <w:r>
        <w:rPr/>
        <w:t>patience,</w:t>
      </w:r>
      <w:r>
        <w:rPr>
          <w:spacing w:val="-10"/>
        </w:rPr>
        <w:t> </w:t>
      </w:r>
      <w:r>
        <w:rPr/>
        <w:t>prayers,</w:t>
      </w:r>
      <w:r>
        <w:rPr>
          <w:spacing w:val="-9"/>
        </w:rPr>
        <w:t> </w:t>
      </w:r>
      <w:r>
        <w:rPr/>
        <w:t>support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sacrifices</w:t>
      </w:r>
      <w:r>
        <w:rPr>
          <w:spacing w:val="-4"/>
        </w:rPr>
        <w:t> </w:t>
      </w:r>
      <w:r>
        <w:rPr/>
        <w:t>you</w:t>
      </w:r>
      <w:r>
        <w:rPr>
          <w:spacing w:val="-10"/>
        </w:rPr>
        <w:t> </w:t>
      </w:r>
      <w:r>
        <w:rPr/>
        <w:t>made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course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Ph.D</w:t>
      </w:r>
      <w:r>
        <w:rPr>
          <w:spacing w:val="-13"/>
        </w:rPr>
        <w:t> </w:t>
      </w:r>
      <w:r>
        <w:rPr/>
        <w:t>programme.</w:t>
      </w:r>
      <w:r>
        <w:rPr>
          <w:spacing w:val="-6"/>
        </w:rPr>
        <w:t> </w:t>
      </w:r>
      <w:r>
        <w:rPr/>
        <w:t>I</w:t>
      </w:r>
      <w:r>
        <w:rPr>
          <w:spacing w:val="-14"/>
        </w:rPr>
        <w:t> </w:t>
      </w:r>
      <w:r>
        <w:rPr/>
        <w:t>love</w:t>
      </w:r>
      <w:r>
        <w:rPr>
          <w:spacing w:val="-58"/>
        </w:rPr>
        <w:t> </w:t>
      </w:r>
      <w:r>
        <w:rPr/>
        <w:t>you</w:t>
      </w:r>
      <w:r>
        <w:rPr>
          <w:spacing w:val="-1"/>
        </w:rPr>
        <w:t> </w:t>
      </w:r>
      <w:r>
        <w:rPr/>
        <w:t>all.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40" w:right="0"/>
        </w:sectPr>
      </w:pPr>
    </w:p>
    <w:tbl>
      <w:tblPr>
        <w:tblW w:w="0" w:type="auto"/>
        <w:jc w:val="left"/>
        <w:tblInd w:w="17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6"/>
        <w:gridCol w:w="4259"/>
        <w:gridCol w:w="1774"/>
        <w:gridCol w:w="560"/>
      </w:tblGrid>
      <w:tr>
        <w:trPr>
          <w:trHeight w:val="437" w:hRule="atLeast"/>
        </w:trPr>
        <w:tc>
          <w:tcPr>
            <w:tcW w:w="25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9" w:type="dxa"/>
          </w:tcPr>
          <w:p>
            <w:pPr>
              <w:pStyle w:val="TableParagraph"/>
              <w:spacing w:line="266" w:lineRule="exact"/>
              <w:ind w:left="414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CONTENTS</w:t>
            </w:r>
          </w:p>
        </w:tc>
        <w:tc>
          <w:tcPr>
            <w:tcW w:w="1774" w:type="dxa"/>
          </w:tcPr>
          <w:p>
            <w:pPr>
              <w:pStyle w:val="TableParagraph"/>
              <w:spacing w:line="266" w:lineRule="exact"/>
              <w:ind w:left="0" w:right="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  <w:tc>
          <w:tcPr>
            <w:tcW w:w="56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42" w:hRule="atLeast"/>
        </w:trPr>
        <w:tc>
          <w:tcPr>
            <w:tcW w:w="2516" w:type="dxa"/>
          </w:tcPr>
          <w:p>
            <w:pPr>
              <w:pStyle w:val="TableParagraph"/>
              <w:spacing w:before="162"/>
              <w:ind w:left="50"/>
              <w:rPr>
                <w:sz w:val="24"/>
              </w:rPr>
            </w:pPr>
            <w:r>
              <w:rPr>
                <w:sz w:val="24"/>
              </w:rPr>
              <w:t>Cover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425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spacing w:before="162"/>
              <w:ind w:left="0" w:right="108"/>
              <w:jc w:val="right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>
        <w:trPr>
          <w:trHeight w:val="4923" w:hRule="atLeast"/>
        </w:trPr>
        <w:tc>
          <w:tcPr>
            <w:tcW w:w="2516" w:type="dxa"/>
          </w:tcPr>
          <w:p>
            <w:pPr>
              <w:pStyle w:val="TableParagraph"/>
              <w:spacing w:line="360" w:lineRule="auto" w:before="94"/>
              <w:ind w:left="50" w:right="661"/>
              <w:rPr>
                <w:sz w:val="24"/>
              </w:rPr>
            </w:pPr>
            <w:r>
              <w:rPr>
                <w:sz w:val="24"/>
              </w:rPr>
              <w:t>Title Page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Acceptance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Declaration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Certification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Dedication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Acknowledgments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Table of Contents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Tables</w:t>
            </w:r>
          </w:p>
          <w:p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Figures</w:t>
            </w:r>
          </w:p>
          <w:p>
            <w:pPr>
              <w:pStyle w:val="TableParagraph"/>
              <w:spacing w:line="410" w:lineRule="atLeast"/>
              <w:ind w:left="50" w:right="411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Abbreviations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List of Appendices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Abstract</w:t>
            </w:r>
          </w:p>
        </w:tc>
        <w:tc>
          <w:tcPr>
            <w:tcW w:w="425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spacing w:line="360" w:lineRule="auto" w:before="94"/>
              <w:ind w:left="142" w:right="50" w:firstLine="180"/>
              <w:jc w:val="both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iv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xiii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xv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xvi</w:t>
            </w:r>
          </w:p>
          <w:p>
            <w:pPr>
              <w:pStyle w:val="TableParagraph"/>
              <w:spacing w:before="1"/>
              <w:ind w:left="82"/>
              <w:rPr>
                <w:sz w:val="24"/>
              </w:rPr>
            </w:pPr>
            <w:r>
              <w:rPr>
                <w:sz w:val="24"/>
              </w:rPr>
              <w:t>xvii</w:t>
            </w:r>
          </w:p>
          <w:p>
            <w:pPr>
              <w:pStyle w:val="TableParagraph"/>
              <w:spacing w:line="256" w:lineRule="exact" w:before="137"/>
              <w:ind w:left="22"/>
              <w:rPr>
                <w:sz w:val="24"/>
              </w:rPr>
            </w:pPr>
            <w:r>
              <w:rPr>
                <w:sz w:val="24"/>
              </w:rPr>
              <w:t>xviii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935" w:top="1440" w:bottom="1548" w:left="4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759" w:val="right" w:leader="dot"/>
            </w:tabs>
            <w:spacing w:before="146"/>
            <w:rPr>
              <w:b w:val="0"/>
            </w:rPr>
          </w:pPr>
          <w:r>
            <w:rPr/>
            <w:t>CHAPTEONE:</w:t>
          </w:r>
          <w:r>
            <w:rPr>
              <w:spacing w:val="-7"/>
            </w:rPr>
            <w:t> </w:t>
          </w:r>
          <w:r>
            <w:rPr/>
            <w:t>INTRODUCTION</w:t>
            <w:tab/>
          </w:r>
          <w:r>
            <w:rPr>
              <w:b w:val="0"/>
            </w:rPr>
            <w:t>1</w:t>
          </w:r>
        </w:p>
        <w:p>
          <w:pPr>
            <w:pStyle w:val="TOC2"/>
            <w:numPr>
              <w:ilvl w:val="1"/>
              <w:numId w:val="1"/>
            </w:numPr>
            <w:tabs>
              <w:tab w:pos="2106" w:val="left" w:leader="none"/>
              <w:tab w:pos="10760" w:val="right" w:leader="dot"/>
            </w:tabs>
            <w:spacing w:line="240" w:lineRule="auto" w:before="152" w:after="0"/>
            <w:ind w:left="2106" w:right="0" w:hanging="346"/>
            <w:jc w:val="left"/>
          </w:pPr>
          <w:hyperlink w:history="true" w:anchor="_TOC_250059">
            <w:r>
              <w:rPr/>
              <w:t>Background</w:t>
            </w:r>
            <w:r>
              <w:rPr>
                <w:spacing w:val="-13"/>
              </w:rPr>
              <w:t> </w:t>
            </w:r>
            <w:r>
              <w:rPr/>
              <w:t>of</w:t>
            </w:r>
            <w:r>
              <w:rPr>
                <w:spacing w:val="-13"/>
              </w:rPr>
              <w:t> </w:t>
            </w:r>
            <w:r>
              <w:rPr/>
              <w:t>the</w:t>
            </w:r>
            <w:r>
              <w:rPr>
                <w:spacing w:val="-15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114" w:val="left" w:leader="none"/>
              <w:tab w:pos="10761" w:val="right" w:leader="dot"/>
            </w:tabs>
            <w:spacing w:line="240" w:lineRule="auto" w:before="200" w:after="0"/>
            <w:ind w:left="2113" w:right="0" w:hanging="354"/>
            <w:jc w:val="left"/>
          </w:pPr>
          <w:hyperlink w:history="true" w:anchor="_TOC_250058">
            <w:r>
              <w:rPr/>
              <w:t>Statement</w:t>
            </w:r>
            <w:r>
              <w:rPr>
                <w:spacing w:val="-8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Research</w:t>
            </w:r>
            <w:r>
              <w:rPr>
                <w:spacing w:val="-8"/>
              </w:rPr>
              <w:t> </w:t>
            </w:r>
            <w:r>
              <w:rPr/>
              <w:t>Problem…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109" w:val="left" w:leader="none"/>
              <w:tab w:pos="10763" w:val="right" w:leader="dot"/>
            </w:tabs>
            <w:spacing w:line="240" w:lineRule="auto" w:before="197" w:after="0"/>
            <w:ind w:left="2108" w:right="0" w:hanging="349"/>
            <w:jc w:val="left"/>
          </w:pPr>
          <w:hyperlink w:history="true" w:anchor="_TOC_250057">
            <w:r>
              <w:rPr/>
              <w:t>Research</w:t>
            </w:r>
            <w:r>
              <w:rPr>
                <w:spacing w:val="-13"/>
              </w:rPr>
              <w:t> </w:t>
            </w:r>
            <w:r>
              <w:rPr/>
              <w:t>Questions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121" w:val="left" w:leader="none"/>
              <w:tab w:pos="10747" w:val="right" w:leader="dot"/>
            </w:tabs>
            <w:spacing w:line="240" w:lineRule="auto" w:before="278" w:after="0"/>
            <w:ind w:left="2120" w:right="0" w:hanging="361"/>
            <w:jc w:val="left"/>
          </w:pPr>
          <w:hyperlink w:history="true" w:anchor="_TOC_250056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Objectives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114" w:val="left" w:leader="none"/>
              <w:tab w:pos="10761" w:val="right" w:leader="dot"/>
            </w:tabs>
            <w:spacing w:line="240" w:lineRule="auto" w:before="202" w:after="0"/>
            <w:ind w:left="2113" w:right="0" w:hanging="354"/>
            <w:jc w:val="left"/>
          </w:pPr>
          <w:hyperlink w:history="true" w:anchor="_TOC_250055">
            <w:r>
              <w:rPr/>
              <w:t>Research</w:t>
            </w:r>
            <w:r>
              <w:rPr>
                <w:spacing w:val="-9"/>
              </w:rPr>
              <w:t> </w:t>
            </w:r>
            <w:r>
              <w:rPr/>
              <w:t>Hypotheses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116" w:val="left" w:leader="none"/>
              <w:tab w:pos="10761" w:val="right" w:leader="dot"/>
            </w:tabs>
            <w:spacing w:line="240" w:lineRule="auto" w:before="199" w:after="0"/>
            <w:ind w:left="2115" w:right="0" w:hanging="356"/>
            <w:jc w:val="left"/>
          </w:pPr>
          <w:hyperlink w:history="true" w:anchor="_TOC_250054">
            <w:r>
              <w:rPr/>
              <w:t>Scope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the</w:t>
            </w:r>
            <w:r>
              <w:rPr>
                <w:spacing w:val="-6"/>
              </w:rPr>
              <w:t> </w:t>
            </w:r>
            <w:r>
              <w:rPr/>
              <w:t>Study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107" w:val="left" w:leader="none"/>
              <w:tab w:pos="10761" w:val="right" w:leader="dot"/>
            </w:tabs>
            <w:spacing w:line="240" w:lineRule="auto" w:before="199" w:after="0"/>
            <w:ind w:left="2106" w:right="0" w:hanging="347"/>
            <w:jc w:val="left"/>
          </w:pPr>
          <w:r>
            <w:rPr/>
            <w:t>Significance</w:t>
          </w:r>
          <w:r>
            <w:rPr>
              <w:spacing w:val="-16"/>
            </w:rPr>
            <w:t> </w:t>
          </w:r>
          <w:r>
            <w:rPr/>
            <w:t>of</w:t>
          </w:r>
          <w:r>
            <w:rPr>
              <w:spacing w:val="-16"/>
            </w:rPr>
            <w:t> </w:t>
          </w:r>
          <w:r>
            <w:rPr/>
            <w:t>study</w:t>
            <w:tab/>
            <w:t>8</w:t>
          </w:r>
        </w:p>
        <w:p>
          <w:pPr>
            <w:pStyle w:val="TOC2"/>
            <w:numPr>
              <w:ilvl w:val="1"/>
              <w:numId w:val="1"/>
            </w:numPr>
            <w:tabs>
              <w:tab w:pos="2109" w:val="left" w:leader="none"/>
              <w:tab w:pos="10761" w:val="right" w:leader="dot"/>
            </w:tabs>
            <w:spacing w:line="240" w:lineRule="auto" w:before="202" w:after="0"/>
            <w:ind w:left="2108" w:right="0" w:hanging="349"/>
            <w:jc w:val="left"/>
          </w:pPr>
          <w:hyperlink w:history="true" w:anchor="_TOC_250053">
            <w:r>
              <w:rPr/>
              <w:t>Method</w:t>
            </w:r>
            <w:r>
              <w:rPr>
                <w:spacing w:val="-13"/>
              </w:rPr>
              <w:t> </w:t>
            </w:r>
            <w:r>
              <w:rPr/>
              <w:t>of</w:t>
            </w:r>
            <w:r>
              <w:rPr>
                <w:spacing w:val="-13"/>
              </w:rPr>
              <w:t> </w:t>
            </w:r>
            <w:r>
              <w:rPr/>
              <w:t>Analysis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114" w:val="left" w:leader="none"/>
              <w:tab w:pos="10761" w:val="right" w:leader="dot"/>
            </w:tabs>
            <w:spacing w:line="240" w:lineRule="auto" w:before="199" w:after="0"/>
            <w:ind w:left="2113" w:right="0" w:hanging="354"/>
            <w:jc w:val="left"/>
          </w:pPr>
          <w:hyperlink w:history="true" w:anchor="_TOC_250052">
            <w:r>
              <w:rPr/>
              <w:t>Outline</w:t>
            </w:r>
            <w:r>
              <w:rPr>
                <w:spacing w:val="-9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the</w:t>
            </w:r>
            <w:r>
              <w:rPr>
                <w:spacing w:val="-9"/>
              </w:rPr>
              <w:t> </w:t>
            </w:r>
            <w:r>
              <w:rPr/>
              <w:t>Study</w:t>
              <w:tab/>
              <w:t>9</w:t>
            </w:r>
          </w:hyperlink>
        </w:p>
        <w:p>
          <w:pPr>
            <w:pStyle w:val="TOC1"/>
            <w:tabs>
              <w:tab w:pos="10759" w:val="right" w:leader="dot"/>
            </w:tabs>
            <w:spacing w:before="198"/>
            <w:rPr>
              <w:b w:val="0"/>
            </w:rPr>
          </w:pPr>
          <w:hyperlink w:history="true" w:anchor="_TOC_250051">
            <w:r>
              <w:rPr/>
              <w:t>CHAPTER</w:t>
            </w:r>
            <w:r>
              <w:rPr>
                <w:spacing w:val="-6"/>
              </w:rPr>
              <w:t> </w:t>
            </w:r>
            <w:r>
              <w:rPr/>
              <w:t>TWO:</w:t>
            </w:r>
            <w:r>
              <w:rPr>
                <w:spacing w:val="-5"/>
              </w:rPr>
              <w:t> </w:t>
            </w:r>
            <w:r>
              <w:rPr/>
              <w:t>LITERATURE</w:t>
            </w:r>
            <w:r>
              <w:rPr>
                <w:spacing w:val="-5"/>
              </w:rPr>
              <w:t> </w:t>
            </w:r>
            <w:r>
              <w:rPr/>
              <w:t>REVIEW</w:t>
              <w:tab/>
            </w:r>
            <w:r>
              <w:rPr>
                <w:b w:val="0"/>
              </w:rPr>
              <w:t>10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114" w:val="left" w:leader="none"/>
              <w:tab w:pos="10761" w:val="right" w:leader="dot"/>
            </w:tabs>
            <w:spacing w:line="240" w:lineRule="auto" w:before="200" w:after="0"/>
            <w:ind w:left="2113" w:right="0" w:hanging="354"/>
            <w:jc w:val="left"/>
          </w:pPr>
          <w:hyperlink w:history="true" w:anchor="_TOC_250050">
            <w:r>
              <w:rPr/>
              <w:t>Review</w:t>
            </w:r>
            <w:r>
              <w:rPr>
                <w:spacing w:val="-10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Definitional</w:t>
            </w:r>
            <w:r>
              <w:rPr>
                <w:spacing w:val="-5"/>
              </w:rPr>
              <w:t> </w:t>
            </w:r>
            <w:r>
              <w:rPr/>
              <w:t>Issues</w:t>
              <w:tab/>
              <w:t>10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107" w:val="left" w:leader="none"/>
              <w:tab w:pos="10761" w:val="right" w:leader="dot"/>
            </w:tabs>
            <w:spacing w:line="240" w:lineRule="auto" w:before="276" w:after="0"/>
            <w:ind w:left="2106" w:right="0" w:hanging="347"/>
            <w:jc w:val="left"/>
          </w:pPr>
          <w:r>
            <w:rPr/>
            <w:t>Theoretical</w:t>
          </w:r>
          <w:r>
            <w:rPr>
              <w:spacing w:val="-15"/>
            </w:rPr>
            <w:t> </w:t>
          </w:r>
          <w:r>
            <w:rPr/>
            <w:t>Review</w:t>
          </w:r>
          <w:r>
            <w:rPr>
              <w:spacing w:val="-16"/>
            </w:rPr>
            <w:t> </w:t>
          </w:r>
          <w:r>
            <w:rPr/>
            <w:t>of</w:t>
          </w:r>
          <w:r>
            <w:rPr>
              <w:spacing w:val="-16"/>
            </w:rPr>
            <w:t> </w:t>
          </w:r>
          <w:r>
            <w:rPr/>
            <w:t>the</w:t>
          </w:r>
          <w:r>
            <w:rPr>
              <w:spacing w:val="-13"/>
            </w:rPr>
            <w:t> </w:t>
          </w:r>
          <w:r>
            <w:rPr/>
            <w:t>Literature</w:t>
            <w:tab/>
            <w:t>12</w:t>
          </w:r>
        </w:p>
        <w:p>
          <w:pPr>
            <w:pStyle w:val="TOC2"/>
            <w:numPr>
              <w:ilvl w:val="2"/>
              <w:numId w:val="2"/>
            </w:numPr>
            <w:tabs>
              <w:tab w:pos="2301" w:val="left" w:leader="none"/>
              <w:tab w:pos="10761" w:val="right" w:leader="dot"/>
            </w:tabs>
            <w:spacing w:line="240" w:lineRule="auto" w:before="275" w:after="113"/>
            <w:ind w:left="2300" w:right="0" w:hanging="541"/>
            <w:jc w:val="left"/>
          </w:pPr>
          <w:r>
            <w:rPr/>
            <w:t>Macroeconomic</w:t>
          </w:r>
          <w:r>
            <w:rPr>
              <w:spacing w:val="-1"/>
            </w:rPr>
            <w:t> </w:t>
          </w:r>
          <w:r>
            <w:rPr/>
            <w:t>Theories…</w:t>
            <w:tab/>
            <w:t>12</w:t>
          </w:r>
        </w:p>
        <w:p>
          <w:pPr>
            <w:pStyle w:val="TOC2"/>
            <w:numPr>
              <w:ilvl w:val="2"/>
              <w:numId w:val="2"/>
            </w:numPr>
            <w:tabs>
              <w:tab w:pos="2291" w:val="left" w:leader="none"/>
              <w:tab w:pos="10761" w:val="right" w:leader="dot"/>
            </w:tabs>
            <w:spacing w:line="240" w:lineRule="auto" w:before="348" w:after="0"/>
            <w:ind w:left="2290" w:right="0" w:hanging="531"/>
            <w:jc w:val="left"/>
          </w:pPr>
          <w:hyperlink w:history="true" w:anchor="_TOC_250049">
            <w:r>
              <w:rPr>
                <w:spacing w:val="-1"/>
              </w:rPr>
              <w:t>Models</w:t>
            </w:r>
            <w:r>
              <w:rPr>
                <w:spacing w:val="-9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Fiscal</w:t>
            </w:r>
            <w:r>
              <w:rPr>
                <w:spacing w:val="-7"/>
              </w:rPr>
              <w:t> </w:t>
            </w:r>
            <w:r>
              <w:rPr/>
              <w:t>and</w:t>
            </w:r>
            <w:r>
              <w:rPr>
                <w:spacing w:val="-10"/>
              </w:rPr>
              <w:t> </w:t>
            </w:r>
            <w:r>
              <w:rPr/>
              <w:t>Monetary</w:t>
            </w:r>
            <w:r>
              <w:rPr>
                <w:spacing w:val="-15"/>
              </w:rPr>
              <w:t> </w:t>
            </w:r>
            <w:r>
              <w:rPr/>
              <w:t>Policy</w:t>
            </w:r>
            <w:r>
              <w:rPr>
                <w:spacing w:val="-10"/>
              </w:rPr>
              <w:t> </w:t>
            </w:r>
            <w:r>
              <w:rPr/>
              <w:t>Interactions</w:t>
              <w:tab/>
              <w:t>14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167" w:val="left" w:leader="none"/>
              <w:tab w:pos="10763" w:val="right" w:leader="dot"/>
            </w:tabs>
            <w:spacing w:line="240" w:lineRule="auto" w:before="278" w:after="0"/>
            <w:ind w:left="2166" w:right="0" w:hanging="407"/>
            <w:jc w:val="left"/>
          </w:pPr>
          <w:hyperlink w:history="true" w:anchor="_TOC_250048">
            <w:r>
              <w:rPr/>
              <w:t>Methodological</w:t>
            </w:r>
            <w:r>
              <w:rPr>
                <w:spacing w:val="-8"/>
              </w:rPr>
              <w:t> </w:t>
            </w:r>
            <w:r>
              <w:rPr/>
              <w:t>Review</w:t>
              <w:tab/>
              <w:t>20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289" w:val="left" w:leader="none"/>
              <w:tab w:pos="10761" w:val="right" w:leader="dot"/>
            </w:tabs>
            <w:spacing w:line="240" w:lineRule="auto" w:before="200" w:after="0"/>
            <w:ind w:left="2288" w:right="0" w:hanging="529"/>
            <w:jc w:val="left"/>
          </w:pPr>
          <w:hyperlink w:history="true" w:anchor="_TOC_250047">
            <w:r>
              <w:rPr/>
              <w:t>A-theoretic</w:t>
            </w:r>
            <w:r>
              <w:rPr>
                <w:spacing w:val="-14"/>
              </w:rPr>
              <w:t> </w:t>
            </w:r>
            <w:r>
              <w:rPr/>
              <w:t>Statistical</w:t>
            </w:r>
            <w:r>
              <w:rPr>
                <w:spacing w:val="-12"/>
              </w:rPr>
              <w:t> </w:t>
            </w:r>
            <w:r>
              <w:rPr/>
              <w:t>Methods</w:t>
              <w:tab/>
              <w:t>20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289" w:val="left" w:leader="none"/>
              <w:tab w:pos="10761" w:val="right" w:leader="dot"/>
            </w:tabs>
            <w:spacing w:line="240" w:lineRule="auto" w:before="201" w:after="0"/>
            <w:ind w:left="2288" w:right="0" w:hanging="529"/>
            <w:jc w:val="left"/>
          </w:pPr>
          <w:hyperlink w:history="true" w:anchor="_TOC_250046">
            <w:r>
              <w:rPr/>
              <w:t>Game</w:t>
            </w:r>
            <w:r>
              <w:rPr>
                <w:spacing w:val="-14"/>
              </w:rPr>
              <w:t> </w:t>
            </w:r>
            <w:r>
              <w:rPr/>
              <w:t>Theoretic</w:t>
            </w:r>
            <w:r>
              <w:rPr>
                <w:spacing w:val="-13"/>
              </w:rPr>
              <w:t> </w:t>
            </w:r>
            <w:r>
              <w:rPr/>
              <w:t>Models…</w:t>
              <w:tab/>
              <w:t>23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294" w:val="left" w:leader="none"/>
              <w:tab w:pos="10761" w:val="right" w:leader="dot"/>
            </w:tabs>
            <w:spacing w:line="240" w:lineRule="auto" w:before="200" w:after="0"/>
            <w:ind w:left="2293" w:right="0" w:hanging="534"/>
            <w:jc w:val="left"/>
          </w:pPr>
          <w:hyperlink w:history="true" w:anchor="_TOC_250045">
            <w:r>
              <w:rPr/>
              <w:t>Dynamic</w:t>
            </w:r>
            <w:r>
              <w:rPr>
                <w:spacing w:val="-10"/>
              </w:rPr>
              <w:t> </w:t>
            </w:r>
            <w:r>
              <w:rPr/>
              <w:t>General</w:t>
            </w:r>
            <w:r>
              <w:rPr>
                <w:spacing w:val="-6"/>
              </w:rPr>
              <w:t> </w:t>
            </w:r>
            <w:r>
              <w:rPr/>
              <w:t>Equilibrium</w:t>
            </w:r>
            <w:r>
              <w:rPr>
                <w:spacing w:val="-7"/>
              </w:rPr>
              <w:t> </w:t>
            </w:r>
            <w:r>
              <w:rPr/>
              <w:t>Methods</w:t>
              <w:tab/>
              <w:t>26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111" w:val="left" w:leader="none"/>
              <w:tab w:pos="10761" w:val="right" w:leader="dot"/>
            </w:tabs>
            <w:spacing w:line="240" w:lineRule="auto" w:before="199" w:after="0"/>
            <w:ind w:left="2110" w:right="0" w:hanging="351"/>
            <w:jc w:val="left"/>
          </w:pPr>
          <w:r>
            <w:rPr/>
            <w:t>Estimation</w:t>
          </w:r>
          <w:r>
            <w:rPr>
              <w:spacing w:val="-11"/>
            </w:rPr>
            <w:t> </w:t>
          </w:r>
          <w:r>
            <w:rPr/>
            <w:t>Techniques</w:t>
          </w:r>
          <w:r>
            <w:rPr>
              <w:spacing w:val="-10"/>
            </w:rPr>
            <w:t> </w:t>
          </w:r>
          <w:r>
            <w:rPr/>
            <w:t>for</w:t>
          </w:r>
          <w:r>
            <w:rPr>
              <w:spacing w:val="-12"/>
            </w:rPr>
            <w:t> </w:t>
          </w:r>
          <w:r>
            <w:rPr/>
            <w:t>NK</w:t>
          </w:r>
          <w:r>
            <w:rPr>
              <w:spacing w:val="-9"/>
            </w:rPr>
            <w:t> </w:t>
          </w:r>
          <w:r>
            <w:rPr/>
            <w:t>DSGE</w:t>
          </w:r>
          <w:r>
            <w:rPr>
              <w:spacing w:val="-10"/>
            </w:rPr>
            <w:t> </w:t>
          </w:r>
          <w:r>
            <w:rPr/>
            <w:t>models</w:t>
            <w:tab/>
            <w:t>35</w:t>
          </w:r>
        </w:p>
        <w:p>
          <w:pPr>
            <w:pStyle w:val="TOC2"/>
            <w:numPr>
              <w:ilvl w:val="1"/>
              <w:numId w:val="2"/>
            </w:numPr>
            <w:tabs>
              <w:tab w:pos="2205" w:val="left" w:leader="none"/>
              <w:tab w:pos="10760" w:val="right" w:leader="dot"/>
            </w:tabs>
            <w:spacing w:line="240" w:lineRule="auto" w:before="137" w:after="0"/>
            <w:ind w:left="2204" w:right="0" w:hanging="445"/>
            <w:jc w:val="left"/>
          </w:pPr>
          <w:hyperlink w:history="true" w:anchor="_TOC_250044">
            <w:r>
              <w:rPr/>
              <w:t>Empirical</w:t>
            </w:r>
            <w:r>
              <w:rPr>
                <w:spacing w:val="-13"/>
              </w:rPr>
              <w:t> </w:t>
            </w:r>
            <w:r>
              <w:rPr/>
              <w:t>Review</w:t>
              <w:tab/>
              <w:t>38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294" w:val="left" w:leader="none"/>
              <w:tab w:pos="10761" w:val="right" w:leader="dot"/>
            </w:tabs>
            <w:spacing w:line="240" w:lineRule="auto" w:before="276" w:after="0"/>
            <w:ind w:left="2293" w:right="0" w:hanging="534"/>
            <w:jc w:val="left"/>
          </w:pPr>
          <w:hyperlink w:history="true" w:anchor="_TOC_250043">
            <w:r>
              <w:rPr/>
              <w:t>Empirical</w:t>
            </w:r>
            <w:r>
              <w:rPr>
                <w:spacing w:val="-8"/>
              </w:rPr>
              <w:t> </w:t>
            </w:r>
            <w:r>
              <w:rPr/>
              <w:t>Evidence</w:t>
            </w:r>
            <w:r>
              <w:rPr>
                <w:spacing w:val="-6"/>
              </w:rPr>
              <w:t> </w:t>
            </w:r>
            <w:r>
              <w:rPr/>
              <w:t>from</w:t>
            </w:r>
            <w:r>
              <w:rPr>
                <w:spacing w:val="-7"/>
              </w:rPr>
              <w:t> </w:t>
            </w:r>
            <w:r>
              <w:rPr/>
              <w:t>United</w:t>
            </w:r>
            <w:r>
              <w:rPr>
                <w:spacing w:val="-8"/>
              </w:rPr>
              <w:t> </w:t>
            </w:r>
            <w:r>
              <w:rPr/>
              <w:t>States</w:t>
            </w:r>
            <w:r>
              <w:rPr>
                <w:spacing w:val="-7"/>
              </w:rPr>
              <w:t> </w:t>
            </w:r>
            <w:r>
              <w:rPr/>
              <w:t>and</w:t>
            </w:r>
            <w:r>
              <w:rPr>
                <w:spacing w:val="-8"/>
              </w:rPr>
              <w:t> </w:t>
            </w:r>
            <w:r>
              <w:rPr/>
              <w:t>Europe</w:t>
              <w:tab/>
              <w:t>38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291" w:val="left" w:leader="none"/>
              <w:tab w:pos="10760" w:val="right" w:leader="dot"/>
            </w:tabs>
            <w:spacing w:line="240" w:lineRule="auto" w:before="276" w:after="0"/>
            <w:ind w:left="2290" w:right="0" w:hanging="531"/>
            <w:jc w:val="left"/>
          </w:pPr>
          <w:hyperlink w:history="true" w:anchor="_TOC_250042">
            <w:r>
              <w:rPr/>
              <w:t>Empirical</w:t>
            </w:r>
            <w:r>
              <w:rPr>
                <w:spacing w:val="-11"/>
              </w:rPr>
              <w:t> </w:t>
            </w:r>
            <w:r>
              <w:rPr/>
              <w:t>Evidence</w:t>
            </w:r>
            <w:r>
              <w:rPr>
                <w:spacing w:val="-9"/>
              </w:rPr>
              <w:t> </w:t>
            </w:r>
            <w:r>
              <w:rPr/>
              <w:t>from</w:t>
            </w:r>
            <w:r>
              <w:rPr>
                <w:spacing w:val="-10"/>
              </w:rPr>
              <w:t> </w:t>
            </w:r>
            <w:r>
              <w:rPr/>
              <w:t>Asia</w:t>
              <w:tab/>
              <w:t>41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294" w:val="left" w:leader="none"/>
              <w:tab w:pos="10761" w:val="right" w:leader="dot"/>
            </w:tabs>
            <w:spacing w:line="240" w:lineRule="auto" w:before="276" w:after="0"/>
            <w:ind w:left="2293" w:right="0" w:hanging="534"/>
            <w:jc w:val="left"/>
          </w:pPr>
          <w:hyperlink w:history="true" w:anchor="_TOC_250041">
            <w:r>
              <w:rPr/>
              <w:t>Empirical</w:t>
            </w:r>
            <w:r>
              <w:rPr>
                <w:spacing w:val="-8"/>
              </w:rPr>
              <w:t> </w:t>
            </w:r>
            <w:r>
              <w:rPr/>
              <w:t>Evidence</w:t>
            </w:r>
            <w:r>
              <w:rPr>
                <w:spacing w:val="-6"/>
              </w:rPr>
              <w:t> </w:t>
            </w:r>
            <w:r>
              <w:rPr/>
              <w:t>from</w:t>
            </w:r>
            <w:r>
              <w:rPr>
                <w:spacing w:val="-5"/>
              </w:rPr>
              <w:t> </w:t>
            </w:r>
            <w:r>
              <w:rPr/>
              <w:t>Latin</w:t>
            </w:r>
            <w:r>
              <w:rPr>
                <w:spacing w:val="-5"/>
              </w:rPr>
              <w:t> </w:t>
            </w:r>
            <w:r>
              <w:rPr/>
              <w:t>America</w:t>
              <w:tab/>
              <w:t>43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294" w:val="left" w:leader="none"/>
              <w:tab w:pos="10760" w:val="right" w:leader="dot"/>
            </w:tabs>
            <w:spacing w:line="240" w:lineRule="auto" w:before="276" w:after="0"/>
            <w:ind w:left="2293" w:right="0" w:hanging="534"/>
            <w:jc w:val="left"/>
          </w:pPr>
          <w:hyperlink w:history="true" w:anchor="_TOC_250040">
            <w:r>
              <w:rPr/>
              <w:t>Empirical</w:t>
            </w:r>
            <w:r>
              <w:rPr>
                <w:spacing w:val="-8"/>
              </w:rPr>
              <w:t> </w:t>
            </w:r>
            <w:r>
              <w:rPr/>
              <w:t>Evidence</w:t>
            </w:r>
            <w:r>
              <w:rPr>
                <w:spacing w:val="-6"/>
              </w:rPr>
              <w:t> </w:t>
            </w:r>
            <w:r>
              <w:rPr/>
              <w:t>from</w:t>
            </w:r>
            <w:r>
              <w:rPr>
                <w:spacing w:val="-7"/>
              </w:rPr>
              <w:t> </w:t>
            </w:r>
            <w:r>
              <w:rPr/>
              <w:t>Africa</w:t>
              <w:tab/>
              <w:t>44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296" w:val="left" w:leader="none"/>
              <w:tab w:pos="10761" w:val="right" w:leader="dot"/>
            </w:tabs>
            <w:spacing w:line="240" w:lineRule="auto" w:before="276" w:after="0"/>
            <w:ind w:left="2295" w:right="0" w:hanging="536"/>
            <w:jc w:val="left"/>
          </w:pPr>
          <w:hyperlink w:history="true" w:anchor="_TOC_250039">
            <w:r>
              <w:rPr/>
              <w:t>Empirical</w:t>
            </w:r>
            <w:r>
              <w:rPr>
                <w:spacing w:val="-6"/>
              </w:rPr>
              <w:t> </w:t>
            </w:r>
            <w:r>
              <w:rPr/>
              <w:t>Evidence</w:t>
            </w:r>
            <w:r>
              <w:rPr>
                <w:spacing w:val="-4"/>
              </w:rPr>
              <w:t> </w:t>
            </w:r>
            <w:r>
              <w:rPr/>
              <w:t>from</w:t>
            </w:r>
            <w:r>
              <w:rPr>
                <w:spacing w:val="-4"/>
              </w:rPr>
              <w:t> </w:t>
            </w:r>
            <w:r>
              <w:rPr/>
              <w:t>Nigeria</w:t>
              <w:tab/>
              <w:t>45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289" w:val="left" w:leader="none"/>
              <w:tab w:pos="10763" w:val="right" w:leader="dot"/>
            </w:tabs>
            <w:spacing w:line="240" w:lineRule="auto" w:before="279" w:after="0"/>
            <w:ind w:left="2288" w:right="0" w:hanging="529"/>
            <w:jc w:val="left"/>
          </w:pPr>
          <w:hyperlink w:history="true" w:anchor="_TOC_250038">
            <w:r>
              <w:rPr>
                <w:spacing w:val="-1"/>
              </w:rPr>
              <w:t>Empirical</w:t>
            </w:r>
            <w:r>
              <w:rPr>
                <w:spacing w:val="-12"/>
              </w:rPr>
              <w:t> </w:t>
            </w:r>
            <w:r>
              <w:rPr/>
              <w:t>Nature</w:t>
            </w:r>
            <w:r>
              <w:rPr>
                <w:spacing w:val="-13"/>
              </w:rPr>
              <w:t> </w:t>
            </w:r>
            <w:r>
              <w:rPr/>
              <w:t>of</w:t>
            </w:r>
            <w:r>
              <w:rPr>
                <w:spacing w:val="-11"/>
              </w:rPr>
              <w:t> </w:t>
            </w:r>
            <w:r>
              <w:rPr/>
              <w:t>Fiscal</w:t>
            </w:r>
            <w:r>
              <w:rPr>
                <w:spacing w:val="-12"/>
              </w:rPr>
              <w:t> </w:t>
            </w:r>
            <w:r>
              <w:rPr/>
              <w:t>and</w:t>
            </w:r>
            <w:r>
              <w:rPr>
                <w:spacing w:val="-10"/>
              </w:rPr>
              <w:t> </w:t>
            </w:r>
            <w:r>
              <w:rPr/>
              <w:t>Monetary</w:t>
            </w:r>
            <w:r>
              <w:rPr>
                <w:spacing w:val="-17"/>
              </w:rPr>
              <w:t> </w:t>
            </w:r>
            <w:r>
              <w:rPr/>
              <w:t>Policy</w:t>
            </w:r>
            <w:r>
              <w:rPr>
                <w:spacing w:val="-12"/>
              </w:rPr>
              <w:t> </w:t>
            </w:r>
            <w:r>
              <w:rPr/>
              <w:t>Interactions.</w:t>
              <w:tab/>
              <w:t>46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289" w:val="left" w:leader="none"/>
              <w:tab w:pos="10759" w:val="right" w:leader="dot"/>
            </w:tabs>
            <w:spacing w:line="240" w:lineRule="auto" w:before="334" w:after="0"/>
            <w:ind w:left="2288" w:right="0" w:hanging="529"/>
            <w:jc w:val="left"/>
          </w:pPr>
          <w:r>
            <w:rPr/>
            <w:t>Trend</w:t>
          </w:r>
          <w:r>
            <w:rPr>
              <w:spacing w:val="-11"/>
            </w:rPr>
            <w:t> </w:t>
          </w:r>
          <w:r>
            <w:rPr/>
            <w:t>in</w:t>
          </w:r>
          <w:r>
            <w:rPr>
              <w:spacing w:val="-12"/>
            </w:rPr>
            <w:t> </w:t>
          </w:r>
          <w:r>
            <w:rPr/>
            <w:t>the</w:t>
          </w:r>
          <w:r>
            <w:rPr>
              <w:spacing w:val="-11"/>
            </w:rPr>
            <w:t> </w:t>
          </w:r>
          <w:r>
            <w:rPr/>
            <w:t>Empirical</w:t>
          </w:r>
          <w:r>
            <w:rPr>
              <w:spacing w:val="-10"/>
            </w:rPr>
            <w:t> </w:t>
          </w:r>
          <w:r>
            <w:rPr/>
            <w:t>Literature</w:t>
            <w:tab/>
            <w:t>48</w:t>
          </w:r>
        </w:p>
        <w:p>
          <w:pPr>
            <w:pStyle w:val="TOC2"/>
            <w:numPr>
              <w:ilvl w:val="1"/>
              <w:numId w:val="2"/>
            </w:numPr>
            <w:tabs>
              <w:tab w:pos="2198" w:val="left" w:leader="none"/>
              <w:tab w:pos="10761" w:val="right" w:leader="dot"/>
            </w:tabs>
            <w:spacing w:line="240" w:lineRule="auto" w:before="276" w:after="0"/>
            <w:ind w:left="2197" w:right="0" w:hanging="438"/>
            <w:jc w:val="left"/>
          </w:pPr>
          <w:r>
            <w:rPr/>
            <w:t>Summary</w:t>
          </w:r>
          <w:r>
            <w:rPr>
              <w:spacing w:val="-21"/>
            </w:rPr>
            <w:t> </w:t>
          </w:r>
          <w:r>
            <w:rPr/>
            <w:t>of</w:t>
          </w:r>
          <w:r>
            <w:rPr>
              <w:spacing w:val="-13"/>
            </w:rPr>
            <w:t> </w:t>
          </w:r>
          <w:r>
            <w:rPr/>
            <w:t>Identified</w:t>
          </w:r>
          <w:r>
            <w:rPr>
              <w:spacing w:val="-15"/>
            </w:rPr>
            <w:t> </w:t>
          </w:r>
          <w:r>
            <w:rPr/>
            <w:t>Gaps…</w:t>
            <w:tab/>
            <w:t>60</w:t>
          </w:r>
        </w:p>
        <w:p>
          <w:pPr>
            <w:pStyle w:val="TOC1"/>
            <w:tabs>
              <w:tab w:pos="10757" w:val="right" w:leader="dot"/>
            </w:tabs>
            <w:spacing w:before="276"/>
            <w:rPr>
              <w:b w:val="0"/>
            </w:rPr>
          </w:pPr>
          <w:hyperlink w:history="true" w:anchor="_TOC_250037">
            <w:r>
              <w:rPr/>
              <w:t>CHAPTER</w:t>
            </w:r>
            <w:r>
              <w:rPr>
                <w:spacing w:val="-16"/>
              </w:rPr>
              <w:t> </w:t>
            </w:r>
            <w:r>
              <w:rPr/>
              <w:t>THREE:</w:t>
            </w:r>
            <w:r>
              <w:rPr>
                <w:spacing w:val="-12"/>
              </w:rPr>
              <w:t> </w:t>
            </w:r>
            <w:r>
              <w:rPr/>
              <w:t>STYLISED</w:t>
            </w:r>
            <w:r>
              <w:rPr>
                <w:spacing w:val="-15"/>
              </w:rPr>
              <w:t> </w:t>
            </w:r>
            <w:r>
              <w:rPr/>
              <w:t>FACTS</w:t>
              <w:tab/>
            </w:r>
            <w:r>
              <w:rPr>
                <w:b w:val="0"/>
              </w:rPr>
              <w:t>62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109" w:val="left" w:leader="none"/>
              <w:tab w:pos="10761" w:val="right" w:leader="dot"/>
            </w:tabs>
            <w:spacing w:line="240" w:lineRule="auto" w:before="202" w:after="0"/>
            <w:ind w:left="2108" w:right="0" w:hanging="349"/>
            <w:jc w:val="left"/>
          </w:pPr>
          <w:hyperlink w:history="true" w:anchor="_TOC_250036">
            <w:r>
              <w:rPr/>
              <w:t>Structure</w:t>
            </w:r>
            <w:r>
              <w:rPr>
                <w:spacing w:val="-14"/>
              </w:rPr>
              <w:t> </w:t>
            </w:r>
            <w:r>
              <w:rPr/>
              <w:t>of</w:t>
            </w:r>
            <w:r>
              <w:rPr>
                <w:spacing w:val="-14"/>
              </w:rPr>
              <w:t> </w:t>
            </w:r>
            <w:r>
              <w:rPr/>
              <w:t>the</w:t>
            </w:r>
            <w:r>
              <w:rPr>
                <w:spacing w:val="-13"/>
              </w:rPr>
              <w:t> </w:t>
            </w:r>
            <w:r>
              <w:rPr/>
              <w:t>Nigerian</w:t>
            </w:r>
            <w:r>
              <w:rPr>
                <w:spacing w:val="-11"/>
              </w:rPr>
              <w:t> </w:t>
            </w:r>
            <w:r>
              <w:rPr/>
              <w:t>Economy</w:t>
              <w:tab/>
              <w:t>62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219" w:val="left" w:leader="none"/>
              <w:tab w:pos="10764" w:val="right" w:leader="dot"/>
            </w:tabs>
            <w:spacing w:line="240" w:lineRule="auto" w:before="202" w:after="0"/>
            <w:ind w:left="2218" w:right="0" w:hanging="459"/>
            <w:jc w:val="left"/>
          </w:pPr>
          <w:hyperlink w:history="true" w:anchor="_TOC_250035">
            <w:r>
              <w:rPr>
                <w:spacing w:val="-1"/>
              </w:rPr>
              <w:t>Monetary</w:t>
            </w:r>
            <w:r>
              <w:rPr>
                <w:spacing w:val="-12"/>
              </w:rPr>
              <w:t> </w:t>
            </w:r>
            <w:r>
              <w:rPr/>
              <w:t>and</w:t>
            </w:r>
            <w:r>
              <w:rPr>
                <w:spacing w:val="-5"/>
              </w:rPr>
              <w:t> </w:t>
            </w:r>
            <w:r>
              <w:rPr/>
              <w:t>Fiscal</w:t>
            </w:r>
            <w:r>
              <w:rPr>
                <w:spacing w:val="-5"/>
              </w:rPr>
              <w:t> </w:t>
            </w:r>
            <w:r>
              <w:rPr/>
              <w:t>Policy</w:t>
            </w:r>
            <w:r>
              <w:rPr>
                <w:spacing w:val="-15"/>
              </w:rPr>
              <w:t> </w:t>
            </w:r>
            <w:r>
              <w:rPr/>
              <w:t>in</w:t>
            </w:r>
            <w:r>
              <w:rPr>
                <w:spacing w:val="-7"/>
              </w:rPr>
              <w:t> </w:t>
            </w:r>
            <w:r>
              <w:rPr/>
              <w:t>the</w:t>
            </w:r>
            <w:r>
              <w:rPr>
                <w:spacing w:val="-6"/>
              </w:rPr>
              <w:t> </w:t>
            </w:r>
            <w:r>
              <w:rPr/>
              <w:t>Nigerian</w:t>
            </w:r>
            <w:r>
              <w:rPr>
                <w:spacing w:val="-8"/>
              </w:rPr>
              <w:t> </w:t>
            </w:r>
            <w:r>
              <w:rPr/>
              <w:t>Economy</w:t>
              <w:tab/>
              <w:t>66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291" w:val="left" w:leader="none"/>
              <w:tab w:pos="10763" w:val="right" w:leader="dot"/>
            </w:tabs>
            <w:spacing w:line="240" w:lineRule="auto" w:before="199" w:after="0"/>
            <w:ind w:left="2290" w:right="0" w:hanging="531"/>
            <w:jc w:val="left"/>
          </w:pPr>
          <w:hyperlink w:history="true" w:anchor="_TOC_250034">
            <w:r>
              <w:rPr/>
              <w:t>Monetary</w:t>
            </w:r>
            <w:r>
              <w:rPr>
                <w:spacing w:val="-15"/>
              </w:rPr>
              <w:t> </w:t>
            </w:r>
            <w:r>
              <w:rPr/>
              <w:t>Policy</w:t>
            </w:r>
            <w:r>
              <w:rPr>
                <w:spacing w:val="-17"/>
              </w:rPr>
              <w:t> </w:t>
            </w:r>
            <w:r>
              <w:rPr/>
              <w:t>in</w:t>
            </w:r>
            <w:r>
              <w:rPr>
                <w:spacing w:val="-7"/>
              </w:rPr>
              <w:t> </w:t>
            </w:r>
            <w:r>
              <w:rPr/>
              <w:t>Nigeria</w:t>
              <w:tab/>
              <w:t>66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291" w:val="left" w:leader="none"/>
              <w:tab w:pos="10763" w:val="right" w:leader="dot"/>
            </w:tabs>
            <w:spacing w:line="240" w:lineRule="auto" w:before="200" w:after="0"/>
            <w:ind w:left="2290" w:right="0" w:hanging="531"/>
            <w:jc w:val="left"/>
          </w:pPr>
          <w:hyperlink w:history="true" w:anchor="_TOC_250033">
            <w:r>
              <w:rPr/>
              <w:t>Fiscal</w:t>
            </w:r>
            <w:r>
              <w:rPr>
                <w:spacing w:val="-11"/>
              </w:rPr>
              <w:t> </w:t>
            </w:r>
            <w:r>
              <w:rPr/>
              <w:t>Policy</w:t>
            </w:r>
            <w:r>
              <w:rPr>
                <w:spacing w:val="-17"/>
              </w:rPr>
              <w:t> </w:t>
            </w:r>
            <w:r>
              <w:rPr/>
              <w:t>in</w:t>
            </w:r>
            <w:r>
              <w:rPr>
                <w:spacing w:val="-10"/>
              </w:rPr>
              <w:t> </w:t>
            </w:r>
            <w:r>
              <w:rPr/>
              <w:t>Nigeria</w:t>
              <w:tab/>
              <w:t>68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291" w:val="left" w:leader="none"/>
              <w:tab w:pos="10761" w:val="right" w:leader="dot"/>
            </w:tabs>
            <w:spacing w:line="240" w:lineRule="auto" w:before="202" w:after="0"/>
            <w:ind w:left="2290" w:right="0" w:hanging="531"/>
            <w:jc w:val="left"/>
          </w:pPr>
          <w:hyperlink w:history="true" w:anchor="_TOC_250032">
            <w:r>
              <w:rPr>
                <w:spacing w:val="-1"/>
              </w:rPr>
              <w:t>Monetary</w:t>
            </w:r>
            <w:r>
              <w:rPr>
                <w:spacing w:val="-15"/>
              </w:rPr>
              <w:t> </w:t>
            </w:r>
            <w:r>
              <w:rPr/>
              <w:t>and</w:t>
            </w:r>
            <w:r>
              <w:rPr>
                <w:spacing w:val="-10"/>
              </w:rPr>
              <w:t> </w:t>
            </w:r>
            <w:r>
              <w:rPr/>
              <w:t>Fiscal</w:t>
            </w:r>
            <w:r>
              <w:rPr>
                <w:spacing w:val="-10"/>
              </w:rPr>
              <w:t> </w:t>
            </w:r>
            <w:r>
              <w:rPr/>
              <w:t>Policy</w:t>
            </w:r>
            <w:r>
              <w:rPr>
                <w:spacing w:val="-17"/>
              </w:rPr>
              <w:t> </w:t>
            </w:r>
            <w:r>
              <w:rPr/>
              <w:t>Coordination</w:t>
            </w:r>
            <w:r>
              <w:rPr>
                <w:spacing w:val="-10"/>
              </w:rPr>
              <w:t> </w:t>
            </w:r>
            <w:r>
              <w:rPr/>
              <w:t>in</w:t>
            </w:r>
            <w:r>
              <w:rPr>
                <w:spacing w:val="-10"/>
              </w:rPr>
              <w:t> </w:t>
            </w:r>
            <w:r>
              <w:rPr/>
              <w:t>Nigeria</w:t>
              <w:tab/>
              <w:t>74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234" w:val="left" w:leader="none"/>
              <w:tab w:pos="10764" w:val="right" w:leader="dot"/>
            </w:tabs>
            <w:spacing w:line="240" w:lineRule="auto" w:before="197" w:after="0"/>
            <w:ind w:left="2233" w:right="0" w:hanging="474"/>
            <w:jc w:val="left"/>
          </w:pPr>
          <w:hyperlink w:history="true" w:anchor="_TOC_250031">
            <w:r>
              <w:rPr/>
              <w:t>Trend</w:t>
            </w:r>
            <w:r>
              <w:rPr>
                <w:spacing w:val="-4"/>
              </w:rPr>
              <w:t> </w:t>
            </w:r>
            <w:r>
              <w:rPr/>
              <w:t>Analysis</w:t>
            </w:r>
            <w:r>
              <w:rPr>
                <w:spacing w:val="-2"/>
              </w:rPr>
              <w:t> </w:t>
            </w:r>
            <w:r>
              <w:rPr/>
              <w:t>on</w:t>
            </w:r>
            <w:r>
              <w:rPr>
                <w:spacing w:val="-3"/>
              </w:rPr>
              <w:t> </w:t>
            </w:r>
            <w:r>
              <w:rPr/>
              <w:t>Fiscal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Monetary</w:t>
            </w:r>
            <w:r>
              <w:rPr>
                <w:spacing w:val="-11"/>
              </w:rPr>
              <w:t> </w:t>
            </w:r>
            <w:r>
              <w:rPr/>
              <w:t>Policy</w:t>
            </w:r>
            <w:r>
              <w:rPr>
                <w:spacing w:val="-8"/>
              </w:rPr>
              <w:t> </w:t>
            </w:r>
            <w:r>
              <w:rPr/>
              <w:t>in</w:t>
            </w:r>
            <w:r>
              <w:rPr>
                <w:spacing w:val="-2"/>
              </w:rPr>
              <w:t> </w:t>
            </w:r>
            <w:r>
              <w:rPr/>
              <w:t>Nigeria</w:t>
              <w:tab/>
              <w:t>75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107" w:val="left" w:leader="none"/>
              <w:tab w:pos="10761" w:val="right" w:leader="dot"/>
            </w:tabs>
            <w:spacing w:line="240" w:lineRule="auto" w:before="278" w:after="0"/>
            <w:ind w:left="2106" w:right="0" w:hanging="347"/>
            <w:jc w:val="left"/>
          </w:pPr>
          <w:r>
            <w:rPr/>
            <w:t>Business</w:t>
          </w:r>
          <w:r>
            <w:rPr>
              <w:spacing w:val="-16"/>
            </w:rPr>
            <w:t> </w:t>
          </w:r>
          <w:r>
            <w:rPr/>
            <w:t>Cycle</w:t>
          </w:r>
          <w:r>
            <w:rPr>
              <w:spacing w:val="-13"/>
            </w:rPr>
            <w:t> </w:t>
          </w:r>
          <w:r>
            <w:rPr/>
            <w:t>Facts…</w:t>
            <w:tab/>
            <w:t>86</w:t>
          </w:r>
        </w:p>
        <w:p>
          <w:pPr>
            <w:pStyle w:val="TOC2"/>
            <w:numPr>
              <w:ilvl w:val="1"/>
              <w:numId w:val="3"/>
            </w:numPr>
            <w:tabs>
              <w:tab w:pos="2109" w:val="left" w:leader="none"/>
              <w:tab w:pos="10761" w:val="right" w:leader="dot"/>
            </w:tabs>
            <w:spacing w:line="240" w:lineRule="auto" w:before="199" w:after="0"/>
            <w:ind w:left="2108" w:right="0" w:hanging="349"/>
            <w:jc w:val="left"/>
          </w:pPr>
          <w:hyperlink w:history="true" w:anchor="_TOC_250030">
            <w:r>
              <w:rPr/>
              <w:t>Empirical</w:t>
            </w:r>
            <w:r>
              <w:rPr>
                <w:spacing w:val="-11"/>
              </w:rPr>
              <w:t> </w:t>
            </w:r>
            <w:r>
              <w:rPr/>
              <w:t>Facts</w:t>
            </w:r>
            <w:r>
              <w:rPr>
                <w:spacing w:val="-12"/>
              </w:rPr>
              <w:t> </w:t>
            </w:r>
            <w:r>
              <w:rPr/>
              <w:t>on</w:t>
            </w:r>
            <w:r>
              <w:rPr>
                <w:spacing w:val="-12"/>
              </w:rPr>
              <w:t> </w:t>
            </w:r>
            <w:r>
              <w:rPr/>
              <w:t>Alternative</w:t>
            </w:r>
            <w:r>
              <w:rPr>
                <w:spacing w:val="-13"/>
              </w:rPr>
              <w:t> </w:t>
            </w:r>
            <w:r>
              <w:rPr/>
              <w:t>Assumptions…</w:t>
              <w:tab/>
              <w:t>89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116" w:val="left" w:leader="none"/>
              <w:tab w:pos="10759" w:val="right" w:leader="dot"/>
            </w:tabs>
            <w:spacing w:line="240" w:lineRule="auto" w:before="202" w:after="20"/>
            <w:ind w:left="2115" w:right="0" w:hanging="356"/>
            <w:jc w:val="left"/>
          </w:pPr>
          <w:hyperlink w:history="true" w:anchor="_TOC_250029">
            <w:r>
              <w:rPr/>
              <w:t>Summary</w:t>
            </w:r>
            <w:r>
              <w:rPr>
                <w:spacing w:val="-9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Key</w:t>
            </w:r>
            <w:r>
              <w:rPr>
                <w:spacing w:val="-5"/>
              </w:rPr>
              <w:t> </w:t>
            </w:r>
            <w:r>
              <w:rPr/>
              <w:t>Issues…</w:t>
              <w:tab/>
              <w:t>94</w:t>
            </w:r>
          </w:hyperlink>
        </w:p>
        <w:p>
          <w:pPr>
            <w:pStyle w:val="TOC1"/>
            <w:tabs>
              <w:tab w:pos="10758" w:val="right" w:leader="dot"/>
            </w:tabs>
            <w:rPr>
              <w:b w:val="0"/>
            </w:rPr>
          </w:pPr>
          <w:hyperlink w:history="true" w:anchor="_TOC_250028">
            <w:r>
              <w:rPr/>
              <w:t>CHAPTER</w:t>
            </w:r>
            <w:r>
              <w:rPr>
                <w:spacing w:val="-16"/>
              </w:rPr>
              <w:t> </w:t>
            </w:r>
            <w:r>
              <w:rPr/>
              <w:t>FOUR:</w:t>
            </w:r>
            <w:r>
              <w:rPr>
                <w:spacing w:val="-14"/>
              </w:rPr>
              <w:t> </w:t>
            </w:r>
            <w:r>
              <w:rPr/>
              <w:t>METHODOLOGY</w:t>
              <w:tab/>
            </w:r>
            <w:r>
              <w:rPr>
                <w:b w:val="0"/>
              </w:rPr>
              <w:t>95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111" w:val="left" w:leader="none"/>
              <w:tab w:pos="10761" w:val="right" w:leader="dot"/>
            </w:tabs>
            <w:spacing w:line="240" w:lineRule="auto" w:before="203" w:after="0"/>
            <w:ind w:left="2110" w:right="0" w:hanging="351"/>
            <w:jc w:val="left"/>
          </w:pPr>
          <w:hyperlink w:history="true" w:anchor="_TOC_250027">
            <w:r>
              <w:rPr/>
              <w:t>Theoretical</w:t>
            </w:r>
            <w:r>
              <w:rPr>
                <w:spacing w:val="-8"/>
              </w:rPr>
              <w:t> </w:t>
            </w:r>
            <w:r>
              <w:rPr/>
              <w:t>Framework</w:t>
              <w:tab/>
              <w:t>95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289" w:val="left" w:leader="none"/>
              <w:tab w:pos="10761" w:val="right" w:leader="dot"/>
            </w:tabs>
            <w:spacing w:line="240" w:lineRule="auto" w:before="196" w:after="0"/>
            <w:ind w:left="2288" w:right="0" w:hanging="529"/>
            <w:jc w:val="left"/>
          </w:pPr>
          <w:hyperlink w:history="true" w:anchor="_TOC_250026">
            <w:r>
              <w:rPr/>
              <w:t>The</w:t>
            </w:r>
            <w:r>
              <w:rPr>
                <w:spacing w:val="-12"/>
              </w:rPr>
              <w:t> </w:t>
            </w:r>
            <w:r>
              <w:rPr/>
              <w:t>New</w:t>
            </w:r>
            <w:r>
              <w:rPr>
                <w:spacing w:val="-11"/>
              </w:rPr>
              <w:t> </w:t>
            </w:r>
            <w:r>
              <w:rPr/>
              <w:t>Keynesian</w:t>
            </w:r>
            <w:r>
              <w:rPr>
                <w:spacing w:val="-12"/>
              </w:rPr>
              <w:t> </w:t>
            </w:r>
            <w:r>
              <w:rPr/>
              <w:t>Macro-Economic</w:t>
            </w:r>
            <w:r>
              <w:rPr>
                <w:spacing w:val="-11"/>
              </w:rPr>
              <w:t> </w:t>
            </w:r>
            <w:r>
              <w:rPr/>
              <w:t>Model…</w:t>
              <w:tab/>
              <w:t>95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116" w:val="left" w:leader="none"/>
              <w:tab w:pos="10761" w:val="right" w:leader="dot"/>
            </w:tabs>
            <w:spacing w:line="240" w:lineRule="auto" w:before="279" w:after="0"/>
            <w:ind w:left="2115" w:right="0" w:hanging="356"/>
            <w:jc w:val="left"/>
          </w:pPr>
          <w:hyperlink w:history="true" w:anchor="_TOC_250025">
            <w:r>
              <w:rPr/>
              <w:t>The</w:t>
            </w:r>
            <w:r>
              <w:rPr>
                <w:spacing w:val="-7"/>
              </w:rPr>
              <w:t> </w:t>
            </w:r>
            <w:r>
              <w:rPr/>
              <w:t>Research</w:t>
            </w:r>
            <w:r>
              <w:rPr>
                <w:spacing w:val="-5"/>
              </w:rPr>
              <w:t> </w:t>
            </w:r>
            <w:r>
              <w:rPr/>
              <w:t>Method…</w:t>
              <w:tab/>
              <w:t>100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291" w:val="left" w:leader="none"/>
              <w:tab w:pos="10760" w:val="right" w:leader="dot"/>
            </w:tabs>
            <w:spacing w:line="240" w:lineRule="auto" w:before="199" w:after="0"/>
            <w:ind w:left="2290" w:right="0" w:hanging="531"/>
            <w:jc w:val="left"/>
          </w:pPr>
          <w:hyperlink w:history="true" w:anchor="_TOC_250024">
            <w:r>
              <w:rPr/>
              <w:t>An</w:t>
            </w:r>
            <w:r>
              <w:rPr>
                <w:spacing w:val="-12"/>
              </w:rPr>
              <w:t> </w:t>
            </w:r>
            <w:r>
              <w:rPr/>
              <w:t>Open</w:t>
            </w:r>
            <w:r>
              <w:rPr>
                <w:spacing w:val="-10"/>
              </w:rPr>
              <w:t> </w:t>
            </w:r>
            <w:r>
              <w:rPr/>
              <w:t>Economy</w:t>
            </w:r>
            <w:r>
              <w:rPr>
                <w:spacing w:val="-12"/>
              </w:rPr>
              <w:t> </w:t>
            </w:r>
            <w:r>
              <w:rPr/>
              <w:t>New</w:t>
            </w:r>
            <w:r>
              <w:rPr>
                <w:spacing w:val="-11"/>
              </w:rPr>
              <w:t> </w:t>
            </w:r>
            <w:r>
              <w:rPr/>
              <w:t>Keynesian</w:t>
            </w:r>
            <w:r>
              <w:rPr>
                <w:spacing w:val="-10"/>
              </w:rPr>
              <w:t> </w:t>
            </w:r>
            <w:r>
              <w:rPr/>
              <w:t>DSGE</w:t>
            </w:r>
            <w:r>
              <w:rPr>
                <w:spacing w:val="-11"/>
              </w:rPr>
              <w:t> </w:t>
            </w:r>
            <w:r>
              <w:rPr/>
              <w:t>Model</w:t>
            </w:r>
            <w:r>
              <w:rPr>
                <w:spacing w:val="-8"/>
              </w:rPr>
              <w:t> </w:t>
            </w:r>
            <w:r>
              <w:rPr/>
              <w:t>for</w:t>
            </w:r>
            <w:r>
              <w:rPr>
                <w:spacing w:val="-12"/>
              </w:rPr>
              <w:t> </w:t>
            </w:r>
            <w:r>
              <w:rPr/>
              <w:t>Nigeria</w:t>
              <w:tab/>
              <w:t>101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291" w:val="left" w:leader="none"/>
              <w:tab w:pos="10761" w:val="right" w:leader="dot"/>
            </w:tabs>
            <w:spacing w:line="240" w:lineRule="auto" w:before="276" w:after="0"/>
            <w:ind w:left="2290" w:right="0" w:hanging="531"/>
            <w:jc w:val="left"/>
          </w:pPr>
          <w:hyperlink w:history="true" w:anchor="_TOC_250023">
            <w:r>
              <w:rPr/>
              <w:t>Solving</w:t>
            </w:r>
            <w:r>
              <w:rPr>
                <w:spacing w:val="-13"/>
              </w:rPr>
              <w:t> </w:t>
            </w:r>
            <w:r>
              <w:rPr/>
              <w:t>and</w:t>
            </w:r>
            <w:r>
              <w:rPr>
                <w:spacing w:val="-10"/>
              </w:rPr>
              <w:t> </w:t>
            </w:r>
            <w:r>
              <w:rPr/>
              <w:t>Estimating</w:t>
            </w:r>
            <w:r>
              <w:rPr>
                <w:spacing w:val="-12"/>
              </w:rPr>
              <w:t> </w:t>
            </w:r>
            <w:r>
              <w:rPr/>
              <w:t>the</w:t>
            </w:r>
            <w:r>
              <w:rPr>
                <w:spacing w:val="-11"/>
              </w:rPr>
              <w:t> </w:t>
            </w:r>
            <w:r>
              <w:rPr/>
              <w:t>Open</w:t>
            </w:r>
            <w:r>
              <w:rPr>
                <w:spacing w:val="-10"/>
              </w:rPr>
              <w:t> </w:t>
            </w:r>
            <w:r>
              <w:rPr/>
              <w:t>Economy</w:t>
            </w:r>
            <w:r>
              <w:rPr>
                <w:spacing w:val="-12"/>
              </w:rPr>
              <w:t> </w:t>
            </w:r>
            <w:r>
              <w:rPr/>
              <w:t>NK</w:t>
            </w:r>
            <w:r>
              <w:rPr>
                <w:spacing w:val="-11"/>
              </w:rPr>
              <w:t> </w:t>
            </w:r>
            <w:r>
              <w:rPr/>
              <w:t>DSGE</w:t>
            </w:r>
            <w:r>
              <w:rPr>
                <w:spacing w:val="-10"/>
              </w:rPr>
              <w:t> </w:t>
            </w:r>
            <w:r>
              <w:rPr/>
              <w:t>model…</w:t>
              <w:tab/>
              <w:t>130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291" w:val="left" w:leader="none"/>
              <w:tab w:pos="10761" w:val="right" w:leader="dot"/>
            </w:tabs>
            <w:spacing w:line="240" w:lineRule="auto" w:before="274" w:after="0"/>
            <w:ind w:left="2290" w:right="0" w:hanging="531"/>
            <w:jc w:val="left"/>
          </w:pPr>
          <w:r>
            <w:rPr/>
            <w:t>System</w:t>
          </w:r>
          <w:r>
            <w:rPr>
              <w:spacing w:val="-11"/>
            </w:rPr>
            <w:t> </w:t>
          </w:r>
          <w:r>
            <w:rPr/>
            <w:t>of</w:t>
          </w:r>
          <w:r>
            <w:rPr>
              <w:spacing w:val="-11"/>
            </w:rPr>
            <w:t> </w:t>
          </w:r>
          <w:r>
            <w:rPr/>
            <w:t>Equations</w:t>
          </w:r>
          <w:r>
            <w:rPr>
              <w:spacing w:val="-9"/>
            </w:rPr>
            <w:t> </w:t>
          </w:r>
          <w:r>
            <w:rPr/>
            <w:t>to</w:t>
          </w:r>
          <w:r>
            <w:rPr>
              <w:spacing w:val="-10"/>
            </w:rPr>
            <w:t> </w:t>
          </w:r>
          <w:r>
            <w:rPr/>
            <w:t>be</w:t>
          </w:r>
          <w:r>
            <w:rPr>
              <w:spacing w:val="-11"/>
            </w:rPr>
            <w:t> </w:t>
          </w:r>
          <w:r>
            <w:rPr/>
            <w:t>estimated</w:t>
            <w:tab/>
            <w:t>132</w:t>
          </w:r>
        </w:p>
        <w:p>
          <w:pPr>
            <w:pStyle w:val="TOC2"/>
            <w:numPr>
              <w:ilvl w:val="2"/>
              <w:numId w:val="4"/>
            </w:numPr>
            <w:tabs>
              <w:tab w:pos="2296" w:val="left" w:leader="none"/>
              <w:tab w:pos="10761" w:val="right" w:leader="dot"/>
            </w:tabs>
            <w:spacing w:line="240" w:lineRule="auto" w:before="276" w:after="0"/>
            <w:ind w:left="2295" w:right="0" w:hanging="536"/>
            <w:jc w:val="left"/>
          </w:pPr>
          <w:hyperlink w:history="true" w:anchor="_TOC_250022">
            <w:r>
              <w:rPr/>
              <w:t>Data</w:t>
            </w:r>
            <w:r>
              <w:rPr>
                <w:spacing w:val="-5"/>
              </w:rPr>
              <w:t> </w:t>
            </w:r>
            <w:r>
              <w:rPr/>
              <w:t>Sources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Measurements…</w:t>
              <w:tab/>
              <w:t>142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162" w:val="left" w:leader="none"/>
              <w:tab w:pos="10761" w:val="right" w:leader="dot"/>
            </w:tabs>
            <w:spacing w:line="240" w:lineRule="auto" w:before="276" w:after="0"/>
            <w:ind w:left="2161" w:right="0" w:hanging="402"/>
            <w:jc w:val="left"/>
          </w:pPr>
          <w:hyperlink w:history="true" w:anchor="_TOC_250021">
            <w:r>
              <w:rPr/>
              <w:t>Optimal</w:t>
            </w:r>
            <w:r>
              <w:rPr>
                <w:spacing w:val="-10"/>
              </w:rPr>
              <w:t> </w:t>
            </w:r>
            <w:r>
              <w:rPr/>
              <w:t>Fiscal</w:t>
            </w:r>
            <w:r>
              <w:rPr>
                <w:spacing w:val="-10"/>
              </w:rPr>
              <w:t> </w:t>
            </w:r>
            <w:r>
              <w:rPr/>
              <w:t>and</w:t>
            </w:r>
            <w:r>
              <w:rPr>
                <w:spacing w:val="-8"/>
              </w:rPr>
              <w:t> </w:t>
            </w:r>
            <w:r>
              <w:rPr/>
              <w:t>Monetary</w:t>
            </w:r>
            <w:r>
              <w:rPr>
                <w:spacing w:val="-15"/>
              </w:rPr>
              <w:t> </w:t>
            </w:r>
            <w:r>
              <w:rPr/>
              <w:t>Policy</w:t>
              <w:tab/>
              <w:t>143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356" w:val="left" w:leader="none"/>
              <w:tab w:pos="10761" w:val="right" w:leader="dot"/>
            </w:tabs>
            <w:spacing w:line="240" w:lineRule="auto" w:before="276" w:after="0"/>
            <w:ind w:left="2355" w:right="0" w:hanging="596"/>
            <w:jc w:val="left"/>
          </w:pPr>
          <w:hyperlink w:history="true" w:anchor="_TOC_250020">
            <w:r>
              <w:rPr/>
              <w:t>Ramsey</w:t>
            </w:r>
            <w:r>
              <w:rPr>
                <w:spacing w:val="-8"/>
              </w:rPr>
              <w:t> </w:t>
            </w:r>
            <w:r>
              <w:rPr/>
              <w:t>Policy</w:t>
              <w:tab/>
              <w:t>144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332" w:val="left" w:leader="none"/>
              <w:tab w:pos="10761" w:val="right" w:leader="dot"/>
            </w:tabs>
            <w:spacing w:line="240" w:lineRule="auto" w:before="276" w:after="0"/>
            <w:ind w:left="2331" w:right="0" w:hanging="572"/>
            <w:jc w:val="left"/>
          </w:pPr>
          <w:hyperlink w:history="true" w:anchor="_TOC_250019">
            <w:r>
              <w:rPr/>
              <w:t>Discretionary</w:t>
            </w:r>
            <w:r>
              <w:rPr>
                <w:spacing w:val="-21"/>
              </w:rPr>
              <w:t> </w:t>
            </w:r>
            <w:r>
              <w:rPr/>
              <w:t>Policy</w:t>
              <w:tab/>
              <w:t>144</w:t>
            </w:r>
          </w:hyperlink>
        </w:p>
        <w:p>
          <w:pPr>
            <w:pStyle w:val="TOC1"/>
            <w:tabs>
              <w:tab w:pos="10759" w:val="right" w:leader="dot"/>
            </w:tabs>
            <w:spacing w:before="500"/>
            <w:rPr>
              <w:b w:val="0"/>
            </w:rPr>
          </w:pPr>
          <w:hyperlink w:history="true" w:anchor="_TOC_250018">
            <w:r>
              <w:rPr/>
              <w:t>CHAPTER</w:t>
            </w:r>
            <w:r>
              <w:rPr>
                <w:spacing w:val="-16"/>
              </w:rPr>
              <w:t> </w:t>
            </w:r>
            <w:r>
              <w:rPr/>
              <w:t>FIVE:</w:t>
            </w:r>
            <w:r>
              <w:rPr>
                <w:spacing w:val="-15"/>
              </w:rPr>
              <w:t> </w:t>
            </w:r>
            <w:r>
              <w:rPr/>
              <w:t>RESULTS</w:t>
            </w:r>
            <w:r>
              <w:rPr>
                <w:spacing w:val="-13"/>
              </w:rPr>
              <w:t> </w:t>
            </w:r>
            <w:r>
              <w:rPr/>
              <w:t>AND</w:t>
            </w:r>
            <w:r>
              <w:rPr>
                <w:spacing w:val="-15"/>
              </w:rPr>
              <w:t> </w:t>
            </w:r>
            <w:r>
              <w:rPr/>
              <w:t>DISCUSSION</w:t>
              <w:tab/>
            </w:r>
            <w:r>
              <w:rPr>
                <w:b w:val="0"/>
              </w:rPr>
              <w:t>146</w:t>
            </w:r>
          </w:hyperlink>
        </w:p>
        <w:p>
          <w:pPr>
            <w:pStyle w:val="TOC2"/>
            <w:tabs>
              <w:tab w:pos="10763" w:val="right" w:leader="dot"/>
            </w:tabs>
            <w:spacing w:before="202"/>
            <w:ind w:left="1760" w:firstLine="0"/>
          </w:pPr>
          <w:hyperlink w:history="true" w:anchor="_TOC_250017">
            <w:r>
              <w:rPr/>
              <w:t>5.</w:t>
            </w:r>
            <w:r>
              <w:rPr>
                <w:spacing w:val="-11"/>
              </w:rPr>
              <w:t> </w:t>
            </w:r>
            <w:r>
              <w:rPr/>
              <w:t>1</w:t>
            </w:r>
            <w:r>
              <w:rPr>
                <w:spacing w:val="-10"/>
              </w:rPr>
              <w:t> </w:t>
            </w:r>
            <w:r>
              <w:rPr/>
              <w:t>Presentation</w:t>
            </w:r>
            <w:r>
              <w:rPr>
                <w:spacing w:val="-9"/>
              </w:rPr>
              <w:t> </w:t>
            </w:r>
            <w:r>
              <w:rPr/>
              <w:t>of</w:t>
            </w:r>
            <w:r>
              <w:rPr>
                <w:spacing w:val="-11"/>
              </w:rPr>
              <w:t> </w:t>
            </w:r>
            <w:r>
              <w:rPr/>
              <w:t>Results…</w:t>
              <w:tab/>
              <w:t>146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2337" w:val="left" w:leader="none"/>
              <w:tab w:pos="10763" w:val="right" w:leader="dot"/>
            </w:tabs>
            <w:spacing w:line="240" w:lineRule="auto" w:before="202" w:after="0"/>
            <w:ind w:left="2336" w:right="0" w:hanging="577"/>
            <w:jc w:val="left"/>
          </w:pPr>
          <w:hyperlink w:history="true" w:anchor="_TOC_250016">
            <w:r>
              <w:rPr/>
              <w:t>Parameter</w:t>
            </w:r>
            <w:r>
              <w:rPr>
                <w:spacing w:val="-14"/>
              </w:rPr>
              <w:t> </w:t>
            </w:r>
            <w:r>
              <w:rPr/>
              <w:t>Estimates</w:t>
            </w:r>
            <w:r>
              <w:rPr>
                <w:spacing w:val="-11"/>
              </w:rPr>
              <w:t> </w:t>
            </w:r>
            <w:r>
              <w:rPr/>
              <w:t>of</w:t>
            </w:r>
            <w:r>
              <w:rPr>
                <w:spacing w:val="-13"/>
              </w:rPr>
              <w:t> </w:t>
            </w:r>
            <w:r>
              <w:rPr/>
              <w:t>the</w:t>
            </w:r>
            <w:r>
              <w:rPr>
                <w:spacing w:val="-13"/>
              </w:rPr>
              <w:t> </w:t>
            </w:r>
            <w:r>
              <w:rPr/>
              <w:t>DSGE</w:t>
            </w:r>
            <w:r>
              <w:rPr>
                <w:spacing w:val="-13"/>
              </w:rPr>
              <w:t> </w:t>
            </w:r>
            <w:r>
              <w:rPr/>
              <w:t>Model</w:t>
              <w:tab/>
              <w:t>147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2339" w:val="left" w:leader="none"/>
              <w:tab w:pos="10761" w:val="right" w:leader="dot"/>
            </w:tabs>
            <w:spacing w:line="240" w:lineRule="auto" w:before="200" w:after="0"/>
            <w:ind w:left="2338" w:right="0" w:hanging="579"/>
            <w:jc w:val="left"/>
          </w:pPr>
          <w:hyperlink w:history="true" w:anchor="_TOC_250015">
            <w:r>
              <w:rPr/>
              <w:t>Impulse</w:t>
            </w:r>
            <w:r>
              <w:rPr>
                <w:spacing w:val="-14"/>
              </w:rPr>
              <w:t> </w:t>
            </w:r>
            <w:r>
              <w:rPr/>
              <w:t>Response</w:t>
            </w:r>
            <w:r>
              <w:rPr>
                <w:spacing w:val="-11"/>
              </w:rPr>
              <w:t> </w:t>
            </w:r>
            <w:r>
              <w:rPr/>
              <w:t>Analysis</w:t>
              <w:tab/>
              <w:t>153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2342" w:val="left" w:leader="none"/>
              <w:tab w:pos="10763" w:val="right" w:leader="dot"/>
            </w:tabs>
            <w:spacing w:line="240" w:lineRule="auto" w:before="199" w:after="0"/>
            <w:ind w:left="2341" w:right="0" w:hanging="582"/>
            <w:jc w:val="left"/>
          </w:pPr>
          <w:hyperlink w:history="true" w:anchor="_TOC_250014">
            <w:r>
              <w:rPr/>
              <w:t>Variance</w:t>
            </w:r>
            <w:r>
              <w:rPr>
                <w:spacing w:val="-12"/>
              </w:rPr>
              <w:t> </w:t>
            </w:r>
            <w:r>
              <w:rPr/>
              <w:t>Decomposition</w:t>
              <w:tab/>
              <w:t>157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2279" w:val="left" w:leader="none"/>
              <w:tab w:pos="10760" w:val="right" w:leader="dot"/>
            </w:tabs>
            <w:spacing w:line="240" w:lineRule="auto" w:before="201" w:after="0"/>
            <w:ind w:left="2278" w:right="0" w:hanging="459"/>
            <w:jc w:val="left"/>
          </w:pPr>
          <w:r>
            <w:rPr/>
            <w:t>Model</w:t>
          </w:r>
          <w:r>
            <w:rPr>
              <w:spacing w:val="-8"/>
            </w:rPr>
            <w:t> </w:t>
          </w:r>
          <w:r>
            <w:rPr/>
            <w:t>Diagnostic</w:t>
          </w:r>
          <w:r>
            <w:rPr>
              <w:spacing w:val="-8"/>
            </w:rPr>
            <w:t> </w:t>
          </w:r>
          <w:r>
            <w:rPr/>
            <w:t>Testing</w:t>
            <w:tab/>
            <w:t>159</w:t>
          </w:r>
        </w:p>
        <w:p>
          <w:pPr>
            <w:pStyle w:val="TOC2"/>
            <w:numPr>
              <w:ilvl w:val="2"/>
              <w:numId w:val="6"/>
            </w:numPr>
            <w:tabs>
              <w:tab w:pos="2337" w:val="left" w:leader="none"/>
              <w:tab w:pos="10761" w:val="right" w:leader="dot"/>
            </w:tabs>
            <w:spacing w:line="240" w:lineRule="auto" w:before="200" w:after="0"/>
            <w:ind w:left="2336" w:right="0" w:hanging="577"/>
            <w:jc w:val="left"/>
          </w:pPr>
          <w:hyperlink w:history="true" w:anchor="_TOC_250013">
            <w:r>
              <w:rPr/>
              <w:t>Stability</w:t>
            </w:r>
            <w:r>
              <w:rPr>
                <w:spacing w:val="-19"/>
              </w:rPr>
              <w:t> </w:t>
            </w:r>
            <w:r>
              <w:rPr/>
              <w:t>of</w:t>
            </w:r>
            <w:r>
              <w:rPr>
                <w:spacing w:val="-13"/>
              </w:rPr>
              <w:t> </w:t>
            </w:r>
            <w:r>
              <w:rPr/>
              <w:t>the</w:t>
            </w:r>
            <w:r>
              <w:rPr>
                <w:spacing w:val="-13"/>
              </w:rPr>
              <w:t> </w:t>
            </w:r>
            <w:r>
              <w:rPr/>
              <w:t>Model…</w:t>
              <w:tab/>
              <w:t>159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2299" w:val="left" w:leader="none"/>
              <w:tab w:pos="10763" w:val="right" w:leader="dot"/>
            </w:tabs>
            <w:spacing w:line="240" w:lineRule="auto" w:before="199" w:after="0"/>
            <w:ind w:left="2298" w:right="0" w:hanging="539"/>
            <w:jc w:val="left"/>
          </w:pPr>
          <w:hyperlink w:history="true" w:anchor="_TOC_250012">
            <w:r>
              <w:rPr/>
              <w:t>Identification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-4"/>
              </w:rPr>
              <w:t> </w:t>
            </w:r>
            <w:r>
              <w:rPr/>
              <w:t>Parameter</w:t>
            </w:r>
            <w:r>
              <w:rPr>
                <w:spacing w:val="-6"/>
              </w:rPr>
              <w:t> </w:t>
            </w:r>
            <w:r>
              <w:rPr/>
              <w:t>Estimates…</w:t>
              <w:tab/>
              <w:t>160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2347" w:val="left" w:leader="none"/>
              <w:tab w:pos="10761" w:val="right" w:leader="dot"/>
            </w:tabs>
            <w:spacing w:line="240" w:lineRule="auto" w:before="199" w:after="0"/>
            <w:ind w:left="2346" w:right="0" w:hanging="587"/>
            <w:jc w:val="left"/>
          </w:pPr>
          <w:hyperlink w:history="true" w:anchor="_TOC_250011">
            <w:r>
              <w:rPr/>
              <w:t>Mode</w:t>
            </w:r>
            <w:r>
              <w:rPr>
                <w:spacing w:val="-9"/>
              </w:rPr>
              <w:t> </w:t>
            </w:r>
            <w:r>
              <w:rPr/>
              <w:t>Check</w:t>
              <w:tab/>
              <w:t>162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2351" w:val="left" w:leader="none"/>
              <w:tab w:pos="10761" w:val="right" w:leader="dot"/>
            </w:tabs>
            <w:spacing w:line="240" w:lineRule="auto" w:before="202" w:after="0"/>
            <w:ind w:left="2350" w:right="0" w:hanging="591"/>
            <w:jc w:val="left"/>
          </w:pPr>
          <w:hyperlink w:history="true" w:anchor="_TOC_250010">
            <w:r>
              <w:rPr/>
              <w:t>Univariate</w:t>
            </w:r>
            <w:r>
              <w:rPr>
                <w:spacing w:val="-7"/>
              </w:rPr>
              <w:t> </w:t>
            </w:r>
            <w:r>
              <w:rPr/>
              <w:t>Convergence</w:t>
            </w:r>
            <w:r>
              <w:rPr>
                <w:spacing w:val="-6"/>
              </w:rPr>
              <w:t> </w:t>
            </w:r>
            <w:r>
              <w:rPr/>
              <w:t>Statistics…</w:t>
              <w:tab/>
              <w:t>165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2332" w:val="left" w:leader="none"/>
              <w:tab w:pos="10761" w:val="right" w:leader="dot"/>
            </w:tabs>
            <w:spacing w:line="240" w:lineRule="auto" w:before="200" w:after="0"/>
            <w:ind w:left="2331" w:right="0" w:hanging="572"/>
            <w:jc w:val="left"/>
          </w:pPr>
          <w:hyperlink w:history="true" w:anchor="_TOC_250009">
            <w:r>
              <w:rPr>
                <w:spacing w:val="-1"/>
              </w:rPr>
              <w:t>Multivariate</w:t>
            </w:r>
            <w:r>
              <w:rPr>
                <w:spacing w:val="-16"/>
              </w:rPr>
              <w:t> </w:t>
            </w:r>
            <w:r>
              <w:rPr/>
              <w:t>Convergence</w:t>
            </w:r>
            <w:r>
              <w:rPr>
                <w:spacing w:val="-13"/>
              </w:rPr>
              <w:t> </w:t>
            </w:r>
            <w:r>
              <w:rPr/>
              <w:t>Diagnostic…</w:t>
              <w:tab/>
              <w:t>166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2337" w:val="left" w:leader="none"/>
              <w:tab w:pos="10761" w:val="right" w:leader="dot"/>
            </w:tabs>
            <w:spacing w:line="240" w:lineRule="auto" w:before="199" w:after="0"/>
            <w:ind w:left="2336" w:right="0" w:hanging="577"/>
            <w:jc w:val="left"/>
          </w:pPr>
          <w:hyperlink w:history="true" w:anchor="_TOC_250008">
            <w:r>
              <w:rPr/>
              <w:t>Historical</w:t>
            </w:r>
            <w:r>
              <w:rPr>
                <w:spacing w:val="-13"/>
              </w:rPr>
              <w:t> </w:t>
            </w:r>
            <w:r>
              <w:rPr/>
              <w:t>and</w:t>
            </w:r>
            <w:r>
              <w:rPr>
                <w:spacing w:val="-12"/>
              </w:rPr>
              <w:t> </w:t>
            </w:r>
            <w:r>
              <w:rPr/>
              <w:t>Smoothed</w:t>
            </w:r>
            <w:r>
              <w:rPr>
                <w:spacing w:val="-12"/>
              </w:rPr>
              <w:t> </w:t>
            </w:r>
            <w:r>
              <w:rPr/>
              <w:t>variables…</w:t>
              <w:tab/>
              <w:t>167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2342" w:val="left" w:leader="none"/>
              <w:tab w:pos="10761" w:val="right" w:leader="dot"/>
            </w:tabs>
            <w:spacing w:line="240" w:lineRule="auto" w:before="201" w:after="0"/>
            <w:ind w:left="2341" w:right="0" w:hanging="582"/>
            <w:jc w:val="left"/>
          </w:pPr>
          <w:hyperlink w:history="true" w:anchor="_TOC_250007">
            <w:r>
              <w:rPr/>
              <w:t>Smoothed</w:t>
            </w:r>
            <w:r>
              <w:rPr>
                <w:spacing w:val="-10"/>
              </w:rPr>
              <w:t> </w:t>
            </w:r>
            <w:r>
              <w:rPr/>
              <w:t>Shocks</w:t>
              <w:tab/>
              <w:t>168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2152" w:val="left" w:leader="none"/>
              <w:tab w:pos="10761" w:val="right" w:leader="dot"/>
            </w:tabs>
            <w:spacing w:line="240" w:lineRule="auto" w:before="200" w:after="240"/>
            <w:ind w:left="2151" w:right="0" w:hanging="392"/>
            <w:jc w:val="left"/>
          </w:pPr>
          <w:hyperlink w:history="true" w:anchor="_TOC_250006">
            <w:r>
              <w:rPr>
                <w:spacing w:val="-1"/>
              </w:rPr>
              <w:t>Nature</w:t>
            </w:r>
            <w:r>
              <w:rPr>
                <w:spacing w:val="-16"/>
              </w:rPr>
              <w:t> </w:t>
            </w:r>
            <w:r>
              <w:rPr>
                <w:spacing w:val="-1"/>
              </w:rPr>
              <w:t>of</w:t>
            </w:r>
            <w:r>
              <w:rPr>
                <w:spacing w:val="-13"/>
              </w:rPr>
              <w:t> </w:t>
            </w:r>
            <w:r>
              <w:rPr>
                <w:spacing w:val="-1"/>
              </w:rPr>
              <w:t>Fiscal</w:t>
            </w:r>
            <w:r>
              <w:rPr>
                <w:spacing w:val="-14"/>
              </w:rPr>
              <w:t> </w:t>
            </w:r>
            <w:r>
              <w:rPr/>
              <w:t>and</w:t>
            </w:r>
            <w:r>
              <w:rPr>
                <w:spacing w:val="-12"/>
              </w:rPr>
              <w:t> </w:t>
            </w:r>
            <w:r>
              <w:rPr/>
              <w:t>Monetary</w:t>
            </w:r>
            <w:r>
              <w:rPr>
                <w:spacing w:val="-19"/>
              </w:rPr>
              <w:t> </w:t>
            </w:r>
            <w:r>
              <w:rPr/>
              <w:t>Policy</w:t>
            </w:r>
            <w:r>
              <w:rPr>
                <w:spacing w:val="-17"/>
              </w:rPr>
              <w:t> </w:t>
            </w:r>
            <w:r>
              <w:rPr/>
              <w:t>Interactions</w:t>
              <w:tab/>
              <w:t>169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2162" w:val="left" w:leader="none"/>
              <w:tab w:pos="10761" w:val="right" w:leader="dot"/>
            </w:tabs>
            <w:spacing w:line="240" w:lineRule="auto" w:before="74" w:after="0"/>
            <w:ind w:left="2161" w:right="0" w:hanging="402"/>
            <w:jc w:val="left"/>
          </w:pPr>
          <w:hyperlink w:history="true" w:anchor="_TOC_250005">
            <w:r>
              <w:rPr/>
              <w:t>Optimal</w:t>
            </w:r>
            <w:r>
              <w:rPr>
                <w:spacing w:val="-11"/>
              </w:rPr>
              <w:t> </w:t>
            </w:r>
            <w:r>
              <w:rPr/>
              <w:t>Fiscal</w:t>
            </w:r>
            <w:r>
              <w:rPr>
                <w:spacing w:val="-10"/>
              </w:rPr>
              <w:t> </w:t>
            </w:r>
            <w:r>
              <w:rPr/>
              <w:t>and</w:t>
            </w:r>
            <w:r>
              <w:rPr>
                <w:spacing w:val="-12"/>
              </w:rPr>
              <w:t> </w:t>
            </w:r>
            <w:r>
              <w:rPr/>
              <w:t>Monetary</w:t>
            </w:r>
            <w:r>
              <w:rPr>
                <w:spacing w:val="-17"/>
              </w:rPr>
              <w:t> </w:t>
            </w:r>
            <w:r>
              <w:rPr/>
              <w:t>Policy</w:t>
              <w:tab/>
              <w:t>173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2159" w:val="left" w:leader="none"/>
              <w:tab w:pos="10758" w:val="right" w:leader="dot"/>
            </w:tabs>
            <w:spacing w:line="240" w:lineRule="auto" w:before="200" w:after="0"/>
            <w:ind w:left="2158" w:right="0" w:hanging="399"/>
            <w:jc w:val="left"/>
          </w:pPr>
          <w:r>
            <w:rPr/>
            <w:t>Implications</w:t>
          </w:r>
          <w:r>
            <w:rPr>
              <w:spacing w:val="-13"/>
            </w:rPr>
            <w:t> </w:t>
          </w:r>
          <w:r>
            <w:rPr/>
            <w:t>of</w:t>
          </w:r>
          <w:r>
            <w:rPr>
              <w:spacing w:val="-11"/>
            </w:rPr>
            <w:t> </w:t>
          </w:r>
          <w:r>
            <w:rPr/>
            <w:t>Findings</w:t>
            <w:tab/>
            <w:t>175</w:t>
          </w:r>
        </w:p>
        <w:p>
          <w:pPr>
            <w:pStyle w:val="TOC1"/>
            <w:tabs>
              <w:tab w:pos="10759" w:val="right" w:leader="dot"/>
            </w:tabs>
            <w:spacing w:before="199"/>
            <w:rPr>
              <w:b w:val="0"/>
            </w:rPr>
          </w:pPr>
          <w:r>
            <w:rPr/>
            <w:t>CHAPTER</w:t>
          </w:r>
          <w:r>
            <w:rPr>
              <w:spacing w:val="-11"/>
            </w:rPr>
            <w:t> </w:t>
          </w:r>
          <w:r>
            <w:rPr/>
            <w:t>SIX:</w:t>
          </w:r>
          <w:r>
            <w:rPr>
              <w:spacing w:val="-8"/>
            </w:rPr>
            <w:t> </w:t>
          </w:r>
          <w:r>
            <w:rPr/>
            <w:t>CONCLUSION</w:t>
          </w:r>
          <w:r>
            <w:rPr>
              <w:spacing w:val="-11"/>
            </w:rPr>
            <w:t> </w:t>
          </w:r>
          <w:r>
            <w:rPr/>
            <w:t>AND</w:t>
          </w:r>
          <w:r>
            <w:rPr>
              <w:spacing w:val="-10"/>
            </w:rPr>
            <w:t> </w:t>
          </w:r>
          <w:r>
            <w:rPr/>
            <w:t>RECOMMENDATIONS</w:t>
            <w:tab/>
          </w:r>
          <w:r>
            <w:rPr>
              <w:b w:val="0"/>
            </w:rPr>
            <w:t>177</w:t>
          </w:r>
        </w:p>
        <w:p>
          <w:pPr>
            <w:pStyle w:val="TOC2"/>
            <w:numPr>
              <w:ilvl w:val="1"/>
              <w:numId w:val="7"/>
            </w:numPr>
            <w:tabs>
              <w:tab w:pos="2217" w:val="left" w:leader="none"/>
              <w:tab w:pos="10763" w:val="right" w:leader="dot"/>
            </w:tabs>
            <w:spacing w:line="240" w:lineRule="auto" w:before="203" w:after="0"/>
            <w:ind w:left="2216" w:right="0" w:hanging="457"/>
            <w:jc w:val="left"/>
          </w:pPr>
          <w:hyperlink w:history="true" w:anchor="_TOC_250004">
            <w:r>
              <w:rPr/>
              <w:t>Summary</w:t>
              <w:tab/>
              <w:t>177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2212" w:val="left" w:leader="none"/>
              <w:tab w:pos="10763" w:val="right" w:leader="dot"/>
            </w:tabs>
            <w:spacing w:line="240" w:lineRule="auto" w:before="199" w:after="0"/>
            <w:ind w:left="2211" w:right="0" w:hanging="452"/>
            <w:jc w:val="left"/>
          </w:pPr>
          <w:hyperlink w:history="true" w:anchor="_TOC_250003">
            <w:r>
              <w:rPr/>
              <w:t>Major</w:t>
            </w:r>
            <w:r>
              <w:rPr>
                <w:spacing w:val="-11"/>
              </w:rPr>
              <w:t> </w:t>
            </w:r>
            <w:r>
              <w:rPr/>
              <w:t>Findings</w:t>
            </w:r>
            <w:r>
              <w:rPr>
                <w:spacing w:val="-10"/>
              </w:rPr>
              <w:t> </w:t>
            </w:r>
            <w:r>
              <w:rPr/>
              <w:t>of</w:t>
            </w:r>
            <w:r>
              <w:rPr>
                <w:spacing w:val="-11"/>
              </w:rPr>
              <w:t> </w:t>
            </w:r>
            <w:r>
              <w:rPr/>
              <w:t>the</w:t>
            </w:r>
            <w:r>
              <w:rPr>
                <w:spacing w:val="-11"/>
              </w:rPr>
              <w:t> </w:t>
            </w:r>
            <w:r>
              <w:rPr/>
              <w:t>Study</w:t>
              <w:tab/>
              <w:t>179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2205" w:val="left" w:leader="none"/>
              <w:tab w:pos="10761" w:val="right" w:leader="dot"/>
            </w:tabs>
            <w:spacing w:line="240" w:lineRule="auto" w:before="199" w:after="0"/>
            <w:ind w:left="2204" w:right="0" w:hanging="445"/>
            <w:jc w:val="left"/>
          </w:pPr>
          <w:hyperlink w:history="true" w:anchor="_TOC_250002">
            <w:r>
              <w:rPr/>
              <w:t>Recommendations</w:t>
              <w:tab/>
              <w:t>179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2227" w:val="left" w:leader="none"/>
              <w:tab w:pos="10763" w:val="right" w:leader="dot"/>
            </w:tabs>
            <w:spacing w:line="240" w:lineRule="auto" w:before="202" w:after="0"/>
            <w:ind w:left="2226" w:right="0" w:hanging="467"/>
            <w:jc w:val="left"/>
          </w:pPr>
          <w:hyperlink w:history="true" w:anchor="_TOC_250001">
            <w:r>
              <w:rPr/>
              <w:t>Contributions</w:t>
            </w:r>
            <w:r>
              <w:rPr>
                <w:spacing w:val="-6"/>
              </w:rPr>
              <w:t> </w:t>
            </w:r>
            <w:r>
              <w:rPr/>
              <w:t>to</w:t>
            </w:r>
            <w:r>
              <w:rPr>
                <w:spacing w:val="-7"/>
              </w:rPr>
              <w:t> </w:t>
            </w:r>
            <w:r>
              <w:rPr/>
              <w:t>Knowledge</w:t>
              <w:tab/>
              <w:t>182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2212" w:val="left" w:leader="none"/>
              <w:tab w:pos="10761" w:val="right" w:leader="dot"/>
            </w:tabs>
            <w:spacing w:line="240" w:lineRule="auto" w:before="199" w:after="0"/>
            <w:ind w:left="2211" w:right="0" w:hanging="452"/>
            <w:jc w:val="left"/>
          </w:pPr>
          <w:r>
            <w:rPr/>
            <w:t>Suggestions</w:t>
          </w:r>
          <w:r>
            <w:rPr>
              <w:spacing w:val="-10"/>
            </w:rPr>
            <w:t> </w:t>
          </w:r>
          <w:r>
            <w:rPr/>
            <w:t>for</w:t>
          </w:r>
          <w:r>
            <w:rPr>
              <w:spacing w:val="-9"/>
            </w:rPr>
            <w:t> </w:t>
          </w:r>
          <w:r>
            <w:rPr/>
            <w:t>Future</w:t>
          </w:r>
          <w:r>
            <w:rPr>
              <w:spacing w:val="-12"/>
            </w:rPr>
            <w:t> </w:t>
          </w:r>
          <w:r>
            <w:rPr/>
            <w:t>Research…</w:t>
            <w:tab/>
            <w:t>182</w:t>
          </w:r>
        </w:p>
        <w:p>
          <w:pPr>
            <w:pStyle w:val="TOC2"/>
            <w:tabs>
              <w:tab w:pos="10746" w:val="right" w:leader="dot"/>
            </w:tabs>
            <w:spacing w:before="197"/>
            <w:ind w:left="1760" w:firstLine="0"/>
          </w:pPr>
          <w:hyperlink w:history="true" w:anchor="_TOC_250000">
            <w:r>
              <w:rPr/>
              <w:t>References…</w:t>
              <w:tab/>
              <w:t>184</w:t>
            </w:r>
          </w:hyperlink>
        </w:p>
        <w:p>
          <w:pPr>
            <w:pStyle w:val="TOC2"/>
            <w:tabs>
              <w:tab w:pos="10754" w:val="right" w:leader="dot"/>
            </w:tabs>
            <w:spacing w:before="276"/>
            <w:ind w:left="1760" w:firstLine="0"/>
          </w:pPr>
          <w:r>
            <w:rPr/>
            <w:t>Appendices…</w:t>
            <w:tab/>
            <w:t>198</w:t>
          </w:r>
        </w:p>
      </w:sdtContent>
    </w:sdt>
    <w:p>
      <w:pPr>
        <w:spacing w:after="0"/>
        <w:sectPr>
          <w:type w:val="continuous"/>
          <w:pgSz w:w="12240" w:h="15840"/>
          <w:pgMar w:top="1360" w:bottom="1548" w:left="40" w:right="0"/>
        </w:sectPr>
      </w:pPr>
    </w:p>
    <w:p>
      <w:pPr>
        <w:pStyle w:val="Heading3"/>
        <w:tabs>
          <w:tab w:pos="10034" w:val="left" w:leader="none"/>
        </w:tabs>
        <w:spacing w:before="79"/>
        <w:ind w:left="4873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TABLES</w:t>
        <w:tab/>
        <w:t>Page</w:t>
      </w:r>
    </w:p>
    <w:p>
      <w:pPr>
        <w:pStyle w:val="BodyText"/>
        <w:rPr>
          <w:b/>
          <w:sz w:val="29"/>
        </w:rPr>
      </w:pPr>
    </w:p>
    <w:p>
      <w:pPr>
        <w:pStyle w:val="BodyText"/>
        <w:tabs>
          <w:tab w:pos="10524" w:val="left" w:leader="none"/>
        </w:tabs>
        <w:ind w:left="1760"/>
      </w:pPr>
      <w:r>
        <w:rPr/>
        <w:t>Table</w:t>
      </w:r>
      <w:r>
        <w:rPr>
          <w:spacing w:val="-7"/>
        </w:rPr>
        <w:t> </w:t>
      </w:r>
      <w:r>
        <w:rPr/>
        <w:t>2.1:</w:t>
      </w:r>
      <w:r>
        <w:rPr>
          <w:spacing w:val="-6"/>
        </w:rPr>
        <w:t> </w:t>
      </w:r>
      <w:r>
        <w:rPr/>
        <w:t>Summary</w:t>
      </w:r>
      <w:r>
        <w:rPr>
          <w:spacing w:val="-12"/>
        </w:rPr>
        <w:t> </w:t>
      </w:r>
      <w:r>
        <w:rPr/>
        <w:t>of</w:t>
      </w:r>
      <w:r>
        <w:rPr>
          <w:spacing w:val="-7"/>
        </w:rPr>
        <w:t> </w:t>
      </w:r>
      <w:r>
        <w:rPr/>
        <w:t>Empirical</w:t>
      </w:r>
      <w:r>
        <w:rPr>
          <w:spacing w:val="-6"/>
        </w:rPr>
        <w:t> </w:t>
      </w:r>
      <w:r>
        <w:rPr/>
        <w:t>Review</w:t>
        <w:tab/>
        <w:t>50</w:t>
      </w:r>
    </w:p>
    <w:p>
      <w:pPr>
        <w:pStyle w:val="BodyText"/>
        <w:tabs>
          <w:tab w:pos="10519" w:val="left" w:leader="none"/>
        </w:tabs>
        <w:spacing w:before="137"/>
        <w:ind w:left="1760"/>
      </w:pPr>
      <w:r>
        <w:rPr/>
        <w:t>Table</w:t>
      </w:r>
      <w:r>
        <w:rPr>
          <w:spacing w:val="-8"/>
        </w:rPr>
        <w:t> </w:t>
      </w:r>
      <w:r>
        <w:rPr/>
        <w:t>3.1:</w:t>
      </w:r>
      <w:r>
        <w:rPr>
          <w:spacing w:val="-6"/>
        </w:rPr>
        <w:t> </w:t>
      </w:r>
      <w:r>
        <w:rPr/>
        <w:t>Structure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Nigerian</w:t>
      </w:r>
      <w:r>
        <w:rPr>
          <w:spacing w:val="-8"/>
        </w:rPr>
        <w:t> </w:t>
      </w:r>
      <w:r>
        <w:rPr/>
        <w:t>Economy</w:t>
      </w:r>
      <w:r>
        <w:rPr>
          <w:spacing w:val="-9"/>
        </w:rPr>
        <w:t> </w:t>
      </w:r>
      <w:r>
        <w:rPr/>
        <w:t>by</w:t>
      </w:r>
      <w:r>
        <w:rPr>
          <w:spacing w:val="-11"/>
        </w:rPr>
        <w:t> </w:t>
      </w:r>
      <w:r>
        <w:rPr/>
        <w:t>Sectors</w:t>
        <w:tab/>
        <w:t>63</w:t>
      </w:r>
    </w:p>
    <w:p>
      <w:pPr>
        <w:pStyle w:val="BodyText"/>
        <w:tabs>
          <w:tab w:pos="10524" w:val="left" w:leader="none"/>
        </w:tabs>
        <w:spacing w:before="139"/>
        <w:ind w:left="1760"/>
      </w:pPr>
      <w:r>
        <w:rPr/>
        <w:t>Table</w:t>
      </w:r>
      <w:r>
        <w:rPr>
          <w:spacing w:val="-7"/>
        </w:rPr>
        <w:t> </w:t>
      </w:r>
      <w:r>
        <w:rPr/>
        <w:t>3.2:</w:t>
      </w:r>
      <w:r>
        <w:rPr>
          <w:spacing w:val="-6"/>
        </w:rPr>
        <w:t> </w:t>
      </w:r>
      <w:r>
        <w:rPr/>
        <w:t>Sectoral</w:t>
      </w:r>
      <w:r>
        <w:rPr>
          <w:spacing w:val="-6"/>
        </w:rPr>
        <w:t> </w:t>
      </w:r>
      <w:r>
        <w:rPr/>
        <w:t>Contributions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GDP</w:t>
        <w:tab/>
        <w:t>65</w:t>
      </w:r>
    </w:p>
    <w:p>
      <w:pPr>
        <w:pStyle w:val="BodyText"/>
        <w:tabs>
          <w:tab w:pos="10526" w:val="left" w:leader="none"/>
        </w:tabs>
        <w:spacing w:before="137"/>
        <w:ind w:left="1760"/>
      </w:pPr>
      <w:r>
        <w:rPr/>
        <w:t>Table</w:t>
      </w:r>
      <w:r>
        <w:rPr>
          <w:spacing w:val="-7"/>
        </w:rPr>
        <w:t> </w:t>
      </w:r>
      <w:r>
        <w:rPr/>
        <w:t>3.3:</w:t>
      </w:r>
      <w:r>
        <w:rPr>
          <w:spacing w:val="-5"/>
        </w:rPr>
        <w:t> </w:t>
      </w:r>
      <w:r>
        <w:rPr/>
        <w:t>Oil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Non-oil</w:t>
      </w:r>
      <w:r>
        <w:rPr>
          <w:spacing w:val="-6"/>
        </w:rPr>
        <w:t> </w:t>
      </w:r>
      <w:r>
        <w:rPr/>
        <w:t>contribution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GDP</w:t>
        <w:tab/>
        <w:t>66</w:t>
      </w:r>
    </w:p>
    <w:p>
      <w:pPr>
        <w:pStyle w:val="BodyText"/>
        <w:tabs>
          <w:tab w:pos="10519" w:val="left" w:leader="none"/>
        </w:tabs>
        <w:spacing w:before="139"/>
        <w:ind w:left="1760"/>
      </w:pPr>
      <w:r>
        <w:rPr/>
        <w:t>Table</w:t>
      </w:r>
      <w:r>
        <w:rPr>
          <w:spacing w:val="-7"/>
        </w:rPr>
        <w:t> </w:t>
      </w:r>
      <w:r>
        <w:rPr/>
        <w:t>3.4:</w:t>
      </w:r>
      <w:r>
        <w:rPr>
          <w:spacing w:val="-6"/>
        </w:rPr>
        <w:t> </w:t>
      </w:r>
      <w:r>
        <w:rPr/>
        <w:t>Tax</w:t>
      </w:r>
      <w:r>
        <w:rPr>
          <w:spacing w:val="-4"/>
        </w:rPr>
        <w:t> </w:t>
      </w:r>
      <w:r>
        <w:rPr/>
        <w:t>Jurisdiction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Nigeria</w:t>
        <w:tab/>
        <w:t>70</w:t>
      </w:r>
    </w:p>
    <w:p>
      <w:pPr>
        <w:pStyle w:val="BodyText"/>
        <w:tabs>
          <w:tab w:pos="10526" w:val="left" w:leader="none"/>
        </w:tabs>
        <w:spacing w:before="137"/>
        <w:ind w:left="1760"/>
      </w:pPr>
      <w:r>
        <w:rPr/>
        <w:t>Table</w:t>
      </w:r>
      <w:r>
        <w:rPr>
          <w:spacing w:val="-8"/>
        </w:rPr>
        <w:t> </w:t>
      </w:r>
      <w:r>
        <w:rPr/>
        <w:t>3.5:</w:t>
      </w:r>
      <w:r>
        <w:rPr>
          <w:spacing w:val="-6"/>
        </w:rPr>
        <w:t> </w:t>
      </w:r>
      <w:r>
        <w:rPr/>
        <w:t>Expenditure</w:t>
      </w:r>
      <w:r>
        <w:rPr>
          <w:spacing w:val="-8"/>
        </w:rPr>
        <w:t> </w:t>
      </w:r>
      <w:r>
        <w:rPr/>
        <w:t>Responsibilities</w:t>
      </w:r>
      <w:r>
        <w:rPr>
          <w:spacing w:val="-6"/>
        </w:rPr>
        <w:t> </w:t>
      </w:r>
      <w:r>
        <w:rPr/>
        <w:t>in</w:t>
      </w:r>
      <w:r>
        <w:rPr>
          <w:spacing w:val="-9"/>
        </w:rPr>
        <w:t> </w:t>
      </w:r>
      <w:r>
        <w:rPr/>
        <w:t>Nigeria</w:t>
        <w:tab/>
        <w:t>71</w:t>
      </w:r>
    </w:p>
    <w:p>
      <w:pPr>
        <w:pStyle w:val="BodyText"/>
        <w:tabs>
          <w:tab w:pos="10520" w:val="left" w:leader="none"/>
        </w:tabs>
        <w:spacing w:before="140"/>
        <w:ind w:left="1760"/>
      </w:pPr>
      <w:r>
        <w:rPr/>
        <w:t>Table</w:t>
      </w:r>
      <w:r>
        <w:rPr>
          <w:spacing w:val="-9"/>
        </w:rPr>
        <w:t> </w:t>
      </w:r>
      <w:r>
        <w:rPr/>
        <w:t>3.6:</w:t>
      </w:r>
      <w:r>
        <w:rPr>
          <w:spacing w:val="-8"/>
        </w:rPr>
        <w:t> </w:t>
      </w:r>
      <w:r>
        <w:rPr/>
        <w:t>Annual</w:t>
      </w:r>
      <w:r>
        <w:rPr>
          <w:spacing w:val="-6"/>
        </w:rPr>
        <w:t> </w:t>
      </w:r>
      <w:r>
        <w:rPr/>
        <w:t>Budgets</w:t>
      </w:r>
      <w:r>
        <w:rPr>
          <w:spacing w:val="-7"/>
        </w:rPr>
        <w:t> </w:t>
      </w:r>
      <w:r>
        <w:rPr/>
        <w:t>for</w:t>
      </w:r>
      <w:r>
        <w:rPr>
          <w:spacing w:val="-10"/>
        </w:rPr>
        <w:t> </w:t>
      </w:r>
      <w:r>
        <w:rPr/>
        <w:t>Some</w:t>
      </w:r>
      <w:r>
        <w:rPr>
          <w:spacing w:val="-9"/>
        </w:rPr>
        <w:t> </w:t>
      </w:r>
      <w:r>
        <w:rPr/>
        <w:t>Selected</w:t>
      </w:r>
      <w:r>
        <w:rPr>
          <w:spacing w:val="-8"/>
        </w:rPr>
        <w:t> </w:t>
      </w:r>
      <w:r>
        <w:rPr/>
        <w:t>Years</w:t>
      </w:r>
      <w:r>
        <w:rPr>
          <w:spacing w:val="-9"/>
        </w:rPr>
        <w:t> </w:t>
      </w:r>
      <w:r>
        <w:rPr/>
        <w:t>(</w:t>
      </w:r>
      <w:r>
        <w:rPr>
          <w:strike/>
          <w:spacing w:val="-9"/>
          <w:shd w:fill="FAFCFB" w:color="auto" w:val="clear"/>
        </w:rPr>
        <w:t> </w:t>
      </w:r>
      <w:r>
        <w:rPr>
          <w:strike/>
          <w:shd w:fill="FAFCFB" w:color="auto" w:val="clear"/>
        </w:rPr>
        <w:t>N</w:t>
      </w:r>
      <w:r>
        <w:rPr>
          <w:strike w:val="0"/>
        </w:rPr>
        <w:t>’billion)</w:t>
        <w:tab/>
        <w:t>73</w:t>
      </w:r>
    </w:p>
    <w:p>
      <w:pPr>
        <w:pStyle w:val="BodyText"/>
        <w:tabs>
          <w:tab w:pos="10518" w:val="left" w:leader="none"/>
        </w:tabs>
        <w:spacing w:before="137"/>
        <w:ind w:left="1760"/>
      </w:pPr>
      <w:r>
        <w:rPr/>
        <w:t>Table</w:t>
      </w:r>
      <w:r>
        <w:rPr>
          <w:spacing w:val="-9"/>
        </w:rPr>
        <w:t> </w:t>
      </w:r>
      <w:r>
        <w:rPr/>
        <w:t>3.7:</w:t>
      </w:r>
      <w:r>
        <w:rPr>
          <w:spacing w:val="-8"/>
        </w:rPr>
        <w:t> </w:t>
      </w:r>
      <w:r>
        <w:rPr/>
        <w:t>Average</w:t>
      </w:r>
      <w:r>
        <w:rPr>
          <w:spacing w:val="-10"/>
        </w:rPr>
        <w:t> </w:t>
      </w:r>
      <w:r>
        <w:rPr/>
        <w:t>Output</w:t>
      </w:r>
      <w:r>
        <w:rPr>
          <w:spacing w:val="-8"/>
        </w:rPr>
        <w:t> </w:t>
      </w:r>
      <w:r>
        <w:rPr/>
        <w:t>Growth</w:t>
      </w:r>
      <w:r>
        <w:rPr>
          <w:spacing w:val="-9"/>
        </w:rPr>
        <w:t> </w:t>
      </w:r>
      <w:r>
        <w:rPr/>
        <w:t>Rate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Nigeria</w:t>
      </w:r>
      <w:r>
        <w:rPr>
          <w:spacing w:val="-8"/>
        </w:rPr>
        <w:t> </w:t>
      </w:r>
      <w:r>
        <w:rPr/>
        <w:t>(percent)</w:t>
        <w:tab/>
        <w:t>76</w:t>
      </w:r>
    </w:p>
    <w:p>
      <w:pPr>
        <w:pStyle w:val="BodyText"/>
        <w:tabs>
          <w:tab w:pos="10524" w:val="left" w:leader="none"/>
        </w:tabs>
        <w:spacing w:before="139"/>
        <w:ind w:left="1760"/>
      </w:pPr>
      <w:r>
        <w:rPr/>
        <w:t>Table</w:t>
      </w:r>
      <w:r>
        <w:rPr>
          <w:spacing w:val="-10"/>
        </w:rPr>
        <w:t> </w:t>
      </w:r>
      <w:r>
        <w:rPr/>
        <w:t>3.8:</w:t>
      </w:r>
      <w:r>
        <w:rPr>
          <w:spacing w:val="-9"/>
        </w:rPr>
        <w:t> </w:t>
      </w:r>
      <w:r>
        <w:rPr/>
        <w:t>Trend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levels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Base</w:t>
      </w:r>
      <w:r>
        <w:rPr>
          <w:spacing w:val="-9"/>
        </w:rPr>
        <w:t> </w:t>
      </w:r>
      <w:r>
        <w:rPr/>
        <w:t>Money,</w:t>
      </w:r>
      <w:r>
        <w:rPr>
          <w:spacing w:val="-10"/>
        </w:rPr>
        <w:t> </w:t>
      </w:r>
      <w:r>
        <w:rPr/>
        <w:t>M1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M2</w:t>
      </w:r>
      <w:r>
        <w:rPr>
          <w:spacing w:val="-9"/>
        </w:rPr>
        <w:t> </w:t>
      </w:r>
      <w:r>
        <w:rPr/>
        <w:t>(N’Million)</w:t>
        <w:tab/>
        <w:t>78</w:t>
      </w:r>
    </w:p>
    <w:p>
      <w:pPr>
        <w:pStyle w:val="BodyText"/>
        <w:tabs>
          <w:tab w:pos="10515" w:val="left" w:leader="none"/>
        </w:tabs>
        <w:spacing w:before="137"/>
        <w:ind w:left="1760"/>
      </w:pPr>
      <w:r>
        <w:rPr/>
        <w:t>Table</w:t>
      </w:r>
      <w:r>
        <w:rPr>
          <w:spacing w:val="-8"/>
        </w:rPr>
        <w:t> </w:t>
      </w:r>
      <w:r>
        <w:rPr/>
        <w:t>3.9:</w:t>
      </w:r>
      <w:r>
        <w:rPr>
          <w:spacing w:val="-7"/>
        </w:rPr>
        <w:t> </w:t>
      </w:r>
      <w:r>
        <w:rPr/>
        <w:t>Monetary</w:t>
      </w:r>
      <w:r>
        <w:rPr>
          <w:spacing w:val="-12"/>
        </w:rPr>
        <w:t> </w:t>
      </w:r>
      <w:r>
        <w:rPr/>
        <w:t>Policy</w:t>
      </w:r>
      <w:r>
        <w:rPr>
          <w:spacing w:val="-12"/>
        </w:rPr>
        <w:t> </w:t>
      </w:r>
      <w:r>
        <w:rPr/>
        <w:t>Stance</w:t>
      </w:r>
      <w:r>
        <w:rPr>
          <w:spacing w:val="-9"/>
        </w:rPr>
        <w:t> </w:t>
      </w:r>
      <w:r>
        <w:rPr/>
        <w:t>in</w:t>
      </w:r>
      <w:r>
        <w:rPr>
          <w:spacing w:val="-6"/>
        </w:rPr>
        <w:t> </w:t>
      </w:r>
      <w:r>
        <w:rPr/>
        <w:t>Some</w:t>
      </w:r>
      <w:r>
        <w:rPr>
          <w:spacing w:val="-8"/>
        </w:rPr>
        <w:t> </w:t>
      </w:r>
      <w:r>
        <w:rPr/>
        <w:t>Selected</w:t>
      </w:r>
      <w:r>
        <w:rPr>
          <w:spacing w:val="-8"/>
        </w:rPr>
        <w:t> </w:t>
      </w:r>
      <w:r>
        <w:rPr/>
        <w:t>Years</w:t>
        <w:tab/>
        <w:t>79</w:t>
      </w:r>
    </w:p>
    <w:p>
      <w:pPr>
        <w:pStyle w:val="BodyText"/>
        <w:tabs>
          <w:tab w:pos="10522" w:val="left" w:leader="none"/>
        </w:tabs>
        <w:spacing w:before="139"/>
        <w:ind w:left="1760"/>
      </w:pPr>
      <w:r>
        <w:rPr/>
        <w:t>Table</w:t>
      </w:r>
      <w:r>
        <w:rPr>
          <w:spacing w:val="-9"/>
        </w:rPr>
        <w:t> </w:t>
      </w:r>
      <w:r>
        <w:rPr/>
        <w:t>3.10:</w:t>
      </w:r>
      <w:r>
        <w:rPr>
          <w:spacing w:val="-8"/>
        </w:rPr>
        <w:t> </w:t>
      </w:r>
      <w:r>
        <w:rPr/>
        <w:t>Growth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Total</w:t>
      </w:r>
      <w:r>
        <w:rPr>
          <w:spacing w:val="-9"/>
        </w:rPr>
        <w:t> </w:t>
      </w:r>
      <w:r>
        <w:rPr/>
        <w:t>Government</w:t>
      </w:r>
      <w:r>
        <w:rPr>
          <w:spacing w:val="-7"/>
        </w:rPr>
        <w:t> </w:t>
      </w:r>
      <w:r>
        <w:rPr/>
        <w:t>Expenditure</w:t>
      </w:r>
      <w:r>
        <w:rPr>
          <w:spacing w:val="-9"/>
        </w:rPr>
        <w:t> </w:t>
      </w:r>
      <w:r>
        <w:rPr/>
        <w:t>(percent)</w:t>
        <w:tab/>
        <w:t>81</w:t>
      </w:r>
    </w:p>
    <w:p>
      <w:pPr>
        <w:pStyle w:val="BodyText"/>
        <w:tabs>
          <w:tab w:pos="10523" w:val="left" w:leader="none"/>
        </w:tabs>
        <w:spacing w:before="137"/>
        <w:ind w:left="1760"/>
      </w:pPr>
      <w:r>
        <w:rPr>
          <w:spacing w:val="-1"/>
        </w:rPr>
        <w:t>Table</w:t>
      </w:r>
      <w:r>
        <w:rPr>
          <w:spacing w:val="-13"/>
        </w:rPr>
        <w:t> </w:t>
      </w:r>
      <w:r>
        <w:rPr>
          <w:spacing w:val="-1"/>
        </w:rPr>
        <w:t>3.11:</w:t>
      </w:r>
      <w:r>
        <w:rPr>
          <w:spacing w:val="-12"/>
        </w:rPr>
        <w:t> </w:t>
      </w:r>
      <w:r>
        <w:rPr/>
        <w:t>Fiscal</w:t>
      </w:r>
      <w:r>
        <w:rPr>
          <w:spacing w:val="-12"/>
        </w:rPr>
        <w:t> </w:t>
      </w:r>
      <w:r>
        <w:rPr/>
        <w:t>Policy</w:t>
      </w:r>
      <w:r>
        <w:rPr>
          <w:spacing w:val="-15"/>
        </w:rPr>
        <w:t> </w:t>
      </w:r>
      <w:r>
        <w:rPr/>
        <w:t>Stance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Nigeria</w:t>
      </w:r>
      <w:r>
        <w:rPr>
          <w:spacing w:val="-14"/>
        </w:rPr>
        <w:t> </w:t>
      </w:r>
      <w:r>
        <w:rPr/>
        <w:t>in</w:t>
      </w:r>
      <w:r>
        <w:rPr>
          <w:spacing w:val="-12"/>
        </w:rPr>
        <w:t> </w:t>
      </w:r>
      <w:r>
        <w:rPr/>
        <w:t>some</w:t>
      </w:r>
      <w:r>
        <w:rPr>
          <w:spacing w:val="-10"/>
        </w:rPr>
        <w:t> </w:t>
      </w:r>
      <w:r>
        <w:rPr/>
        <w:t>selected</w:t>
      </w:r>
      <w:r>
        <w:rPr>
          <w:spacing w:val="-8"/>
        </w:rPr>
        <w:t> </w:t>
      </w:r>
      <w:r>
        <w:rPr/>
        <w:t>years</w:t>
      </w:r>
      <w:r>
        <w:rPr>
          <w:spacing w:val="-13"/>
        </w:rPr>
        <w:t> </w:t>
      </w:r>
      <w:r>
        <w:rPr/>
        <w:t>(1970-</w:t>
      </w:r>
      <w:r>
        <w:rPr>
          <w:spacing w:val="-13"/>
        </w:rPr>
        <w:t> </w:t>
      </w:r>
      <w:r>
        <w:rPr/>
        <w:t>2015)</w:t>
        <w:tab/>
        <w:t>82</w:t>
      </w:r>
    </w:p>
    <w:p>
      <w:pPr>
        <w:pStyle w:val="BodyText"/>
        <w:tabs>
          <w:tab w:pos="10521" w:val="left" w:leader="none"/>
        </w:tabs>
        <w:spacing w:before="139"/>
        <w:ind w:left="1760"/>
      </w:pPr>
      <w:r>
        <w:rPr/>
        <w:t>Table</w:t>
      </w:r>
      <w:r>
        <w:rPr>
          <w:spacing w:val="-7"/>
        </w:rPr>
        <w:t> </w:t>
      </w:r>
      <w:r>
        <w:rPr/>
        <w:t>3.12:</w:t>
      </w:r>
      <w:r>
        <w:rPr>
          <w:spacing w:val="-6"/>
        </w:rPr>
        <w:t> </w:t>
      </w:r>
      <w:r>
        <w:rPr/>
        <w:t>Correlation</w:t>
      </w:r>
      <w:r>
        <w:rPr>
          <w:spacing w:val="-3"/>
        </w:rPr>
        <w:t> </w:t>
      </w:r>
      <w:r>
        <w:rPr/>
        <w:t>Matrix</w:t>
        <w:tab/>
        <w:t>83</w:t>
      </w:r>
    </w:p>
    <w:p>
      <w:pPr>
        <w:pStyle w:val="BodyText"/>
        <w:tabs>
          <w:tab w:pos="10520" w:val="left" w:leader="none"/>
        </w:tabs>
        <w:spacing w:before="137"/>
        <w:ind w:left="1760"/>
      </w:pPr>
      <w:r>
        <w:rPr/>
        <w:t>Table</w:t>
      </w:r>
      <w:r>
        <w:rPr>
          <w:spacing w:val="-7"/>
        </w:rPr>
        <w:t> </w:t>
      </w:r>
      <w:r>
        <w:rPr/>
        <w:t>3.13:</w:t>
      </w:r>
      <w:r>
        <w:rPr>
          <w:spacing w:val="-5"/>
        </w:rPr>
        <w:t> </w:t>
      </w:r>
      <w:r>
        <w:rPr/>
        <w:t>Pair</w:t>
      </w:r>
      <w:r>
        <w:rPr>
          <w:spacing w:val="-6"/>
        </w:rPr>
        <w:t> </w:t>
      </w:r>
      <w:r>
        <w:rPr/>
        <w:t>wise</w:t>
      </w:r>
      <w:r>
        <w:rPr>
          <w:spacing w:val="-6"/>
        </w:rPr>
        <w:t> </w:t>
      </w:r>
      <w:r>
        <w:rPr/>
        <w:t>Granger</w:t>
      </w:r>
      <w:r>
        <w:rPr>
          <w:spacing w:val="-7"/>
        </w:rPr>
        <w:t> </w:t>
      </w:r>
      <w:r>
        <w:rPr/>
        <w:t>Causality</w:t>
      </w:r>
      <w:r>
        <w:rPr>
          <w:spacing w:val="-10"/>
        </w:rPr>
        <w:t> </w:t>
      </w:r>
      <w:r>
        <w:rPr/>
        <w:t>Test</w:t>
        <w:tab/>
        <w:t>84</w:t>
      </w:r>
    </w:p>
    <w:p>
      <w:pPr>
        <w:pStyle w:val="BodyText"/>
        <w:tabs>
          <w:tab w:pos="10521" w:val="left" w:leader="none"/>
        </w:tabs>
        <w:spacing w:before="139"/>
        <w:ind w:left="1760"/>
      </w:pPr>
      <w:r>
        <w:rPr/>
        <w:t>Table</w:t>
      </w:r>
      <w:r>
        <w:rPr>
          <w:spacing w:val="-7"/>
        </w:rPr>
        <w:t> </w:t>
      </w:r>
      <w:r>
        <w:rPr/>
        <w:t>3.14:</w:t>
      </w:r>
      <w:r>
        <w:rPr>
          <w:spacing w:val="-6"/>
        </w:rPr>
        <w:t> </w:t>
      </w:r>
      <w:r>
        <w:rPr/>
        <w:t>Correlation</w:t>
      </w:r>
      <w:r>
        <w:rPr>
          <w:spacing w:val="-3"/>
        </w:rPr>
        <w:t> </w:t>
      </w:r>
      <w:r>
        <w:rPr/>
        <w:t>Matrix</w:t>
        <w:tab/>
        <w:t>85</w:t>
      </w:r>
    </w:p>
    <w:p>
      <w:pPr>
        <w:pStyle w:val="BodyText"/>
        <w:tabs>
          <w:tab w:pos="10524" w:val="left" w:leader="none"/>
        </w:tabs>
        <w:spacing w:before="138"/>
        <w:ind w:left="1760"/>
      </w:pPr>
      <w:r>
        <w:rPr/>
        <w:t>Table</w:t>
      </w:r>
      <w:r>
        <w:rPr>
          <w:spacing w:val="-7"/>
        </w:rPr>
        <w:t> </w:t>
      </w:r>
      <w:r>
        <w:rPr/>
        <w:t>3.15:</w:t>
      </w:r>
      <w:r>
        <w:rPr>
          <w:spacing w:val="-6"/>
        </w:rPr>
        <w:t> </w:t>
      </w:r>
      <w:r>
        <w:rPr/>
        <w:t>Business</w:t>
      </w:r>
      <w:r>
        <w:rPr>
          <w:spacing w:val="-6"/>
        </w:rPr>
        <w:t> </w:t>
      </w:r>
      <w:r>
        <w:rPr/>
        <w:t>Cycle</w:t>
      </w:r>
      <w:r>
        <w:rPr>
          <w:spacing w:val="-6"/>
        </w:rPr>
        <w:t> </w:t>
      </w:r>
      <w:r>
        <w:rPr/>
        <w:t>Statistics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Real</w:t>
        <w:tab/>
        <w:t>86</w:t>
      </w:r>
    </w:p>
    <w:p>
      <w:pPr>
        <w:pStyle w:val="BodyText"/>
        <w:tabs>
          <w:tab w:pos="10521" w:val="left" w:leader="none"/>
        </w:tabs>
        <w:spacing w:before="139"/>
        <w:ind w:left="1760"/>
      </w:pPr>
      <w:r>
        <w:rPr/>
        <w:t>Table</w:t>
      </w:r>
      <w:r>
        <w:rPr>
          <w:spacing w:val="-1"/>
        </w:rPr>
        <w:t> </w:t>
      </w:r>
      <w:r>
        <w:rPr/>
        <w:t>3.16: correlation with CPI</w:t>
        <w:tab/>
        <w:t>88</w:t>
      </w:r>
    </w:p>
    <w:p>
      <w:pPr>
        <w:pStyle w:val="BodyText"/>
        <w:tabs>
          <w:tab w:pos="10523" w:val="left" w:leader="none"/>
        </w:tabs>
        <w:spacing w:before="137"/>
        <w:ind w:left="1760"/>
      </w:pPr>
      <w:r>
        <w:rPr/>
        <w:t>Table</w:t>
      </w:r>
      <w:r>
        <w:rPr>
          <w:spacing w:val="-7"/>
        </w:rPr>
        <w:t> </w:t>
      </w:r>
      <w:r>
        <w:rPr/>
        <w:t>3.17:</w:t>
      </w:r>
      <w:r>
        <w:rPr>
          <w:spacing w:val="-6"/>
        </w:rPr>
        <w:t> </w:t>
      </w:r>
      <w:r>
        <w:rPr/>
        <w:t>Correlation</w:t>
      </w:r>
      <w:r>
        <w:rPr>
          <w:spacing w:val="-5"/>
        </w:rPr>
        <w:t> </w:t>
      </w:r>
      <w:r>
        <w:rPr/>
        <w:t>between</w:t>
      </w:r>
      <w:r>
        <w:rPr>
          <w:spacing w:val="-6"/>
        </w:rPr>
        <w:t> </w:t>
      </w:r>
      <w:r>
        <w:rPr/>
        <w:t>Fiscal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monetary</w:t>
      </w:r>
      <w:r>
        <w:rPr>
          <w:spacing w:val="-13"/>
        </w:rPr>
        <w:t> </w:t>
      </w:r>
      <w:r>
        <w:rPr/>
        <w:t>policy</w:t>
        <w:tab/>
        <w:t>89</w:t>
      </w:r>
    </w:p>
    <w:p>
      <w:pPr>
        <w:pStyle w:val="BodyText"/>
        <w:tabs>
          <w:tab w:pos="10521" w:val="left" w:leader="none"/>
        </w:tabs>
        <w:spacing w:before="139"/>
        <w:ind w:left="1760"/>
      </w:pPr>
      <w:r>
        <w:rPr/>
        <w:t>Table</w:t>
      </w:r>
      <w:r>
        <w:rPr>
          <w:spacing w:val="-8"/>
        </w:rPr>
        <w:t> </w:t>
      </w:r>
      <w:r>
        <w:rPr/>
        <w:t>3.18:</w:t>
      </w:r>
      <w:r>
        <w:rPr>
          <w:spacing w:val="-7"/>
        </w:rPr>
        <w:t> </w:t>
      </w:r>
      <w:r>
        <w:rPr/>
        <w:t>Corruption</w:t>
      </w:r>
      <w:r>
        <w:rPr>
          <w:spacing w:val="-7"/>
        </w:rPr>
        <w:t> </w:t>
      </w:r>
      <w:r>
        <w:rPr/>
        <w:t>Perception</w:t>
      </w:r>
      <w:r>
        <w:rPr>
          <w:spacing w:val="-5"/>
        </w:rPr>
        <w:t> </w:t>
      </w:r>
      <w:r>
        <w:rPr/>
        <w:t>Index</w:t>
      </w:r>
      <w:r>
        <w:rPr>
          <w:spacing w:val="-5"/>
        </w:rPr>
        <w:t> </w:t>
      </w:r>
      <w:r>
        <w:rPr/>
        <w:t>for</w:t>
      </w:r>
      <w:r>
        <w:rPr>
          <w:spacing w:val="-9"/>
        </w:rPr>
        <w:t> </w:t>
      </w:r>
      <w:r>
        <w:rPr/>
        <w:t>Nigeria</w:t>
        <w:tab/>
        <w:t>90</w:t>
      </w:r>
    </w:p>
    <w:p>
      <w:pPr>
        <w:pStyle w:val="BodyText"/>
        <w:tabs>
          <w:tab w:pos="10521" w:val="left" w:leader="none"/>
        </w:tabs>
        <w:spacing w:before="137"/>
        <w:ind w:left="1760"/>
      </w:pPr>
      <w:r>
        <w:rPr/>
        <w:t>Table</w:t>
      </w:r>
      <w:r>
        <w:rPr>
          <w:spacing w:val="-10"/>
        </w:rPr>
        <w:t> </w:t>
      </w:r>
      <w:r>
        <w:rPr/>
        <w:t>3.19:</w:t>
      </w:r>
      <w:r>
        <w:rPr>
          <w:spacing w:val="-8"/>
        </w:rPr>
        <w:t> </w:t>
      </w:r>
      <w:r>
        <w:rPr/>
        <w:t>Enforcement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Monitoring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Fiscal</w:t>
      </w:r>
      <w:r>
        <w:rPr>
          <w:spacing w:val="-8"/>
        </w:rPr>
        <w:t> </w:t>
      </w:r>
      <w:r>
        <w:rPr/>
        <w:t>Rules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Nigeria</w:t>
        <w:tab/>
        <w:t>92</w:t>
      </w:r>
    </w:p>
    <w:p>
      <w:pPr>
        <w:pStyle w:val="BodyText"/>
        <w:tabs>
          <w:tab w:pos="10526" w:val="left" w:leader="none"/>
        </w:tabs>
        <w:spacing w:before="139"/>
        <w:ind w:left="1760"/>
      </w:pPr>
      <w:r>
        <w:rPr/>
        <w:t>Table</w:t>
      </w:r>
      <w:r>
        <w:rPr>
          <w:spacing w:val="-7"/>
        </w:rPr>
        <w:t> </w:t>
      </w:r>
      <w:r>
        <w:rPr/>
        <w:t>3.20:</w:t>
      </w:r>
      <w:r>
        <w:rPr>
          <w:spacing w:val="-6"/>
        </w:rPr>
        <w:t> </w:t>
      </w:r>
      <w:r>
        <w:rPr/>
        <w:t>Policy</w:t>
      </w:r>
      <w:r>
        <w:rPr>
          <w:spacing w:val="-10"/>
        </w:rPr>
        <w:t> </w:t>
      </w:r>
      <w:r>
        <w:rPr/>
        <w:t>Coordination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Nigeria</w:t>
        <w:tab/>
        <w:t>93</w:t>
      </w:r>
    </w:p>
    <w:p>
      <w:pPr>
        <w:pStyle w:val="BodyText"/>
        <w:tabs>
          <w:tab w:pos="10401" w:val="left" w:leader="none"/>
        </w:tabs>
        <w:spacing w:before="137"/>
        <w:ind w:left="1760"/>
      </w:pPr>
      <w:r>
        <w:rPr/>
        <w:t>Table</w:t>
      </w:r>
      <w:r>
        <w:rPr>
          <w:spacing w:val="-8"/>
        </w:rPr>
        <w:t> </w:t>
      </w:r>
      <w:r>
        <w:rPr/>
        <w:t>4.1:</w:t>
      </w:r>
      <w:r>
        <w:rPr>
          <w:spacing w:val="-3"/>
        </w:rPr>
        <w:t> </w:t>
      </w:r>
      <w:r>
        <w:rPr/>
        <w:t>Log-linear</w:t>
      </w:r>
      <w:r>
        <w:rPr>
          <w:spacing w:val="-7"/>
        </w:rPr>
        <w:t> </w:t>
      </w:r>
      <w:r>
        <w:rPr/>
        <w:t>System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Equations</w:t>
        <w:tab/>
        <w:t>132</w:t>
      </w:r>
    </w:p>
    <w:p>
      <w:pPr>
        <w:pStyle w:val="BodyText"/>
        <w:tabs>
          <w:tab w:pos="10401" w:val="left" w:leader="none"/>
        </w:tabs>
        <w:spacing w:before="137"/>
        <w:ind w:left="1760"/>
      </w:pPr>
      <w:r>
        <w:rPr/>
        <w:t>Table</w:t>
      </w:r>
      <w:r>
        <w:rPr>
          <w:spacing w:val="-9"/>
        </w:rPr>
        <w:t> </w:t>
      </w:r>
      <w:r>
        <w:rPr/>
        <w:t>4.2:</w:t>
      </w:r>
      <w:r>
        <w:rPr>
          <w:spacing w:val="-8"/>
        </w:rPr>
        <w:t> </w:t>
      </w:r>
      <w:r>
        <w:rPr/>
        <w:t>Foreign</w:t>
      </w:r>
      <w:r>
        <w:rPr>
          <w:spacing w:val="-9"/>
        </w:rPr>
        <w:t> </w:t>
      </w:r>
      <w:r>
        <w:rPr/>
        <w:t>Economy</w:t>
      </w:r>
      <w:r>
        <w:rPr>
          <w:spacing w:val="-13"/>
        </w:rPr>
        <w:t> </w:t>
      </w:r>
      <w:r>
        <w:rPr/>
        <w:t>and</w:t>
      </w:r>
      <w:r>
        <w:rPr>
          <w:spacing w:val="-9"/>
        </w:rPr>
        <w:t> </w:t>
      </w:r>
      <w:r>
        <w:rPr/>
        <w:t>other</w:t>
      </w:r>
      <w:r>
        <w:rPr>
          <w:spacing w:val="-9"/>
        </w:rPr>
        <w:t> </w:t>
      </w:r>
      <w:r>
        <w:rPr/>
        <w:t>Exogenous</w:t>
      </w:r>
      <w:r>
        <w:rPr>
          <w:spacing w:val="-6"/>
        </w:rPr>
        <w:t> </w:t>
      </w:r>
      <w:r>
        <w:rPr/>
        <w:t>Processes</w:t>
        <w:tab/>
        <w:t>135</w:t>
      </w:r>
    </w:p>
    <w:p>
      <w:pPr>
        <w:pStyle w:val="BodyText"/>
        <w:tabs>
          <w:tab w:pos="10406" w:val="left" w:leader="none"/>
        </w:tabs>
        <w:spacing w:before="139"/>
        <w:ind w:left="1760"/>
      </w:pPr>
      <w:r>
        <w:rPr/>
        <w:t>Table</w:t>
      </w:r>
      <w:r>
        <w:rPr>
          <w:spacing w:val="-8"/>
        </w:rPr>
        <w:t> </w:t>
      </w:r>
      <w:r>
        <w:rPr/>
        <w:t>4.3:</w:t>
      </w:r>
      <w:r>
        <w:rPr>
          <w:spacing w:val="-4"/>
        </w:rPr>
        <w:t> </w:t>
      </w:r>
      <w:r>
        <w:rPr/>
        <w:t>List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Parameters</w:t>
      </w:r>
      <w:r>
        <w:rPr>
          <w:spacing w:val="-7"/>
        </w:rPr>
        <w:t> </w:t>
      </w:r>
      <w:r>
        <w:rPr/>
        <w:t>estimated</w:t>
        <w:tab/>
        <w:t>136</w:t>
      </w:r>
    </w:p>
    <w:p>
      <w:pPr>
        <w:pStyle w:val="BodyText"/>
        <w:tabs>
          <w:tab w:pos="10399" w:val="left" w:leader="none"/>
        </w:tabs>
        <w:spacing w:before="137"/>
        <w:ind w:left="1760"/>
      </w:pPr>
      <w:r>
        <w:rPr/>
        <w:t>Table</w:t>
      </w:r>
      <w:r>
        <w:rPr>
          <w:spacing w:val="-9"/>
        </w:rPr>
        <w:t> </w:t>
      </w:r>
      <w:r>
        <w:rPr/>
        <w:t>4.4:</w:t>
      </w:r>
      <w:r>
        <w:rPr>
          <w:spacing w:val="-8"/>
        </w:rPr>
        <w:t> </w:t>
      </w:r>
      <w:r>
        <w:rPr/>
        <w:t>Data</w:t>
      </w:r>
      <w:r>
        <w:rPr>
          <w:spacing w:val="-8"/>
        </w:rPr>
        <w:t> </w:t>
      </w:r>
      <w:r>
        <w:rPr/>
        <w:t>Description,</w:t>
      </w:r>
      <w:r>
        <w:rPr>
          <w:spacing w:val="-9"/>
        </w:rPr>
        <w:t> </w:t>
      </w:r>
      <w:r>
        <w:rPr/>
        <w:t>Measurement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Sources</w:t>
        <w:tab/>
        <w:t>143</w:t>
      </w:r>
    </w:p>
    <w:p>
      <w:pPr>
        <w:pStyle w:val="BodyText"/>
        <w:tabs>
          <w:tab w:pos="10401" w:val="left" w:leader="none"/>
        </w:tabs>
        <w:spacing w:before="139"/>
        <w:ind w:left="1760"/>
      </w:pPr>
      <w:r>
        <w:rPr/>
        <w:t>Table</w:t>
      </w:r>
      <w:r>
        <w:rPr>
          <w:spacing w:val="-8"/>
        </w:rPr>
        <w:t> </w:t>
      </w:r>
      <w:r>
        <w:rPr/>
        <w:t>5.1:</w:t>
      </w:r>
      <w:r>
        <w:rPr>
          <w:spacing w:val="-6"/>
        </w:rPr>
        <w:t> </w:t>
      </w:r>
      <w:r>
        <w:rPr/>
        <w:t>Estimates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Structural</w:t>
      </w:r>
      <w:r>
        <w:rPr>
          <w:spacing w:val="-7"/>
        </w:rPr>
        <w:t> </w:t>
      </w:r>
      <w:r>
        <w:rPr/>
        <w:t>Parameters</w:t>
        <w:tab/>
        <w:t>149</w:t>
      </w:r>
    </w:p>
    <w:p>
      <w:pPr>
        <w:pStyle w:val="BodyText"/>
        <w:tabs>
          <w:tab w:pos="10399" w:val="left" w:leader="none"/>
        </w:tabs>
        <w:spacing w:before="137"/>
        <w:ind w:left="1760"/>
      </w:pPr>
      <w:r>
        <w:rPr/>
        <w:t>Table</w:t>
      </w:r>
      <w:r>
        <w:rPr>
          <w:spacing w:val="-7"/>
        </w:rPr>
        <w:t> </w:t>
      </w:r>
      <w:r>
        <w:rPr/>
        <w:t>5.2:</w:t>
      </w:r>
      <w:r>
        <w:rPr>
          <w:spacing w:val="-6"/>
        </w:rPr>
        <w:t> </w:t>
      </w:r>
      <w:r>
        <w:rPr/>
        <w:t>Estimates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Policy</w:t>
      </w:r>
      <w:r>
        <w:rPr>
          <w:spacing w:val="-10"/>
        </w:rPr>
        <w:t> </w:t>
      </w:r>
      <w:r>
        <w:rPr/>
        <w:t>Parameters</w:t>
        <w:tab/>
        <w:t>151</w:t>
      </w:r>
    </w:p>
    <w:p>
      <w:pPr>
        <w:pStyle w:val="BodyText"/>
        <w:tabs>
          <w:tab w:pos="10401" w:val="left" w:leader="none"/>
        </w:tabs>
        <w:spacing w:before="139"/>
        <w:ind w:left="1760"/>
      </w:pPr>
      <w:r>
        <w:rPr/>
        <w:t>Table</w:t>
      </w:r>
      <w:r>
        <w:rPr>
          <w:spacing w:val="-8"/>
        </w:rPr>
        <w:t> </w:t>
      </w:r>
      <w:r>
        <w:rPr/>
        <w:t>5.3:</w:t>
      </w:r>
      <w:r>
        <w:rPr>
          <w:spacing w:val="-6"/>
        </w:rPr>
        <w:t> </w:t>
      </w:r>
      <w:r>
        <w:rPr/>
        <w:t>Estimates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Persistent</w:t>
      </w:r>
      <w:r>
        <w:rPr>
          <w:spacing w:val="-7"/>
        </w:rPr>
        <w:t> </w:t>
      </w:r>
      <w:r>
        <w:rPr/>
        <w:t>Parameters</w:t>
        <w:tab/>
        <w:t>152</w:t>
      </w:r>
    </w:p>
    <w:p>
      <w:pPr>
        <w:pStyle w:val="BodyText"/>
        <w:tabs>
          <w:tab w:pos="10404" w:val="left" w:leader="none"/>
        </w:tabs>
        <w:spacing w:before="137"/>
        <w:ind w:left="1760"/>
      </w:pPr>
      <w:r>
        <w:rPr/>
        <w:t>Table</w:t>
      </w:r>
      <w:r>
        <w:rPr>
          <w:spacing w:val="-8"/>
        </w:rPr>
        <w:t> </w:t>
      </w:r>
      <w:r>
        <w:rPr/>
        <w:t>5.4:</w:t>
      </w:r>
      <w:r>
        <w:rPr>
          <w:spacing w:val="-6"/>
        </w:rPr>
        <w:t> </w:t>
      </w:r>
      <w:r>
        <w:rPr/>
        <w:t>Estimates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Shock</w:t>
      </w:r>
      <w:r>
        <w:rPr>
          <w:spacing w:val="-6"/>
        </w:rPr>
        <w:t> </w:t>
      </w:r>
      <w:r>
        <w:rPr/>
        <w:t>Parameters</w:t>
        <w:tab/>
        <w:t>153</w:t>
      </w:r>
    </w:p>
    <w:p>
      <w:pPr>
        <w:pStyle w:val="BodyText"/>
        <w:tabs>
          <w:tab w:pos="10403" w:val="left" w:leader="none"/>
        </w:tabs>
        <w:spacing w:before="139"/>
        <w:ind w:left="1760"/>
      </w:pPr>
      <w:r>
        <w:rPr/>
        <w:t>Table</w:t>
      </w:r>
      <w:r>
        <w:rPr>
          <w:spacing w:val="-10"/>
        </w:rPr>
        <w:t> </w:t>
      </w:r>
      <w:r>
        <w:rPr/>
        <w:t>5.7:</w:t>
      </w:r>
      <w:r>
        <w:rPr>
          <w:spacing w:val="-8"/>
        </w:rPr>
        <w:t> </w:t>
      </w:r>
      <w:r>
        <w:rPr/>
        <w:t>Posterior</w:t>
      </w:r>
      <w:r>
        <w:rPr>
          <w:spacing w:val="-9"/>
        </w:rPr>
        <w:t> </w:t>
      </w:r>
      <w:r>
        <w:rPr/>
        <w:t>mean</w:t>
      </w:r>
      <w:r>
        <w:rPr>
          <w:spacing w:val="-9"/>
        </w:rPr>
        <w:t> </w:t>
      </w:r>
      <w:r>
        <w:rPr/>
        <w:t>variance</w:t>
      </w:r>
      <w:r>
        <w:rPr>
          <w:spacing w:val="-11"/>
        </w:rPr>
        <w:t> </w:t>
      </w:r>
      <w:r>
        <w:rPr/>
        <w:t>decomposition</w:t>
      </w:r>
      <w:r>
        <w:rPr>
          <w:spacing w:val="-8"/>
        </w:rPr>
        <w:t> </w:t>
      </w:r>
      <w:r>
        <w:rPr/>
        <w:t>(percent)</w:t>
        <w:tab/>
        <w:t>159</w:t>
      </w:r>
    </w:p>
    <w:p>
      <w:pPr>
        <w:spacing w:after="0"/>
        <w:sectPr>
          <w:pgSz w:w="12240" w:h="15840"/>
          <w:pgMar w:header="0" w:footer="935" w:top="1360" w:bottom="1200" w:left="40" w:right="0"/>
        </w:sectPr>
      </w:pPr>
    </w:p>
    <w:p>
      <w:pPr>
        <w:pStyle w:val="BodyText"/>
        <w:tabs>
          <w:tab w:pos="10764" w:val="right" w:leader="none"/>
        </w:tabs>
        <w:spacing w:before="74"/>
        <w:ind w:left="1760"/>
      </w:pPr>
      <w:r>
        <w:rPr/>
        <w:t>Table</w:t>
      </w:r>
      <w:r>
        <w:rPr>
          <w:spacing w:val="-7"/>
        </w:rPr>
        <w:t> </w:t>
      </w:r>
      <w:r>
        <w:rPr/>
        <w:t>5.8:</w:t>
      </w:r>
      <w:r>
        <w:rPr>
          <w:spacing w:val="-5"/>
        </w:rPr>
        <w:t> </w:t>
      </w:r>
      <w:r>
        <w:rPr/>
        <w:t>Matrix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Covariance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Shocks</w:t>
        <w:tab/>
        <w:t>170</w:t>
      </w:r>
    </w:p>
    <w:p>
      <w:pPr>
        <w:pStyle w:val="BodyText"/>
        <w:tabs>
          <w:tab w:pos="10759" w:val="right" w:leader="none"/>
        </w:tabs>
        <w:spacing w:before="137"/>
        <w:ind w:left="1760"/>
      </w:pPr>
      <w:r>
        <w:rPr/>
        <w:t>Table</w:t>
      </w:r>
      <w:r>
        <w:rPr>
          <w:spacing w:val="-7"/>
        </w:rPr>
        <w:t> </w:t>
      </w:r>
      <w:r>
        <w:rPr/>
        <w:t>5.9:</w:t>
      </w:r>
      <w:r>
        <w:rPr>
          <w:spacing w:val="-5"/>
        </w:rPr>
        <w:t> </w:t>
      </w:r>
      <w:r>
        <w:rPr/>
        <w:t>Theoretical</w:t>
      </w:r>
      <w:r>
        <w:rPr>
          <w:spacing w:val="-5"/>
        </w:rPr>
        <w:t> </w:t>
      </w:r>
      <w:r>
        <w:rPr/>
        <w:t>Moments</w:t>
        <w:tab/>
        <w:t>170</w:t>
      </w:r>
    </w:p>
    <w:p>
      <w:pPr>
        <w:pStyle w:val="BodyText"/>
        <w:tabs>
          <w:tab w:pos="10759" w:val="right" w:leader="none"/>
        </w:tabs>
        <w:spacing w:before="139"/>
        <w:ind w:left="1760"/>
      </w:pPr>
      <w:r>
        <w:rPr/>
        <w:t>Table</w:t>
      </w:r>
      <w:r>
        <w:rPr>
          <w:spacing w:val="-7"/>
        </w:rPr>
        <w:t> </w:t>
      </w:r>
      <w:r>
        <w:rPr/>
        <w:t>5.10:</w:t>
      </w:r>
      <w:r>
        <w:rPr>
          <w:spacing w:val="-5"/>
        </w:rPr>
        <w:t> </w:t>
      </w:r>
      <w:r>
        <w:rPr/>
        <w:t>Coefficient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Autocorrelation</w:t>
        <w:tab/>
        <w:t>171</w:t>
      </w:r>
    </w:p>
    <w:p>
      <w:pPr>
        <w:pStyle w:val="BodyText"/>
        <w:tabs>
          <w:tab w:pos="10759" w:val="right" w:leader="none"/>
        </w:tabs>
        <w:spacing w:before="137"/>
        <w:ind w:left="1760"/>
      </w:pPr>
      <w:r>
        <w:rPr/>
        <w:t>Table</w:t>
      </w:r>
      <w:r>
        <w:rPr>
          <w:spacing w:val="-7"/>
        </w:rPr>
        <w:t> </w:t>
      </w:r>
      <w:r>
        <w:rPr/>
        <w:t>5.11:</w:t>
      </w:r>
      <w:r>
        <w:rPr>
          <w:spacing w:val="-5"/>
        </w:rPr>
        <w:t> </w:t>
      </w:r>
      <w:r>
        <w:rPr/>
        <w:t>Correlation</w:t>
      </w:r>
      <w:r>
        <w:rPr>
          <w:spacing w:val="-2"/>
        </w:rPr>
        <w:t> </w:t>
      </w:r>
      <w:r>
        <w:rPr/>
        <w:t>Matrix</w:t>
        <w:tab/>
        <w:t>172</w:t>
      </w:r>
    </w:p>
    <w:p>
      <w:pPr>
        <w:pStyle w:val="BodyText"/>
        <w:tabs>
          <w:tab w:pos="10759" w:val="right" w:leader="none"/>
        </w:tabs>
        <w:spacing w:before="140"/>
        <w:ind w:left="1760"/>
      </w:pPr>
      <w:r>
        <w:rPr/>
        <w:t>Table</w:t>
      </w:r>
      <w:r>
        <w:rPr>
          <w:spacing w:val="-7"/>
        </w:rPr>
        <w:t> </w:t>
      </w:r>
      <w:r>
        <w:rPr/>
        <w:t>5.12:</w:t>
      </w:r>
      <w:r>
        <w:rPr>
          <w:spacing w:val="-5"/>
        </w:rPr>
        <w:t> </w:t>
      </w:r>
      <w:r>
        <w:rPr/>
        <w:t>Correlation</w:t>
      </w:r>
      <w:r>
        <w:rPr>
          <w:spacing w:val="-2"/>
        </w:rPr>
        <w:t> </w:t>
      </w:r>
      <w:r>
        <w:rPr/>
        <w:t>Matrix</w:t>
        <w:tab/>
        <w:t>172</w:t>
      </w:r>
    </w:p>
    <w:p>
      <w:pPr>
        <w:pStyle w:val="BodyText"/>
        <w:tabs>
          <w:tab w:pos="10755" w:val="right" w:leader="none"/>
        </w:tabs>
        <w:spacing w:before="136"/>
        <w:ind w:left="1760"/>
      </w:pPr>
      <w:r>
        <w:rPr/>
        <w:t>Table</w:t>
      </w:r>
      <w:r>
        <w:rPr>
          <w:spacing w:val="-12"/>
        </w:rPr>
        <w:t> </w:t>
      </w:r>
      <w:r>
        <w:rPr/>
        <w:t>5.13:</w:t>
      </w:r>
      <w:r>
        <w:rPr>
          <w:spacing w:val="-10"/>
        </w:rPr>
        <w:t> </w:t>
      </w:r>
      <w:r>
        <w:rPr/>
        <w:t>Moments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Optimal</w:t>
      </w:r>
      <w:r>
        <w:rPr>
          <w:spacing w:val="-10"/>
        </w:rPr>
        <w:t> </w:t>
      </w:r>
      <w:r>
        <w:rPr/>
        <w:t>Fiscal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Monetary</w:t>
      </w:r>
      <w:r>
        <w:rPr>
          <w:spacing w:val="-12"/>
        </w:rPr>
        <w:t> </w:t>
      </w:r>
      <w:r>
        <w:rPr/>
        <w:t>Policy</w:t>
        <w:tab/>
        <w:t>174</w:t>
      </w:r>
    </w:p>
    <w:p>
      <w:pPr>
        <w:spacing w:after="0"/>
        <w:sectPr>
          <w:pgSz w:w="12240" w:h="15840"/>
          <w:pgMar w:header="0" w:footer="935" w:top="1360" w:bottom="1200" w:left="40" w:right="0"/>
        </w:sectPr>
      </w:pPr>
    </w:p>
    <w:p>
      <w:pPr>
        <w:pStyle w:val="Heading3"/>
        <w:tabs>
          <w:tab w:pos="10269" w:val="left" w:leader="none"/>
        </w:tabs>
        <w:spacing w:before="79"/>
        <w:ind w:left="3608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FIGURES</w:t>
        <w:tab/>
        <w:t>Page</w:t>
      </w:r>
    </w:p>
    <w:p>
      <w:pPr>
        <w:pStyle w:val="BodyText"/>
        <w:tabs>
          <w:tab w:pos="10519" w:val="left" w:leader="none"/>
        </w:tabs>
        <w:spacing w:before="132"/>
        <w:ind w:left="1760"/>
      </w:pPr>
      <w:r>
        <w:rPr>
          <w:spacing w:val="-1"/>
        </w:rPr>
        <w:t>Figure</w:t>
      </w:r>
      <w:r>
        <w:rPr>
          <w:spacing w:val="-14"/>
        </w:rPr>
        <w:t> </w:t>
      </w:r>
      <w:r>
        <w:rPr/>
        <w:t>3.1:</w:t>
      </w:r>
      <w:r>
        <w:rPr>
          <w:spacing w:val="-7"/>
        </w:rPr>
        <w:t> </w:t>
      </w:r>
      <w:r>
        <w:rPr/>
        <w:t>Inflation</w:t>
      </w:r>
      <w:r>
        <w:rPr>
          <w:spacing w:val="-12"/>
        </w:rPr>
        <w:t> </w:t>
      </w:r>
      <w:r>
        <w:rPr/>
        <w:t>Rate</w:t>
      </w:r>
      <w:r>
        <w:rPr>
          <w:spacing w:val="-11"/>
        </w:rPr>
        <w:t> </w:t>
      </w:r>
      <w:r>
        <w:rPr/>
        <w:t>proxied</w:t>
      </w:r>
      <w:r>
        <w:rPr>
          <w:spacing w:val="-13"/>
        </w:rPr>
        <w:t> </w:t>
      </w:r>
      <w:r>
        <w:rPr/>
        <w:t>by</w:t>
      </w:r>
      <w:r>
        <w:rPr>
          <w:spacing w:val="-17"/>
        </w:rPr>
        <w:t> </w:t>
      </w:r>
      <w:r>
        <w:rPr/>
        <w:t>Consumer</w:t>
      </w:r>
      <w:r>
        <w:rPr>
          <w:spacing w:val="-13"/>
        </w:rPr>
        <w:t> </w:t>
      </w:r>
      <w:r>
        <w:rPr/>
        <w:t>Price</w:t>
      </w:r>
      <w:r>
        <w:rPr>
          <w:spacing w:val="-10"/>
        </w:rPr>
        <w:t> </w:t>
      </w:r>
      <w:r>
        <w:rPr/>
        <w:t>Index</w:t>
      </w:r>
      <w:r>
        <w:rPr>
          <w:spacing w:val="-10"/>
        </w:rPr>
        <w:t> </w:t>
      </w:r>
      <w:r>
        <w:rPr/>
        <w:t>over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period</w:t>
      </w:r>
      <w:r>
        <w:rPr>
          <w:spacing w:val="-13"/>
        </w:rPr>
        <w:t> </w:t>
      </w:r>
      <w:r>
        <w:rPr/>
        <w:t>1961-2015.</w:t>
        <w:tab/>
        <w:t>77</w:t>
      </w:r>
    </w:p>
    <w:p>
      <w:pPr>
        <w:pStyle w:val="BodyText"/>
        <w:tabs>
          <w:tab w:pos="10519" w:val="left" w:leader="none"/>
        </w:tabs>
        <w:spacing w:before="139"/>
        <w:ind w:left="1760"/>
      </w:pPr>
      <w:r>
        <w:rPr>
          <w:spacing w:val="-1"/>
        </w:rPr>
        <w:t>Figure</w:t>
      </w:r>
      <w:r>
        <w:rPr>
          <w:spacing w:val="-17"/>
        </w:rPr>
        <w:t> </w:t>
      </w:r>
      <w:r>
        <w:rPr/>
        <w:t>3.2:</w:t>
      </w:r>
      <w:r>
        <w:rPr>
          <w:spacing w:val="-14"/>
        </w:rPr>
        <w:t> </w:t>
      </w:r>
      <w:r>
        <w:rPr/>
        <w:t>Trend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Total</w:t>
      </w:r>
      <w:r>
        <w:rPr>
          <w:spacing w:val="-14"/>
        </w:rPr>
        <w:t> </w:t>
      </w:r>
      <w:r>
        <w:rPr/>
        <w:t>Government</w:t>
      </w:r>
      <w:r>
        <w:rPr>
          <w:spacing w:val="-13"/>
        </w:rPr>
        <w:t> </w:t>
      </w:r>
      <w:r>
        <w:rPr/>
        <w:t>Expenditure</w:t>
      </w:r>
      <w:r>
        <w:rPr>
          <w:spacing w:val="-16"/>
        </w:rPr>
        <w:t> </w:t>
      </w:r>
      <w:r>
        <w:rPr/>
        <w:t>1960-2015</w:t>
        <w:tab/>
        <w:t>80</w:t>
      </w:r>
    </w:p>
    <w:p>
      <w:pPr>
        <w:pStyle w:val="BodyText"/>
        <w:tabs>
          <w:tab w:pos="10518" w:val="left" w:leader="none"/>
        </w:tabs>
        <w:spacing w:before="137"/>
        <w:ind w:left="1760"/>
      </w:pPr>
      <w:r>
        <w:rPr/>
        <w:t>Figure</w:t>
      </w:r>
      <w:r>
        <w:rPr>
          <w:spacing w:val="-10"/>
        </w:rPr>
        <w:t> </w:t>
      </w:r>
      <w:r>
        <w:rPr/>
        <w:t>3.3:</w:t>
      </w:r>
      <w:r>
        <w:rPr>
          <w:spacing w:val="-6"/>
        </w:rPr>
        <w:t> </w:t>
      </w:r>
      <w:r>
        <w:rPr/>
        <w:t>Fiscal</w:t>
      </w:r>
      <w:r>
        <w:rPr>
          <w:spacing w:val="-7"/>
        </w:rPr>
        <w:t> </w:t>
      </w:r>
      <w:r>
        <w:rPr/>
        <w:t>balance</w:t>
      </w:r>
      <w:r>
        <w:rPr>
          <w:spacing w:val="-10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percent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GDP</w:t>
      </w:r>
      <w:r>
        <w:rPr>
          <w:spacing w:val="-7"/>
        </w:rPr>
        <w:t> </w:t>
      </w:r>
      <w:r>
        <w:rPr/>
        <w:t>(1961-2015)</w:t>
        <w:tab/>
        <w:t>81</w:t>
      </w:r>
    </w:p>
    <w:p>
      <w:pPr>
        <w:pStyle w:val="BodyText"/>
        <w:tabs>
          <w:tab w:pos="10521" w:val="left" w:leader="none"/>
        </w:tabs>
        <w:spacing w:before="140"/>
        <w:ind w:left="1760"/>
      </w:pPr>
      <w:r>
        <w:rPr/>
        <w:t>Figure</w:t>
      </w:r>
      <w:r>
        <w:rPr>
          <w:spacing w:val="-4"/>
        </w:rPr>
        <w:t> </w:t>
      </w:r>
      <w:r>
        <w:rPr/>
        <w:t>3.4:</w:t>
      </w:r>
      <w:r>
        <w:rPr>
          <w:spacing w:val="-1"/>
        </w:rPr>
        <w:t> </w:t>
      </w:r>
      <w:r>
        <w:rPr/>
        <w:t>Aggregate</w:t>
      </w:r>
      <w:r>
        <w:rPr>
          <w:spacing w:val="2"/>
        </w:rPr>
        <w:t> </w:t>
      </w:r>
      <w:r>
        <w:rPr/>
        <w:t>Indicator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Effectiveness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</w:t>
        <w:tab/>
        <w:t>91</w:t>
      </w:r>
    </w:p>
    <w:p>
      <w:pPr>
        <w:pStyle w:val="BodyText"/>
        <w:tabs>
          <w:tab w:pos="10523" w:val="left" w:leader="none"/>
        </w:tabs>
        <w:spacing w:before="136"/>
        <w:ind w:left="1760"/>
      </w:pPr>
      <w:r>
        <w:rPr/>
        <w:t>Figure</w:t>
      </w:r>
      <w:r>
        <w:rPr>
          <w:spacing w:val="-11"/>
        </w:rPr>
        <w:t> </w:t>
      </w:r>
      <w:r>
        <w:rPr/>
        <w:t>3.5:</w:t>
      </w:r>
      <w:r>
        <w:rPr>
          <w:spacing w:val="-8"/>
        </w:rPr>
        <w:t> </w:t>
      </w:r>
      <w:r>
        <w:rPr/>
        <w:t>Aggregate</w:t>
      </w:r>
      <w:r>
        <w:rPr>
          <w:spacing w:val="-7"/>
        </w:rPr>
        <w:t> </w:t>
      </w:r>
      <w:r>
        <w:rPr/>
        <w:t>Indicator</w:t>
      </w:r>
      <w:r>
        <w:rPr>
          <w:spacing w:val="-10"/>
        </w:rPr>
        <w:t> </w:t>
      </w:r>
      <w:r>
        <w:rPr/>
        <w:t>on</w:t>
      </w:r>
      <w:r>
        <w:rPr>
          <w:spacing w:val="-9"/>
        </w:rPr>
        <w:t> </w:t>
      </w:r>
      <w:r>
        <w:rPr/>
        <w:t>Control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Corruption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Nigeria</w:t>
        <w:tab/>
        <w:t>91</w:t>
      </w:r>
    </w:p>
    <w:p>
      <w:pPr>
        <w:pStyle w:val="BodyText"/>
        <w:tabs>
          <w:tab w:pos="10399" w:val="left" w:leader="none"/>
        </w:tabs>
        <w:spacing w:before="140"/>
        <w:ind w:left="1760"/>
      </w:pPr>
      <w:r>
        <w:rPr/>
        <w:t>Figure</w:t>
      </w:r>
      <w:r>
        <w:rPr>
          <w:spacing w:val="-10"/>
        </w:rPr>
        <w:t> </w:t>
      </w:r>
      <w:r>
        <w:rPr/>
        <w:t>5.1:</w:t>
      </w:r>
      <w:r>
        <w:rPr>
          <w:spacing w:val="-2"/>
        </w:rPr>
        <w:t> </w:t>
      </w:r>
      <w:r>
        <w:rPr/>
        <w:t>Impulse</w:t>
      </w:r>
      <w:r>
        <w:rPr>
          <w:spacing w:val="-7"/>
        </w:rPr>
        <w:t> </w:t>
      </w:r>
      <w:r>
        <w:rPr/>
        <w:t>Response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Monetary</w:t>
      </w:r>
      <w:r>
        <w:rPr>
          <w:spacing w:val="-13"/>
        </w:rPr>
        <w:t> </w:t>
      </w:r>
      <w:r>
        <w:rPr/>
        <w:t>Policy</w:t>
      </w:r>
      <w:r>
        <w:rPr>
          <w:spacing w:val="-10"/>
        </w:rPr>
        <w:t> </w:t>
      </w:r>
      <w:r>
        <w:rPr/>
        <w:t>Shock</w:t>
        <w:tab/>
        <w:t>154</w:t>
      </w:r>
    </w:p>
    <w:p>
      <w:pPr>
        <w:pStyle w:val="BodyText"/>
        <w:tabs>
          <w:tab w:pos="10395" w:val="left" w:leader="none"/>
        </w:tabs>
        <w:spacing w:before="136"/>
        <w:ind w:left="1760"/>
      </w:pPr>
      <w:r>
        <w:rPr/>
        <w:t>Figure</w:t>
      </w:r>
      <w:r>
        <w:rPr>
          <w:spacing w:val="-8"/>
        </w:rPr>
        <w:t> </w:t>
      </w:r>
      <w:r>
        <w:rPr/>
        <w:t>5.2:</w:t>
      </w:r>
      <w:r>
        <w:rPr>
          <w:spacing w:val="-6"/>
        </w:rPr>
        <w:t> </w:t>
      </w:r>
      <w:r>
        <w:rPr/>
        <w:t>Impulse</w:t>
      </w:r>
      <w:r>
        <w:rPr>
          <w:spacing w:val="-8"/>
        </w:rPr>
        <w:t> </w:t>
      </w:r>
      <w:r>
        <w:rPr/>
        <w:t>Response</w:t>
      </w:r>
      <w:r>
        <w:rPr>
          <w:spacing w:val="-9"/>
        </w:rPr>
        <w:t> </w:t>
      </w:r>
      <w:r>
        <w:rPr/>
        <w:t>to</w:t>
      </w:r>
      <w:r>
        <w:rPr>
          <w:spacing w:val="-5"/>
        </w:rPr>
        <w:t> </w:t>
      </w:r>
      <w:r>
        <w:rPr/>
        <w:t>Fiscal</w:t>
      </w:r>
      <w:r>
        <w:rPr>
          <w:spacing w:val="-8"/>
        </w:rPr>
        <w:t> </w:t>
      </w:r>
      <w:r>
        <w:rPr/>
        <w:t>Policy</w:t>
      </w:r>
      <w:r>
        <w:rPr>
          <w:spacing w:val="-12"/>
        </w:rPr>
        <w:t> </w:t>
      </w:r>
      <w:r>
        <w:rPr/>
        <w:t>Shock</w:t>
        <w:tab/>
        <w:t>155</w:t>
      </w:r>
    </w:p>
    <w:p>
      <w:pPr>
        <w:pStyle w:val="BodyText"/>
        <w:tabs>
          <w:tab w:pos="10403" w:val="left" w:leader="none"/>
        </w:tabs>
        <w:spacing w:before="140"/>
        <w:ind w:left="1760"/>
      </w:pPr>
      <w:r>
        <w:rPr/>
        <w:t>Figure</w:t>
      </w:r>
      <w:r>
        <w:rPr>
          <w:spacing w:val="-8"/>
        </w:rPr>
        <w:t> </w:t>
      </w:r>
      <w:r>
        <w:rPr/>
        <w:t>5.3:</w:t>
      </w:r>
      <w:r>
        <w:rPr>
          <w:spacing w:val="-3"/>
        </w:rPr>
        <w:t> </w:t>
      </w:r>
      <w:r>
        <w:rPr/>
        <w:t>Impulse</w:t>
      </w:r>
      <w:r>
        <w:rPr>
          <w:spacing w:val="-7"/>
        </w:rPr>
        <w:t> </w:t>
      </w:r>
      <w:r>
        <w:rPr/>
        <w:t>Response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Output</w:t>
      </w:r>
      <w:r>
        <w:rPr>
          <w:spacing w:val="-6"/>
        </w:rPr>
        <w:t> </w:t>
      </w:r>
      <w:r>
        <w:rPr/>
        <w:t>Shock</w:t>
        <w:tab/>
        <w:t>156</w:t>
      </w:r>
    </w:p>
    <w:p>
      <w:pPr>
        <w:pStyle w:val="BodyText"/>
        <w:tabs>
          <w:tab w:pos="10398" w:val="left" w:leader="none"/>
        </w:tabs>
        <w:spacing w:before="137"/>
        <w:ind w:left="1760"/>
      </w:pPr>
      <w:r>
        <w:rPr/>
        <w:t>Figure</w:t>
      </w:r>
      <w:r>
        <w:rPr>
          <w:spacing w:val="-10"/>
        </w:rPr>
        <w:t> </w:t>
      </w:r>
      <w:r>
        <w:rPr/>
        <w:t>5.4:</w:t>
      </w:r>
      <w:r>
        <w:rPr>
          <w:spacing w:val="-3"/>
        </w:rPr>
        <w:t> </w:t>
      </w:r>
      <w:r>
        <w:rPr/>
        <w:t>Impulse</w:t>
      </w:r>
      <w:r>
        <w:rPr>
          <w:spacing w:val="-8"/>
        </w:rPr>
        <w:t> </w:t>
      </w:r>
      <w:r>
        <w:rPr/>
        <w:t>Response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Shock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Rent</w:t>
      </w:r>
      <w:r>
        <w:rPr>
          <w:spacing w:val="-7"/>
        </w:rPr>
        <w:t> </w:t>
      </w:r>
      <w:r>
        <w:rPr/>
        <w:t>Seeking</w:t>
        <w:tab/>
        <w:t>157</w:t>
      </w:r>
    </w:p>
    <w:p>
      <w:pPr>
        <w:pStyle w:val="BodyText"/>
        <w:tabs>
          <w:tab w:pos="10406" w:val="left" w:leader="none"/>
        </w:tabs>
        <w:spacing w:before="139"/>
        <w:ind w:left="1760"/>
      </w:pPr>
      <w:r>
        <w:rPr/>
        <w:t>Figure</w:t>
      </w:r>
      <w:r>
        <w:rPr>
          <w:spacing w:val="-8"/>
        </w:rPr>
        <w:t> </w:t>
      </w:r>
      <w:r>
        <w:rPr/>
        <w:t>5.5a:</w:t>
      </w:r>
      <w:r>
        <w:rPr>
          <w:spacing w:val="-6"/>
        </w:rPr>
        <w:t> </w:t>
      </w:r>
      <w:r>
        <w:rPr/>
        <w:t>Prior-Posterior</w:t>
      </w:r>
      <w:r>
        <w:rPr>
          <w:spacing w:val="-7"/>
        </w:rPr>
        <w:t> </w:t>
      </w:r>
      <w:r>
        <w:rPr/>
        <w:t>Plots</w:t>
        <w:tab/>
        <w:t>161</w:t>
      </w:r>
    </w:p>
    <w:p>
      <w:pPr>
        <w:pStyle w:val="BodyText"/>
        <w:tabs>
          <w:tab w:pos="10404" w:val="left" w:leader="none"/>
        </w:tabs>
        <w:spacing w:before="137"/>
        <w:ind w:left="1760"/>
      </w:pPr>
      <w:r>
        <w:rPr/>
        <w:t>Figure</w:t>
      </w:r>
      <w:r>
        <w:rPr>
          <w:spacing w:val="-8"/>
        </w:rPr>
        <w:t> </w:t>
      </w:r>
      <w:r>
        <w:rPr/>
        <w:t>5.5b:</w:t>
      </w:r>
      <w:r>
        <w:rPr>
          <w:spacing w:val="-6"/>
        </w:rPr>
        <w:t> </w:t>
      </w:r>
      <w:r>
        <w:rPr/>
        <w:t>Prior-Posterior</w:t>
      </w:r>
      <w:r>
        <w:rPr>
          <w:spacing w:val="-6"/>
        </w:rPr>
        <w:t> </w:t>
      </w:r>
      <w:r>
        <w:rPr/>
        <w:t>Plots</w:t>
        <w:tab/>
        <w:t>162</w:t>
      </w:r>
    </w:p>
    <w:p>
      <w:pPr>
        <w:pStyle w:val="BodyText"/>
        <w:tabs>
          <w:tab w:pos="10406" w:val="left" w:leader="none"/>
        </w:tabs>
        <w:spacing w:before="139"/>
        <w:ind w:left="1760"/>
      </w:pPr>
      <w:r>
        <w:rPr/>
        <w:t>Figure</w:t>
      </w:r>
      <w:r>
        <w:rPr>
          <w:spacing w:val="-8"/>
        </w:rPr>
        <w:t> </w:t>
      </w:r>
      <w:r>
        <w:rPr/>
        <w:t>5.6a:</w:t>
      </w:r>
      <w:r>
        <w:rPr>
          <w:spacing w:val="-5"/>
        </w:rPr>
        <w:t> </w:t>
      </w:r>
      <w:r>
        <w:rPr/>
        <w:t>Mode</w:t>
      </w:r>
      <w:r>
        <w:rPr>
          <w:spacing w:val="-7"/>
        </w:rPr>
        <w:t> </w:t>
      </w:r>
      <w:r>
        <w:rPr/>
        <w:t>Check</w:t>
      </w:r>
      <w:r>
        <w:rPr>
          <w:spacing w:val="-3"/>
        </w:rPr>
        <w:t> </w:t>
      </w:r>
      <w:r>
        <w:rPr/>
        <w:t>Plots</w:t>
        <w:tab/>
        <w:t>163</w:t>
      </w:r>
    </w:p>
    <w:p>
      <w:pPr>
        <w:pStyle w:val="BodyText"/>
        <w:tabs>
          <w:tab w:pos="10404" w:val="left" w:leader="none"/>
        </w:tabs>
        <w:spacing w:before="137"/>
        <w:ind w:left="1760"/>
      </w:pPr>
      <w:r>
        <w:rPr/>
        <w:t>Figure</w:t>
      </w:r>
      <w:r>
        <w:rPr>
          <w:spacing w:val="-8"/>
        </w:rPr>
        <w:t> </w:t>
      </w:r>
      <w:r>
        <w:rPr/>
        <w:t>5.6b:</w:t>
      </w:r>
      <w:r>
        <w:rPr>
          <w:spacing w:val="-6"/>
        </w:rPr>
        <w:t> </w:t>
      </w:r>
      <w:r>
        <w:rPr/>
        <w:t>Mode</w:t>
      </w:r>
      <w:r>
        <w:rPr>
          <w:spacing w:val="-6"/>
        </w:rPr>
        <w:t> </w:t>
      </w:r>
      <w:r>
        <w:rPr/>
        <w:t>Check</w:t>
      </w:r>
      <w:r>
        <w:rPr>
          <w:spacing w:val="-4"/>
        </w:rPr>
        <w:t> </w:t>
      </w:r>
      <w:r>
        <w:rPr/>
        <w:t>Plots</w:t>
        <w:tab/>
        <w:t>164</w:t>
      </w:r>
    </w:p>
    <w:p>
      <w:pPr>
        <w:pStyle w:val="BodyText"/>
        <w:tabs>
          <w:tab w:pos="10406" w:val="left" w:leader="none"/>
        </w:tabs>
        <w:spacing w:before="139"/>
        <w:ind w:left="1760"/>
      </w:pPr>
      <w:r>
        <w:rPr/>
        <w:t>Figure</w:t>
      </w:r>
      <w:r>
        <w:rPr>
          <w:spacing w:val="-8"/>
        </w:rPr>
        <w:t> </w:t>
      </w:r>
      <w:r>
        <w:rPr/>
        <w:t>5.6c:</w:t>
      </w:r>
      <w:r>
        <w:rPr>
          <w:spacing w:val="-5"/>
        </w:rPr>
        <w:t> </w:t>
      </w:r>
      <w:r>
        <w:rPr/>
        <w:t>Mode</w:t>
      </w:r>
      <w:r>
        <w:rPr>
          <w:spacing w:val="-7"/>
        </w:rPr>
        <w:t> </w:t>
      </w:r>
      <w:r>
        <w:rPr/>
        <w:t>Check</w:t>
      </w:r>
      <w:r>
        <w:rPr>
          <w:spacing w:val="-3"/>
        </w:rPr>
        <w:t> </w:t>
      </w:r>
      <w:r>
        <w:rPr/>
        <w:t>Plots</w:t>
        <w:tab/>
        <w:t>164</w:t>
      </w:r>
    </w:p>
    <w:p>
      <w:pPr>
        <w:pStyle w:val="BodyText"/>
        <w:tabs>
          <w:tab w:pos="10400" w:val="left" w:leader="none"/>
        </w:tabs>
        <w:spacing w:before="137"/>
        <w:ind w:left="1760"/>
      </w:pPr>
      <w:r>
        <w:rPr/>
        <w:t>Figure</w:t>
      </w:r>
      <w:r>
        <w:rPr>
          <w:spacing w:val="-14"/>
        </w:rPr>
        <w:t> </w:t>
      </w:r>
      <w:r>
        <w:rPr/>
        <w:t>5.7a:</w:t>
      </w:r>
      <w:r>
        <w:rPr>
          <w:spacing w:val="-11"/>
        </w:rPr>
        <w:t> </w:t>
      </w:r>
      <w:r>
        <w:rPr/>
        <w:t>MCMC</w:t>
      </w:r>
      <w:r>
        <w:rPr>
          <w:spacing w:val="-10"/>
        </w:rPr>
        <w:t> </w:t>
      </w:r>
      <w:r>
        <w:rPr/>
        <w:t>Univariate</w:t>
      </w:r>
      <w:r>
        <w:rPr>
          <w:spacing w:val="-12"/>
        </w:rPr>
        <w:t> </w:t>
      </w:r>
      <w:r>
        <w:rPr/>
        <w:t>Diagnostics</w:t>
      </w:r>
      <w:r>
        <w:rPr>
          <w:spacing w:val="-11"/>
        </w:rPr>
        <w:t> </w:t>
      </w:r>
      <w:r>
        <w:rPr/>
        <w:t>for</w:t>
      </w:r>
      <w:r>
        <w:rPr>
          <w:spacing w:val="-13"/>
        </w:rPr>
        <w:t> </w:t>
      </w:r>
      <w:r>
        <w:rPr/>
        <w:t>selected</w:t>
      </w:r>
      <w:r>
        <w:rPr>
          <w:spacing w:val="-13"/>
        </w:rPr>
        <w:t> </w:t>
      </w:r>
      <w:r>
        <w:rPr/>
        <w:t>parameters</w:t>
        <w:tab/>
        <w:t>165</w:t>
      </w:r>
    </w:p>
    <w:p>
      <w:pPr>
        <w:pStyle w:val="BodyText"/>
        <w:tabs>
          <w:tab w:pos="10404" w:val="left" w:leader="none"/>
        </w:tabs>
        <w:spacing w:before="139"/>
        <w:ind w:left="1760"/>
      </w:pPr>
      <w:r>
        <w:rPr/>
        <w:t>Figure</w:t>
      </w:r>
      <w:r>
        <w:rPr>
          <w:spacing w:val="-14"/>
        </w:rPr>
        <w:t> </w:t>
      </w:r>
      <w:r>
        <w:rPr/>
        <w:t>5.7b:</w:t>
      </w:r>
      <w:r>
        <w:rPr>
          <w:spacing w:val="-12"/>
        </w:rPr>
        <w:t> </w:t>
      </w:r>
      <w:r>
        <w:rPr/>
        <w:t>MCMC</w:t>
      </w:r>
      <w:r>
        <w:rPr>
          <w:spacing w:val="-10"/>
        </w:rPr>
        <w:t> </w:t>
      </w:r>
      <w:r>
        <w:rPr/>
        <w:t>Univariate</w:t>
      </w:r>
      <w:r>
        <w:rPr>
          <w:spacing w:val="-13"/>
        </w:rPr>
        <w:t> </w:t>
      </w:r>
      <w:r>
        <w:rPr/>
        <w:t>Diagnostics</w:t>
      </w:r>
      <w:r>
        <w:rPr>
          <w:spacing w:val="-11"/>
        </w:rPr>
        <w:t> </w:t>
      </w:r>
      <w:r>
        <w:rPr/>
        <w:t>for</w:t>
      </w:r>
      <w:r>
        <w:rPr>
          <w:spacing w:val="-14"/>
        </w:rPr>
        <w:t> </w:t>
      </w:r>
      <w:r>
        <w:rPr/>
        <w:t>selected</w:t>
      </w:r>
      <w:r>
        <w:rPr>
          <w:spacing w:val="-12"/>
        </w:rPr>
        <w:t> </w:t>
      </w:r>
      <w:r>
        <w:rPr/>
        <w:t>parameters</w:t>
        <w:tab/>
        <w:t>166</w:t>
      </w:r>
    </w:p>
    <w:p>
      <w:pPr>
        <w:pStyle w:val="BodyText"/>
        <w:tabs>
          <w:tab w:pos="10398" w:val="left" w:leader="none"/>
        </w:tabs>
        <w:spacing w:before="138"/>
        <w:ind w:left="1760"/>
      </w:pPr>
      <w:r>
        <w:rPr/>
        <w:t>Figure</w:t>
      </w:r>
      <w:r>
        <w:rPr>
          <w:spacing w:val="-9"/>
        </w:rPr>
        <w:t> </w:t>
      </w:r>
      <w:r>
        <w:rPr/>
        <w:t>5.8:</w:t>
      </w:r>
      <w:r>
        <w:rPr>
          <w:spacing w:val="-8"/>
        </w:rPr>
        <w:t> </w:t>
      </w:r>
      <w:r>
        <w:rPr/>
        <w:t>Multivariate</w:t>
      </w:r>
      <w:r>
        <w:rPr>
          <w:spacing w:val="-5"/>
        </w:rPr>
        <w:t> </w:t>
      </w:r>
      <w:r>
        <w:rPr/>
        <w:t>Convergence</w:t>
      </w:r>
      <w:r>
        <w:rPr>
          <w:spacing w:val="-10"/>
        </w:rPr>
        <w:t> </w:t>
      </w:r>
      <w:r>
        <w:rPr/>
        <w:t>Diagnostic</w:t>
        <w:tab/>
        <w:t>167</w:t>
      </w:r>
    </w:p>
    <w:p>
      <w:pPr>
        <w:pStyle w:val="BodyText"/>
        <w:tabs>
          <w:tab w:pos="10398" w:val="left" w:leader="none"/>
        </w:tabs>
        <w:spacing w:before="139"/>
        <w:ind w:left="1760"/>
      </w:pPr>
      <w:r>
        <w:rPr/>
        <w:t>Figure</w:t>
      </w:r>
      <w:r>
        <w:rPr>
          <w:spacing w:val="-9"/>
        </w:rPr>
        <w:t> </w:t>
      </w:r>
      <w:r>
        <w:rPr/>
        <w:t>5.9:</w:t>
      </w:r>
      <w:r>
        <w:rPr>
          <w:spacing w:val="-8"/>
        </w:rPr>
        <w:t> </w:t>
      </w:r>
      <w:r>
        <w:rPr/>
        <w:t>Historical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Smoothed</w:t>
      </w:r>
      <w:r>
        <w:rPr>
          <w:spacing w:val="-9"/>
        </w:rPr>
        <w:t> </w:t>
      </w:r>
      <w:r>
        <w:rPr/>
        <w:t>variables</w:t>
        <w:tab/>
        <w:t>168</w:t>
      </w:r>
    </w:p>
    <w:p>
      <w:pPr>
        <w:pStyle w:val="BodyText"/>
        <w:tabs>
          <w:tab w:pos="10401" w:val="left" w:leader="none"/>
        </w:tabs>
        <w:spacing w:before="137"/>
        <w:ind w:left="1760"/>
      </w:pPr>
      <w:r>
        <w:rPr/>
        <w:t>Figure</w:t>
      </w:r>
      <w:r>
        <w:rPr>
          <w:spacing w:val="-8"/>
        </w:rPr>
        <w:t> </w:t>
      </w:r>
      <w:r>
        <w:rPr/>
        <w:t>5.10:</w:t>
      </w:r>
      <w:r>
        <w:rPr>
          <w:spacing w:val="-6"/>
        </w:rPr>
        <w:t> </w:t>
      </w:r>
      <w:r>
        <w:rPr/>
        <w:t>Smoothed</w:t>
      </w:r>
      <w:r>
        <w:rPr>
          <w:spacing w:val="-6"/>
        </w:rPr>
        <w:t> </w:t>
      </w:r>
      <w:r>
        <w:rPr/>
        <w:t>Shocks</w:t>
        <w:tab/>
        <w:t>169</w:t>
      </w:r>
    </w:p>
    <w:p>
      <w:pPr>
        <w:spacing w:after="0"/>
        <w:sectPr>
          <w:pgSz w:w="12240" w:h="15840"/>
          <w:pgMar w:header="0" w:footer="935" w:top="1360" w:bottom="1200" w:left="40" w:right="0"/>
        </w:sectPr>
      </w:pPr>
    </w:p>
    <w:p>
      <w:pPr>
        <w:spacing w:before="78"/>
        <w:ind w:left="2322" w:right="2001" w:firstLine="0"/>
        <w:jc w:val="center"/>
        <w:rPr>
          <w:b/>
          <w:sz w:val="28"/>
        </w:rPr>
      </w:pPr>
      <w:r>
        <w:rPr>
          <w:b/>
          <w:sz w:val="28"/>
        </w:rPr>
        <w:t>LIST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ABBREVIATIONS</w:t>
      </w:r>
    </w:p>
    <w:p>
      <w:pPr>
        <w:pStyle w:val="BodyText"/>
        <w:rPr>
          <w:b/>
          <w:sz w:val="30"/>
        </w:rPr>
      </w:pPr>
    </w:p>
    <w:p>
      <w:pPr>
        <w:pStyle w:val="BodyText"/>
        <w:tabs>
          <w:tab w:pos="5360" w:val="left" w:leader="none"/>
        </w:tabs>
        <w:spacing w:before="201"/>
        <w:ind w:left="1760"/>
      </w:pPr>
      <w:r>
        <w:rPr/>
        <w:t>CPI</w:t>
        <w:tab/>
        <w:t>Consumer</w:t>
      </w:r>
      <w:r>
        <w:rPr>
          <w:spacing w:val="-3"/>
        </w:rPr>
        <w:t> </w:t>
      </w:r>
      <w:r>
        <w:rPr/>
        <w:t>Price</w:t>
      </w:r>
      <w:r>
        <w:rPr>
          <w:spacing w:val="-1"/>
        </w:rPr>
        <w:t> </w:t>
      </w:r>
      <w:r>
        <w:rPr/>
        <w:t>Index</w:t>
      </w:r>
    </w:p>
    <w:p>
      <w:pPr>
        <w:pStyle w:val="BodyText"/>
        <w:tabs>
          <w:tab w:pos="5360" w:val="left" w:leader="none"/>
        </w:tabs>
        <w:ind w:left="1760"/>
      </w:pPr>
      <w:r>
        <w:rPr/>
        <w:t>DSGE</w:t>
        <w:tab/>
        <w:t>Dynamic</w:t>
      </w:r>
      <w:r>
        <w:rPr>
          <w:spacing w:val="-3"/>
        </w:rPr>
        <w:t> </w:t>
      </w:r>
      <w:r>
        <w:rPr/>
        <w:t>Stochastic</w:t>
      </w:r>
      <w:r>
        <w:rPr>
          <w:spacing w:val="-3"/>
        </w:rPr>
        <w:t> </w:t>
      </w:r>
      <w:r>
        <w:rPr/>
        <w:t>General</w:t>
      </w:r>
      <w:r>
        <w:rPr>
          <w:spacing w:val="-2"/>
        </w:rPr>
        <w:t> </w:t>
      </w:r>
      <w:r>
        <w:rPr/>
        <w:t>Equilibrium</w:t>
      </w:r>
    </w:p>
    <w:p>
      <w:pPr>
        <w:pStyle w:val="BodyText"/>
        <w:tabs>
          <w:tab w:pos="5360" w:val="left" w:leader="none"/>
        </w:tabs>
        <w:ind w:left="1760"/>
      </w:pPr>
      <w:r>
        <w:rPr/>
        <w:t>ERGP</w:t>
        <w:tab/>
        <w:t>Economic</w:t>
      </w:r>
      <w:r>
        <w:rPr>
          <w:spacing w:val="-2"/>
        </w:rPr>
        <w:t> </w:t>
      </w:r>
      <w:r>
        <w:rPr/>
        <w:t>Recovery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Growth</w:t>
      </w:r>
      <w:r>
        <w:rPr>
          <w:spacing w:val="-1"/>
        </w:rPr>
        <w:t> </w:t>
      </w:r>
      <w:r>
        <w:rPr/>
        <w:t>Plan</w:t>
      </w:r>
    </w:p>
    <w:p>
      <w:pPr>
        <w:pStyle w:val="BodyText"/>
        <w:tabs>
          <w:tab w:pos="5360" w:val="left" w:leader="none"/>
        </w:tabs>
        <w:ind w:left="1760"/>
      </w:pPr>
      <w:r>
        <w:rPr/>
        <w:t>FLAC</w:t>
        <w:tab/>
        <w:t>Fiscal Liquidity</w:t>
      </w:r>
      <w:r>
        <w:rPr>
          <w:spacing w:val="-5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Committee</w:t>
      </w:r>
    </w:p>
    <w:p>
      <w:pPr>
        <w:pStyle w:val="BodyText"/>
        <w:tabs>
          <w:tab w:pos="5360" w:val="left" w:leader="none"/>
        </w:tabs>
        <w:ind w:left="1760"/>
      </w:pPr>
      <w:r>
        <w:rPr/>
        <w:t>FMF</w:t>
        <w:tab/>
        <w:t>Federal</w:t>
      </w:r>
      <w:r>
        <w:rPr>
          <w:spacing w:val="-1"/>
        </w:rPr>
        <w:t> </w:t>
      </w:r>
      <w:r>
        <w:rPr/>
        <w:t>Ministry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Finance</w:t>
      </w:r>
    </w:p>
    <w:p>
      <w:pPr>
        <w:pStyle w:val="BodyText"/>
        <w:tabs>
          <w:tab w:pos="5360" w:val="left" w:leader="none"/>
        </w:tabs>
        <w:ind w:left="1760"/>
      </w:pPr>
      <w:r>
        <w:rPr/>
        <w:t>FOC</w:t>
        <w:tab/>
        <w:t>First</w:t>
      </w:r>
      <w:r>
        <w:rPr>
          <w:spacing w:val="-1"/>
        </w:rPr>
        <w:t> </w:t>
      </w:r>
      <w:r>
        <w:rPr/>
        <w:t>Order</w:t>
      </w:r>
      <w:r>
        <w:rPr>
          <w:spacing w:val="-1"/>
        </w:rPr>
        <w:t> </w:t>
      </w:r>
      <w:r>
        <w:rPr/>
        <w:t>Condition</w:t>
      </w:r>
    </w:p>
    <w:p>
      <w:pPr>
        <w:pStyle w:val="BodyText"/>
        <w:tabs>
          <w:tab w:pos="5360" w:val="left" w:leader="none"/>
        </w:tabs>
        <w:ind w:left="1760"/>
      </w:pPr>
      <w:r>
        <w:rPr/>
        <w:t>FTPL</w:t>
        <w:tab/>
        <w:t>Fiscal</w:t>
      </w:r>
      <w:r>
        <w:rPr>
          <w:spacing w:val="-1"/>
        </w:rPr>
        <w:t> </w:t>
      </w:r>
      <w:r>
        <w:rPr/>
        <w:t>Theory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Price Level</w:t>
      </w:r>
    </w:p>
    <w:p>
      <w:pPr>
        <w:pStyle w:val="BodyText"/>
        <w:tabs>
          <w:tab w:pos="5360" w:val="left" w:leader="none"/>
        </w:tabs>
        <w:ind w:left="1760"/>
      </w:pPr>
      <w:r>
        <w:rPr/>
        <w:t>GDP</w:t>
        <w:tab/>
        <w:t>Gross</w:t>
      </w:r>
      <w:r>
        <w:rPr>
          <w:spacing w:val="-2"/>
        </w:rPr>
        <w:t> </w:t>
      </w:r>
      <w:r>
        <w:rPr/>
        <w:t>Domestic</w:t>
      </w:r>
      <w:r>
        <w:rPr>
          <w:spacing w:val="-2"/>
        </w:rPr>
        <w:t> </w:t>
      </w:r>
      <w:r>
        <w:rPr/>
        <w:t>Product</w:t>
      </w:r>
    </w:p>
    <w:p>
      <w:pPr>
        <w:pStyle w:val="BodyText"/>
        <w:tabs>
          <w:tab w:pos="5360" w:val="left" w:leader="none"/>
        </w:tabs>
        <w:ind w:left="1760"/>
      </w:pPr>
      <w:r>
        <w:rPr/>
        <w:t>GE</w:t>
        <w:tab/>
        <w:t>Government</w:t>
      </w:r>
      <w:r>
        <w:rPr>
          <w:spacing w:val="-2"/>
        </w:rPr>
        <w:t> </w:t>
      </w:r>
      <w:r>
        <w:rPr/>
        <w:t>Expenditure</w:t>
      </w:r>
    </w:p>
    <w:p>
      <w:pPr>
        <w:pStyle w:val="BodyText"/>
        <w:tabs>
          <w:tab w:pos="5360" w:val="left" w:leader="none"/>
        </w:tabs>
        <w:ind w:left="5361" w:right="1674" w:hanging="3601"/>
      </w:pPr>
      <w:r>
        <w:rPr/>
        <w:t>IS-LM</w:t>
        <w:tab/>
        <w:t>Investment Saving and Liquidity Preference – Money</w:t>
      </w:r>
      <w:r>
        <w:rPr>
          <w:spacing w:val="-57"/>
        </w:rPr>
        <w:t> </w:t>
      </w:r>
      <w:r>
        <w:rPr/>
        <w:t>Supply</w:t>
      </w:r>
    </w:p>
    <w:p>
      <w:pPr>
        <w:pStyle w:val="BodyText"/>
        <w:tabs>
          <w:tab w:pos="5360" w:val="left" w:leader="none"/>
        </w:tabs>
        <w:spacing w:before="1"/>
        <w:ind w:left="1760"/>
      </w:pPr>
      <w:r>
        <w:rPr/>
        <w:t>LQ</w:t>
        <w:tab/>
        <w:t>Linear</w:t>
      </w:r>
      <w:r>
        <w:rPr>
          <w:spacing w:val="-3"/>
        </w:rPr>
        <w:t> </w:t>
      </w:r>
      <w:r>
        <w:rPr/>
        <w:t>Quadratic</w:t>
      </w:r>
    </w:p>
    <w:p>
      <w:pPr>
        <w:pStyle w:val="BodyText"/>
        <w:tabs>
          <w:tab w:pos="5360" w:val="left" w:leader="none"/>
        </w:tabs>
        <w:ind w:left="1760"/>
      </w:pPr>
      <w:r>
        <w:rPr/>
        <w:t>M1</w:t>
        <w:tab/>
        <w:t>Narrow Money</w:t>
      </w:r>
      <w:r>
        <w:rPr>
          <w:spacing w:val="-4"/>
        </w:rPr>
        <w:t> </w:t>
      </w:r>
      <w:r>
        <w:rPr/>
        <w:t>Supply</w:t>
      </w:r>
    </w:p>
    <w:p>
      <w:pPr>
        <w:pStyle w:val="BodyText"/>
        <w:tabs>
          <w:tab w:pos="5360" w:val="left" w:leader="none"/>
        </w:tabs>
        <w:ind w:left="1760"/>
      </w:pPr>
      <w:r>
        <w:rPr/>
        <w:t>M2</w:t>
        <w:tab/>
        <w:t>Broad Money</w:t>
      </w:r>
      <w:r>
        <w:rPr>
          <w:spacing w:val="-4"/>
        </w:rPr>
        <w:t> </w:t>
      </w:r>
      <w:r>
        <w:rPr/>
        <w:t>Supply</w:t>
      </w:r>
    </w:p>
    <w:p>
      <w:pPr>
        <w:pStyle w:val="BodyText"/>
        <w:tabs>
          <w:tab w:pos="5360" w:val="left" w:leader="none"/>
        </w:tabs>
        <w:ind w:left="1760"/>
      </w:pPr>
      <w:r>
        <w:rPr/>
        <w:t>MFPCC</w:t>
        <w:tab/>
        <w:t>Monetary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Fiscal</w:t>
      </w:r>
      <w:r>
        <w:rPr>
          <w:spacing w:val="-1"/>
        </w:rPr>
        <w:t> </w:t>
      </w:r>
      <w:r>
        <w:rPr/>
        <w:t>Policy</w:t>
      </w:r>
      <w:r>
        <w:rPr>
          <w:spacing w:val="-5"/>
        </w:rPr>
        <w:t> </w:t>
      </w:r>
      <w:r>
        <w:rPr/>
        <w:t>Coordination</w:t>
      </w:r>
      <w:r>
        <w:rPr>
          <w:spacing w:val="-1"/>
        </w:rPr>
        <w:t> </w:t>
      </w:r>
      <w:r>
        <w:rPr/>
        <w:t>Committee</w:t>
      </w:r>
    </w:p>
    <w:p>
      <w:pPr>
        <w:pStyle w:val="BodyText"/>
        <w:tabs>
          <w:tab w:pos="5360" w:val="left" w:leader="none"/>
        </w:tabs>
        <w:ind w:left="1760"/>
      </w:pPr>
      <w:r>
        <w:rPr/>
        <w:t>MTEF</w:t>
        <w:tab/>
        <w:t>Medium</w:t>
      </w:r>
      <w:r>
        <w:rPr>
          <w:spacing w:val="-1"/>
        </w:rPr>
        <w:t> </w:t>
      </w:r>
      <w:r>
        <w:rPr/>
        <w:t>Term</w:t>
      </w:r>
      <w:r>
        <w:rPr>
          <w:spacing w:val="-1"/>
        </w:rPr>
        <w:t> </w:t>
      </w:r>
      <w:r>
        <w:rPr/>
        <w:t>Expenditure</w:t>
      </w:r>
      <w:r>
        <w:rPr>
          <w:spacing w:val="-3"/>
        </w:rPr>
        <w:t> </w:t>
      </w:r>
      <w:r>
        <w:rPr/>
        <w:t>Framework</w:t>
      </w:r>
    </w:p>
    <w:p>
      <w:pPr>
        <w:pStyle w:val="BodyText"/>
        <w:tabs>
          <w:tab w:pos="5360" w:val="left" w:leader="none"/>
        </w:tabs>
        <w:ind w:left="1760"/>
      </w:pPr>
      <w:r>
        <w:rPr/>
        <w:t>NK</w:t>
        <w:tab/>
        <w:t>New</w:t>
      </w:r>
      <w:r>
        <w:rPr>
          <w:spacing w:val="-2"/>
        </w:rPr>
        <w:t> </w:t>
      </w:r>
      <w:r>
        <w:rPr/>
        <w:t>Keynesian</w:t>
      </w:r>
    </w:p>
    <w:p>
      <w:pPr>
        <w:pStyle w:val="BodyText"/>
        <w:tabs>
          <w:tab w:pos="5360" w:val="left" w:leader="none"/>
        </w:tabs>
        <w:ind w:left="5361" w:right="2495" w:hanging="3601"/>
      </w:pPr>
      <w:r>
        <w:rPr/>
        <w:t>OECD</w:t>
        <w:tab/>
        <w:t>Organisation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Economic</w:t>
      </w:r>
      <w:r>
        <w:rPr>
          <w:spacing w:val="-3"/>
        </w:rPr>
        <w:t> </w:t>
      </w:r>
      <w:r>
        <w:rPr/>
        <w:t>Co-operation</w:t>
      </w:r>
      <w:r>
        <w:rPr>
          <w:spacing w:val="-2"/>
        </w:rPr>
        <w:t> </w:t>
      </w:r>
      <w:r>
        <w:rPr/>
        <w:t>and</w:t>
      </w:r>
      <w:r>
        <w:rPr>
          <w:spacing w:val="-57"/>
        </w:rPr>
        <w:t> </w:t>
      </w:r>
      <w:r>
        <w:rPr/>
        <w:t>Development</w:t>
      </w:r>
    </w:p>
    <w:p>
      <w:pPr>
        <w:pStyle w:val="BodyText"/>
        <w:tabs>
          <w:tab w:pos="5360" w:val="left" w:leader="none"/>
        </w:tabs>
        <w:ind w:left="1760"/>
      </w:pPr>
      <w:r>
        <w:rPr/>
        <w:t>OLG</w:t>
        <w:tab/>
        <w:t>Over</w:t>
      </w:r>
      <w:r>
        <w:rPr>
          <w:spacing w:val="-1"/>
        </w:rPr>
        <w:t> </w:t>
      </w:r>
      <w:r>
        <w:rPr/>
        <w:t>Lapping</w:t>
      </w:r>
      <w:r>
        <w:rPr>
          <w:spacing w:val="-5"/>
        </w:rPr>
        <w:t> </w:t>
      </w:r>
      <w:r>
        <w:rPr/>
        <w:t>Generation</w:t>
      </w:r>
    </w:p>
    <w:p>
      <w:pPr>
        <w:pStyle w:val="BodyText"/>
        <w:tabs>
          <w:tab w:pos="5360" w:val="left" w:leader="none"/>
        </w:tabs>
        <w:ind w:left="1760"/>
      </w:pPr>
      <w:r>
        <w:rPr/>
        <w:t>OMO</w:t>
        <w:tab/>
        <w:t>Open</w:t>
      </w:r>
      <w:r>
        <w:rPr>
          <w:spacing w:val="-2"/>
        </w:rPr>
        <w:t> </w:t>
      </w:r>
      <w:r>
        <w:rPr/>
        <w:t>Market</w:t>
      </w:r>
      <w:r>
        <w:rPr>
          <w:spacing w:val="-1"/>
        </w:rPr>
        <w:t> </w:t>
      </w:r>
      <w:r>
        <w:rPr/>
        <w:t>Operation</w:t>
      </w:r>
    </w:p>
    <w:p>
      <w:pPr>
        <w:pStyle w:val="BodyText"/>
        <w:tabs>
          <w:tab w:pos="5360" w:val="left" w:leader="none"/>
        </w:tabs>
        <w:ind w:left="1760"/>
      </w:pPr>
      <w:r>
        <w:rPr/>
        <w:t>TFP</w:t>
        <w:tab/>
        <w:t>Total</w:t>
      </w:r>
      <w:r>
        <w:rPr>
          <w:spacing w:val="-1"/>
        </w:rPr>
        <w:t> </w:t>
      </w:r>
      <w:r>
        <w:rPr/>
        <w:t>Factor Productivity</w:t>
      </w:r>
    </w:p>
    <w:p>
      <w:pPr>
        <w:pStyle w:val="BodyText"/>
        <w:tabs>
          <w:tab w:pos="5360" w:val="left" w:leader="none"/>
        </w:tabs>
        <w:ind w:left="1760"/>
      </w:pPr>
      <w:r>
        <w:rPr/>
        <w:t>TVP-VAR</w:t>
        <w:tab/>
        <w:t>Time</w:t>
      </w:r>
      <w:r>
        <w:rPr>
          <w:spacing w:val="-3"/>
        </w:rPr>
        <w:t> </w:t>
      </w:r>
      <w:r>
        <w:rPr/>
        <w:t>Varying</w:t>
      </w:r>
      <w:r>
        <w:rPr>
          <w:spacing w:val="-5"/>
        </w:rPr>
        <w:t> </w:t>
      </w:r>
      <w:r>
        <w:rPr/>
        <w:t>Parameter-Vector</w:t>
      </w:r>
      <w:r>
        <w:rPr>
          <w:spacing w:val="-1"/>
        </w:rPr>
        <w:t> </w:t>
      </w:r>
      <w:r>
        <w:rPr/>
        <w:t>Autoregression</w:t>
      </w:r>
    </w:p>
    <w:p>
      <w:pPr>
        <w:pStyle w:val="BodyText"/>
        <w:tabs>
          <w:tab w:pos="5360" w:val="left" w:leader="none"/>
        </w:tabs>
        <w:ind w:left="1760"/>
      </w:pPr>
      <w:r>
        <w:rPr/>
        <w:t>RBC</w:t>
        <w:tab/>
        <w:t>Real</w:t>
      </w:r>
      <w:r>
        <w:rPr>
          <w:spacing w:val="-2"/>
        </w:rPr>
        <w:t> </w:t>
      </w:r>
      <w:r>
        <w:rPr/>
        <w:t>Business</w:t>
      </w:r>
      <w:r>
        <w:rPr>
          <w:spacing w:val="-2"/>
        </w:rPr>
        <w:t> </w:t>
      </w:r>
      <w:r>
        <w:rPr/>
        <w:t>Cycle</w:t>
      </w:r>
    </w:p>
    <w:p>
      <w:pPr>
        <w:pStyle w:val="BodyText"/>
        <w:tabs>
          <w:tab w:pos="5360" w:val="left" w:leader="none"/>
        </w:tabs>
        <w:ind w:left="1760"/>
      </w:pPr>
      <w:r>
        <w:rPr/>
        <w:t>RM</w:t>
        <w:tab/>
        <w:t>Reserve</w:t>
      </w:r>
      <w:r>
        <w:rPr>
          <w:spacing w:val="-2"/>
        </w:rPr>
        <w:t> </w:t>
      </w:r>
      <w:r>
        <w:rPr/>
        <w:t>Money</w:t>
      </w:r>
    </w:p>
    <w:p>
      <w:pPr>
        <w:pStyle w:val="BodyText"/>
        <w:tabs>
          <w:tab w:pos="5360" w:val="left" w:leader="none"/>
        </w:tabs>
        <w:spacing w:before="3"/>
        <w:ind w:left="1760"/>
      </w:pPr>
      <w:r>
        <w:rPr/>
        <w:t>WGI</w:t>
        <w:tab/>
        <w:t>World</w:t>
      </w:r>
      <w:r>
        <w:rPr>
          <w:spacing w:val="-2"/>
        </w:rPr>
        <w:t> </w:t>
      </w:r>
      <w:r>
        <w:rPr/>
        <w:t>Governance</w:t>
      </w:r>
      <w:r>
        <w:rPr>
          <w:spacing w:val="-1"/>
        </w:rPr>
        <w:t> </w:t>
      </w:r>
      <w:r>
        <w:rPr/>
        <w:t>Indicators</w:t>
      </w:r>
    </w:p>
    <w:p>
      <w:pPr>
        <w:spacing w:after="0"/>
        <w:sectPr>
          <w:pgSz w:w="12240" w:h="15840"/>
          <w:pgMar w:header="0" w:footer="935" w:top="1360" w:bottom="1200" w:left="40" w:right="0"/>
        </w:sectPr>
      </w:pPr>
    </w:p>
    <w:p>
      <w:pPr>
        <w:tabs>
          <w:tab w:pos="10221" w:val="left" w:leader="none"/>
        </w:tabs>
        <w:spacing w:before="78"/>
        <w:ind w:left="5361" w:right="0" w:firstLine="0"/>
        <w:jc w:val="left"/>
        <w:rPr>
          <w:b/>
          <w:sz w:val="24"/>
        </w:rPr>
      </w:pPr>
      <w:r>
        <w:rPr>
          <w:b/>
          <w:sz w:val="28"/>
        </w:rPr>
        <w:t>LIST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APPENDICES</w:t>
        <w:tab/>
      </w:r>
      <w:r>
        <w:rPr>
          <w:b/>
          <w:sz w:val="24"/>
        </w:rPr>
        <w:t>Page</w:t>
      </w:r>
    </w:p>
    <w:p>
      <w:pPr>
        <w:pStyle w:val="BodyText"/>
        <w:tabs>
          <w:tab w:pos="10761" w:val="right" w:leader="none"/>
        </w:tabs>
        <w:spacing w:before="363"/>
        <w:ind w:left="1760"/>
      </w:pPr>
      <w:r>
        <w:rPr/>
        <w:t>Appendix</w:t>
      </w:r>
      <w:r>
        <w:rPr>
          <w:spacing w:val="1"/>
        </w:rPr>
        <w:t> </w:t>
      </w:r>
      <w:r>
        <w:rPr/>
        <w:t>1: Prior</w:t>
        <w:tab/>
        <w:t>198</w:t>
      </w:r>
    </w:p>
    <w:p>
      <w:pPr>
        <w:pStyle w:val="BodyText"/>
        <w:tabs>
          <w:tab w:pos="10761" w:val="right" w:leader="none"/>
        </w:tabs>
        <w:spacing w:before="199"/>
        <w:ind w:left="1760"/>
      </w:pPr>
      <w:r>
        <w:rPr/>
        <w:t>Appendix</w:t>
      </w:r>
      <w:r>
        <w:rPr>
          <w:spacing w:val="1"/>
        </w:rPr>
        <w:t> </w:t>
      </w:r>
      <w:r>
        <w:rPr/>
        <w:t>2: MCMC Univariate Diagnostics</w:t>
        <w:tab/>
        <w:t>200</w:t>
      </w:r>
    </w:p>
    <w:p>
      <w:pPr>
        <w:pStyle w:val="BodyText"/>
        <w:tabs>
          <w:tab w:pos="10761" w:val="right" w:leader="none"/>
        </w:tabs>
        <w:spacing w:before="200"/>
        <w:ind w:left="1760"/>
      </w:pPr>
      <w:r>
        <w:rPr/>
        <w:t>Appendix</w:t>
      </w:r>
      <w:r>
        <w:rPr>
          <w:spacing w:val="1"/>
        </w:rPr>
        <w:t> </w:t>
      </w:r>
      <w:r>
        <w:rPr/>
        <w:t>3: Dynare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for Bayesian Estimation</w:t>
        <w:tab/>
        <w:t>203</w:t>
      </w:r>
    </w:p>
    <w:p>
      <w:pPr>
        <w:pStyle w:val="BodyText"/>
        <w:tabs>
          <w:tab w:pos="10747" w:val="right" w:leader="none"/>
        </w:tabs>
        <w:spacing w:before="199"/>
        <w:ind w:left="1760"/>
      </w:pPr>
      <w:r>
        <w:rPr/>
        <w:t>Appendix</w:t>
      </w:r>
      <w:r>
        <w:rPr>
          <w:spacing w:val="1"/>
        </w:rPr>
        <w:t> </w:t>
      </w:r>
      <w:r>
        <w:rPr/>
        <w:t>4: Dynare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Optimal</w:t>
      </w:r>
      <w:r>
        <w:rPr>
          <w:spacing w:val="-1"/>
        </w:rPr>
        <w:t> </w:t>
      </w:r>
      <w:r>
        <w:rPr/>
        <w:t>Ramsey</w:t>
      </w:r>
      <w:r>
        <w:rPr>
          <w:spacing w:val="-5"/>
        </w:rPr>
        <w:t> </w:t>
      </w:r>
      <w:r>
        <w:rPr/>
        <w:t>and Benevolent Government</w:t>
        <w:tab/>
        <w:t>206</w:t>
      </w:r>
    </w:p>
    <w:p>
      <w:pPr>
        <w:pStyle w:val="BodyText"/>
        <w:tabs>
          <w:tab w:pos="10737" w:val="right" w:leader="none"/>
        </w:tabs>
        <w:spacing w:before="202"/>
        <w:ind w:left="1760"/>
      </w:pPr>
      <w:r>
        <w:rPr/>
        <w:t>Appendix</w:t>
      </w:r>
      <w:r>
        <w:rPr>
          <w:spacing w:val="1"/>
        </w:rPr>
        <w:t> </w:t>
      </w:r>
      <w:r>
        <w:rPr/>
        <w:t>5: Dynare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Optimal Ramsey</w:t>
      </w:r>
      <w:r>
        <w:rPr>
          <w:spacing w:val="-5"/>
        </w:rPr>
        <w:t> </w:t>
      </w:r>
      <w:r>
        <w:rPr/>
        <w:t>and Rent-seeking</w:t>
      </w:r>
      <w:r>
        <w:rPr>
          <w:spacing w:val="-4"/>
        </w:rPr>
        <w:t> </w:t>
      </w:r>
      <w:r>
        <w:rPr/>
        <w:t>Government</w:t>
        <w:tab/>
        <w:t>208</w:t>
      </w:r>
    </w:p>
    <w:p>
      <w:pPr>
        <w:pStyle w:val="BodyText"/>
        <w:tabs>
          <w:tab w:pos="10737" w:val="right" w:leader="none"/>
        </w:tabs>
        <w:spacing w:before="199"/>
        <w:ind w:left="1760"/>
      </w:pPr>
      <w:r>
        <w:rPr/>
        <w:t>Appendix</w:t>
      </w:r>
      <w:r>
        <w:rPr>
          <w:spacing w:val="1"/>
        </w:rPr>
        <w:t> </w:t>
      </w:r>
      <w:r>
        <w:rPr/>
        <w:t>6: Dynare</w:t>
      </w:r>
      <w:r>
        <w:rPr>
          <w:spacing w:val="-2"/>
        </w:rPr>
        <w:t> </w:t>
      </w:r>
      <w:r>
        <w:rPr/>
        <w:t>Code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Optimal Discretionary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Benevolent</w:t>
      </w:r>
      <w:r>
        <w:rPr>
          <w:spacing w:val="-1"/>
        </w:rPr>
        <w:t> </w:t>
      </w:r>
      <w:r>
        <w:rPr/>
        <w:t>Government</w:t>
        <w:tab/>
        <w:t>210</w:t>
      </w:r>
    </w:p>
    <w:p>
      <w:pPr>
        <w:pStyle w:val="BodyText"/>
        <w:tabs>
          <w:tab w:pos="10730" w:val="right" w:leader="none"/>
        </w:tabs>
        <w:spacing w:before="200"/>
        <w:ind w:left="1760"/>
      </w:pPr>
      <w:r>
        <w:rPr/>
        <w:t>Appendix</w:t>
      </w:r>
      <w:r>
        <w:rPr>
          <w:spacing w:val="1"/>
        </w:rPr>
        <w:t> </w:t>
      </w:r>
      <w:r>
        <w:rPr/>
        <w:t>7: Dynare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Optimal Discretionary</w:t>
      </w:r>
      <w:r>
        <w:rPr>
          <w:spacing w:val="-5"/>
        </w:rPr>
        <w:t> </w:t>
      </w:r>
      <w:r>
        <w:rPr/>
        <w:t>and Rent-seeking</w:t>
      </w:r>
      <w:r>
        <w:rPr>
          <w:spacing w:val="-4"/>
        </w:rPr>
        <w:t> </w:t>
      </w:r>
      <w:r>
        <w:rPr/>
        <w:t>Government</w:t>
        <w:tab/>
        <w:t>212</w:t>
      </w:r>
    </w:p>
    <w:p>
      <w:pPr>
        <w:pStyle w:val="BodyText"/>
        <w:tabs>
          <w:tab w:pos="10761" w:val="right" w:leader="none"/>
        </w:tabs>
        <w:spacing w:before="201"/>
        <w:ind w:left="1760"/>
      </w:pPr>
      <w:r>
        <w:rPr/>
        <w:t>Appendix</w:t>
      </w:r>
      <w:r>
        <w:rPr>
          <w:spacing w:val="1"/>
        </w:rPr>
        <w:t> </w:t>
      </w:r>
      <w:r>
        <w:rPr/>
        <w:t>8: Derivation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optimal pricing equation for the</w:t>
      </w:r>
      <w:r>
        <w:rPr>
          <w:spacing w:val="-3"/>
        </w:rPr>
        <w:t> </w:t>
      </w:r>
      <w:r>
        <w:rPr/>
        <w:t>firm</w:t>
        <w:tab/>
        <w:t>214</w:t>
      </w:r>
    </w:p>
    <w:p>
      <w:pPr>
        <w:pStyle w:val="BodyText"/>
        <w:tabs>
          <w:tab w:pos="10761" w:val="right" w:leader="none"/>
        </w:tabs>
        <w:spacing w:before="199"/>
        <w:ind w:left="1760"/>
      </w:pPr>
      <w:r>
        <w:rPr/>
        <w:t>Appendix</w:t>
      </w:r>
      <w:r>
        <w:rPr>
          <w:spacing w:val="1"/>
        </w:rPr>
        <w:t> </w:t>
      </w:r>
      <w:r>
        <w:rPr/>
        <w:t>9: Prior-Posterior Plot</w:t>
        <w:tab/>
        <w:t>216</w:t>
      </w:r>
    </w:p>
    <w:p>
      <w:pPr>
        <w:spacing w:after="0"/>
        <w:sectPr>
          <w:pgSz w:w="12240" w:h="15840"/>
          <w:pgMar w:header="0" w:footer="935" w:top="1360" w:bottom="1200" w:left="40" w:right="0"/>
        </w:sectPr>
      </w:pPr>
    </w:p>
    <w:p>
      <w:pPr>
        <w:spacing w:before="78"/>
        <w:ind w:left="2321" w:right="2002" w:firstLine="0"/>
        <w:jc w:val="center"/>
        <w:rPr>
          <w:b/>
          <w:sz w:val="28"/>
        </w:rPr>
      </w:pPr>
      <w:r>
        <w:rPr>
          <w:b/>
          <w:sz w:val="28"/>
        </w:rPr>
        <w:t>ABSTRACT</w:t>
      </w:r>
    </w:p>
    <w:p>
      <w:pPr>
        <w:pStyle w:val="BodyText"/>
        <w:spacing w:line="360" w:lineRule="auto" w:before="157"/>
        <w:ind w:left="1760" w:right="1431"/>
        <w:jc w:val="both"/>
      </w:pPr>
      <w:r>
        <w:rPr/>
        <w:t>A political economy environment typified by political corruption, poor implementation 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weak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coordination,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 and how it interacts with the monetary policy of the Central Bank. This study</w:t>
      </w:r>
      <w:r>
        <w:rPr>
          <w:spacing w:val="1"/>
        </w:rPr>
        <w:t> </w:t>
      </w:r>
      <w:r>
        <w:rPr/>
        <w:t>solved and estimated a Small Open Economy New Keynesian Dynamic Stochastic General</w:t>
      </w:r>
      <w:r>
        <w:rPr>
          <w:spacing w:val="1"/>
        </w:rPr>
        <w:t> </w:t>
      </w:r>
      <w:r>
        <w:rPr/>
        <w:t>Equilibrium model with a modified fiscal bloc. This is done in order to examine fiscal and</w:t>
      </w:r>
      <w:r>
        <w:rPr>
          <w:spacing w:val="1"/>
        </w:rPr>
        <w:t> </w:t>
      </w:r>
      <w:r>
        <w:rPr/>
        <w:t>monetary policy interactions under alternative assumptions of a rent-seeking government that</w:t>
      </w:r>
      <w:r>
        <w:rPr>
          <w:spacing w:val="-57"/>
        </w:rPr>
        <w:t> </w:t>
      </w:r>
      <w:r>
        <w:rPr/>
        <w:t>follows discretionary policies and where no economic policy coordination exists. Its specific</w:t>
      </w:r>
      <w:r>
        <w:rPr>
          <w:spacing w:val="1"/>
        </w:rPr>
        <w:t> </w:t>
      </w:r>
      <w:r>
        <w:rPr/>
        <w:t>objectives were to assess the nature of fiscal policy interactions with monetary policy in</w:t>
      </w:r>
      <w:r>
        <w:rPr>
          <w:spacing w:val="1"/>
        </w:rPr>
        <w:t> </w:t>
      </w:r>
      <w:r>
        <w:rPr/>
        <w:t>Nigeria;</w:t>
      </w:r>
      <w:r>
        <w:rPr>
          <w:spacing w:val="-6"/>
        </w:rPr>
        <w:t> </w:t>
      </w:r>
      <w:r>
        <w:rPr/>
        <w:t>examine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transmission</w:t>
      </w:r>
      <w:r>
        <w:rPr>
          <w:spacing w:val="-6"/>
        </w:rPr>
        <w:t> </w:t>
      </w:r>
      <w:r>
        <w:rPr/>
        <w:t>effect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policy</w:t>
      </w:r>
      <w:r>
        <w:rPr>
          <w:spacing w:val="-11"/>
        </w:rPr>
        <w:t> </w:t>
      </w:r>
      <w:r>
        <w:rPr/>
        <w:t>interactions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output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inflation,</w:t>
      </w:r>
      <w:r>
        <w:rPr>
          <w:spacing w:val="-6"/>
        </w:rPr>
        <w:t> </w:t>
      </w:r>
      <w:r>
        <w:rPr/>
        <w:t>and</w:t>
      </w:r>
      <w:r>
        <w:rPr>
          <w:spacing w:val="-58"/>
        </w:rPr>
        <w:t> </w:t>
      </w:r>
      <w:r>
        <w:rPr/>
        <w:t>to</w:t>
      </w:r>
      <w:r>
        <w:rPr>
          <w:spacing w:val="-5"/>
        </w:rPr>
        <w:t> </w:t>
      </w:r>
      <w:r>
        <w:rPr/>
        <w:t>investigate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optimal</w:t>
      </w:r>
      <w:r>
        <w:rPr>
          <w:spacing w:val="-4"/>
        </w:rPr>
        <w:t> </w:t>
      </w:r>
      <w:r>
        <w:rPr/>
        <w:t>fiscal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monetary</w:t>
      </w:r>
      <w:r>
        <w:rPr>
          <w:spacing w:val="-10"/>
        </w:rPr>
        <w:t> </w:t>
      </w:r>
      <w:r>
        <w:rPr/>
        <w:t>policy</w:t>
      </w:r>
      <w:r>
        <w:rPr>
          <w:spacing w:val="-10"/>
        </w:rPr>
        <w:t> </w:t>
      </w:r>
      <w:r>
        <w:rPr/>
        <w:t>mix</w:t>
      </w:r>
      <w:r>
        <w:rPr>
          <w:spacing w:val="-3"/>
        </w:rPr>
        <w:t> </w:t>
      </w:r>
      <w:r>
        <w:rPr/>
        <w:t>that</w:t>
      </w:r>
      <w:r>
        <w:rPr>
          <w:spacing w:val="-5"/>
        </w:rPr>
        <w:t> </w:t>
      </w:r>
      <w:r>
        <w:rPr/>
        <w:t>guarantees</w:t>
      </w:r>
      <w:r>
        <w:rPr>
          <w:spacing w:val="-3"/>
        </w:rPr>
        <w:t> </w:t>
      </w:r>
      <w:r>
        <w:rPr/>
        <w:t>economic</w:t>
      </w:r>
      <w:r>
        <w:rPr>
          <w:spacing w:val="-6"/>
        </w:rPr>
        <w:t> </w:t>
      </w:r>
      <w:r>
        <w:rPr/>
        <w:t>stability</w:t>
      </w:r>
      <w:r>
        <w:rPr>
          <w:spacing w:val="-10"/>
        </w:rPr>
        <w:t> </w:t>
      </w:r>
      <w:r>
        <w:rPr/>
        <w:t>in</w:t>
      </w:r>
      <w:r>
        <w:rPr>
          <w:spacing w:val="-57"/>
        </w:rPr>
        <w:t> </w:t>
      </w:r>
      <w:r>
        <w:rPr/>
        <w:t>Nigeria. A first-order Taylor approximation method was used to solve the model around its</w:t>
      </w:r>
      <w:r>
        <w:rPr>
          <w:spacing w:val="1"/>
        </w:rPr>
        <w:t> </w:t>
      </w:r>
      <w:r>
        <w:rPr/>
        <w:t>deterministic</w:t>
      </w:r>
      <w:r>
        <w:rPr>
          <w:spacing w:val="1"/>
        </w:rPr>
        <w:t> </w:t>
      </w:r>
      <w:r>
        <w:rPr/>
        <w:t>steady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Thereafter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Bayesian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Metropolis-</w:t>
      </w:r>
      <w:r>
        <w:rPr>
          <w:spacing w:val="1"/>
        </w:rPr>
        <w:t> </w:t>
      </w:r>
      <w:r>
        <w:rPr/>
        <w:t>Hastings algorithm was used to estimate the parameters of the model. In order to derive the</w:t>
      </w:r>
      <w:r>
        <w:rPr>
          <w:spacing w:val="1"/>
        </w:rPr>
        <w:t> </w:t>
      </w:r>
      <w:r>
        <w:rPr/>
        <w:t>optimal combination of fiscal and monetary policy, the Dynare computational routines on</w:t>
      </w:r>
      <w:r>
        <w:rPr>
          <w:spacing w:val="1"/>
        </w:rPr>
        <w:t> </w:t>
      </w:r>
      <w:r>
        <w:rPr/>
        <w:t>Ramsey policy and Discretionary policy were employed. The results from this study revealed</w:t>
      </w:r>
      <w:r>
        <w:rPr>
          <w:spacing w:val="-57"/>
        </w:rPr>
        <w:t> </w:t>
      </w:r>
      <w:r>
        <w:rPr/>
        <w:t>that both fiscal policy and monetary policy act as strong substitutes. This highlights the</w:t>
      </w:r>
      <w:r>
        <w:rPr>
          <w:spacing w:val="1"/>
        </w:rPr>
        <w:t> </w:t>
      </w:r>
      <w:r>
        <w:rPr/>
        <w:t>possibility</w:t>
      </w:r>
      <w:r>
        <w:rPr>
          <w:spacing w:val="-11"/>
        </w:rPr>
        <w:t> </w:t>
      </w:r>
      <w:r>
        <w:rPr/>
        <w:t>of</w:t>
      </w:r>
      <w:r>
        <w:rPr>
          <w:spacing w:val="-5"/>
        </w:rPr>
        <w:t> </w:t>
      </w:r>
      <w:r>
        <w:rPr/>
        <w:t>conflicts</w:t>
      </w:r>
      <w:r>
        <w:rPr>
          <w:spacing w:val="-3"/>
        </w:rPr>
        <w:t> </w:t>
      </w:r>
      <w:r>
        <w:rPr/>
        <w:t>between</w:t>
      </w:r>
      <w:r>
        <w:rPr>
          <w:spacing w:val="-4"/>
        </w:rPr>
        <w:t> </w:t>
      </w:r>
      <w:r>
        <w:rPr/>
        <w:t>fiscal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monetary</w:t>
      </w:r>
      <w:r>
        <w:rPr>
          <w:spacing w:val="-6"/>
        </w:rPr>
        <w:t> </w:t>
      </w:r>
      <w:r>
        <w:rPr/>
        <w:t>decisions.</w:t>
      </w:r>
      <w:r>
        <w:rPr>
          <w:spacing w:val="-4"/>
        </w:rPr>
        <w:t> </w:t>
      </w:r>
      <w:r>
        <w:rPr/>
        <w:t>Secondly, the</w:t>
      </w:r>
      <w:r>
        <w:rPr>
          <w:spacing w:val="-4"/>
        </w:rPr>
        <w:t> </w:t>
      </w:r>
      <w:r>
        <w:rPr/>
        <w:t>overall</w:t>
      </w:r>
      <w:r>
        <w:rPr>
          <w:spacing w:val="-3"/>
        </w:rPr>
        <w:t> </w:t>
      </w:r>
      <w:r>
        <w:rPr/>
        <w:t>impact</w:t>
      </w:r>
      <w:r>
        <w:rPr>
          <w:spacing w:val="-3"/>
        </w:rPr>
        <w:t> </w:t>
      </w:r>
      <w:r>
        <w:rPr/>
        <w:t>of</w:t>
      </w:r>
      <w:r>
        <w:rPr>
          <w:spacing w:val="-57"/>
        </w:rPr>
        <w:t> </w:t>
      </w:r>
      <w:r>
        <w:rPr/>
        <w:t>policy interaction negatively affects both inflation and output. This corroborates the lack of</w:t>
      </w:r>
      <w:r>
        <w:rPr>
          <w:spacing w:val="1"/>
        </w:rPr>
        <w:t> </w:t>
      </w:r>
      <w:r>
        <w:rPr/>
        <w:t>coordination between both policies. Moreover, it implies that stabilisation policies may be</w:t>
      </w:r>
      <w:r>
        <w:rPr>
          <w:spacing w:val="1"/>
        </w:rPr>
        <w:t> </w:t>
      </w:r>
      <w:r>
        <w:rPr/>
        <w:t>inadequate in</w:t>
      </w:r>
      <w:r>
        <w:rPr>
          <w:spacing w:val="1"/>
        </w:rPr>
        <w:t> </w:t>
      </w:r>
      <w:r>
        <w:rPr/>
        <w:t>guiding the Nigerian</w:t>
      </w:r>
      <w:r>
        <w:rPr>
          <w:spacing w:val="1"/>
        </w:rPr>
        <w:t> </w:t>
      </w:r>
      <w:r>
        <w:rPr/>
        <w:t>economy.</w:t>
      </w:r>
      <w:r>
        <w:rPr>
          <w:spacing w:val="1"/>
        </w:rPr>
        <w:t> </w:t>
      </w:r>
      <w:r>
        <w:rPr/>
        <w:t>Thirdly,</w:t>
      </w:r>
      <w:r>
        <w:rPr>
          <w:spacing w:val="1"/>
        </w:rPr>
        <w:t> </w:t>
      </w:r>
      <w:r>
        <w:rPr/>
        <w:t>the results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optimal</w:t>
      </w:r>
      <w:r>
        <w:rPr>
          <w:spacing w:val="1"/>
        </w:rPr>
        <w:t> </w:t>
      </w:r>
      <w:r>
        <w:rPr/>
        <w:t>fiscal-</w:t>
      </w:r>
      <w:r>
        <w:rPr>
          <w:spacing w:val="1"/>
        </w:rPr>
        <w:t> </w:t>
      </w:r>
      <w:r>
        <w:rPr/>
        <w:t>monetary</w:t>
      </w:r>
      <w:r>
        <w:rPr>
          <w:spacing w:val="-14"/>
        </w:rPr>
        <w:t> </w:t>
      </w:r>
      <w:r>
        <w:rPr/>
        <w:t>combination</w:t>
      </w:r>
      <w:r>
        <w:rPr>
          <w:spacing w:val="-9"/>
        </w:rPr>
        <w:t> </w:t>
      </w:r>
      <w:r>
        <w:rPr/>
        <w:t>point</w:t>
      </w:r>
      <w:r>
        <w:rPr>
          <w:spacing w:val="-8"/>
        </w:rPr>
        <w:t> </w:t>
      </w:r>
      <w:r>
        <w:rPr/>
        <w:t>out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politicians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bureaucrats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government</w:t>
      </w:r>
      <w:r>
        <w:rPr>
          <w:spacing w:val="-8"/>
        </w:rPr>
        <w:t> </w:t>
      </w:r>
      <w:r>
        <w:rPr/>
        <w:t>should</w:t>
      </w:r>
      <w:r>
        <w:rPr>
          <w:spacing w:val="-9"/>
        </w:rPr>
        <w:t> </w:t>
      </w:r>
      <w:r>
        <w:rPr/>
        <w:t>commit</w:t>
      </w:r>
      <w:r>
        <w:rPr>
          <w:spacing w:val="-58"/>
        </w:rPr>
        <w:t> </w:t>
      </w:r>
      <w:r>
        <w:rPr/>
        <w:t>to policy rules. At the same time, they should implement policies that enhance the welfare of</w:t>
      </w:r>
      <w:r>
        <w:rPr>
          <w:spacing w:val="1"/>
        </w:rPr>
        <w:t> </w:t>
      </w:r>
      <w:r>
        <w:rPr/>
        <w:t>the entire citizens, not just a subset of the citizens. In addition, the study recommends among</w:t>
      </w:r>
      <w:r>
        <w:rPr>
          <w:spacing w:val="1"/>
        </w:rPr>
        <w:t> </w:t>
      </w:r>
      <w:r>
        <w:rPr/>
        <w:t>others that fiscal and monetary policies should be harmonised. For instance, the Central Bank</w:t>
      </w:r>
      <w:r>
        <w:rPr>
          <w:spacing w:val="-57"/>
        </w:rPr>
        <w:t> </w:t>
      </w:r>
      <w:r>
        <w:rPr/>
        <w:t>of Nigeria and the Federal Ministry of Finance can adopt the same economic model and</w:t>
      </w:r>
      <w:r>
        <w:rPr>
          <w:spacing w:val="1"/>
        </w:rPr>
        <w:t> </w:t>
      </w:r>
      <w:r>
        <w:rPr/>
        <w:t>assumption</w:t>
      </w:r>
      <w:r>
        <w:rPr>
          <w:spacing w:val="-1"/>
        </w:rPr>
        <w:t> </w:t>
      </w:r>
      <w:r>
        <w:rPr/>
        <w:t>in planning</w:t>
      </w:r>
      <w:r>
        <w:rPr>
          <w:spacing w:val="-2"/>
        </w:rPr>
        <w:t> </w:t>
      </w:r>
      <w:r>
        <w:rPr/>
        <w:t>and forecasting</w:t>
      </w:r>
      <w:r>
        <w:rPr>
          <w:spacing w:val="-3"/>
        </w:rPr>
        <w:t> </w:t>
      </w:r>
      <w:r>
        <w:rPr/>
        <w:t>policy</w:t>
      </w:r>
      <w:r>
        <w:rPr>
          <w:spacing w:val="-5"/>
        </w:rPr>
        <w:t> </w:t>
      </w:r>
      <w:r>
        <w:rPr/>
        <w:t>targets.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32"/>
        <w:ind w:left="1760" w:right="1438"/>
        <w:jc w:val="both"/>
      </w:pPr>
      <w:r>
        <w:rPr/>
        <w:t>Keywords: Fiscal and Monetary Policies, Policy Interactions, Optimal Policy, Rent-seeking,</w:t>
      </w:r>
      <w:r>
        <w:rPr>
          <w:spacing w:val="1"/>
        </w:rPr>
        <w:t> </w:t>
      </w:r>
      <w:r>
        <w:rPr/>
        <w:t>DSGE.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523" w:lineRule="auto" w:before="248"/>
        <w:ind w:left="5219" w:right="4900" w:firstLine="2"/>
        <w:jc w:val="center"/>
      </w:pPr>
      <w:r>
        <w:rPr/>
        <w:t>CHAPTER ONE</w:t>
      </w:r>
      <w:r>
        <w:rPr>
          <w:spacing w:val="1"/>
        </w:rPr>
        <w:t> </w:t>
      </w:r>
      <w:r>
        <w:rPr>
          <w:w w:val="95"/>
        </w:rPr>
        <w:t>INTRODUCTION</w:t>
      </w:r>
    </w:p>
    <w:p>
      <w:pPr>
        <w:pStyle w:val="Heading1"/>
        <w:numPr>
          <w:ilvl w:val="1"/>
          <w:numId w:val="8"/>
        </w:numPr>
        <w:tabs>
          <w:tab w:pos="2279" w:val="left" w:leader="none"/>
        </w:tabs>
        <w:spacing w:line="294" w:lineRule="exact" w:before="0" w:after="0"/>
        <w:ind w:left="2278" w:right="0" w:hanging="519"/>
        <w:jc w:val="left"/>
      </w:pPr>
      <w:bookmarkStart w:name="_TOC_250059" w:id="1"/>
      <w:r>
        <w:rPr/>
        <w:t>Background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bookmarkEnd w:id="1"/>
      <w:r>
        <w:rPr/>
        <w:t>Study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360" w:lineRule="auto"/>
        <w:ind w:left="1760" w:right="1431"/>
        <w:jc w:val="both"/>
      </w:pPr>
      <w:r>
        <w:rPr/>
        <w:t>Fiscal and monetary policies are the two most significant tools available to policymakers, in</w:t>
      </w:r>
      <w:r>
        <w:rPr>
          <w:spacing w:val="1"/>
        </w:rPr>
        <w:t> </w:t>
      </w:r>
      <w:r>
        <w:rPr/>
        <w:t>guiding</w:t>
      </w:r>
      <w:r>
        <w:rPr>
          <w:spacing w:val="-6"/>
        </w:rPr>
        <w:t> </w:t>
      </w:r>
      <w:r>
        <w:rPr/>
        <w:t>an</w:t>
      </w:r>
      <w:r>
        <w:rPr>
          <w:spacing w:val="-2"/>
        </w:rPr>
        <w:t> </w:t>
      </w:r>
      <w:r>
        <w:rPr/>
        <w:t>economy,</w:t>
      </w:r>
      <w:r>
        <w:rPr>
          <w:spacing w:val="-4"/>
        </w:rPr>
        <w:t> </w:t>
      </w:r>
      <w:r>
        <w:rPr/>
        <w:t>towards</w:t>
      </w:r>
      <w:r>
        <w:rPr>
          <w:spacing w:val="-4"/>
        </w:rPr>
        <w:t> </w:t>
      </w:r>
      <w:r>
        <w:rPr/>
        <w:t>attaining</w:t>
      </w:r>
      <w:r>
        <w:rPr>
          <w:spacing w:val="-5"/>
        </w:rPr>
        <w:t> </w:t>
      </w:r>
      <w:r>
        <w:rPr/>
        <w:t>desired</w:t>
      </w:r>
      <w:r>
        <w:rPr>
          <w:spacing w:val="-1"/>
        </w:rPr>
        <w:t> </w:t>
      </w:r>
      <w:r>
        <w:rPr/>
        <w:t>macroeconomic</w:t>
      </w:r>
      <w:r>
        <w:rPr>
          <w:spacing w:val="-3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which</w:t>
      </w:r>
      <w:r>
        <w:rPr>
          <w:spacing w:val="-4"/>
        </w:rPr>
        <w:t> </w:t>
      </w:r>
      <w:r>
        <w:rPr/>
        <w:t>include</w:t>
      </w:r>
      <w:r>
        <w:rPr>
          <w:spacing w:val="-4"/>
        </w:rPr>
        <w:t> </w:t>
      </w:r>
      <w:r>
        <w:rPr/>
        <w:t>high</w:t>
      </w:r>
      <w:r>
        <w:rPr>
          <w:spacing w:val="-58"/>
        </w:rPr>
        <w:t> </w:t>
      </w:r>
      <w:r>
        <w:rPr/>
        <w:t>and</w:t>
      </w:r>
      <w:r>
        <w:rPr>
          <w:spacing w:val="-14"/>
        </w:rPr>
        <w:t> </w:t>
      </w:r>
      <w:r>
        <w:rPr/>
        <w:t>sustainable</w:t>
      </w:r>
      <w:r>
        <w:rPr>
          <w:spacing w:val="-14"/>
        </w:rPr>
        <w:t> </w:t>
      </w:r>
      <w:r>
        <w:rPr/>
        <w:t>economic</w:t>
      </w:r>
      <w:r>
        <w:rPr>
          <w:spacing w:val="-12"/>
        </w:rPr>
        <w:t> </w:t>
      </w:r>
      <w:r>
        <w:rPr/>
        <w:t>growth,</w:t>
      </w:r>
      <w:r>
        <w:rPr>
          <w:spacing w:val="-14"/>
        </w:rPr>
        <w:t> </w:t>
      </w:r>
      <w:r>
        <w:rPr/>
        <w:t>price</w:t>
      </w:r>
      <w:r>
        <w:rPr>
          <w:spacing w:val="-14"/>
        </w:rPr>
        <w:t> </w:t>
      </w:r>
      <w:r>
        <w:rPr/>
        <w:t>stability,</w:t>
      </w:r>
      <w:r>
        <w:rPr>
          <w:spacing w:val="-13"/>
        </w:rPr>
        <w:t> </w:t>
      </w:r>
      <w:r>
        <w:rPr/>
        <w:t>employment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viable</w:t>
      </w:r>
      <w:r>
        <w:rPr>
          <w:spacing w:val="-12"/>
        </w:rPr>
        <w:t> </w:t>
      </w:r>
      <w:r>
        <w:rPr/>
        <w:t>external</w:t>
      </w:r>
      <w:r>
        <w:rPr>
          <w:spacing w:val="-14"/>
        </w:rPr>
        <w:t> </w:t>
      </w:r>
      <w:r>
        <w:rPr/>
        <w:t>balance.</w:t>
      </w:r>
      <w:r>
        <w:rPr>
          <w:spacing w:val="-13"/>
        </w:rPr>
        <w:t> </w:t>
      </w:r>
      <w:r>
        <w:rPr/>
        <w:t>The</w:t>
      </w:r>
      <w:r>
        <w:rPr>
          <w:spacing w:val="-57"/>
        </w:rPr>
        <w:t> </w:t>
      </w:r>
      <w:r>
        <w:rPr/>
        <w:t>government employs fiscal tools such as spending and taxes to provide public goods, to</w:t>
      </w:r>
      <w:r>
        <w:rPr>
          <w:spacing w:val="1"/>
        </w:rPr>
        <w:t> </w:t>
      </w:r>
      <w:r>
        <w:rPr/>
        <w:t>redistribute income and stabilise aggregate demand. The Central Bank also uses interest rate,</w:t>
      </w:r>
      <w:r>
        <w:rPr>
          <w:spacing w:val="1"/>
        </w:rPr>
        <w:t> </w:t>
      </w:r>
      <w:r>
        <w:rPr/>
        <w:t>exchange rate and money supply to stabilise the price level, output and the financial system.</w:t>
      </w:r>
      <w:r>
        <w:rPr>
          <w:spacing w:val="1"/>
        </w:rPr>
        <w:t> </w:t>
      </w:r>
      <w:r>
        <w:rPr/>
        <w:t>Both policies are used for the short-term stabilisation of the economy which guarantees</w:t>
      </w:r>
      <w:r>
        <w:rPr>
          <w:spacing w:val="1"/>
        </w:rPr>
        <w:t> </w:t>
      </w:r>
      <w:r>
        <w:rPr/>
        <w:t>medium to long-term outcomes in growth and welfare (World Bank, 2014). Based on their</w:t>
      </w:r>
      <w:r>
        <w:rPr>
          <w:spacing w:val="1"/>
        </w:rPr>
        <w:t> </w:t>
      </w:r>
      <w:r>
        <w:rPr/>
        <w:t>importance, governments and central banks, the fiscal and monetary authorities respectively,</w:t>
      </w:r>
      <w:r>
        <w:rPr>
          <w:spacing w:val="1"/>
        </w:rPr>
        <w:t> </w:t>
      </w:r>
      <w:r>
        <w:rPr/>
        <w:t>are</w:t>
      </w:r>
      <w:r>
        <w:rPr>
          <w:spacing w:val="-7"/>
        </w:rPr>
        <w:t> </w:t>
      </w:r>
      <w:r>
        <w:rPr/>
        <w:t>constantly</w:t>
      </w:r>
      <w:r>
        <w:rPr>
          <w:spacing w:val="-9"/>
        </w:rPr>
        <w:t> </w:t>
      </w:r>
      <w:r>
        <w:rPr/>
        <w:t>faced</w:t>
      </w:r>
      <w:r>
        <w:rPr>
          <w:spacing w:val="-6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8"/>
        </w:rPr>
        <w:t> </w:t>
      </w:r>
      <w:r>
        <w:rPr/>
        <w:t>task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setting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appropriate</w:t>
      </w:r>
      <w:r>
        <w:rPr>
          <w:spacing w:val="-9"/>
        </w:rPr>
        <w:t> </w:t>
      </w:r>
      <w:r>
        <w:rPr/>
        <w:t>policy</w:t>
      </w:r>
      <w:r>
        <w:rPr>
          <w:spacing w:val="-11"/>
        </w:rPr>
        <w:t> </w:t>
      </w:r>
      <w:r>
        <w:rPr/>
        <w:t>targets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get</w:t>
      </w:r>
      <w:r>
        <w:rPr>
          <w:spacing w:val="-4"/>
        </w:rPr>
        <w:t> </w:t>
      </w:r>
      <w:r>
        <w:rPr/>
        <w:t>the</w:t>
      </w:r>
      <w:r>
        <w:rPr>
          <w:spacing w:val="-9"/>
        </w:rPr>
        <w:t> </w:t>
      </w:r>
      <w:r>
        <w:rPr/>
        <w:t>economy</w:t>
      </w:r>
      <w:r>
        <w:rPr>
          <w:spacing w:val="-57"/>
        </w:rPr>
        <w:t> </w:t>
      </w:r>
      <w:r>
        <w:rPr/>
        <w:t>closest</w:t>
      </w:r>
      <w:r>
        <w:rPr>
          <w:spacing w:val="-1"/>
        </w:rPr>
        <w:t> </w:t>
      </w:r>
      <w:r>
        <w:rPr/>
        <w:t>to its optimal state.</w:t>
      </w:r>
    </w:p>
    <w:p>
      <w:pPr>
        <w:pStyle w:val="BodyText"/>
        <w:spacing w:line="360" w:lineRule="auto" w:before="201"/>
        <w:ind w:left="1760" w:right="1434"/>
        <w:jc w:val="both"/>
      </w:pPr>
      <w:r>
        <w:rPr/>
        <w:t>However, there is a lack of consensus on the most appropriate manner that policymakers can</w:t>
      </w:r>
      <w:r>
        <w:rPr>
          <w:spacing w:val="1"/>
        </w:rPr>
        <w:t> </w:t>
      </w:r>
      <w:r>
        <w:rPr/>
        <w:t>utilize fiscal and monetary policies (Mundell, 1962; Wren-Lewis, 2011). This concern, in</w:t>
      </w:r>
      <w:r>
        <w:rPr>
          <w:spacing w:val="1"/>
        </w:rPr>
        <w:t> </w:t>
      </w:r>
      <w:r>
        <w:rPr/>
        <w:t>specific terms, whether the instruments of fiscal and monetary policies are independent or</w:t>
      </w:r>
      <w:r>
        <w:rPr>
          <w:spacing w:val="1"/>
        </w:rPr>
        <w:t> </w:t>
      </w:r>
      <w:r>
        <w:rPr/>
        <w:t>intertwined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their</w:t>
      </w:r>
      <w:r>
        <w:rPr>
          <w:spacing w:val="-11"/>
        </w:rPr>
        <w:t> </w:t>
      </w:r>
      <w:r>
        <w:rPr/>
        <w:t>impact</w:t>
      </w:r>
      <w:r>
        <w:rPr>
          <w:spacing w:val="-11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economy.</w:t>
      </w:r>
      <w:r>
        <w:rPr>
          <w:spacing w:val="-10"/>
        </w:rPr>
        <w:t> </w:t>
      </w:r>
      <w:r>
        <w:rPr/>
        <w:t>Debates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academic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policy-making</w:t>
      </w:r>
      <w:r>
        <w:rPr>
          <w:spacing w:val="-10"/>
        </w:rPr>
        <w:t> </w:t>
      </w:r>
      <w:r>
        <w:rPr/>
        <w:t>circle,</w:t>
      </w:r>
      <w:r>
        <w:rPr>
          <w:spacing w:val="-58"/>
        </w:rPr>
        <w:t> </w:t>
      </w:r>
      <w:r>
        <w:rPr/>
        <w:t>between the Keynesian and Monetarist schools of economic thought, implicitly posits fiscal</w:t>
      </w:r>
      <w:r>
        <w:rPr>
          <w:spacing w:val="1"/>
        </w:rPr>
        <w:t> </w:t>
      </w:r>
      <w:r>
        <w:rPr/>
        <w:t>and</w:t>
      </w:r>
      <w:r>
        <w:rPr>
          <w:spacing w:val="-9"/>
        </w:rPr>
        <w:t> </w:t>
      </w:r>
      <w:r>
        <w:rPr/>
        <w:t>monetary</w:t>
      </w:r>
      <w:r>
        <w:rPr>
          <w:spacing w:val="-11"/>
        </w:rPr>
        <w:t> </w:t>
      </w:r>
      <w:r>
        <w:rPr/>
        <w:t>policies</w:t>
      </w:r>
      <w:r>
        <w:rPr>
          <w:spacing w:val="-9"/>
        </w:rPr>
        <w:t> </w:t>
      </w:r>
      <w:r>
        <w:rPr/>
        <w:t>as</w:t>
      </w:r>
      <w:r>
        <w:rPr>
          <w:spacing w:val="-3"/>
        </w:rPr>
        <w:t> </w:t>
      </w:r>
      <w:r>
        <w:rPr/>
        <w:t>separable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nature,</w:t>
      </w:r>
      <w:r>
        <w:rPr>
          <w:spacing w:val="-8"/>
        </w:rPr>
        <w:t> </w:t>
      </w:r>
      <w:r>
        <w:rPr/>
        <w:t>since</w:t>
      </w:r>
      <w:r>
        <w:rPr>
          <w:spacing w:val="-7"/>
        </w:rPr>
        <w:t> </w:t>
      </w:r>
      <w:r>
        <w:rPr/>
        <w:t>it</w:t>
      </w:r>
      <w:r>
        <w:rPr>
          <w:spacing w:val="-8"/>
        </w:rPr>
        <w:t> </w:t>
      </w:r>
      <w:r>
        <w:rPr/>
        <w:t>centred</w:t>
      </w:r>
      <w:r>
        <w:rPr>
          <w:spacing w:val="-7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importance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each</w:t>
      </w:r>
      <w:r>
        <w:rPr>
          <w:spacing w:val="-9"/>
        </w:rPr>
        <w:t> </w:t>
      </w:r>
      <w:r>
        <w:rPr/>
        <w:t>policy,</w:t>
      </w:r>
      <w:r>
        <w:rPr>
          <w:spacing w:val="-58"/>
        </w:rPr>
        <w:t> </w:t>
      </w:r>
      <w:r>
        <w:rPr/>
        <w:t>relative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(Hetzel,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argument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premised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 and macroeconomic effect of either policy can be isolated from the other (Hallett,</w:t>
      </w:r>
      <w:r>
        <w:rPr>
          <w:spacing w:val="-57"/>
        </w:rPr>
        <w:t> </w:t>
      </w:r>
      <w:r>
        <w:rPr/>
        <w:t>Libich and Stehlik, 2011). But in the literature, inquiry into this debate remains inconclusive</w:t>
      </w:r>
      <w:r>
        <w:rPr>
          <w:spacing w:val="1"/>
        </w:rPr>
        <w:t> </w:t>
      </w:r>
      <w:r>
        <w:rPr/>
        <w:t>indicating</w:t>
      </w:r>
      <w:r>
        <w:rPr>
          <w:spacing w:val="5"/>
        </w:rPr>
        <w:t> </w:t>
      </w:r>
      <w:r>
        <w:rPr/>
        <w:t>that</w:t>
      </w:r>
      <w:r>
        <w:rPr>
          <w:spacing w:val="10"/>
        </w:rPr>
        <w:t> </w:t>
      </w:r>
      <w:r>
        <w:rPr/>
        <w:t>there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no</w:t>
      </w:r>
      <w:r>
        <w:rPr>
          <w:spacing w:val="8"/>
        </w:rPr>
        <w:t> </w:t>
      </w:r>
      <w:r>
        <w:rPr/>
        <w:t>consensus</w:t>
      </w:r>
      <w:r>
        <w:rPr>
          <w:spacing w:val="8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most</w:t>
      </w:r>
      <w:r>
        <w:rPr>
          <w:spacing w:val="11"/>
        </w:rPr>
        <w:t> </w:t>
      </w:r>
      <w:r>
        <w:rPr/>
        <w:t>preferred</w:t>
      </w:r>
      <w:r>
        <w:rPr>
          <w:spacing w:val="11"/>
        </w:rPr>
        <w:t> </w:t>
      </w:r>
      <w:r>
        <w:rPr/>
        <w:t>policy</w:t>
      </w:r>
      <w:r>
        <w:rPr>
          <w:spacing w:val="3"/>
        </w:rPr>
        <w:t> </w:t>
      </w:r>
      <w:r>
        <w:rPr/>
        <w:t>regime,</w:t>
      </w:r>
      <w:r>
        <w:rPr>
          <w:spacing w:val="10"/>
        </w:rPr>
        <w:t> </w:t>
      </w:r>
      <w:r>
        <w:rPr/>
        <w:t>between</w:t>
      </w:r>
      <w:r>
        <w:rPr>
          <w:spacing w:val="11"/>
        </w:rPr>
        <w:t> </w:t>
      </w:r>
      <w:r>
        <w:rPr/>
        <w:t>monetary</w:t>
      </w:r>
    </w:p>
    <w:p>
      <w:pPr>
        <w:spacing w:after="0" w:line="360" w:lineRule="auto"/>
        <w:jc w:val="both"/>
        <w:sectPr>
          <w:footerReference w:type="default" r:id="rId9"/>
          <w:pgSz w:w="12240" w:h="15840"/>
          <w:pgMar w:footer="1015" w:header="0" w:top="1500" w:bottom="1200" w:left="40" w:right="0"/>
          <w:pgNumType w:start="1"/>
        </w:sectPr>
      </w:pPr>
    </w:p>
    <w:p>
      <w:pPr>
        <w:pStyle w:val="BodyText"/>
        <w:spacing w:line="360" w:lineRule="auto" w:before="74"/>
        <w:ind w:left="1760" w:right="1437"/>
        <w:jc w:val="both"/>
      </w:pPr>
      <w:r>
        <w:rPr/>
        <w:t>and</w:t>
      </w:r>
      <w:r>
        <w:rPr>
          <w:spacing w:val="-6"/>
        </w:rPr>
        <w:t> </w:t>
      </w:r>
      <w:r>
        <w:rPr/>
        <w:t>fiscal,</w:t>
      </w:r>
      <w:r>
        <w:rPr>
          <w:spacing w:val="-5"/>
        </w:rPr>
        <w:t> </w:t>
      </w:r>
      <w:r>
        <w:rPr/>
        <w:t>that</w:t>
      </w:r>
      <w:r>
        <w:rPr>
          <w:spacing w:val="-3"/>
        </w:rPr>
        <w:t> </w:t>
      </w:r>
      <w:r>
        <w:rPr/>
        <w:t>an</w:t>
      </w:r>
      <w:r>
        <w:rPr>
          <w:spacing w:val="-5"/>
        </w:rPr>
        <w:t> </w:t>
      </w:r>
      <w:r>
        <w:rPr/>
        <w:t>economy</w:t>
      </w:r>
      <w:r>
        <w:rPr>
          <w:spacing w:val="-10"/>
        </w:rPr>
        <w:t> </w:t>
      </w:r>
      <w:r>
        <w:rPr/>
        <w:t>should</w:t>
      </w:r>
      <w:r>
        <w:rPr>
          <w:spacing w:val="-5"/>
        </w:rPr>
        <w:t> </w:t>
      </w:r>
      <w:r>
        <w:rPr/>
        <w:t>adopt</w:t>
      </w:r>
      <w:r>
        <w:rPr>
          <w:spacing w:val="-6"/>
        </w:rPr>
        <w:t> </w:t>
      </w:r>
      <w:r>
        <w:rPr/>
        <w:t>(Mundell,</w:t>
      </w:r>
      <w:r>
        <w:rPr>
          <w:spacing w:val="-5"/>
        </w:rPr>
        <w:t> </w:t>
      </w:r>
      <w:r>
        <w:rPr/>
        <w:t>1962;</w:t>
      </w:r>
      <w:r>
        <w:rPr>
          <w:spacing w:val="-5"/>
        </w:rPr>
        <w:t> </w:t>
      </w:r>
      <w:r>
        <w:rPr/>
        <w:t>Ajayi,</w:t>
      </w:r>
      <w:r>
        <w:rPr>
          <w:spacing w:val="-5"/>
        </w:rPr>
        <w:t> </w:t>
      </w:r>
      <w:r>
        <w:rPr/>
        <w:t>1974;</w:t>
      </w:r>
      <w:r>
        <w:rPr>
          <w:spacing w:val="-5"/>
        </w:rPr>
        <w:t> </w:t>
      </w:r>
      <w:r>
        <w:rPr/>
        <w:t>Ajisafe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Folorunso,</w:t>
      </w:r>
      <w:r>
        <w:rPr>
          <w:spacing w:val="-57"/>
        </w:rPr>
        <w:t> </w:t>
      </w:r>
      <w:r>
        <w:rPr/>
        <w:t>2002;</w:t>
      </w:r>
      <w:r>
        <w:rPr>
          <w:spacing w:val="-1"/>
        </w:rPr>
        <w:t> </w:t>
      </w:r>
      <w:r>
        <w:rPr/>
        <w:t>Musa, Asare and</w:t>
      </w:r>
      <w:r>
        <w:rPr>
          <w:spacing w:val="2"/>
        </w:rPr>
        <w:t> </w:t>
      </w:r>
      <w:r>
        <w:rPr/>
        <w:t>Gulumbe, 2013).</w:t>
      </w:r>
    </w:p>
    <w:p>
      <w:pPr>
        <w:pStyle w:val="BodyText"/>
        <w:spacing w:line="360" w:lineRule="auto" w:before="200"/>
        <w:ind w:left="1760" w:right="1438"/>
        <w:jc w:val="both"/>
      </w:pPr>
      <w:r>
        <w:rPr/>
        <w:t>Policy discourse has, therefore, evolved into the proposition that fiscal and monetary policies</w:t>
      </w:r>
      <w:r>
        <w:rPr>
          <w:spacing w:val="-57"/>
        </w:rPr>
        <w:t> </w:t>
      </w:r>
      <w:r>
        <w:rPr/>
        <w:t>are interdependent rather than separate (Niemann and Hagen, 2008). This proposition borders</w:t>
      </w:r>
      <w:r>
        <w:rPr>
          <w:spacing w:val="-57"/>
        </w:rPr>
        <w:t> </w:t>
      </w:r>
      <w:r>
        <w:rPr/>
        <w:t>on the view that ongoing interactions exist between both policies. Policymakers belonging to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-15"/>
        </w:rPr>
        <w:t> </w:t>
      </w:r>
      <w:r>
        <w:rPr/>
        <w:t>school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thought</w:t>
      </w:r>
      <w:r>
        <w:rPr>
          <w:spacing w:val="-14"/>
        </w:rPr>
        <w:t> </w:t>
      </w:r>
      <w:r>
        <w:rPr/>
        <w:t>usually</w:t>
      </w:r>
      <w:r>
        <w:rPr>
          <w:spacing w:val="-20"/>
        </w:rPr>
        <w:t> </w:t>
      </w:r>
      <w:r>
        <w:rPr/>
        <w:t>canvass</w:t>
      </w:r>
      <w:r>
        <w:rPr>
          <w:spacing w:val="-14"/>
        </w:rPr>
        <w:t> </w:t>
      </w:r>
      <w:r>
        <w:rPr/>
        <w:t>that</w:t>
      </w:r>
      <w:r>
        <w:rPr>
          <w:spacing w:val="-15"/>
        </w:rPr>
        <w:t> </w:t>
      </w:r>
      <w:r>
        <w:rPr/>
        <w:t>fiscal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monetary</w:t>
      </w:r>
      <w:r>
        <w:rPr>
          <w:spacing w:val="-22"/>
        </w:rPr>
        <w:t> </w:t>
      </w:r>
      <w:r>
        <w:rPr/>
        <w:t>instruments</w:t>
      </w:r>
      <w:r>
        <w:rPr>
          <w:spacing w:val="-14"/>
        </w:rPr>
        <w:t> </w:t>
      </w:r>
      <w:r>
        <w:rPr/>
        <w:t>should</w:t>
      </w:r>
      <w:r>
        <w:rPr>
          <w:spacing w:val="-14"/>
        </w:rPr>
        <w:t> </w:t>
      </w:r>
      <w:r>
        <w:rPr/>
        <w:t>be</w:t>
      </w:r>
      <w:r>
        <w:rPr>
          <w:spacing w:val="-16"/>
        </w:rPr>
        <w:t> </w:t>
      </w:r>
      <w:r>
        <w:rPr/>
        <w:t>combined</w:t>
      </w:r>
      <w:r>
        <w:rPr>
          <w:spacing w:val="-57"/>
        </w:rPr>
        <w:t> </w:t>
      </w:r>
      <w:r>
        <w:rPr/>
        <w:t>in addressing any macroeconomic issue. The central argument, therefore, is to mix or interact</w:t>
      </w:r>
      <w:r>
        <w:rPr>
          <w:spacing w:val="-57"/>
        </w:rPr>
        <w:t> </w:t>
      </w:r>
      <w:r>
        <w:rPr/>
        <w:t>fiscal and monetary policies since externalities are assumed to exist between the two policies,</w:t>
      </w:r>
      <w:r>
        <w:rPr>
          <w:spacing w:val="-57"/>
        </w:rPr>
        <w:t> </w:t>
      </w:r>
      <w:r>
        <w:rPr/>
        <w:t>such that a change in one influences the stance of the other and its overall macroeconomic</w:t>
      </w:r>
      <w:r>
        <w:rPr>
          <w:spacing w:val="1"/>
        </w:rPr>
        <w:t> </w:t>
      </w:r>
      <w:r>
        <w:rPr/>
        <w:t>effect</w:t>
      </w:r>
      <w:r>
        <w:rPr>
          <w:spacing w:val="-4"/>
        </w:rPr>
        <w:t> </w:t>
      </w:r>
      <w:r>
        <w:rPr/>
        <w:t>(Niemann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Hagen,</w:t>
      </w:r>
      <w:r>
        <w:rPr>
          <w:spacing w:val="-5"/>
        </w:rPr>
        <w:t> </w:t>
      </w:r>
      <w:r>
        <w:rPr/>
        <w:t>2008).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other</w:t>
      </w:r>
      <w:r>
        <w:rPr>
          <w:spacing w:val="-6"/>
        </w:rPr>
        <w:t> </w:t>
      </w:r>
      <w:r>
        <w:rPr/>
        <w:t>words,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successful</w:t>
      </w:r>
      <w:r>
        <w:rPr>
          <w:spacing w:val="-5"/>
        </w:rPr>
        <w:t> </w:t>
      </w:r>
      <w:r>
        <w:rPr/>
        <w:t>outcome</w:t>
      </w:r>
      <w:r>
        <w:rPr>
          <w:spacing w:val="-2"/>
        </w:rPr>
        <w:t> </w:t>
      </w:r>
      <w:r>
        <w:rPr/>
        <w:t>or</w:t>
      </w:r>
      <w:r>
        <w:rPr>
          <w:spacing w:val="-6"/>
        </w:rPr>
        <w:t> </w:t>
      </w:r>
      <w:r>
        <w:rPr/>
        <w:t>effectiveness</w:t>
      </w:r>
      <w:r>
        <w:rPr>
          <w:spacing w:val="-3"/>
        </w:rPr>
        <w:t> </w:t>
      </w:r>
      <w:r>
        <w:rPr/>
        <w:t>of</w:t>
      </w:r>
      <w:r>
        <w:rPr>
          <w:spacing w:val="-58"/>
        </w:rPr>
        <w:t> </w:t>
      </w:r>
      <w:r>
        <w:rPr/>
        <w:t>fiscal</w:t>
      </w:r>
      <w:r>
        <w:rPr>
          <w:spacing w:val="-6"/>
        </w:rPr>
        <w:t> </w:t>
      </w:r>
      <w:r>
        <w:rPr/>
        <w:t>(monetary)</w:t>
      </w:r>
      <w:r>
        <w:rPr>
          <w:spacing w:val="-7"/>
        </w:rPr>
        <w:t> </w:t>
      </w:r>
      <w:r>
        <w:rPr/>
        <w:t>policy</w:t>
      </w:r>
      <w:r>
        <w:rPr>
          <w:spacing w:val="-9"/>
        </w:rPr>
        <w:t> </w:t>
      </w:r>
      <w:r>
        <w:rPr/>
        <w:t>depends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stance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(monetary)</w:t>
      </w:r>
      <w:r>
        <w:rPr>
          <w:spacing w:val="-5"/>
        </w:rPr>
        <w:t> </w:t>
      </w:r>
      <w:r>
        <w:rPr/>
        <w:t>fiscal</w:t>
      </w:r>
      <w:r>
        <w:rPr>
          <w:spacing w:val="-6"/>
        </w:rPr>
        <w:t> </w:t>
      </w:r>
      <w:r>
        <w:rPr/>
        <w:t>policy.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instance,</w:t>
      </w:r>
      <w:r>
        <w:rPr>
          <w:spacing w:val="-6"/>
        </w:rPr>
        <w:t> </w:t>
      </w:r>
      <w:r>
        <w:rPr/>
        <w:t>rising</w:t>
      </w:r>
      <w:r>
        <w:rPr>
          <w:spacing w:val="-58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uncontrolled</w:t>
      </w:r>
      <w:r>
        <w:rPr>
          <w:spacing w:val="-12"/>
        </w:rPr>
        <w:t> </w:t>
      </w:r>
      <w:r>
        <w:rPr/>
        <w:t>budget</w:t>
      </w:r>
      <w:r>
        <w:rPr>
          <w:spacing w:val="-10"/>
        </w:rPr>
        <w:t> </w:t>
      </w:r>
      <w:r>
        <w:rPr/>
        <w:t>deficits</w:t>
      </w:r>
      <w:r>
        <w:rPr>
          <w:spacing w:val="-12"/>
        </w:rPr>
        <w:t> </w:t>
      </w:r>
      <w:r>
        <w:rPr/>
        <w:t>can</w:t>
      </w:r>
      <w:r>
        <w:rPr>
          <w:spacing w:val="-11"/>
        </w:rPr>
        <w:t> </w:t>
      </w:r>
      <w:r>
        <w:rPr/>
        <w:t>constrain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ability</w:t>
      </w:r>
      <w:r>
        <w:rPr>
          <w:spacing w:val="-20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central</w:t>
      </w:r>
      <w:r>
        <w:rPr>
          <w:spacing w:val="-12"/>
        </w:rPr>
        <w:t> </w:t>
      </w:r>
      <w:r>
        <w:rPr/>
        <w:t>bank</w:t>
      </w:r>
      <w:r>
        <w:rPr>
          <w:spacing w:val="-10"/>
        </w:rPr>
        <w:t> </w:t>
      </w:r>
      <w:r>
        <w:rPr/>
        <w:t>to</w:t>
      </w:r>
      <w:r>
        <w:rPr>
          <w:spacing w:val="-12"/>
        </w:rPr>
        <w:t> </w:t>
      </w:r>
      <w:r>
        <w:rPr/>
        <w:t>control</w:t>
      </w:r>
      <w:r>
        <w:rPr>
          <w:spacing w:val="-12"/>
        </w:rPr>
        <w:t> </w:t>
      </w:r>
      <w:r>
        <w:rPr/>
        <w:t>inflation</w:t>
      </w:r>
      <w:r>
        <w:rPr>
          <w:spacing w:val="-57"/>
        </w:rPr>
        <w:t> </w:t>
      </w:r>
      <w:r>
        <w:rPr/>
        <w:t>rates. This is because rising budget deficit can induce the government to resort to seignorage</w:t>
      </w:r>
      <w:r>
        <w:rPr>
          <w:spacing w:val="1"/>
        </w:rPr>
        <w:t> </w:t>
      </w:r>
      <w:r>
        <w:rPr/>
        <w:t>revenue</w:t>
      </w:r>
      <w:r>
        <w:rPr>
          <w:spacing w:val="-3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central</w:t>
      </w:r>
      <w:r>
        <w:rPr>
          <w:spacing w:val="-2"/>
        </w:rPr>
        <w:t> </w:t>
      </w:r>
      <w:r>
        <w:rPr/>
        <w:t>bank.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government,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instance,</w:t>
      </w:r>
      <w:r>
        <w:rPr>
          <w:spacing w:val="-5"/>
        </w:rPr>
        <w:t> </w:t>
      </w:r>
      <w:r>
        <w:rPr/>
        <w:t>can</w:t>
      </w:r>
      <w:r>
        <w:rPr>
          <w:spacing w:val="-4"/>
        </w:rPr>
        <w:t> </w:t>
      </w:r>
      <w:r>
        <w:rPr/>
        <w:t>pressure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central</w:t>
      </w:r>
      <w:r>
        <w:rPr>
          <w:spacing w:val="-3"/>
        </w:rPr>
        <w:t> </w:t>
      </w:r>
      <w:r>
        <w:rPr/>
        <w:t>bank</w:t>
      </w:r>
      <w:r>
        <w:rPr>
          <w:spacing w:val="-58"/>
        </w:rPr>
        <w:t> </w:t>
      </w:r>
      <w:r>
        <w:rPr/>
        <w:t>to</w:t>
      </w:r>
      <w:r>
        <w:rPr>
          <w:spacing w:val="-2"/>
        </w:rPr>
        <w:t> </w:t>
      </w:r>
      <w:r>
        <w:rPr/>
        <w:t>print</w:t>
      </w:r>
      <w:r>
        <w:rPr>
          <w:spacing w:val="-2"/>
        </w:rPr>
        <w:t> </w:t>
      </w:r>
      <w:r>
        <w:rPr/>
        <w:t>new</w:t>
      </w:r>
      <w:r>
        <w:rPr>
          <w:spacing w:val="-3"/>
        </w:rPr>
        <w:t> </w:t>
      </w:r>
      <w:r>
        <w:rPr/>
        <w:t>money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order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finance</w:t>
      </w:r>
      <w:r>
        <w:rPr>
          <w:spacing w:val="-1"/>
        </w:rPr>
        <w:t> </w:t>
      </w:r>
      <w:r>
        <w:rPr/>
        <w:t>its</w:t>
      </w:r>
      <w:r>
        <w:rPr>
          <w:spacing w:val="-3"/>
        </w:rPr>
        <w:t> </w:t>
      </w:r>
      <w:r>
        <w:rPr/>
        <w:t>fiscal</w:t>
      </w:r>
      <w:r>
        <w:rPr>
          <w:spacing w:val="-1"/>
        </w:rPr>
        <w:t> </w:t>
      </w:r>
      <w:r>
        <w:rPr/>
        <w:t>shortfall.</w:t>
      </w:r>
      <w:r>
        <w:rPr>
          <w:spacing w:val="-3"/>
        </w:rPr>
        <w:t> </w:t>
      </w:r>
      <w:r>
        <w:rPr/>
        <w:t>Money</w:t>
      </w:r>
      <w:r>
        <w:rPr>
          <w:spacing w:val="-7"/>
        </w:rPr>
        <w:t> </w:t>
      </w:r>
      <w:r>
        <w:rPr/>
        <w:t>is consequently</w:t>
      </w:r>
      <w:r>
        <w:rPr>
          <w:spacing w:val="-7"/>
        </w:rPr>
        <w:t> </w:t>
      </w:r>
      <w:r>
        <w:rPr/>
        <w:t>injected</w:t>
      </w:r>
      <w:r>
        <w:rPr>
          <w:spacing w:val="-3"/>
        </w:rPr>
        <w:t> </w:t>
      </w:r>
      <w:r>
        <w:rPr/>
        <w:t>into</w:t>
      </w:r>
      <w:r>
        <w:rPr>
          <w:spacing w:val="-58"/>
        </w:rPr>
        <w:t> </w:t>
      </w:r>
      <w:r>
        <w:rPr/>
        <w:t>the</w:t>
      </w:r>
      <w:r>
        <w:rPr>
          <w:spacing w:val="-15"/>
        </w:rPr>
        <w:t> </w:t>
      </w:r>
      <w:r>
        <w:rPr/>
        <w:t>economy</w:t>
      </w:r>
      <w:r>
        <w:rPr>
          <w:spacing w:val="-19"/>
        </w:rPr>
        <w:t> </w:t>
      </w:r>
      <w:r>
        <w:rPr/>
        <w:t>and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turn,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apex</w:t>
      </w:r>
      <w:r>
        <w:rPr>
          <w:spacing w:val="-12"/>
        </w:rPr>
        <w:t> </w:t>
      </w:r>
      <w:r>
        <w:rPr/>
        <w:t>bank</w:t>
      </w:r>
      <w:r>
        <w:rPr>
          <w:spacing w:val="-15"/>
        </w:rPr>
        <w:t> </w:t>
      </w:r>
      <w:r>
        <w:rPr/>
        <w:t>responds</w:t>
      </w:r>
      <w:r>
        <w:rPr>
          <w:spacing w:val="-13"/>
        </w:rPr>
        <w:t> </w:t>
      </w:r>
      <w:r>
        <w:rPr/>
        <w:t>by</w:t>
      </w:r>
      <w:r>
        <w:rPr>
          <w:spacing w:val="-17"/>
        </w:rPr>
        <w:t> </w:t>
      </w:r>
      <w:r>
        <w:rPr/>
        <w:t>using</w:t>
      </w:r>
      <w:r>
        <w:rPr>
          <w:spacing w:val="-16"/>
        </w:rPr>
        <w:t> </w:t>
      </w:r>
      <w:r>
        <w:rPr/>
        <w:t>restrictive</w:t>
      </w:r>
      <w:r>
        <w:rPr>
          <w:spacing w:val="-14"/>
        </w:rPr>
        <w:t> </w:t>
      </w:r>
      <w:r>
        <w:rPr/>
        <w:t>monetary</w:t>
      </w:r>
      <w:r>
        <w:rPr>
          <w:spacing w:val="-17"/>
        </w:rPr>
        <w:t> </w:t>
      </w:r>
      <w:r>
        <w:rPr/>
        <w:t>policy</w:t>
      </w:r>
      <w:r>
        <w:rPr>
          <w:spacing w:val="-19"/>
        </w:rPr>
        <w:t> </w:t>
      </w:r>
      <w:r>
        <w:rPr/>
        <w:t>to</w:t>
      </w:r>
      <w:r>
        <w:rPr>
          <w:spacing w:val="-12"/>
        </w:rPr>
        <w:t> </w:t>
      </w:r>
      <w:r>
        <w:rPr/>
        <w:t>control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resulting</w:t>
      </w:r>
      <w:r>
        <w:rPr>
          <w:spacing w:val="-2"/>
        </w:rPr>
        <w:t> </w:t>
      </w:r>
      <w:r>
        <w:rPr/>
        <w:t>inflation.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760" w:right="1433"/>
        <w:jc w:val="both"/>
      </w:pPr>
      <w:r>
        <w:rPr/>
        <w:t>The issue of fiscal and monetary policy interactions, therefore, has come to fore, arising from</w:t>
      </w:r>
      <w:r>
        <w:rPr>
          <w:spacing w:val="-57"/>
        </w:rPr>
        <w:t> </w:t>
      </w:r>
      <w:r>
        <w:rPr/>
        <w:t>numerous theoretical and empirical contributions. Tinbergen (1952) argued that fiscal and</w:t>
      </w:r>
      <w:r>
        <w:rPr>
          <w:spacing w:val="1"/>
        </w:rPr>
        <w:t> </w:t>
      </w:r>
      <w:r>
        <w:rPr/>
        <w:t>monetary policies should be considered as a coherent entity and separately. Similarly, Theil</w:t>
      </w:r>
      <w:r>
        <w:rPr>
          <w:spacing w:val="1"/>
        </w:rPr>
        <w:t> </w:t>
      </w:r>
      <w:r>
        <w:rPr/>
        <w:t>(1957) opined that policy authorities should combine fiscal and monetary instruments in the</w:t>
      </w:r>
      <w:r>
        <w:rPr>
          <w:spacing w:val="1"/>
        </w:rPr>
        <w:t> </w:t>
      </w:r>
      <w:r>
        <w:rPr/>
        <w:t>right proportion in order to simultaneously attain desired policy outcomes. In the modern</w:t>
      </w:r>
      <w:r>
        <w:rPr>
          <w:spacing w:val="1"/>
        </w:rPr>
        <w:t> </w:t>
      </w:r>
      <w:r>
        <w:rPr/>
        <w:t>literature, Sargent and Wallace (1981), Leeper (1991), Sims (1994), Leeper and Leith (2015),</w:t>
      </w:r>
      <w:r>
        <w:rPr>
          <w:spacing w:val="-57"/>
        </w:rPr>
        <w:t> </w:t>
      </w:r>
      <w:r>
        <w:rPr/>
        <w:t>highlighted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need</w:t>
      </w:r>
      <w:r>
        <w:rPr>
          <w:spacing w:val="-12"/>
        </w:rPr>
        <w:t> </w:t>
      </w:r>
      <w:r>
        <w:rPr/>
        <w:t>for</w:t>
      </w:r>
      <w:r>
        <w:rPr>
          <w:spacing w:val="-14"/>
        </w:rPr>
        <w:t> </w:t>
      </w:r>
      <w:r>
        <w:rPr/>
        <w:t>fiscal</w:t>
      </w:r>
      <w:r>
        <w:rPr>
          <w:spacing w:val="-14"/>
        </w:rPr>
        <w:t> </w:t>
      </w:r>
      <w:r>
        <w:rPr/>
        <w:t>and</w:t>
      </w:r>
      <w:r>
        <w:rPr>
          <w:spacing w:val="-12"/>
        </w:rPr>
        <w:t> </w:t>
      </w:r>
      <w:r>
        <w:rPr/>
        <w:t>monetary</w:t>
      </w:r>
      <w:r>
        <w:rPr>
          <w:spacing w:val="-20"/>
        </w:rPr>
        <w:t> </w:t>
      </w:r>
      <w:r>
        <w:rPr/>
        <w:t>interactions</w:t>
      </w:r>
      <w:r>
        <w:rPr>
          <w:spacing w:val="-15"/>
        </w:rPr>
        <w:t> </w:t>
      </w:r>
      <w:r>
        <w:rPr/>
        <w:t>in</w:t>
      </w:r>
      <w:r>
        <w:rPr>
          <w:spacing w:val="-13"/>
        </w:rPr>
        <w:t> </w:t>
      </w:r>
      <w:r>
        <w:rPr/>
        <w:t>order</w:t>
      </w:r>
      <w:r>
        <w:rPr>
          <w:spacing w:val="-16"/>
        </w:rPr>
        <w:t> </w:t>
      </w:r>
      <w:r>
        <w:rPr/>
        <w:t>to</w:t>
      </w:r>
      <w:r>
        <w:rPr>
          <w:spacing w:val="-15"/>
        </w:rPr>
        <w:t> </w:t>
      </w:r>
      <w:r>
        <w:rPr/>
        <w:t>determine</w:t>
      </w:r>
      <w:r>
        <w:rPr>
          <w:spacing w:val="-15"/>
        </w:rPr>
        <w:t> </w:t>
      </w:r>
      <w:r>
        <w:rPr/>
        <w:t>price</w:t>
      </w:r>
      <w:r>
        <w:rPr>
          <w:spacing w:val="-16"/>
        </w:rPr>
        <w:t> </w:t>
      </w:r>
      <w:r>
        <w:rPr/>
        <w:t>level.</w:t>
      </w:r>
      <w:r>
        <w:rPr>
          <w:spacing w:val="-14"/>
        </w:rPr>
        <w:t> </w:t>
      </w:r>
      <w:r>
        <w:rPr/>
        <w:t>They</w:t>
      </w:r>
      <w:r>
        <w:rPr>
          <w:spacing w:val="-57"/>
        </w:rPr>
        <w:t> </w:t>
      </w:r>
      <w:r>
        <w:rPr>
          <w:spacing w:val="-1"/>
        </w:rPr>
        <w:t>showed</w:t>
      </w:r>
      <w:r>
        <w:rPr>
          <w:spacing w:val="-12"/>
        </w:rPr>
        <w:t> </w:t>
      </w:r>
      <w:r>
        <w:rPr>
          <w:spacing w:val="-1"/>
        </w:rPr>
        <w:t>that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effectiveness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policy</w:t>
      </w:r>
      <w:r>
        <w:rPr>
          <w:spacing w:val="-20"/>
        </w:rPr>
        <w:t> </w:t>
      </w:r>
      <w:r>
        <w:rPr/>
        <w:t>instruments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Central</w:t>
      </w:r>
      <w:r>
        <w:rPr>
          <w:spacing w:val="-11"/>
        </w:rPr>
        <w:t> </w:t>
      </w:r>
      <w:r>
        <w:rPr/>
        <w:t>Bank-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stabilise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control</w:t>
      </w:r>
      <w:r>
        <w:rPr>
          <w:spacing w:val="-58"/>
        </w:rPr>
        <w:t> </w:t>
      </w:r>
      <w:r>
        <w:rPr/>
        <w:t>inflation-</w:t>
      </w:r>
      <w:r>
        <w:rPr>
          <w:spacing w:val="-14"/>
        </w:rPr>
        <w:t> </w:t>
      </w:r>
      <w:r>
        <w:rPr/>
        <w:t>depends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large</w:t>
      </w:r>
      <w:r>
        <w:rPr>
          <w:spacing w:val="-12"/>
        </w:rPr>
        <w:t> </w:t>
      </w:r>
      <w:r>
        <w:rPr/>
        <w:t>extent,</w:t>
      </w:r>
      <w:r>
        <w:rPr>
          <w:spacing w:val="-12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fiscal</w:t>
      </w:r>
      <w:r>
        <w:rPr>
          <w:spacing w:val="-12"/>
        </w:rPr>
        <w:t> </w:t>
      </w:r>
      <w:r>
        <w:rPr/>
        <w:t>stance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8"/>
        </w:rPr>
        <w:t> </w:t>
      </w:r>
      <w:r>
        <w:rPr/>
        <w:t>government.</w:t>
      </w:r>
      <w:r>
        <w:rPr>
          <w:spacing w:val="-11"/>
        </w:rPr>
        <w:t> </w:t>
      </w:r>
      <w:r>
        <w:rPr/>
        <w:t>Fiscal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monetary</w:t>
      </w:r>
      <w:r>
        <w:rPr>
          <w:spacing w:val="-58"/>
        </w:rPr>
        <w:t> </w:t>
      </w:r>
      <w:r>
        <w:rPr/>
        <w:t>policy interaction is also relevant in its impact on medium to long-term outcomes such as</w:t>
      </w:r>
      <w:r>
        <w:rPr>
          <w:spacing w:val="1"/>
        </w:rPr>
        <w:t> </w:t>
      </w:r>
      <w:r>
        <w:rPr/>
        <w:t>public debt (Cochrane, 2001; Niemann and Hagen, 2008) and economic welfare (Beningno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Woodford, 2004; Schmitt-Grohe</w:t>
      </w:r>
      <w:r>
        <w:rPr>
          <w:spacing w:val="-1"/>
        </w:rPr>
        <w:t> </w:t>
      </w:r>
      <w:r>
        <w:rPr/>
        <w:t>and Uribe, 2007).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38"/>
        <w:jc w:val="both"/>
      </w:pPr>
      <w:r>
        <w:rPr/>
        <w:t>Furthermore, economic events like the formation of the European Monetary Union and the</w:t>
      </w:r>
      <w:r>
        <w:rPr>
          <w:spacing w:val="1"/>
        </w:rPr>
        <w:t> </w:t>
      </w:r>
      <w:r>
        <w:rPr/>
        <w:t>aftermath of the global financial crisis has sparked interest in the issue of fiscal and monetary</w:t>
      </w:r>
      <w:r>
        <w:rPr>
          <w:spacing w:val="-57"/>
        </w:rPr>
        <w:t> </w:t>
      </w:r>
      <w:r>
        <w:rPr/>
        <w:t>policy interaction (Petreveski, 2013; Reserve Bank of India, 2013). The European Monetary</w:t>
      </w:r>
      <w:r>
        <w:rPr>
          <w:spacing w:val="1"/>
        </w:rPr>
        <w:t> </w:t>
      </w:r>
      <w:r>
        <w:rPr/>
        <w:t>Union</w:t>
      </w:r>
      <w:r>
        <w:rPr>
          <w:spacing w:val="-4"/>
        </w:rPr>
        <w:t> </w:t>
      </w:r>
      <w:r>
        <w:rPr/>
        <w:t>(EMU),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instance,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modelled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fielding</w:t>
      </w:r>
      <w:r>
        <w:rPr>
          <w:spacing w:val="-3"/>
        </w:rPr>
        <w:t> </w:t>
      </w:r>
      <w:r>
        <w:rPr/>
        <w:t>an</w:t>
      </w:r>
      <w:r>
        <w:rPr>
          <w:spacing w:val="-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policy</w:t>
      </w:r>
      <w:r>
        <w:rPr>
          <w:spacing w:val="-6"/>
        </w:rPr>
        <w:t> </w:t>
      </w:r>
      <w:r>
        <w:rPr/>
        <w:t>game</w:t>
      </w:r>
      <w:r>
        <w:rPr>
          <w:spacing w:val="-3"/>
        </w:rPr>
        <w:t> </w:t>
      </w:r>
      <w:r>
        <w:rPr/>
        <w:t>between</w:t>
      </w:r>
      <w:r>
        <w:rPr>
          <w:spacing w:val="-4"/>
        </w:rPr>
        <w:t> </w:t>
      </w:r>
      <w:r>
        <w:rPr/>
        <w:t>several</w:t>
      </w:r>
      <w:r>
        <w:rPr>
          <w:spacing w:val="-57"/>
        </w:rPr>
        <w:t> </w:t>
      </w:r>
      <w:r>
        <w:rPr/>
        <w:t>national fiscal authorities and a single central bank, the European Central Bank. The union's</w:t>
      </w:r>
      <w:r>
        <w:rPr>
          <w:spacing w:val="1"/>
        </w:rPr>
        <w:t> </w:t>
      </w:r>
      <w:r>
        <w:rPr/>
        <w:t>only apex bank is bound by the Maastricht Treaty to focus on price stability while the various</w:t>
      </w:r>
      <w:r>
        <w:rPr>
          <w:spacing w:val="-57"/>
        </w:rPr>
        <w:t> </w:t>
      </w:r>
      <w:r>
        <w:rPr/>
        <w:t>fiscal authorities are subject to the Pact of Stability and Growth that sets limits on debt and</w:t>
      </w:r>
      <w:r>
        <w:rPr>
          <w:spacing w:val="1"/>
        </w:rPr>
        <w:t> </w:t>
      </w:r>
      <w:r>
        <w:rPr/>
        <w:t>deficit</w:t>
      </w:r>
      <w:r>
        <w:rPr>
          <w:spacing w:val="-1"/>
        </w:rPr>
        <w:t> </w:t>
      </w:r>
      <w:r>
        <w:rPr/>
        <w:t>ratios.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policymakers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union,</w:t>
      </w:r>
      <w:r>
        <w:rPr>
          <w:spacing w:val="-1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act</w:t>
      </w:r>
      <w:r>
        <w:rPr>
          <w:spacing w:val="-1"/>
        </w:rPr>
        <w:t> </w:t>
      </w:r>
      <w:r>
        <w:rPr/>
        <w:t>together.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760" w:right="1436"/>
        <w:jc w:val="both"/>
      </w:pPr>
      <w:r>
        <w:rPr/>
        <w:t>In the same vein, the global financial crisis also underscores the essence of the interrelation</w:t>
      </w:r>
      <w:r>
        <w:rPr>
          <w:spacing w:val="1"/>
        </w:rPr>
        <w:t> </w:t>
      </w:r>
      <w:r>
        <w:rPr/>
        <w:t>between the government and the Central Bank. In the aftermath of the crisis and the recession</w:t>
      </w:r>
      <w:r>
        <w:rPr>
          <w:spacing w:val="-57"/>
        </w:rPr>
        <w:t> </w:t>
      </w:r>
      <w:r>
        <w:rPr/>
        <w:t>following,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economies</w:t>
      </w:r>
      <w:r>
        <w:rPr>
          <w:spacing w:val="1"/>
        </w:rPr>
        <w:t> </w:t>
      </w:r>
      <w:r>
        <w:rPr/>
        <w:t>opted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expansive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policy.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regard,</w:t>
      </w:r>
      <w:r>
        <w:rPr>
          <w:spacing w:val="1"/>
        </w:rPr>
        <w:t> </w:t>
      </w:r>
      <w:r>
        <w:rPr/>
        <w:t>policymakers resorted to applying fiscal instruments in the form of bailouts and stimulus, due</w:t>
      </w:r>
      <w:r>
        <w:rPr>
          <w:spacing w:val="-57"/>
        </w:rPr>
        <w:t> </w:t>
      </w:r>
      <w:r>
        <w:rPr/>
        <w:t>to the ineffectiveness of monetary policy to stimulate the economy at the Zero Lower Bound</w:t>
      </w:r>
      <w:r>
        <w:rPr>
          <w:spacing w:val="1"/>
        </w:rPr>
        <w:t> </w:t>
      </w:r>
      <w:r>
        <w:rPr/>
        <w:t>rate. The United States, in particular, injected US$125 billion in implementing the Economic</w:t>
      </w:r>
      <w:r>
        <w:rPr>
          <w:spacing w:val="1"/>
        </w:rPr>
        <w:t> </w:t>
      </w:r>
      <w:r>
        <w:rPr>
          <w:spacing w:val="-1"/>
        </w:rPr>
        <w:t>Stimulus</w:t>
      </w:r>
      <w:r>
        <w:rPr>
          <w:spacing w:val="-12"/>
        </w:rPr>
        <w:t> </w:t>
      </w:r>
      <w:r>
        <w:rPr>
          <w:spacing w:val="-1"/>
        </w:rPr>
        <w:t>Act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/>
        <w:t>US$787</w:t>
      </w:r>
      <w:r>
        <w:rPr>
          <w:spacing w:val="-12"/>
        </w:rPr>
        <w:t> </w:t>
      </w:r>
      <w:r>
        <w:rPr/>
        <w:t>billion</w:t>
      </w:r>
      <w:r>
        <w:rPr>
          <w:spacing w:val="-11"/>
        </w:rPr>
        <w:t> </w:t>
      </w:r>
      <w:r>
        <w:rPr/>
        <w:t>under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American</w:t>
      </w:r>
      <w:r>
        <w:rPr>
          <w:spacing w:val="-12"/>
        </w:rPr>
        <w:t> </w:t>
      </w:r>
      <w:r>
        <w:rPr/>
        <w:t>Recovery</w:t>
      </w:r>
      <w:r>
        <w:rPr>
          <w:spacing w:val="-15"/>
        </w:rPr>
        <w:t> </w:t>
      </w:r>
      <w:r>
        <w:rPr/>
        <w:t>and</w:t>
      </w:r>
      <w:r>
        <w:rPr>
          <w:spacing w:val="-11"/>
        </w:rPr>
        <w:t> </w:t>
      </w:r>
      <w:r>
        <w:rPr/>
        <w:t>Reinvestment</w:t>
      </w:r>
      <w:r>
        <w:rPr>
          <w:spacing w:val="-12"/>
        </w:rPr>
        <w:t> </w:t>
      </w:r>
      <w:r>
        <w:rPr/>
        <w:t>Act</w:t>
      </w:r>
      <w:r>
        <w:rPr>
          <w:spacing w:val="-12"/>
        </w:rPr>
        <w:t> </w:t>
      </w:r>
      <w:r>
        <w:rPr/>
        <w:t>(Kliem,</w:t>
      </w:r>
      <w:r>
        <w:rPr>
          <w:spacing w:val="-57"/>
        </w:rPr>
        <w:t> </w:t>
      </w:r>
      <w:r>
        <w:rPr/>
        <w:t>Kriowoluzky and Sarferaz, 2015). The expansionary nature of fiscal stimuli has posed a</w:t>
      </w:r>
      <w:r>
        <w:rPr>
          <w:spacing w:val="1"/>
        </w:rPr>
        <w:t> </w:t>
      </w:r>
      <w:r>
        <w:rPr/>
        <w:t>challenge in the manner that inflationary and debt sustainability pressures mounted from the</w:t>
      </w:r>
      <w:r>
        <w:rPr>
          <w:spacing w:val="1"/>
        </w:rPr>
        <w:t> </w:t>
      </w:r>
      <w:r>
        <w:rPr/>
        <w:t>accompanying</w:t>
      </w:r>
      <w:r>
        <w:rPr>
          <w:spacing w:val="-9"/>
        </w:rPr>
        <w:t> </w:t>
      </w:r>
      <w:r>
        <w:rPr/>
        <w:t>rise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deficits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debts.</w:t>
      </w:r>
      <w:r>
        <w:rPr>
          <w:spacing w:val="-7"/>
        </w:rPr>
        <w:t> </w:t>
      </w:r>
      <w:r>
        <w:rPr/>
        <w:t>Monetary</w:t>
      </w:r>
      <w:r>
        <w:rPr>
          <w:spacing w:val="-11"/>
        </w:rPr>
        <w:t> </w:t>
      </w:r>
      <w:r>
        <w:rPr/>
        <w:t>authorities</w:t>
      </w:r>
      <w:r>
        <w:rPr>
          <w:spacing w:val="-9"/>
        </w:rPr>
        <w:t> </w:t>
      </w:r>
      <w:r>
        <w:rPr/>
        <w:t>are</w:t>
      </w:r>
      <w:r>
        <w:rPr>
          <w:spacing w:val="-8"/>
        </w:rPr>
        <w:t> </w:t>
      </w:r>
      <w:r>
        <w:rPr/>
        <w:t>therefore</w:t>
      </w:r>
      <w:r>
        <w:rPr>
          <w:spacing w:val="-5"/>
        </w:rPr>
        <w:t> </w:t>
      </w:r>
      <w:r>
        <w:rPr/>
        <w:t>concerned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looming</w:t>
      </w:r>
      <w:r>
        <w:rPr>
          <w:spacing w:val="-13"/>
        </w:rPr>
        <w:t> </w:t>
      </w:r>
      <w:r>
        <w:rPr/>
        <w:t>effect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government</w:t>
      </w:r>
      <w:r>
        <w:rPr>
          <w:spacing w:val="-11"/>
        </w:rPr>
        <w:t> </w:t>
      </w:r>
      <w:r>
        <w:rPr/>
        <w:t>expanding</w:t>
      </w:r>
      <w:r>
        <w:rPr>
          <w:spacing w:val="-12"/>
        </w:rPr>
        <w:t> </w:t>
      </w:r>
      <w:r>
        <w:rPr/>
        <w:t>stance</w:t>
      </w:r>
      <w:r>
        <w:rPr>
          <w:spacing w:val="-11"/>
        </w:rPr>
        <w:t> </w:t>
      </w:r>
      <w:r>
        <w:rPr/>
        <w:t>on</w:t>
      </w:r>
      <w:r>
        <w:rPr>
          <w:spacing w:val="-10"/>
        </w:rPr>
        <w:t> </w:t>
      </w:r>
      <w:r>
        <w:rPr/>
        <w:t>their</w:t>
      </w:r>
      <w:r>
        <w:rPr>
          <w:spacing w:val="-12"/>
        </w:rPr>
        <w:t> </w:t>
      </w:r>
      <w:r>
        <w:rPr/>
        <w:t>ability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stabilise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price</w:t>
      </w:r>
      <w:r>
        <w:rPr>
          <w:spacing w:val="-9"/>
        </w:rPr>
        <w:t> </w:t>
      </w:r>
      <w:r>
        <w:rPr/>
        <w:t>level.</w:t>
      </w:r>
      <w:r>
        <w:rPr>
          <w:spacing w:val="-10"/>
        </w:rPr>
        <w:t> </w:t>
      </w:r>
      <w:r>
        <w:rPr/>
        <w:t>This</w:t>
      </w:r>
      <w:r>
        <w:rPr>
          <w:spacing w:val="-58"/>
        </w:rPr>
        <w:t> </w:t>
      </w:r>
      <w:r>
        <w:rPr/>
        <w:t>is</w:t>
      </w:r>
      <w:r>
        <w:rPr>
          <w:spacing w:val="-8"/>
        </w:rPr>
        <w:t> </w:t>
      </w:r>
      <w:r>
        <w:rPr/>
        <w:t>because</w:t>
      </w:r>
      <w:r>
        <w:rPr>
          <w:spacing w:val="-5"/>
        </w:rPr>
        <w:t> </w:t>
      </w:r>
      <w:r>
        <w:rPr/>
        <w:t>government</w:t>
      </w:r>
      <w:r>
        <w:rPr>
          <w:spacing w:val="-7"/>
        </w:rPr>
        <w:t> </w:t>
      </w:r>
      <w:r>
        <w:rPr/>
        <w:t>deficits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debts</w:t>
      </w:r>
      <w:r>
        <w:rPr>
          <w:spacing w:val="-8"/>
        </w:rPr>
        <w:t> </w:t>
      </w:r>
      <w:r>
        <w:rPr/>
        <w:t>have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potential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constrain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central</w:t>
      </w:r>
      <w:r>
        <w:rPr>
          <w:spacing w:val="-8"/>
        </w:rPr>
        <w:t> </w:t>
      </w:r>
      <w:r>
        <w:rPr/>
        <w:t>banks</w:t>
      </w:r>
      <w:r>
        <w:rPr>
          <w:spacing w:val="-8"/>
        </w:rPr>
        <w:t> </w:t>
      </w:r>
      <w:r>
        <w:rPr/>
        <w:t>from</w:t>
      </w:r>
      <w:r>
        <w:rPr>
          <w:spacing w:val="-57"/>
        </w:rPr>
        <w:t> </w:t>
      </w:r>
      <w:r>
        <w:rPr/>
        <w:t>achieving their primary objective of controlling the price level (Sargent and Wallace, 1981;</w:t>
      </w:r>
      <w:r>
        <w:rPr>
          <w:spacing w:val="1"/>
        </w:rPr>
        <w:t> </w:t>
      </w:r>
      <w:r>
        <w:rPr/>
        <w:t>Leeper, 1991). It is then important to find out how to fix the right monetary targets that</w:t>
      </w:r>
      <w:r>
        <w:rPr>
          <w:spacing w:val="1"/>
        </w:rPr>
        <w:t> </w:t>
      </w:r>
      <w:r>
        <w:rPr/>
        <w:t>complement</w:t>
      </w:r>
      <w:r>
        <w:rPr>
          <w:spacing w:val="-1"/>
        </w:rPr>
        <w:t> </w:t>
      </w:r>
      <w:r>
        <w:rPr/>
        <w:t>such impending</w:t>
      </w:r>
      <w:r>
        <w:rPr>
          <w:spacing w:val="-2"/>
        </w:rPr>
        <w:t> </w:t>
      </w:r>
      <w:r>
        <w:rPr/>
        <w:t>bleak</w:t>
      </w:r>
      <w:r>
        <w:rPr>
          <w:spacing w:val="2"/>
        </w:rPr>
        <w:t> </w:t>
      </w:r>
      <w:r>
        <w:rPr/>
        <w:t>fiscal reality</w:t>
      </w:r>
      <w:r>
        <w:rPr>
          <w:spacing w:val="-3"/>
        </w:rPr>
        <w:t> </w:t>
      </w:r>
      <w:r>
        <w:rPr/>
        <w:t>(Leeper, 2013).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760" w:right="1435"/>
        <w:jc w:val="both"/>
      </w:pPr>
      <w:r>
        <w:rPr/>
        <w:t>The concern for fiscal and monetary policy interaction in Nigeria stems from the need for</w:t>
      </w:r>
      <w:r>
        <w:rPr>
          <w:spacing w:val="1"/>
        </w:rPr>
        <w:t> </w:t>
      </w:r>
      <w:r>
        <w:rPr/>
        <w:t>policy alignment between the Central Bank of Nigeria (CBN) and the Federal Ministry of</w:t>
      </w:r>
      <w:r>
        <w:rPr>
          <w:spacing w:val="1"/>
        </w:rPr>
        <w:t> </w:t>
      </w:r>
      <w:r>
        <w:rPr/>
        <w:t>Finance</w:t>
      </w:r>
      <w:r>
        <w:rPr>
          <w:spacing w:val="-8"/>
        </w:rPr>
        <w:t> </w:t>
      </w:r>
      <w:r>
        <w:rPr/>
        <w:t>(FMF).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absence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coordination</w:t>
      </w:r>
      <w:r>
        <w:rPr>
          <w:spacing w:val="-6"/>
        </w:rPr>
        <w:t> </w:t>
      </w:r>
      <w:r>
        <w:rPr/>
        <w:t>between</w:t>
      </w:r>
      <w:r>
        <w:rPr>
          <w:spacing w:val="-6"/>
        </w:rPr>
        <w:t> </w:t>
      </w:r>
      <w:r>
        <w:rPr/>
        <w:t>both</w:t>
      </w:r>
      <w:r>
        <w:rPr>
          <w:spacing w:val="-6"/>
        </w:rPr>
        <w:t> </w:t>
      </w:r>
      <w:r>
        <w:rPr/>
        <w:t>policy</w:t>
      </w:r>
      <w:r>
        <w:rPr>
          <w:spacing w:val="-12"/>
        </w:rPr>
        <w:t> </w:t>
      </w:r>
      <w:r>
        <w:rPr/>
        <w:t>authorities</w:t>
      </w:r>
      <w:r>
        <w:rPr>
          <w:spacing w:val="-6"/>
        </w:rPr>
        <w:t> </w:t>
      </w:r>
      <w:r>
        <w:rPr/>
        <w:t>can</w:t>
      </w:r>
      <w:r>
        <w:rPr>
          <w:spacing w:val="-2"/>
        </w:rPr>
        <w:t> </w:t>
      </w:r>
      <w:r>
        <w:rPr/>
        <w:t>constrain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effectiveness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their</w:t>
      </w:r>
      <w:r>
        <w:rPr>
          <w:spacing w:val="-6"/>
        </w:rPr>
        <w:t> </w:t>
      </w:r>
      <w:r>
        <w:rPr/>
        <w:t>policies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potential</w:t>
      </w:r>
      <w:r>
        <w:rPr>
          <w:spacing w:val="-6"/>
        </w:rPr>
        <w:t> </w:t>
      </w:r>
      <w:r>
        <w:rPr/>
        <w:t>source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instability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lower</w:t>
      </w:r>
      <w:r>
        <w:rPr>
          <w:spacing w:val="-9"/>
        </w:rPr>
        <w:t> </w:t>
      </w:r>
      <w:r>
        <w:rPr/>
        <w:t>macroeconomic</w:t>
      </w:r>
      <w:r>
        <w:rPr>
          <w:spacing w:val="-57"/>
        </w:rPr>
        <w:t> </w:t>
      </w:r>
      <w:r>
        <w:rPr/>
        <w:t>performance.</w:t>
      </w:r>
      <w:r>
        <w:rPr>
          <w:spacing w:val="-7"/>
        </w:rPr>
        <w:t> </w:t>
      </w:r>
      <w:r>
        <w:rPr/>
        <w:t>There</w:t>
      </w:r>
      <w:r>
        <w:rPr>
          <w:spacing w:val="-10"/>
        </w:rPr>
        <w:t> </w:t>
      </w:r>
      <w:r>
        <w:rPr/>
        <w:t>is</w:t>
      </w:r>
      <w:r>
        <w:rPr>
          <w:spacing w:val="-6"/>
        </w:rPr>
        <w:t> </w:t>
      </w:r>
      <w:r>
        <w:rPr/>
        <w:t>evidence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weak</w:t>
      </w:r>
      <w:r>
        <w:rPr>
          <w:spacing w:val="-7"/>
        </w:rPr>
        <w:t> </w:t>
      </w:r>
      <w:r>
        <w:rPr/>
        <w:t>coordination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fiscal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monetary</w:t>
      </w:r>
      <w:r>
        <w:rPr>
          <w:spacing w:val="-11"/>
        </w:rPr>
        <w:t> </w:t>
      </w:r>
      <w:r>
        <w:rPr/>
        <w:t>policy</w:t>
      </w:r>
      <w:r>
        <w:rPr>
          <w:spacing w:val="-12"/>
        </w:rPr>
        <w:t> </w:t>
      </w:r>
      <w:r>
        <w:rPr/>
        <w:t>in</w:t>
      </w:r>
      <w:r>
        <w:rPr>
          <w:spacing w:val="-6"/>
        </w:rPr>
        <w:t> </w:t>
      </w:r>
      <w:r>
        <w:rPr/>
        <w:t>Nigeria,</w:t>
      </w:r>
      <w:r>
        <w:rPr>
          <w:spacing w:val="-58"/>
        </w:rPr>
        <w:t> </w:t>
      </w:r>
      <w:r>
        <w:rPr/>
        <w:t>despite</w:t>
      </w:r>
      <w:r>
        <w:rPr>
          <w:spacing w:val="43"/>
        </w:rPr>
        <w:t> </w:t>
      </w:r>
      <w:r>
        <w:rPr/>
        <w:t>the</w:t>
      </w:r>
      <w:r>
        <w:rPr>
          <w:spacing w:val="47"/>
        </w:rPr>
        <w:t> </w:t>
      </w:r>
      <w:r>
        <w:rPr/>
        <w:t>enactment</w:t>
      </w:r>
      <w:r>
        <w:rPr>
          <w:spacing w:val="45"/>
        </w:rPr>
        <w:t> </w:t>
      </w:r>
      <w:r>
        <w:rPr/>
        <w:t>of</w:t>
      </w:r>
      <w:r>
        <w:rPr>
          <w:spacing w:val="44"/>
        </w:rPr>
        <w:t> </w:t>
      </w:r>
      <w:r>
        <w:rPr/>
        <w:t>institutions</w:t>
      </w:r>
      <w:r>
        <w:rPr>
          <w:spacing w:val="44"/>
        </w:rPr>
        <w:t> </w:t>
      </w:r>
      <w:r>
        <w:rPr/>
        <w:t>such</w:t>
      </w:r>
      <w:r>
        <w:rPr>
          <w:spacing w:val="45"/>
        </w:rPr>
        <w:t> </w:t>
      </w:r>
      <w:r>
        <w:rPr/>
        <w:t>as</w:t>
      </w:r>
      <w:r>
        <w:rPr>
          <w:spacing w:val="45"/>
        </w:rPr>
        <w:t> </w:t>
      </w:r>
      <w:r>
        <w:rPr/>
        <w:t>the</w:t>
      </w:r>
      <w:r>
        <w:rPr>
          <w:spacing w:val="52"/>
        </w:rPr>
        <w:t> </w:t>
      </w:r>
      <w:r>
        <w:rPr/>
        <w:t>Fiscal</w:t>
      </w:r>
      <w:r>
        <w:rPr>
          <w:spacing w:val="47"/>
        </w:rPr>
        <w:t> </w:t>
      </w:r>
      <w:r>
        <w:rPr/>
        <w:t>Liquidity</w:t>
      </w:r>
      <w:r>
        <w:rPr>
          <w:spacing w:val="40"/>
        </w:rPr>
        <w:t> </w:t>
      </w:r>
      <w:r>
        <w:rPr/>
        <w:t>Assessment</w:t>
      </w:r>
      <w:r>
        <w:rPr>
          <w:spacing w:val="45"/>
        </w:rPr>
        <w:t> </w:t>
      </w:r>
      <w:r>
        <w:rPr/>
        <w:t>Committee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40"/>
        <w:jc w:val="both"/>
      </w:pPr>
      <w:r>
        <w:rPr/>
        <w:t>(FLAC) and the Monetary and Fiscal Policy Coordination Committee (MFPCC) (Englama,</w:t>
      </w:r>
      <w:r>
        <w:rPr>
          <w:spacing w:val="1"/>
        </w:rPr>
        <w:t> </w:t>
      </w:r>
      <w:r>
        <w:rPr/>
        <w:t>Tarawalie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Ahortor,</w:t>
      </w:r>
      <w:r>
        <w:rPr>
          <w:spacing w:val="-4"/>
        </w:rPr>
        <w:t> </w:t>
      </w:r>
      <w:r>
        <w:rPr/>
        <w:t>2013;</w:t>
      </w:r>
      <w:r>
        <w:rPr>
          <w:spacing w:val="-2"/>
        </w:rPr>
        <w:t> </w:t>
      </w:r>
      <w:r>
        <w:rPr/>
        <w:t>Oboh,</w:t>
      </w:r>
      <w:r>
        <w:rPr>
          <w:spacing w:val="-4"/>
        </w:rPr>
        <w:t> </w:t>
      </w:r>
      <w:r>
        <w:rPr/>
        <w:t>2017).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measuring</w:t>
      </w:r>
      <w:r>
        <w:rPr>
          <w:spacing w:val="-5"/>
        </w:rPr>
        <w:t> </w:t>
      </w:r>
      <w:r>
        <w:rPr/>
        <w:t>rod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coordination</w:t>
      </w:r>
      <w:r>
        <w:rPr>
          <w:spacing w:val="-3"/>
        </w:rPr>
        <w:t> </w:t>
      </w:r>
      <w:r>
        <w:rPr/>
        <w:t>between</w:t>
      </w:r>
      <w:r>
        <w:rPr>
          <w:spacing w:val="-3"/>
        </w:rPr>
        <w:t> </w:t>
      </w:r>
      <w:r>
        <w:rPr/>
        <w:t>fiscal</w:t>
      </w:r>
      <w:r>
        <w:rPr>
          <w:spacing w:val="-58"/>
        </w:rPr>
        <w:t> </w:t>
      </w:r>
      <w:r>
        <w:rPr/>
        <w:t>and monetary policy is when both policies have similar stances in the instrument of budget</w:t>
      </w:r>
      <w:r>
        <w:rPr>
          <w:spacing w:val="1"/>
        </w:rPr>
        <w:t> </w:t>
      </w:r>
      <w:r>
        <w:rPr/>
        <w:t>balances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i.e.</w:t>
      </w:r>
      <w:r>
        <w:rPr>
          <w:spacing w:val="1"/>
        </w:rPr>
        <w:t> </w:t>
      </w:r>
      <w:r>
        <w:rPr/>
        <w:t>expansionary</w:t>
      </w:r>
      <w:r>
        <w:rPr>
          <w:spacing w:val="1"/>
        </w:rPr>
        <w:t> </w:t>
      </w:r>
      <w:r>
        <w:rPr/>
        <w:t>fiscal/expansionary</w:t>
      </w:r>
      <w:r>
        <w:rPr>
          <w:spacing w:val="1"/>
        </w:rPr>
        <w:t> </w:t>
      </w:r>
      <w:r>
        <w:rPr/>
        <w:t>monetary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tight</w:t>
      </w:r>
      <w:r>
        <w:rPr>
          <w:spacing w:val="1"/>
        </w:rPr>
        <w:t> </w:t>
      </w:r>
      <w:r>
        <w:rPr/>
        <w:t>fiscal/tight</w:t>
      </w:r>
      <w:r>
        <w:rPr>
          <w:spacing w:val="-2"/>
        </w:rPr>
        <w:t> </w:t>
      </w:r>
      <w:r>
        <w:rPr/>
        <w:t>monetary</w:t>
      </w:r>
      <w:r>
        <w:rPr>
          <w:spacing w:val="-6"/>
        </w:rPr>
        <w:t> </w:t>
      </w:r>
      <w:r>
        <w:rPr/>
        <w:t>(Rothenberg,</w:t>
      </w:r>
      <w:r>
        <w:rPr>
          <w:spacing w:val="-1"/>
        </w:rPr>
        <w:t> </w:t>
      </w:r>
      <w:r>
        <w:rPr/>
        <w:t>2004).</w:t>
      </w:r>
      <w:r>
        <w:rPr>
          <w:spacing w:val="-1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facts,</w:t>
      </w:r>
      <w:r>
        <w:rPr>
          <w:spacing w:val="-2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show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over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period</w:t>
      </w:r>
      <w:r>
        <w:rPr>
          <w:spacing w:val="-58"/>
        </w:rPr>
        <w:t> </w:t>
      </w:r>
      <w:r>
        <w:rPr/>
        <w:t>1970-2015,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monetary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uncoordinated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complementary in 21 years. This depicts the weak form of policy coordination between both</w:t>
      </w:r>
      <w:r>
        <w:rPr>
          <w:spacing w:val="1"/>
        </w:rPr>
        <w:t> </w:t>
      </w:r>
      <w:r>
        <w:rPr/>
        <w:t>policies</w:t>
      </w:r>
      <w:r>
        <w:rPr>
          <w:spacing w:val="-1"/>
        </w:rPr>
        <w:t> </w:t>
      </w:r>
      <w:r>
        <w:rPr/>
        <w:t>(see</w:t>
      </w:r>
      <w:r>
        <w:rPr>
          <w:spacing w:val="-1"/>
        </w:rPr>
        <w:t> </w:t>
      </w:r>
      <w:r>
        <w:rPr/>
        <w:t>section 3.5)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760" w:right="1435"/>
        <w:jc w:val="both"/>
      </w:pPr>
      <w:r>
        <w:rPr/>
        <w:t>A</w:t>
      </w:r>
      <w:r>
        <w:rPr>
          <w:spacing w:val="-7"/>
        </w:rPr>
        <w:t> </w:t>
      </w:r>
      <w:r>
        <w:rPr/>
        <w:t>second</w:t>
      </w:r>
      <w:r>
        <w:rPr>
          <w:spacing w:val="-6"/>
        </w:rPr>
        <w:t> </w:t>
      </w:r>
      <w:r>
        <w:rPr/>
        <w:t>argument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need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study</w:t>
      </w:r>
      <w:r>
        <w:rPr>
          <w:spacing w:val="-11"/>
        </w:rPr>
        <w:t> </w:t>
      </w:r>
      <w:r>
        <w:rPr/>
        <w:t>fiscal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monetary</w:t>
      </w:r>
      <w:r>
        <w:rPr>
          <w:spacing w:val="-11"/>
        </w:rPr>
        <w:t> </w:t>
      </w:r>
      <w:r>
        <w:rPr/>
        <w:t>policy</w:t>
      </w:r>
      <w:r>
        <w:rPr>
          <w:spacing w:val="-11"/>
        </w:rPr>
        <w:t> </w:t>
      </w:r>
      <w:r>
        <w:rPr/>
        <w:t>interaction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help</w:t>
      </w:r>
      <w:r>
        <w:rPr>
          <w:spacing w:val="-5"/>
        </w:rPr>
        <w:t> </w:t>
      </w:r>
      <w:r>
        <w:rPr/>
        <w:t>guide</w:t>
      </w:r>
      <w:r>
        <w:rPr>
          <w:spacing w:val="-58"/>
        </w:rPr>
        <w:t> </w:t>
      </w:r>
      <w:r>
        <w:rPr/>
        <w:t>the design of a consistent set of policies that will consolidate the ongoing Economic Growth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Recovery</w:t>
      </w:r>
      <w:r>
        <w:rPr>
          <w:spacing w:val="-9"/>
        </w:rPr>
        <w:t> </w:t>
      </w:r>
      <w:r>
        <w:rPr/>
        <w:t>Plan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Federal</w:t>
      </w:r>
      <w:r>
        <w:rPr>
          <w:spacing w:val="-2"/>
        </w:rPr>
        <w:t> </w:t>
      </w:r>
      <w:r>
        <w:rPr/>
        <w:t>Government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reviving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Nigeria</w:t>
      </w:r>
      <w:r>
        <w:rPr>
          <w:spacing w:val="-5"/>
        </w:rPr>
        <w:t> </w:t>
      </w:r>
      <w:r>
        <w:rPr/>
        <w:t>economy</w:t>
      </w:r>
      <w:r>
        <w:rPr>
          <w:spacing w:val="-8"/>
        </w:rPr>
        <w:t> </w:t>
      </w:r>
      <w:r>
        <w:rPr/>
        <w:t>after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bout</w:t>
      </w:r>
      <w:r>
        <w:rPr>
          <w:spacing w:val="-2"/>
        </w:rPr>
        <w:t> </w:t>
      </w:r>
      <w:r>
        <w:rPr/>
        <w:t>of</w:t>
      </w:r>
      <w:r>
        <w:rPr>
          <w:spacing w:val="-58"/>
        </w:rPr>
        <w:t> </w:t>
      </w:r>
      <w:r>
        <w:rPr>
          <w:spacing w:val="-1"/>
        </w:rPr>
        <w:t>stagflation.</w:t>
      </w:r>
      <w:r>
        <w:rPr>
          <w:spacing w:val="-8"/>
        </w:rPr>
        <w:t> </w:t>
      </w:r>
      <w:r>
        <w:rPr>
          <w:spacing w:val="-1"/>
        </w:rPr>
        <w:t>Data</w:t>
      </w:r>
      <w:r>
        <w:rPr>
          <w:spacing w:val="-8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National</w:t>
      </w:r>
      <w:r>
        <w:rPr>
          <w:spacing w:val="-7"/>
        </w:rPr>
        <w:t> </w:t>
      </w:r>
      <w:r>
        <w:rPr/>
        <w:t>Bureau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Statistics</w:t>
      </w:r>
      <w:r>
        <w:rPr>
          <w:spacing w:val="-8"/>
        </w:rPr>
        <w:t> </w:t>
      </w:r>
      <w:r>
        <w:rPr/>
        <w:t>(2016)</w:t>
      </w:r>
      <w:r>
        <w:rPr>
          <w:spacing w:val="-8"/>
        </w:rPr>
        <w:t> </w:t>
      </w:r>
      <w:r>
        <w:rPr/>
        <w:t>reveal</w:t>
      </w:r>
      <w:r>
        <w:rPr>
          <w:spacing w:val="-7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economy</w:t>
      </w:r>
      <w:r>
        <w:rPr>
          <w:spacing w:val="-15"/>
        </w:rPr>
        <w:t> </w:t>
      </w:r>
      <w:r>
        <w:rPr/>
        <w:t>slipped</w:t>
      </w:r>
      <w:r>
        <w:rPr>
          <w:spacing w:val="-58"/>
        </w:rPr>
        <w:t> </w:t>
      </w:r>
      <w:r>
        <w:rPr/>
        <w:t>into a recession after it contracted by -0.36 percent and -2.06 percent in 2016Q1 and 2016Q2.</w:t>
      </w:r>
      <w:r>
        <w:rPr>
          <w:spacing w:val="-57"/>
        </w:rPr>
        <w:t> </w:t>
      </w:r>
      <w:r>
        <w:rPr/>
        <w:t>At the same time, the Inflation rate in Nigeria rose from an average of 12.24 percent over the</w:t>
      </w:r>
      <w:r>
        <w:rPr>
          <w:spacing w:val="1"/>
        </w:rPr>
        <w:t> </w:t>
      </w:r>
      <w:r>
        <w:rPr/>
        <w:t>period 1996-2016 to 17.6 and 18.10 percent in August and October 2016. The central bank,</w:t>
      </w:r>
      <w:r>
        <w:rPr>
          <w:spacing w:val="1"/>
        </w:rPr>
        <w:t> </w:t>
      </w:r>
      <w:r>
        <w:rPr/>
        <w:t>therefore,</w:t>
      </w:r>
      <w:r>
        <w:rPr>
          <w:spacing w:val="-4"/>
        </w:rPr>
        <w:t> </w:t>
      </w:r>
      <w:r>
        <w:rPr/>
        <w:t>responded</w:t>
      </w:r>
      <w:r>
        <w:rPr>
          <w:spacing w:val="-4"/>
        </w:rPr>
        <w:t> </w:t>
      </w:r>
      <w:r>
        <w:rPr/>
        <w:t>by</w:t>
      </w:r>
      <w:r>
        <w:rPr>
          <w:spacing w:val="-8"/>
        </w:rPr>
        <w:t> </w:t>
      </w:r>
      <w:r>
        <w:rPr/>
        <w:t>tightening</w:t>
      </w:r>
      <w:r>
        <w:rPr>
          <w:spacing w:val="-6"/>
        </w:rPr>
        <w:t> </w:t>
      </w:r>
      <w:r>
        <w:rPr/>
        <w:t>its</w:t>
      </w:r>
      <w:r>
        <w:rPr>
          <w:spacing w:val="-3"/>
        </w:rPr>
        <w:t> </w:t>
      </w:r>
      <w:r>
        <w:rPr/>
        <w:t>stance.</w:t>
      </w:r>
      <w:r>
        <w:rPr>
          <w:spacing w:val="-1"/>
        </w:rPr>
        <w:t> </w:t>
      </w:r>
      <w:r>
        <w:rPr/>
        <w:t>It</w:t>
      </w:r>
      <w:r>
        <w:rPr>
          <w:spacing w:val="-3"/>
        </w:rPr>
        <w:t> </w:t>
      </w:r>
      <w:r>
        <w:rPr/>
        <w:t>raised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Monetary</w:t>
      </w:r>
      <w:r>
        <w:rPr>
          <w:spacing w:val="-8"/>
        </w:rPr>
        <w:t> </w:t>
      </w:r>
      <w:r>
        <w:rPr/>
        <w:t>Policy</w:t>
      </w:r>
      <w:r>
        <w:rPr>
          <w:spacing w:val="-6"/>
        </w:rPr>
        <w:t> </w:t>
      </w:r>
      <w:r>
        <w:rPr/>
        <w:t>Rate</w:t>
      </w:r>
      <w:r>
        <w:rPr>
          <w:spacing w:val="-4"/>
        </w:rPr>
        <w:t> </w:t>
      </w:r>
      <w:r>
        <w:rPr/>
        <w:t>from</w:t>
      </w:r>
      <w:r>
        <w:rPr>
          <w:spacing w:val="-2"/>
        </w:rPr>
        <w:t> </w:t>
      </w:r>
      <w:r>
        <w:rPr/>
        <w:t>11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12</w:t>
      </w:r>
      <w:r>
        <w:rPr>
          <w:spacing w:val="-58"/>
        </w:rPr>
        <w:t> </w:t>
      </w:r>
      <w:r>
        <w:rPr/>
        <w:t>percent in March 2016. This was further increased to 14 percent in July 2016, in order to rein</w:t>
      </w:r>
      <w:r>
        <w:rPr>
          <w:spacing w:val="-57"/>
        </w:rPr>
        <w:t> </w:t>
      </w:r>
      <w:r>
        <w:rPr/>
        <w:t>in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rising</w:t>
      </w:r>
      <w:r>
        <w:rPr>
          <w:spacing w:val="-8"/>
        </w:rPr>
        <w:t> </w:t>
      </w:r>
      <w:r>
        <w:rPr/>
        <w:t>inflationary</w:t>
      </w:r>
      <w:r>
        <w:rPr>
          <w:spacing w:val="-10"/>
        </w:rPr>
        <w:t> </w:t>
      </w:r>
      <w:r>
        <w:rPr/>
        <w:t>trend.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Federal</w:t>
      </w:r>
      <w:r>
        <w:rPr>
          <w:spacing w:val="-8"/>
        </w:rPr>
        <w:t> </w:t>
      </w:r>
      <w:r>
        <w:rPr/>
        <w:t>Ministry</w:t>
      </w:r>
      <w:r>
        <w:rPr>
          <w:spacing w:val="-12"/>
        </w:rPr>
        <w:t> </w:t>
      </w:r>
      <w:r>
        <w:rPr/>
        <w:t>of</w:t>
      </w:r>
      <w:r>
        <w:rPr>
          <w:spacing w:val="-6"/>
        </w:rPr>
        <w:t> </w:t>
      </w:r>
      <w:r>
        <w:rPr/>
        <w:t>Finance,</w:t>
      </w:r>
      <w:r>
        <w:rPr>
          <w:spacing w:val="-8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other</w:t>
      </w:r>
      <w:r>
        <w:rPr>
          <w:spacing w:val="-9"/>
        </w:rPr>
        <w:t> </w:t>
      </w:r>
      <w:r>
        <w:rPr/>
        <w:t>hand,</w:t>
      </w:r>
      <w:r>
        <w:rPr>
          <w:spacing w:val="-7"/>
        </w:rPr>
        <w:t> </w:t>
      </w:r>
      <w:r>
        <w:rPr/>
        <w:t>pursued</w:t>
      </w:r>
      <w:r>
        <w:rPr>
          <w:spacing w:val="-57"/>
        </w:rPr>
        <w:t> </w:t>
      </w:r>
      <w:r>
        <w:rPr/>
        <w:t>an easy fiscal stance. In 2016Q1 and 2016Q2, the budget deficit stood at N548.42 billion and</w:t>
      </w:r>
      <w:r>
        <w:rPr>
          <w:spacing w:val="1"/>
        </w:rPr>
        <w:t> </w:t>
      </w:r>
      <w:r>
        <w:rPr/>
        <w:t>N1090.96 billion, respectively. Policy analysts deduced that the twin problems of negative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rising</w:t>
      </w:r>
      <w:r>
        <w:rPr>
          <w:spacing w:val="1"/>
        </w:rPr>
        <w:t> </w:t>
      </w:r>
      <w:r>
        <w:rPr/>
        <w:t>inflation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aggravated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conflicting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uncoordinated stances of both fiscal and monetary policy (Central Bank of Nigeria, 2017).</w:t>
      </w:r>
      <w:r>
        <w:rPr>
          <w:spacing w:val="1"/>
        </w:rPr>
        <w:t> </w:t>
      </w:r>
      <w:r>
        <w:rPr/>
        <w:t>Therefore, it becomes necessary to complement both policies in the right direction in order to</w:t>
      </w:r>
      <w:r>
        <w:rPr>
          <w:spacing w:val="-57"/>
        </w:rPr>
        <w:t> </w:t>
      </w:r>
      <w:r>
        <w:rPr/>
        <w:t>curtail</w:t>
      </w:r>
      <w:r>
        <w:rPr>
          <w:spacing w:val="-1"/>
        </w:rPr>
        <w:t> </w:t>
      </w:r>
      <w:r>
        <w:rPr/>
        <w:t>future recessionary</w:t>
      </w:r>
      <w:r>
        <w:rPr>
          <w:spacing w:val="-3"/>
        </w:rPr>
        <w:t> </w:t>
      </w:r>
      <w:r>
        <w:rPr/>
        <w:t>episodes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consolidate the</w:t>
      </w:r>
      <w:r>
        <w:rPr>
          <w:spacing w:val="-2"/>
        </w:rPr>
        <w:t> </w:t>
      </w:r>
      <w:r>
        <w:rPr/>
        <w:t>gain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current</w:t>
      </w:r>
      <w:r>
        <w:rPr>
          <w:spacing w:val="2"/>
        </w:rPr>
        <w:t> </w:t>
      </w:r>
      <w:r>
        <w:rPr/>
        <w:t>recovery</w:t>
      </w:r>
      <w:r>
        <w:rPr>
          <w:spacing w:val="-6"/>
        </w:rPr>
        <w:t> </w:t>
      </w:r>
      <w:r>
        <w:rPr/>
        <w:t>plan.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360" w:lineRule="auto"/>
        <w:ind w:left="1760" w:right="1436"/>
        <w:jc w:val="both"/>
      </w:pPr>
      <w:r>
        <w:rPr/>
        <w:t>The interaction between fiscal policy and monetary policy in Nigeria is examined within a</w:t>
      </w:r>
      <w:r>
        <w:rPr>
          <w:spacing w:val="1"/>
        </w:rPr>
        <w:t> </w:t>
      </w:r>
      <w:r>
        <w:rPr/>
        <w:t>New</w:t>
      </w:r>
      <w:r>
        <w:rPr>
          <w:spacing w:val="57"/>
        </w:rPr>
        <w:t> </w:t>
      </w:r>
      <w:r>
        <w:rPr/>
        <w:t>Keynesian</w:t>
      </w:r>
      <w:r>
        <w:rPr>
          <w:spacing w:val="58"/>
        </w:rPr>
        <w:t> </w:t>
      </w:r>
      <w:r>
        <w:rPr/>
        <w:t>Dynamic</w:t>
      </w:r>
      <w:r>
        <w:rPr>
          <w:spacing w:val="58"/>
        </w:rPr>
        <w:t> </w:t>
      </w:r>
      <w:r>
        <w:rPr/>
        <w:t>Stochastic</w:t>
      </w:r>
      <w:r>
        <w:rPr>
          <w:spacing w:val="57"/>
        </w:rPr>
        <w:t> </w:t>
      </w:r>
      <w:r>
        <w:rPr/>
        <w:t>General</w:t>
      </w:r>
      <w:r>
        <w:rPr>
          <w:spacing w:val="59"/>
        </w:rPr>
        <w:t> </w:t>
      </w:r>
      <w:r>
        <w:rPr/>
        <w:t>Equilibrium</w:t>
      </w:r>
      <w:r>
        <w:rPr>
          <w:spacing w:val="59"/>
        </w:rPr>
        <w:t> </w:t>
      </w:r>
      <w:r>
        <w:rPr/>
        <w:t>(NK</w:t>
      </w:r>
      <w:r>
        <w:rPr>
          <w:spacing w:val="58"/>
        </w:rPr>
        <w:t> </w:t>
      </w:r>
      <w:r>
        <w:rPr/>
        <w:t>DSGE)</w:t>
      </w:r>
      <w:r>
        <w:rPr>
          <w:spacing w:val="57"/>
        </w:rPr>
        <w:t> </w:t>
      </w:r>
      <w:r>
        <w:rPr/>
        <w:t>framework.</w:t>
      </w:r>
      <w:r>
        <w:rPr>
          <w:spacing w:val="58"/>
        </w:rPr>
        <w:t> </w:t>
      </w:r>
      <w:r>
        <w:rPr/>
        <w:t>This</w:t>
      </w:r>
      <w:r>
        <w:rPr>
          <w:spacing w:val="-57"/>
        </w:rPr>
        <w:t> </w:t>
      </w:r>
      <w:r>
        <w:rPr/>
        <w:t>framework combines standard Keynesian assumptions such as price stickiness, imperfect</w:t>
      </w:r>
      <w:r>
        <w:rPr>
          <w:spacing w:val="1"/>
        </w:rPr>
        <w:t> </w:t>
      </w:r>
      <w:r>
        <w:rPr/>
        <w:t>competition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stabilisation</w:t>
      </w:r>
      <w:r>
        <w:rPr>
          <w:spacing w:val="1"/>
        </w:rPr>
        <w:t> </w:t>
      </w:r>
      <w:r>
        <w:rPr/>
        <w:t>policies,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microeconomic</w:t>
      </w:r>
      <w:r>
        <w:rPr>
          <w:spacing w:val="1"/>
        </w:rPr>
        <w:t> </w:t>
      </w:r>
      <w:r>
        <w:rPr/>
        <w:t>foundation</w:t>
      </w:r>
      <w:r>
        <w:rPr>
          <w:spacing w:val="43"/>
        </w:rPr>
        <w:t> </w:t>
      </w:r>
      <w:r>
        <w:rPr/>
        <w:t>and</w:t>
      </w:r>
      <w:r>
        <w:rPr>
          <w:spacing w:val="43"/>
        </w:rPr>
        <w:t> </w:t>
      </w:r>
      <w:r>
        <w:rPr/>
        <w:t>general</w:t>
      </w:r>
      <w:r>
        <w:rPr>
          <w:spacing w:val="46"/>
        </w:rPr>
        <w:t> </w:t>
      </w:r>
      <w:r>
        <w:rPr/>
        <w:t>equilibrium</w:t>
      </w:r>
      <w:r>
        <w:rPr>
          <w:spacing w:val="43"/>
        </w:rPr>
        <w:t> </w:t>
      </w:r>
      <w:r>
        <w:rPr/>
        <w:t>conditions.</w:t>
      </w:r>
      <w:r>
        <w:rPr>
          <w:spacing w:val="49"/>
        </w:rPr>
        <w:t> </w:t>
      </w:r>
      <w:r>
        <w:rPr/>
        <w:t>In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tradition</w:t>
      </w:r>
      <w:r>
        <w:rPr>
          <w:spacing w:val="43"/>
        </w:rPr>
        <w:t> </w:t>
      </w:r>
      <w:r>
        <w:rPr/>
        <w:t>of</w:t>
      </w:r>
      <w:r>
        <w:rPr>
          <w:spacing w:val="42"/>
        </w:rPr>
        <w:t> </w:t>
      </w:r>
      <w:r>
        <w:rPr/>
        <w:t>micro-foundation,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39"/>
        <w:jc w:val="both"/>
      </w:pPr>
      <w:r>
        <w:rPr/>
        <w:t>macroeconomic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built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aggregating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rational</w:t>
      </w:r>
      <w:r>
        <w:rPr>
          <w:spacing w:val="-57"/>
        </w:rPr>
        <w:t> </w:t>
      </w:r>
      <w:r>
        <w:rPr/>
        <w:t>microeconomic agents, i.e. households and firms. The NK DSGE model, therefore, considers</w:t>
      </w:r>
      <w:r>
        <w:rPr>
          <w:spacing w:val="-57"/>
        </w:rPr>
        <w:t> </w:t>
      </w:r>
      <w:r>
        <w:rPr/>
        <w:t>the simultaneous economic interaction among households, firms, a Central Bank that sets</w:t>
      </w:r>
      <w:r>
        <w:rPr>
          <w:spacing w:val="1"/>
        </w:rPr>
        <w:t> </w:t>
      </w:r>
      <w:r>
        <w:rPr/>
        <w:t>monetary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fixes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policy,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assumptions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optimising agents form rational expectations and the Central Bank and government each</w:t>
      </w:r>
      <w:r>
        <w:rPr>
          <w:spacing w:val="1"/>
        </w:rPr>
        <w:t> </w:t>
      </w:r>
      <w:r>
        <w:rPr/>
        <w:t>commit</w:t>
      </w:r>
      <w:r>
        <w:rPr>
          <w:spacing w:val="-1"/>
        </w:rPr>
        <w:t> </w:t>
      </w:r>
      <w:r>
        <w:rPr/>
        <w:t>to policy</w:t>
      </w:r>
      <w:r>
        <w:rPr>
          <w:spacing w:val="-6"/>
        </w:rPr>
        <w:t> </w:t>
      </w:r>
      <w:r>
        <w:rPr/>
        <w:t>rules among</w:t>
      </w:r>
      <w:r>
        <w:rPr>
          <w:spacing w:val="-2"/>
        </w:rPr>
        <w:t> </w:t>
      </w:r>
      <w:r>
        <w:rPr/>
        <w:t>others.</w:t>
      </w:r>
    </w:p>
    <w:p>
      <w:pPr>
        <w:pStyle w:val="BodyText"/>
        <w:spacing w:line="360" w:lineRule="auto" w:before="200"/>
        <w:ind w:left="1760" w:right="1435"/>
        <w:jc w:val="both"/>
      </w:pPr>
      <w:r>
        <w:rPr/>
        <w:t>Stemming from the preceding paragraphs, this thesis empirically characterises the existing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policy interaction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gauges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interactions on output and inflation in Nigeria. The study, by implication, also obtains the</w:t>
      </w:r>
      <w:r>
        <w:rPr>
          <w:spacing w:val="1"/>
        </w:rPr>
        <w:t> </w:t>
      </w:r>
      <w:r>
        <w:rPr/>
        <w:t>optimal fiscal and monetary mix that should enhance the outcome of both policies and the</w:t>
      </w:r>
      <w:r>
        <w:rPr>
          <w:spacing w:val="1"/>
        </w:rPr>
        <w:t> </w:t>
      </w:r>
      <w:r>
        <w:rPr/>
        <w:t>overall</w:t>
      </w:r>
      <w:r>
        <w:rPr>
          <w:spacing w:val="-1"/>
        </w:rPr>
        <w:t> </w:t>
      </w:r>
      <w:r>
        <w:rPr/>
        <w:t>macroeconomy.</w:t>
      </w:r>
    </w:p>
    <w:p>
      <w:pPr>
        <w:pStyle w:val="Heading1"/>
        <w:numPr>
          <w:ilvl w:val="1"/>
          <w:numId w:val="8"/>
        </w:numPr>
        <w:tabs>
          <w:tab w:pos="2150" w:val="left" w:leader="none"/>
        </w:tabs>
        <w:spacing w:line="240" w:lineRule="auto" w:before="209" w:after="0"/>
        <w:ind w:left="2149" w:right="0" w:hanging="390"/>
        <w:jc w:val="left"/>
      </w:pPr>
      <w:bookmarkStart w:name="_TOC_250058" w:id="2"/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bookmarkEnd w:id="2"/>
      <w:r>
        <w:rPr/>
        <w:t>Problem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360" w:lineRule="auto" w:before="1"/>
        <w:ind w:left="1760" w:right="1434"/>
        <w:jc w:val="both"/>
      </w:pPr>
      <w:r>
        <w:rPr/>
        <w:t>This</w:t>
      </w:r>
      <w:r>
        <w:rPr>
          <w:spacing w:val="-3"/>
        </w:rPr>
        <w:t> </w:t>
      </w:r>
      <w:r>
        <w:rPr/>
        <w:t>study</w:t>
      </w:r>
      <w:r>
        <w:rPr>
          <w:spacing w:val="-8"/>
        </w:rPr>
        <w:t> </w:t>
      </w:r>
      <w:r>
        <w:rPr/>
        <w:t>investigates</w:t>
      </w:r>
      <w:r>
        <w:rPr>
          <w:spacing w:val="-1"/>
        </w:rPr>
        <w:t> </w:t>
      </w:r>
      <w:r>
        <w:rPr/>
        <w:t>fiscal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monetary</w:t>
      </w:r>
      <w:r>
        <w:rPr>
          <w:spacing w:val="-9"/>
        </w:rPr>
        <w:t> </w:t>
      </w:r>
      <w:r>
        <w:rPr/>
        <w:t>policy</w:t>
      </w:r>
      <w:r>
        <w:rPr>
          <w:spacing w:val="-5"/>
        </w:rPr>
        <w:t> </w:t>
      </w:r>
      <w:r>
        <w:rPr/>
        <w:t>interactions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small</w:t>
      </w:r>
      <w:r>
        <w:rPr>
          <w:spacing w:val="-2"/>
        </w:rPr>
        <w:t> </w:t>
      </w:r>
      <w:r>
        <w:rPr/>
        <w:t>open</w:t>
      </w:r>
      <w:r>
        <w:rPr>
          <w:spacing w:val="-4"/>
        </w:rPr>
        <w:t> </w:t>
      </w:r>
      <w:r>
        <w:rPr/>
        <w:t>economy, New</w:t>
      </w:r>
      <w:r>
        <w:rPr>
          <w:spacing w:val="-58"/>
        </w:rPr>
        <w:t> </w:t>
      </w:r>
      <w:r>
        <w:rPr/>
        <w:t>Keynesian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Stochastic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(NK</w:t>
      </w:r>
      <w:r>
        <w:rPr>
          <w:spacing w:val="1"/>
        </w:rPr>
        <w:t> </w:t>
      </w:r>
      <w:r>
        <w:rPr/>
        <w:t>DSGE)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theoretical assumptions are altered. Several empirical studies have examined fiscal-monetary</w:t>
      </w:r>
      <w:r>
        <w:rPr>
          <w:spacing w:val="1"/>
        </w:rPr>
        <w:t> </w:t>
      </w:r>
      <w:r>
        <w:rPr/>
        <w:t>policy interactions within a DSGE model (Muscatelli, Tirelli and Trecroci, 2005; Davig and</w:t>
      </w:r>
      <w:r>
        <w:rPr>
          <w:spacing w:val="1"/>
        </w:rPr>
        <w:t> </w:t>
      </w:r>
      <w:r>
        <w:rPr/>
        <w:t>Leeper,</w:t>
      </w:r>
      <w:r>
        <w:rPr>
          <w:spacing w:val="1"/>
        </w:rPr>
        <w:t> </w:t>
      </w:r>
      <w:r>
        <w:rPr/>
        <w:t>2009;</w:t>
      </w:r>
      <w:r>
        <w:rPr>
          <w:spacing w:val="1"/>
        </w:rPr>
        <w:t> </w:t>
      </w:r>
      <w:r>
        <w:rPr/>
        <w:t>Algozhina,</w:t>
      </w:r>
      <w:r>
        <w:rPr>
          <w:spacing w:val="1"/>
        </w:rPr>
        <w:t> </w:t>
      </w:r>
      <w:r>
        <w:rPr/>
        <w:t>2012;</w:t>
      </w:r>
      <w:r>
        <w:rPr>
          <w:spacing w:val="1"/>
        </w:rPr>
        <w:t> </w:t>
      </w:r>
      <w:r>
        <w:rPr/>
        <w:t>Cekin,</w:t>
      </w:r>
      <w:r>
        <w:rPr>
          <w:spacing w:val="1"/>
        </w:rPr>
        <w:t> </w:t>
      </w:r>
      <w:r>
        <w:rPr/>
        <w:t>2013;</w:t>
      </w:r>
      <w:r>
        <w:rPr>
          <w:spacing w:val="1"/>
        </w:rPr>
        <w:t> </w:t>
      </w:r>
      <w:r>
        <w:rPr/>
        <w:t>Gilksber,</w:t>
      </w:r>
      <w:r>
        <w:rPr>
          <w:spacing w:val="1"/>
        </w:rPr>
        <w:t> </w:t>
      </w:r>
      <w:r>
        <w:rPr/>
        <w:t>2016;</w:t>
      </w:r>
      <w:r>
        <w:rPr>
          <w:spacing w:val="1"/>
        </w:rPr>
        <w:t> </w:t>
      </w:r>
      <w:r>
        <w:rPr/>
        <w:t>Chen,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DSGE</w:t>
      </w:r>
      <w:r>
        <w:rPr>
          <w:spacing w:val="-57"/>
        </w:rPr>
        <w:t> </w:t>
      </w:r>
      <w:r>
        <w:rPr/>
        <w:t>framework</w:t>
      </w:r>
      <w:r>
        <w:rPr>
          <w:spacing w:val="-7"/>
        </w:rPr>
        <w:t> </w:t>
      </w:r>
      <w:r>
        <w:rPr/>
        <w:t>provides</w:t>
      </w:r>
      <w:r>
        <w:rPr>
          <w:spacing w:val="-6"/>
        </w:rPr>
        <w:t> </w:t>
      </w:r>
      <w:r>
        <w:rPr/>
        <w:t>an</w:t>
      </w:r>
      <w:r>
        <w:rPr>
          <w:spacing w:val="-3"/>
        </w:rPr>
        <w:t> </w:t>
      </w:r>
      <w:r>
        <w:rPr/>
        <w:t>appropriate</w:t>
      </w:r>
      <w:r>
        <w:rPr>
          <w:spacing w:val="-7"/>
        </w:rPr>
        <w:t> </w:t>
      </w:r>
      <w:r>
        <w:rPr/>
        <w:t>setting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investigate</w:t>
      </w:r>
      <w:r>
        <w:rPr>
          <w:spacing w:val="-5"/>
        </w:rPr>
        <w:t> </w:t>
      </w:r>
      <w:r>
        <w:rPr/>
        <w:t>policy</w:t>
      </w:r>
      <w:r>
        <w:rPr>
          <w:spacing w:val="-8"/>
        </w:rPr>
        <w:t> </w:t>
      </w:r>
      <w:r>
        <w:rPr/>
        <w:t>interactions.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because</w:t>
      </w:r>
      <w:r>
        <w:rPr>
          <w:spacing w:val="-4"/>
        </w:rPr>
        <w:t> </w:t>
      </w:r>
      <w:r>
        <w:rPr/>
        <w:t>it</w:t>
      </w:r>
      <w:r>
        <w:rPr>
          <w:spacing w:val="-58"/>
        </w:rPr>
        <w:t> </w:t>
      </w:r>
      <w:r>
        <w:rPr/>
        <w:t>assumes</w:t>
      </w:r>
      <w:r>
        <w:rPr>
          <w:spacing w:val="-6"/>
        </w:rPr>
        <w:t> </w:t>
      </w:r>
      <w:r>
        <w:rPr/>
        <w:t>ongoing</w:t>
      </w:r>
      <w:r>
        <w:rPr>
          <w:spacing w:val="-6"/>
        </w:rPr>
        <w:t> </w:t>
      </w:r>
      <w:r>
        <w:rPr/>
        <w:t>interdependencies</w:t>
      </w:r>
      <w:r>
        <w:rPr>
          <w:spacing w:val="-4"/>
        </w:rPr>
        <w:t> </w:t>
      </w:r>
      <w:r>
        <w:rPr/>
        <w:t>among</w:t>
      </w:r>
      <w:r>
        <w:rPr>
          <w:spacing w:val="-9"/>
        </w:rPr>
        <w:t> </w:t>
      </w:r>
      <w:r>
        <w:rPr/>
        <w:t>several</w:t>
      </w:r>
      <w:r>
        <w:rPr>
          <w:spacing w:val="-6"/>
        </w:rPr>
        <w:t> </w:t>
      </w:r>
      <w:r>
        <w:rPr/>
        <w:t>economic</w:t>
      </w:r>
      <w:r>
        <w:rPr>
          <w:spacing w:val="-7"/>
        </w:rPr>
        <w:t> </w:t>
      </w:r>
      <w:r>
        <w:rPr/>
        <w:t>agents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includes</w:t>
      </w:r>
      <w:r>
        <w:rPr>
          <w:spacing w:val="-2"/>
        </w:rPr>
        <w:t> </w:t>
      </w:r>
      <w:r>
        <w:rPr/>
        <w:t>households,</w:t>
      </w:r>
      <w:r>
        <w:rPr>
          <w:spacing w:val="-58"/>
        </w:rPr>
        <w:t> </w:t>
      </w:r>
      <w:r>
        <w:rPr/>
        <w:t>firms,</w:t>
      </w:r>
      <w:r>
        <w:rPr>
          <w:spacing w:val="-6"/>
        </w:rPr>
        <w:t> </w:t>
      </w:r>
      <w:r>
        <w:rPr/>
        <w:t>central</w:t>
      </w:r>
      <w:r>
        <w:rPr>
          <w:spacing w:val="-6"/>
        </w:rPr>
        <w:t> </w:t>
      </w:r>
      <w:r>
        <w:rPr/>
        <w:t>bank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government.</w:t>
      </w:r>
      <w:r>
        <w:rPr>
          <w:spacing w:val="-3"/>
        </w:rPr>
        <w:t> </w:t>
      </w:r>
      <w:r>
        <w:rPr/>
        <w:t>Furthermore,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DSGE-based</w:t>
      </w:r>
      <w:r>
        <w:rPr>
          <w:spacing w:val="-6"/>
        </w:rPr>
        <w:t> </w:t>
      </w:r>
      <w:r>
        <w:rPr/>
        <w:t>method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premised</w:t>
      </w:r>
      <w:r>
        <w:rPr>
          <w:spacing w:val="-6"/>
        </w:rPr>
        <w:t> </w:t>
      </w:r>
      <w:r>
        <w:rPr/>
        <w:t>on</w:t>
      </w:r>
      <w:r>
        <w:rPr>
          <w:spacing w:val="-58"/>
        </w:rPr>
        <w:t> </w:t>
      </w:r>
      <w:r>
        <w:rPr/>
        <w:t>theoretical</w:t>
      </w:r>
      <w:r>
        <w:rPr>
          <w:spacing w:val="-8"/>
        </w:rPr>
        <w:t> </w:t>
      </w:r>
      <w:r>
        <w:rPr/>
        <w:t>assumptions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are</w:t>
      </w:r>
      <w:r>
        <w:rPr>
          <w:spacing w:val="-9"/>
        </w:rPr>
        <w:t> </w:t>
      </w:r>
      <w:r>
        <w:rPr/>
        <w:t>relevant</w:t>
      </w:r>
      <w:r>
        <w:rPr>
          <w:spacing w:val="-7"/>
        </w:rPr>
        <w:t> </w:t>
      </w:r>
      <w:r>
        <w:rPr/>
        <w:t>for</w:t>
      </w:r>
      <w:r>
        <w:rPr>
          <w:spacing w:val="-9"/>
        </w:rPr>
        <w:t> </w:t>
      </w:r>
      <w:r>
        <w:rPr/>
        <w:t>policy</w:t>
      </w:r>
      <w:r>
        <w:rPr>
          <w:spacing w:val="-10"/>
        </w:rPr>
        <w:t> </w:t>
      </w:r>
      <w:r>
        <w:rPr/>
        <w:t>analysis.</w:t>
      </w:r>
      <w:r>
        <w:rPr>
          <w:spacing w:val="-5"/>
        </w:rPr>
        <w:t> </w:t>
      </w:r>
      <w:r>
        <w:rPr/>
        <w:t>It</w:t>
      </w:r>
      <w:r>
        <w:rPr>
          <w:spacing w:val="-7"/>
        </w:rPr>
        <w:t> </w:t>
      </w:r>
      <w:r>
        <w:rPr/>
        <w:t>is,</w:t>
      </w:r>
      <w:r>
        <w:rPr>
          <w:spacing w:val="-7"/>
        </w:rPr>
        <w:t> </w:t>
      </w:r>
      <w:r>
        <w:rPr/>
        <w:t>therefore,</w:t>
      </w:r>
      <w:r>
        <w:rPr>
          <w:spacing w:val="-6"/>
        </w:rPr>
        <w:t> </w:t>
      </w:r>
      <w:r>
        <w:rPr/>
        <w:t>immuned</w:t>
      </w:r>
      <w:r>
        <w:rPr>
          <w:spacing w:val="-8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57"/>
        </w:rPr>
        <w:t> </w:t>
      </w:r>
      <w:r>
        <w:rPr/>
        <w:t>susceptibility of other estimation techniques to the Lucas’ critique. However, a fallout is that</w:t>
      </w:r>
      <w:r>
        <w:rPr>
          <w:spacing w:val="1"/>
        </w:rPr>
        <w:t> </w:t>
      </w:r>
      <w:r>
        <w:rPr/>
        <w:t>some assumptions used in the DSGE models are unsuitable in the context of developing</w:t>
      </w:r>
      <w:r>
        <w:rPr>
          <w:spacing w:val="1"/>
        </w:rPr>
        <w:t> </w:t>
      </w:r>
      <w:r>
        <w:rPr/>
        <w:t>economies (Vangu, 2014). Some of these unsuitable assumptions pertain to the behaviour of</w:t>
      </w:r>
      <w:r>
        <w:rPr>
          <w:spacing w:val="1"/>
        </w:rPr>
        <w:t> </w:t>
      </w:r>
      <w:r>
        <w:rPr/>
        <w:t>government, that is, the fiscal policy bloc of the model. Several studies examining fiscal-</w:t>
      </w:r>
      <w:r>
        <w:rPr>
          <w:spacing w:val="1"/>
        </w:rPr>
        <w:t> </w:t>
      </w:r>
      <w:r>
        <w:rPr/>
        <w:t>monetary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interactions,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respect,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assumed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unrealistically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is benevolent and 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 time, commits</w:t>
      </w:r>
      <w:r>
        <w:rPr>
          <w:spacing w:val="-1"/>
        </w:rPr>
        <w:t> </w:t>
      </w:r>
      <w:r>
        <w:rPr/>
        <w:t>to policy</w:t>
      </w:r>
      <w:r>
        <w:rPr>
          <w:spacing w:val="-5"/>
        </w:rPr>
        <w:t> </w:t>
      </w:r>
      <w:r>
        <w:rPr/>
        <w:t>rules.</w:t>
      </w:r>
    </w:p>
    <w:p>
      <w:pPr>
        <w:pStyle w:val="BodyText"/>
        <w:spacing w:line="360" w:lineRule="auto" w:before="202"/>
        <w:ind w:left="1760" w:right="1440"/>
        <w:jc w:val="both"/>
      </w:pPr>
      <w:r>
        <w:rPr/>
        <w:t>Empirical evidences such as the Corruption Perception Index (2016), World Governance</w:t>
      </w:r>
      <w:r>
        <w:rPr>
          <w:spacing w:val="1"/>
        </w:rPr>
        <w:t> </w:t>
      </w:r>
      <w:r>
        <w:rPr/>
        <w:t>Indicators</w:t>
      </w:r>
      <w:r>
        <w:rPr>
          <w:spacing w:val="40"/>
        </w:rPr>
        <w:t> </w:t>
      </w:r>
      <w:r>
        <w:rPr/>
        <w:t>(2016)</w:t>
      </w:r>
      <w:r>
        <w:rPr>
          <w:spacing w:val="39"/>
        </w:rPr>
        <w:t> </w:t>
      </w:r>
      <w:r>
        <w:rPr/>
        <w:t>and</w:t>
      </w:r>
      <w:r>
        <w:rPr>
          <w:spacing w:val="45"/>
        </w:rPr>
        <w:t> </w:t>
      </w:r>
      <w:r>
        <w:rPr/>
        <w:t>the</w:t>
      </w:r>
      <w:r>
        <w:rPr>
          <w:spacing w:val="40"/>
        </w:rPr>
        <w:t> </w:t>
      </w:r>
      <w:r>
        <w:rPr/>
        <w:t>Fiscal</w:t>
      </w:r>
      <w:r>
        <w:rPr>
          <w:spacing w:val="41"/>
        </w:rPr>
        <w:t> </w:t>
      </w:r>
      <w:r>
        <w:rPr/>
        <w:t>Rule</w:t>
      </w:r>
      <w:r>
        <w:rPr>
          <w:spacing w:val="40"/>
        </w:rPr>
        <w:t> </w:t>
      </w:r>
      <w:r>
        <w:rPr/>
        <w:t>Dataset</w:t>
      </w:r>
      <w:r>
        <w:rPr>
          <w:spacing w:val="41"/>
        </w:rPr>
        <w:t> </w:t>
      </w:r>
      <w:r>
        <w:rPr/>
        <w:t>(2017),</w:t>
      </w:r>
      <w:r>
        <w:rPr>
          <w:spacing w:val="39"/>
        </w:rPr>
        <w:t> </w:t>
      </w:r>
      <w:r>
        <w:rPr/>
        <w:t>nonetheless,</w:t>
      </w:r>
      <w:r>
        <w:rPr>
          <w:spacing w:val="43"/>
        </w:rPr>
        <w:t> </w:t>
      </w:r>
      <w:r>
        <w:rPr/>
        <w:t>show</w:t>
      </w:r>
      <w:r>
        <w:rPr>
          <w:spacing w:val="40"/>
        </w:rPr>
        <w:t> </w:t>
      </w:r>
      <w:r>
        <w:rPr/>
        <w:t>that</w:t>
      </w:r>
      <w:r>
        <w:rPr>
          <w:spacing w:val="40"/>
        </w:rPr>
        <w:t> </w:t>
      </w:r>
      <w:r>
        <w:rPr/>
        <w:t>these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35"/>
        <w:jc w:val="both"/>
      </w:pPr>
      <w:r>
        <w:rPr/>
        <w:t>conventional assumptions do not hold for a developing economy such as Nigeria. This study,</w:t>
      </w:r>
      <w:r>
        <w:rPr>
          <w:spacing w:val="1"/>
        </w:rPr>
        <w:t> </w:t>
      </w:r>
      <w:r>
        <w:rPr/>
        <w:t>therefore,</w:t>
      </w:r>
      <w:r>
        <w:rPr>
          <w:spacing w:val="-2"/>
        </w:rPr>
        <w:t> </w:t>
      </w:r>
      <w:r>
        <w:rPr/>
        <w:t>abstracts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these</w:t>
      </w:r>
      <w:r>
        <w:rPr>
          <w:spacing w:val="-3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assumptions.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conventional</w:t>
      </w:r>
      <w:r>
        <w:rPr>
          <w:spacing w:val="-3"/>
        </w:rPr>
        <w:t> </w:t>
      </w:r>
      <w:r>
        <w:rPr/>
        <w:t>assumption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58"/>
        </w:rPr>
        <w:t> </w:t>
      </w:r>
      <w:r>
        <w:rPr>
          <w:spacing w:val="-1"/>
        </w:rPr>
        <w:t>fiscal</w:t>
      </w:r>
      <w:r>
        <w:rPr>
          <w:spacing w:val="-12"/>
        </w:rPr>
        <w:t> </w:t>
      </w:r>
      <w:r>
        <w:rPr>
          <w:spacing w:val="-1"/>
        </w:rPr>
        <w:t>sector</w:t>
      </w:r>
      <w:r>
        <w:rPr>
          <w:spacing w:val="-13"/>
        </w:rPr>
        <w:t> </w:t>
      </w:r>
      <w:r>
        <w:rPr>
          <w:spacing w:val="-1"/>
        </w:rPr>
        <w:t>is</w:t>
      </w:r>
      <w:r>
        <w:rPr>
          <w:spacing w:val="-11"/>
        </w:rPr>
        <w:t> </w:t>
      </w:r>
      <w:r>
        <w:rPr>
          <w:spacing w:val="-1"/>
        </w:rPr>
        <w:t>then</w:t>
      </w:r>
      <w:r>
        <w:rPr>
          <w:spacing w:val="-13"/>
        </w:rPr>
        <w:t> </w:t>
      </w:r>
      <w:r>
        <w:rPr>
          <w:spacing w:val="-1"/>
        </w:rPr>
        <w:t>modified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line</w:t>
      </w:r>
      <w:r>
        <w:rPr>
          <w:spacing w:val="-13"/>
        </w:rPr>
        <w:t> </w:t>
      </w:r>
      <w:r>
        <w:rPr/>
        <w:t>with</w:t>
      </w:r>
      <w:r>
        <w:rPr>
          <w:spacing w:val="-11"/>
        </w:rPr>
        <w:t> </w:t>
      </w:r>
      <w:r>
        <w:rPr/>
        <w:t>political</w:t>
      </w:r>
      <w:r>
        <w:rPr>
          <w:spacing w:val="-12"/>
        </w:rPr>
        <w:t> </w:t>
      </w:r>
      <w:r>
        <w:rPr/>
        <w:t>economy</w:t>
      </w:r>
      <w:r>
        <w:rPr>
          <w:spacing w:val="-16"/>
        </w:rPr>
        <w:t> </w:t>
      </w:r>
      <w:r>
        <w:rPr/>
        <w:t>literature</w:t>
      </w:r>
      <w:r>
        <w:rPr>
          <w:spacing w:val="-13"/>
        </w:rPr>
        <w:t> </w:t>
      </w:r>
      <w:r>
        <w:rPr/>
        <w:t>such</w:t>
      </w:r>
      <w:r>
        <w:rPr>
          <w:spacing w:val="-12"/>
        </w:rPr>
        <w:t> </w:t>
      </w:r>
      <w:r>
        <w:rPr/>
        <w:t>that,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government</w:t>
      </w:r>
      <w:r>
        <w:rPr>
          <w:spacing w:val="-57"/>
        </w:rPr>
        <w:t> </w:t>
      </w:r>
      <w:r>
        <w:rPr/>
        <w:t>is</w:t>
      </w:r>
      <w:r>
        <w:rPr>
          <w:spacing w:val="-6"/>
        </w:rPr>
        <w:t> </w:t>
      </w:r>
      <w:r>
        <w:rPr/>
        <w:t>posited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neither</w:t>
      </w:r>
      <w:r>
        <w:rPr>
          <w:spacing w:val="-4"/>
        </w:rPr>
        <w:t> </w:t>
      </w:r>
      <w:r>
        <w:rPr/>
        <w:t>benevolent</w:t>
      </w:r>
      <w:r>
        <w:rPr>
          <w:spacing w:val="-6"/>
        </w:rPr>
        <w:t> </w:t>
      </w:r>
      <w:r>
        <w:rPr/>
        <w:t>nor</w:t>
      </w:r>
      <w:r>
        <w:rPr>
          <w:spacing w:val="-4"/>
        </w:rPr>
        <w:t> </w:t>
      </w:r>
      <w:r>
        <w:rPr/>
        <w:t>does</w:t>
      </w:r>
      <w:r>
        <w:rPr>
          <w:spacing w:val="-5"/>
        </w:rPr>
        <w:t> </w:t>
      </w:r>
      <w:r>
        <w:rPr/>
        <w:t>it</w:t>
      </w:r>
      <w:r>
        <w:rPr>
          <w:spacing w:val="-2"/>
        </w:rPr>
        <w:t> </w:t>
      </w:r>
      <w:r>
        <w:rPr/>
        <w:t>commit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policy</w:t>
      </w:r>
      <w:r>
        <w:rPr>
          <w:spacing w:val="-8"/>
        </w:rPr>
        <w:t> </w:t>
      </w:r>
      <w:r>
        <w:rPr/>
        <w:t>rule</w:t>
      </w:r>
      <w:r>
        <w:rPr>
          <w:spacing w:val="-4"/>
        </w:rPr>
        <w:t> </w:t>
      </w:r>
      <w:r>
        <w:rPr/>
        <w:t>(Persson,</w:t>
      </w:r>
      <w:r>
        <w:rPr>
          <w:spacing w:val="-5"/>
        </w:rPr>
        <w:t> </w:t>
      </w:r>
      <w:r>
        <w:rPr/>
        <w:t>2001;</w:t>
      </w:r>
      <w:r>
        <w:rPr>
          <w:spacing w:val="-6"/>
        </w:rPr>
        <w:t> </w:t>
      </w:r>
      <w:r>
        <w:rPr/>
        <w:t>Fragetta</w:t>
      </w:r>
      <w:r>
        <w:rPr>
          <w:spacing w:val="-57"/>
        </w:rPr>
        <w:t> </w:t>
      </w:r>
      <w:r>
        <w:rPr/>
        <w:t>and Kirsanova, 2010; Miller, 2016). The government, however, is assumed to have rent-</w:t>
      </w:r>
      <w:r>
        <w:rPr>
          <w:spacing w:val="1"/>
        </w:rPr>
        <w:t> </w:t>
      </w:r>
      <w:r>
        <w:rPr/>
        <w:t>seeking tendencies and prefers to use policy discretion in maximising the welfare of a subset</w:t>
      </w:r>
      <w:r>
        <w:rPr>
          <w:spacing w:val="1"/>
        </w:rPr>
        <w:t> </w:t>
      </w:r>
      <w:r>
        <w:rPr/>
        <w:t>of the society. The modifications to the fiscal bloc can also be used to capture the weak</w:t>
      </w:r>
      <w:r>
        <w:rPr>
          <w:spacing w:val="1"/>
        </w:rPr>
        <w:t> </w:t>
      </w:r>
      <w:r>
        <w:rPr/>
        <w:t>coordination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monetary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(Englama,</w:t>
      </w:r>
      <w:r>
        <w:rPr>
          <w:spacing w:val="1"/>
        </w:rPr>
        <w:t> </w:t>
      </w:r>
      <w:r>
        <w:rPr/>
        <w:t>Tarawalie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Ahortor, 2013). It is, therefore, needful to investigate the existing policy interactions when</w:t>
      </w:r>
      <w:r>
        <w:rPr>
          <w:spacing w:val="1"/>
        </w:rPr>
        <w:t> </w:t>
      </w:r>
      <w:r>
        <w:rPr/>
        <w:t>alternative</w:t>
      </w:r>
      <w:r>
        <w:rPr>
          <w:spacing w:val="-2"/>
        </w:rPr>
        <w:t> </w:t>
      </w:r>
      <w:r>
        <w:rPr/>
        <w:t>fiscal realities are</w:t>
      </w:r>
      <w:r>
        <w:rPr>
          <w:spacing w:val="-2"/>
        </w:rPr>
        <w:t> </w:t>
      </w:r>
      <w:r>
        <w:rPr/>
        <w:t>explicitly</w:t>
      </w:r>
      <w:r>
        <w:rPr>
          <w:spacing w:val="-5"/>
        </w:rPr>
        <w:t> </w:t>
      </w:r>
      <w:r>
        <w:rPr/>
        <w:t>modelled.</w:t>
      </w:r>
    </w:p>
    <w:p>
      <w:pPr>
        <w:pStyle w:val="BodyText"/>
        <w:spacing w:line="360" w:lineRule="auto" w:before="201"/>
        <w:ind w:left="1760" w:right="1435"/>
        <w:jc w:val="both"/>
      </w:pPr>
      <w:r>
        <w:rPr/>
        <w:t>This study is, therefore, related to empirical studies that assess fiscal and monetary policy</w:t>
      </w:r>
      <w:r>
        <w:rPr>
          <w:spacing w:val="1"/>
        </w:rPr>
        <w:t> </w:t>
      </w:r>
      <w:r>
        <w:rPr>
          <w:spacing w:val="-1"/>
        </w:rPr>
        <w:t>interactions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Nigeria</w:t>
      </w:r>
      <w:r>
        <w:rPr>
          <w:spacing w:val="-14"/>
        </w:rPr>
        <w:t> </w:t>
      </w:r>
      <w:r>
        <w:rPr/>
        <w:t>(Chuku,</w:t>
      </w:r>
      <w:r>
        <w:rPr>
          <w:spacing w:val="-15"/>
        </w:rPr>
        <w:t> </w:t>
      </w:r>
      <w:r>
        <w:rPr/>
        <w:t>2010;</w:t>
      </w:r>
      <w:r>
        <w:rPr>
          <w:spacing w:val="-13"/>
        </w:rPr>
        <w:t> </w:t>
      </w:r>
      <w:r>
        <w:rPr/>
        <w:t>Okafor,</w:t>
      </w:r>
      <w:r>
        <w:rPr>
          <w:spacing w:val="-15"/>
        </w:rPr>
        <w:t> </w:t>
      </w:r>
      <w:r>
        <w:rPr/>
        <w:t>2013;</w:t>
      </w:r>
      <w:r>
        <w:rPr>
          <w:spacing w:val="-14"/>
        </w:rPr>
        <w:t> </w:t>
      </w:r>
      <w:r>
        <w:rPr/>
        <w:t>Musa</w:t>
      </w:r>
      <w:r>
        <w:rPr>
          <w:spacing w:val="-13"/>
        </w:rPr>
        <w:t> </w:t>
      </w:r>
      <w:r>
        <w:rPr>
          <w:i/>
        </w:rPr>
        <w:t>et</w:t>
      </w:r>
      <w:r>
        <w:rPr>
          <w:i/>
          <w:spacing w:val="-14"/>
        </w:rPr>
        <w:t> </w:t>
      </w:r>
      <w:r>
        <w:rPr>
          <w:i/>
        </w:rPr>
        <w:t>al.</w:t>
      </w:r>
      <w:r>
        <w:rPr/>
        <w:t>,</w:t>
      </w:r>
      <w:r>
        <w:rPr>
          <w:spacing w:val="-14"/>
        </w:rPr>
        <w:t> </w:t>
      </w:r>
      <w:r>
        <w:rPr/>
        <w:t>2013).</w:t>
      </w:r>
      <w:r>
        <w:rPr>
          <w:spacing w:val="-15"/>
        </w:rPr>
        <w:t> </w:t>
      </w:r>
      <w:r>
        <w:rPr/>
        <w:t>This</w:t>
      </w:r>
      <w:r>
        <w:rPr>
          <w:spacing w:val="-12"/>
        </w:rPr>
        <w:t> </w:t>
      </w:r>
      <w:r>
        <w:rPr/>
        <w:t>study</w:t>
      </w:r>
      <w:r>
        <w:rPr>
          <w:spacing w:val="-20"/>
        </w:rPr>
        <w:t> </w:t>
      </w:r>
      <w:r>
        <w:rPr/>
        <w:t>nevertheless</w:t>
      </w:r>
      <w:r>
        <w:rPr>
          <w:spacing w:val="-57"/>
        </w:rPr>
        <w:t> </w:t>
      </w:r>
      <w:r>
        <w:rPr/>
        <w:t>differs from them by adopting the DSGE method. However, this study is most related to</w:t>
      </w:r>
      <w:r>
        <w:rPr>
          <w:spacing w:val="1"/>
        </w:rPr>
        <w:t> </w:t>
      </w:r>
      <w:r>
        <w:rPr/>
        <w:t>Adegboye (2015). His study is one of the few studies that investigate fiscal and monetary</w:t>
      </w:r>
      <w:r>
        <w:rPr>
          <w:spacing w:val="1"/>
        </w:rPr>
        <w:t> </w:t>
      </w:r>
      <w:r>
        <w:rPr/>
        <w:t>policy interaction in Nigeria, using the New Keynesian DSGE framework. This thesis differs</w:t>
      </w:r>
      <w:r>
        <w:rPr>
          <w:spacing w:val="1"/>
        </w:rPr>
        <w:t> </w:t>
      </w:r>
      <w:r>
        <w:rPr/>
        <w:t>from Adegboye (2015) because the study considers fiscal and monetary policy interaction in</w:t>
      </w:r>
      <w:r>
        <w:rPr>
          <w:spacing w:val="1"/>
        </w:rPr>
        <w:t> </w:t>
      </w:r>
      <w:r>
        <w:rPr/>
        <w:t>the</w:t>
      </w:r>
      <w:r>
        <w:rPr>
          <w:spacing w:val="-14"/>
        </w:rPr>
        <w:t> </w:t>
      </w:r>
      <w:r>
        <w:rPr/>
        <w:t>form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fiscal</w:t>
      </w:r>
      <w:r>
        <w:rPr>
          <w:spacing w:val="-13"/>
        </w:rPr>
        <w:t> </w:t>
      </w:r>
      <w:r>
        <w:rPr/>
        <w:t>rule</w:t>
      </w:r>
      <w:r>
        <w:rPr>
          <w:spacing w:val="-15"/>
        </w:rPr>
        <w:t> </w:t>
      </w:r>
      <w:r>
        <w:rPr/>
        <w:t>in</w:t>
      </w:r>
      <w:r>
        <w:rPr>
          <w:spacing w:val="-11"/>
        </w:rPr>
        <w:t> </w:t>
      </w:r>
      <w:r>
        <w:rPr/>
        <w:t>government</w:t>
      </w:r>
      <w:r>
        <w:rPr>
          <w:spacing w:val="-12"/>
        </w:rPr>
        <w:t> </w:t>
      </w:r>
      <w:r>
        <w:rPr/>
        <w:t>spending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Taylor</w:t>
      </w:r>
      <w:r>
        <w:rPr>
          <w:spacing w:val="-14"/>
        </w:rPr>
        <w:t> </w:t>
      </w:r>
      <w:r>
        <w:rPr/>
        <w:t>rule,</w:t>
      </w:r>
      <w:r>
        <w:rPr>
          <w:spacing w:val="-13"/>
        </w:rPr>
        <w:t> </w:t>
      </w:r>
      <w:r>
        <w:rPr/>
        <w:t>but</w:t>
      </w:r>
      <w:r>
        <w:rPr>
          <w:spacing w:val="-13"/>
        </w:rPr>
        <w:t> </w:t>
      </w:r>
      <w:r>
        <w:rPr/>
        <w:t>leaves</w:t>
      </w:r>
      <w:r>
        <w:rPr>
          <w:spacing w:val="-11"/>
        </w:rPr>
        <w:t> </w:t>
      </w:r>
      <w:r>
        <w:rPr/>
        <w:t>out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possibility</w:t>
      </w:r>
      <w:r>
        <w:rPr>
          <w:spacing w:val="-58"/>
        </w:rPr>
        <w:t> </w:t>
      </w:r>
      <w:r>
        <w:rPr/>
        <w:t>of policy discretion and rent-seeking which is more related to government’s fiscal behaviour</w:t>
      </w:r>
      <w:r>
        <w:rPr>
          <w:spacing w:val="1"/>
        </w:rPr>
        <w:t> </w:t>
      </w:r>
      <w:r>
        <w:rPr/>
        <w:t>in Nigeria.</w:t>
      </w:r>
      <w:r>
        <w:rPr>
          <w:spacing w:val="1"/>
        </w:rPr>
        <w:t> </w:t>
      </w:r>
      <w:r>
        <w:rPr/>
        <w:t>Secondly, the work was silent about capturing the poor coordination that exists</w:t>
      </w:r>
      <w:r>
        <w:rPr>
          <w:spacing w:val="1"/>
        </w:rPr>
        <w:t> </w:t>
      </w:r>
      <w:r>
        <w:rPr/>
        <w:t>between fiscal and monetary policies in Nigeria, since there is empirical evidence of weak</w:t>
      </w:r>
      <w:r>
        <w:rPr>
          <w:spacing w:val="1"/>
        </w:rPr>
        <w:t> </w:t>
      </w:r>
      <w:r>
        <w:rPr/>
        <w:t>coordination</w:t>
      </w:r>
      <w:r>
        <w:rPr>
          <w:spacing w:val="-1"/>
        </w:rPr>
        <w:t> </w:t>
      </w:r>
      <w:r>
        <w:rPr/>
        <w:t>in Nigeria (Englama,</w:t>
      </w:r>
      <w:r>
        <w:rPr>
          <w:spacing w:val="1"/>
        </w:rPr>
        <w:t> </w:t>
      </w:r>
      <w:r>
        <w:rPr/>
        <w:t>Tarawalie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Ahortor,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760" w:right="1438"/>
        <w:jc w:val="both"/>
      </w:pPr>
      <w:r>
        <w:rPr/>
        <w:t>This</w:t>
      </w:r>
      <w:r>
        <w:rPr>
          <w:spacing w:val="-5"/>
        </w:rPr>
        <w:t> </w:t>
      </w:r>
      <w:r>
        <w:rPr/>
        <w:t>study</w:t>
      </w:r>
      <w:r>
        <w:rPr>
          <w:spacing w:val="-10"/>
        </w:rPr>
        <w:t> </w:t>
      </w:r>
      <w:r>
        <w:rPr/>
        <w:t>has</w:t>
      </w:r>
      <w:r>
        <w:rPr>
          <w:spacing w:val="-5"/>
        </w:rPr>
        <w:t> </w:t>
      </w:r>
      <w:r>
        <w:rPr/>
        <w:t>consequently</w:t>
      </w:r>
      <w:r>
        <w:rPr>
          <w:spacing w:val="-10"/>
        </w:rPr>
        <w:t> </w:t>
      </w:r>
      <w:r>
        <w:rPr/>
        <w:t>identified</w:t>
      </w:r>
      <w:r>
        <w:rPr>
          <w:spacing w:val="-3"/>
        </w:rPr>
        <w:t> </w:t>
      </w:r>
      <w:r>
        <w:rPr/>
        <w:t>four</w:t>
      </w:r>
      <w:r>
        <w:rPr>
          <w:spacing w:val="-5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gaps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fill.</w:t>
      </w:r>
      <w:r>
        <w:rPr>
          <w:spacing w:val="-5"/>
        </w:rPr>
        <w:t> </w:t>
      </w:r>
      <w:r>
        <w:rPr/>
        <w:t>First,</w:t>
      </w:r>
      <w:r>
        <w:rPr>
          <w:spacing w:val="-5"/>
        </w:rPr>
        <w:t> </w:t>
      </w:r>
      <w:r>
        <w:rPr/>
        <w:t>there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few</w:t>
      </w:r>
      <w:r>
        <w:rPr>
          <w:spacing w:val="-4"/>
        </w:rPr>
        <w:t> </w:t>
      </w:r>
      <w:r>
        <w:rPr/>
        <w:t>studies</w:t>
      </w:r>
      <w:r>
        <w:rPr>
          <w:spacing w:val="-5"/>
        </w:rPr>
        <w:t> </w:t>
      </w:r>
      <w:r>
        <w:rPr/>
        <w:t>on</w:t>
      </w:r>
      <w:r>
        <w:rPr>
          <w:spacing w:val="-58"/>
        </w:rPr>
        <w:t> </w:t>
      </w:r>
      <w:r>
        <w:rPr/>
        <w:t>fiscal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monetary</w:t>
      </w:r>
      <w:r>
        <w:rPr>
          <w:spacing w:val="-9"/>
        </w:rPr>
        <w:t> </w:t>
      </w:r>
      <w:r>
        <w:rPr/>
        <w:t>policy</w:t>
      </w:r>
      <w:r>
        <w:rPr>
          <w:spacing w:val="-5"/>
        </w:rPr>
        <w:t> </w:t>
      </w:r>
      <w:r>
        <w:rPr/>
        <w:t>interaction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Second,</w:t>
      </w:r>
      <w:r>
        <w:rPr>
          <w:spacing w:val="-3"/>
        </w:rPr>
        <w:t> </w:t>
      </w:r>
      <w:r>
        <w:rPr/>
        <w:t>few</w:t>
      </w:r>
      <w:r>
        <w:rPr>
          <w:spacing w:val="-4"/>
        </w:rPr>
        <w:t> </w:t>
      </w:r>
      <w:r>
        <w:rPr/>
        <w:t>studies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applied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DSGE</w:t>
      </w:r>
      <w:r>
        <w:rPr>
          <w:spacing w:val="-57"/>
        </w:rPr>
        <w:t> </w:t>
      </w:r>
      <w:r>
        <w:rPr/>
        <w:t>method in Nigeria, even fewer are works that have used the DSGE technique to analyse fiscal</w:t>
      </w:r>
      <w:r>
        <w:rPr>
          <w:spacing w:val="-57"/>
        </w:rPr>
        <w:t> </w:t>
      </w:r>
      <w:r>
        <w:rPr/>
        <w:t>and monetary policy interaction. This thesis contributes to the sparse literature on dynamic</w:t>
      </w:r>
      <w:r>
        <w:rPr>
          <w:spacing w:val="1"/>
        </w:rPr>
        <w:t> </w:t>
      </w:r>
      <w:r>
        <w:rPr/>
        <w:t>general equilibrium modelling in Nigeria which only a few researchers such as Alege (2008);</w:t>
      </w:r>
      <w:r>
        <w:rPr>
          <w:spacing w:val="-57"/>
        </w:rPr>
        <w:t> </w:t>
      </w:r>
      <w:r>
        <w:rPr/>
        <w:t>Olayeni</w:t>
      </w:r>
      <w:r>
        <w:rPr>
          <w:spacing w:val="-9"/>
        </w:rPr>
        <w:t> </w:t>
      </w:r>
      <w:r>
        <w:rPr/>
        <w:t>(2009);</w:t>
      </w:r>
      <w:r>
        <w:rPr>
          <w:spacing w:val="-10"/>
        </w:rPr>
        <w:t> </w:t>
      </w:r>
      <w:r>
        <w:rPr/>
        <w:t>Adebiyi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Mordi</w:t>
      </w:r>
      <w:r>
        <w:rPr>
          <w:spacing w:val="-10"/>
        </w:rPr>
        <w:t> </w:t>
      </w:r>
      <w:r>
        <w:rPr/>
        <w:t>(2010);</w:t>
      </w:r>
      <w:r>
        <w:rPr>
          <w:spacing w:val="-10"/>
        </w:rPr>
        <w:t> </w:t>
      </w:r>
      <w:r>
        <w:rPr/>
        <w:t>Alege</w:t>
      </w:r>
      <w:r>
        <w:rPr>
          <w:spacing w:val="-8"/>
        </w:rPr>
        <w:t> </w:t>
      </w:r>
      <w:r>
        <w:rPr/>
        <w:t>(2012)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Adegboye</w:t>
      </w:r>
      <w:r>
        <w:rPr>
          <w:spacing w:val="-11"/>
        </w:rPr>
        <w:t> </w:t>
      </w:r>
      <w:r>
        <w:rPr/>
        <w:t>(2015)</w:t>
      </w:r>
      <w:r>
        <w:rPr>
          <w:spacing w:val="-10"/>
        </w:rPr>
        <w:t> </w:t>
      </w:r>
      <w:r>
        <w:rPr/>
        <w:t>among</w:t>
      </w:r>
      <w:r>
        <w:rPr>
          <w:spacing w:val="-12"/>
        </w:rPr>
        <w:t> </w:t>
      </w:r>
      <w:r>
        <w:rPr/>
        <w:t>others,</w:t>
      </w:r>
      <w:r>
        <w:rPr>
          <w:spacing w:val="-58"/>
        </w:rPr>
        <w:t> </w:t>
      </w:r>
      <w:r>
        <w:rPr/>
        <w:t>have ventured into. Third, this work borrows from the political economy contributions of</w:t>
      </w:r>
      <w:r>
        <w:rPr>
          <w:spacing w:val="1"/>
        </w:rPr>
        <w:t> </w:t>
      </w:r>
      <w:r>
        <w:rPr/>
        <w:t>Persson (2001) and Miller (2016) to study fiscal and monetary policy interactions in a DSGE</w:t>
      </w:r>
      <w:r>
        <w:rPr>
          <w:spacing w:val="1"/>
        </w:rPr>
        <w:t> </w:t>
      </w:r>
      <w:r>
        <w:rPr/>
        <w:t>model</w:t>
      </w:r>
      <w:r>
        <w:rPr>
          <w:spacing w:val="35"/>
        </w:rPr>
        <w:t> </w:t>
      </w:r>
      <w:r>
        <w:rPr/>
        <w:t>where</w:t>
      </w:r>
      <w:r>
        <w:rPr>
          <w:spacing w:val="35"/>
        </w:rPr>
        <w:t> </w:t>
      </w:r>
      <w:r>
        <w:rPr/>
        <w:t>existing</w:t>
      </w:r>
      <w:r>
        <w:rPr>
          <w:spacing w:val="33"/>
        </w:rPr>
        <w:t> </w:t>
      </w:r>
      <w:r>
        <w:rPr/>
        <w:t>assumptions</w:t>
      </w:r>
      <w:r>
        <w:rPr>
          <w:spacing w:val="37"/>
        </w:rPr>
        <w:t> </w:t>
      </w:r>
      <w:r>
        <w:rPr/>
        <w:t>about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fiscal</w:t>
      </w:r>
      <w:r>
        <w:rPr>
          <w:spacing w:val="36"/>
        </w:rPr>
        <w:t> </w:t>
      </w:r>
      <w:r>
        <w:rPr/>
        <w:t>authorities</w:t>
      </w:r>
      <w:r>
        <w:rPr>
          <w:spacing w:val="36"/>
        </w:rPr>
        <w:t> </w:t>
      </w:r>
      <w:r>
        <w:rPr/>
        <w:t>are</w:t>
      </w:r>
      <w:r>
        <w:rPr>
          <w:spacing w:val="34"/>
        </w:rPr>
        <w:t> </w:t>
      </w:r>
      <w:r>
        <w:rPr/>
        <w:t>modified</w:t>
      </w:r>
      <w:r>
        <w:rPr>
          <w:spacing w:val="36"/>
        </w:rPr>
        <w:t> </w:t>
      </w:r>
      <w:r>
        <w:rPr/>
        <w:t>to</w:t>
      </w:r>
      <w:r>
        <w:rPr>
          <w:spacing w:val="36"/>
        </w:rPr>
        <w:t> </w:t>
      </w:r>
      <w:r>
        <w:rPr/>
        <w:t>capture</w:t>
      </w:r>
      <w:r>
        <w:rPr>
          <w:spacing w:val="37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46"/>
        <w:jc w:val="both"/>
      </w:pPr>
      <w:r>
        <w:rPr/>
        <w:t>political economy reality of Nigeria. Fourthly, an interaction variable is constructed in order</w:t>
      </w:r>
      <w:r>
        <w:rPr>
          <w:spacing w:val="1"/>
        </w:rPr>
        <w:t> </w:t>
      </w:r>
      <w:r>
        <w:rPr/>
        <w:t>to explicitly</w:t>
      </w:r>
      <w:r>
        <w:rPr>
          <w:spacing w:val="-8"/>
        </w:rPr>
        <w:t> </w:t>
      </w:r>
      <w:r>
        <w:rPr/>
        <w:t>define fiscal-monetary</w:t>
      </w:r>
      <w:r>
        <w:rPr>
          <w:spacing w:val="-5"/>
        </w:rPr>
        <w:t> </w:t>
      </w:r>
      <w:r>
        <w:rPr/>
        <w:t>policy</w:t>
      </w:r>
      <w:r>
        <w:rPr>
          <w:spacing w:val="-5"/>
        </w:rPr>
        <w:t> </w:t>
      </w:r>
      <w:r>
        <w:rPr/>
        <w:t>interactions.</w:t>
      </w:r>
    </w:p>
    <w:p>
      <w:pPr>
        <w:pStyle w:val="Heading1"/>
        <w:numPr>
          <w:ilvl w:val="1"/>
          <w:numId w:val="8"/>
        </w:numPr>
        <w:tabs>
          <w:tab w:pos="2150" w:val="left" w:leader="none"/>
        </w:tabs>
        <w:spacing w:line="240" w:lineRule="auto" w:before="6" w:after="0"/>
        <w:ind w:left="2149" w:right="0" w:hanging="390"/>
        <w:jc w:val="both"/>
      </w:pPr>
      <w:bookmarkStart w:name="_TOC_250057" w:id="3"/>
      <w:r>
        <w:rPr/>
        <w:t>Research</w:t>
      </w:r>
      <w:r>
        <w:rPr>
          <w:spacing w:val="-2"/>
        </w:rPr>
        <w:t> </w:t>
      </w:r>
      <w:bookmarkEnd w:id="3"/>
      <w:r>
        <w:rPr/>
        <w:t>Questions</w:t>
      </w:r>
    </w:p>
    <w:p>
      <w:pPr>
        <w:pStyle w:val="BodyText"/>
        <w:spacing w:line="360" w:lineRule="auto" w:before="144"/>
        <w:ind w:left="1760" w:right="1439"/>
        <w:jc w:val="both"/>
      </w:pPr>
      <w:r>
        <w:rPr/>
        <w:t>Following the need to examine the fiscal and monetary policy interaction under alternative</w:t>
      </w:r>
      <w:r>
        <w:rPr>
          <w:spacing w:val="1"/>
        </w:rPr>
        <w:t> </w:t>
      </w:r>
      <w:r>
        <w:rPr/>
        <w:t>assumptions of a rent-seeking government that follows discretionary policies and absence of</w:t>
      </w:r>
      <w:r>
        <w:rPr>
          <w:spacing w:val="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policy</w:t>
      </w:r>
      <w:r>
        <w:rPr>
          <w:spacing w:val="-5"/>
        </w:rPr>
        <w:t> </w:t>
      </w:r>
      <w:r>
        <w:rPr/>
        <w:t>coordination, this study</w:t>
      </w:r>
      <w:r>
        <w:rPr>
          <w:spacing w:val="-8"/>
        </w:rPr>
        <w:t> </w:t>
      </w:r>
      <w:r>
        <w:rPr/>
        <w:t>seeks to</w:t>
      </w:r>
      <w:r>
        <w:rPr>
          <w:spacing w:val="2"/>
        </w:rPr>
        <w:t> </w:t>
      </w:r>
      <w:r>
        <w:rPr/>
        <w:t>answer the following</w:t>
      </w:r>
      <w:r>
        <w:rPr>
          <w:spacing w:val="-3"/>
        </w:rPr>
        <w:t> </w:t>
      </w:r>
      <w:r>
        <w:rPr/>
        <w:t>questions:</w:t>
      </w:r>
    </w:p>
    <w:p>
      <w:pPr>
        <w:pStyle w:val="ListParagraph"/>
        <w:numPr>
          <w:ilvl w:val="0"/>
          <w:numId w:val="9"/>
        </w:numPr>
        <w:tabs>
          <w:tab w:pos="2068" w:val="left" w:leader="none"/>
        </w:tabs>
        <w:spacing w:line="240" w:lineRule="auto" w:before="201" w:after="0"/>
        <w:ind w:left="2067" w:right="0" w:hanging="308"/>
        <w:jc w:val="both"/>
        <w:rPr>
          <w:sz w:val="24"/>
        </w:rPr>
      </w:pPr>
      <w:r>
        <w:rPr>
          <w:sz w:val="24"/>
        </w:rPr>
        <w:t>To what extent does fiscal policy</w:t>
      </w:r>
      <w:r>
        <w:rPr>
          <w:spacing w:val="-5"/>
          <w:sz w:val="24"/>
        </w:rPr>
        <w:t> </w:t>
      </w:r>
      <w:r>
        <w:rPr>
          <w:sz w:val="24"/>
        </w:rPr>
        <w:t>interact</w:t>
      </w:r>
      <w:r>
        <w:rPr>
          <w:spacing w:val="3"/>
          <w:sz w:val="24"/>
        </w:rPr>
        <w:t> </w:t>
      </w:r>
      <w:r>
        <w:rPr>
          <w:sz w:val="24"/>
        </w:rPr>
        <w:t>with monetary</w:t>
      </w:r>
      <w:r>
        <w:rPr>
          <w:spacing w:val="-5"/>
          <w:sz w:val="24"/>
        </w:rPr>
        <w:t> </w:t>
      </w:r>
      <w:r>
        <w:rPr>
          <w:sz w:val="24"/>
        </w:rPr>
        <w:t>policy</w:t>
      </w:r>
      <w:r>
        <w:rPr>
          <w:spacing w:val="-5"/>
          <w:sz w:val="24"/>
        </w:rPr>
        <w:t> </w:t>
      </w:r>
      <w:r>
        <w:rPr>
          <w:sz w:val="24"/>
        </w:rPr>
        <w:t>in Nigeria?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9"/>
        </w:numPr>
        <w:tabs>
          <w:tab w:pos="2070" w:val="left" w:leader="none"/>
        </w:tabs>
        <w:spacing w:line="240" w:lineRule="auto" w:before="0" w:after="0"/>
        <w:ind w:left="2069" w:right="0" w:hanging="310"/>
        <w:jc w:val="left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transmission</w:t>
      </w:r>
      <w:r>
        <w:rPr>
          <w:spacing w:val="-3"/>
          <w:sz w:val="24"/>
        </w:rPr>
        <w:t> </w:t>
      </w:r>
      <w:r>
        <w:rPr>
          <w:sz w:val="24"/>
        </w:rPr>
        <w:t>effect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policy</w:t>
      </w:r>
      <w:r>
        <w:rPr>
          <w:spacing w:val="-8"/>
          <w:sz w:val="24"/>
        </w:rPr>
        <w:t> </w:t>
      </w:r>
      <w:r>
        <w:rPr>
          <w:sz w:val="24"/>
        </w:rPr>
        <w:t>interaction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output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inflation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Nigeria?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9"/>
        </w:numPr>
        <w:tabs>
          <w:tab w:pos="2082" w:val="left" w:leader="none"/>
        </w:tabs>
        <w:spacing w:line="360" w:lineRule="auto" w:before="0" w:after="0"/>
        <w:ind w:left="2120" w:right="1729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optimal fiscal and</w:t>
      </w:r>
      <w:r>
        <w:rPr>
          <w:spacing w:val="-1"/>
          <w:sz w:val="24"/>
        </w:rPr>
        <w:t> </w:t>
      </w:r>
      <w:r>
        <w:rPr>
          <w:sz w:val="24"/>
        </w:rPr>
        <w:t>monetary</w:t>
      </w:r>
      <w:r>
        <w:rPr>
          <w:spacing w:val="-5"/>
          <w:sz w:val="24"/>
        </w:rPr>
        <w:t> </w:t>
      </w:r>
      <w:r>
        <w:rPr>
          <w:sz w:val="24"/>
        </w:rPr>
        <w:t>policy</w:t>
      </w:r>
      <w:r>
        <w:rPr>
          <w:spacing w:val="-4"/>
          <w:sz w:val="24"/>
        </w:rPr>
        <w:t> </w:t>
      </w:r>
      <w:r>
        <w:rPr>
          <w:sz w:val="24"/>
        </w:rPr>
        <w:t>mix</w:t>
      </w:r>
      <w:r>
        <w:rPr>
          <w:spacing w:val="-1"/>
          <w:sz w:val="24"/>
        </w:rPr>
        <w:t> </w:t>
      </w:r>
      <w:r>
        <w:rPr>
          <w:sz w:val="24"/>
        </w:rPr>
        <w:t>that guarantees</w:t>
      </w:r>
      <w:r>
        <w:rPr>
          <w:spacing w:val="-1"/>
          <w:sz w:val="24"/>
        </w:rPr>
        <w:t> </w:t>
      </w:r>
      <w:r>
        <w:rPr>
          <w:sz w:val="24"/>
        </w:rPr>
        <w:t>output and</w:t>
      </w:r>
      <w:r>
        <w:rPr>
          <w:spacing w:val="-1"/>
          <w:sz w:val="24"/>
        </w:rPr>
        <w:t> </w:t>
      </w:r>
      <w:r>
        <w:rPr>
          <w:sz w:val="24"/>
        </w:rPr>
        <w:t>inflation</w:t>
      </w:r>
      <w:r>
        <w:rPr>
          <w:spacing w:val="-57"/>
          <w:sz w:val="24"/>
        </w:rPr>
        <w:t> </w:t>
      </w:r>
      <w:r>
        <w:rPr>
          <w:sz w:val="24"/>
        </w:rPr>
        <w:t>stability</w:t>
      </w:r>
      <w:r>
        <w:rPr>
          <w:spacing w:val="-8"/>
          <w:sz w:val="24"/>
        </w:rPr>
        <w:t> </w:t>
      </w:r>
      <w:r>
        <w:rPr>
          <w:sz w:val="24"/>
        </w:rPr>
        <w:t>in Nigeria?</w:t>
      </w:r>
    </w:p>
    <w:p>
      <w:pPr>
        <w:pStyle w:val="Heading1"/>
        <w:numPr>
          <w:ilvl w:val="1"/>
          <w:numId w:val="8"/>
        </w:numPr>
        <w:tabs>
          <w:tab w:pos="2150" w:val="left" w:leader="none"/>
        </w:tabs>
        <w:spacing w:line="240" w:lineRule="auto" w:before="8" w:after="0"/>
        <w:ind w:left="2149" w:right="0" w:hanging="390"/>
        <w:jc w:val="left"/>
      </w:pPr>
      <w:bookmarkStart w:name="_TOC_250056" w:id="4"/>
      <w:r>
        <w:rPr/>
        <w:t>Research</w:t>
      </w:r>
      <w:r>
        <w:rPr>
          <w:spacing w:val="-1"/>
        </w:rPr>
        <w:t> </w:t>
      </w:r>
      <w:bookmarkEnd w:id="4"/>
      <w:r>
        <w:rPr/>
        <w:t>Objectives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360" w:lineRule="auto" w:before="1"/>
        <w:ind w:left="1760" w:right="1440"/>
        <w:jc w:val="both"/>
      </w:pPr>
      <w:r>
        <w:rPr/>
        <w:t>The broad objective of this thesis is to examine the interactions between fiscal and monetary</w:t>
      </w:r>
      <w:r>
        <w:rPr>
          <w:spacing w:val="1"/>
        </w:rPr>
        <w:t> </w:t>
      </w:r>
      <w:r>
        <w:rPr/>
        <w:t>policy</w:t>
      </w:r>
      <w:r>
        <w:rPr>
          <w:spacing w:val="-6"/>
        </w:rPr>
        <w:t> </w:t>
      </w:r>
      <w:r>
        <w:rPr/>
        <w:t>under alternative</w:t>
      </w:r>
      <w:r>
        <w:rPr>
          <w:spacing w:val="-1"/>
        </w:rPr>
        <w:t> </w:t>
      </w:r>
      <w:r>
        <w:rPr/>
        <w:t>assumptions. The</w:t>
      </w:r>
      <w:r>
        <w:rPr>
          <w:spacing w:val="-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objectives are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0"/>
          <w:numId w:val="10"/>
        </w:numPr>
        <w:tabs>
          <w:tab w:pos="2068" w:val="left" w:leader="none"/>
        </w:tabs>
        <w:spacing w:line="240" w:lineRule="auto" w:before="201" w:after="0"/>
        <w:ind w:left="2067" w:right="0" w:hanging="308"/>
        <w:jc w:val="left"/>
        <w:rPr>
          <w:sz w:val="24"/>
        </w:rPr>
      </w:pPr>
      <w:r>
        <w:rPr>
          <w:sz w:val="24"/>
        </w:rPr>
        <w:t>assess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extent to which fiscal</w:t>
      </w:r>
      <w:r>
        <w:rPr>
          <w:spacing w:val="-1"/>
          <w:sz w:val="24"/>
        </w:rPr>
        <w:t> </w:t>
      </w:r>
      <w:r>
        <w:rPr>
          <w:sz w:val="24"/>
        </w:rPr>
        <w:t>policy</w:t>
      </w:r>
      <w:r>
        <w:rPr>
          <w:spacing w:val="-5"/>
          <w:sz w:val="24"/>
        </w:rPr>
        <w:t> </w:t>
      </w:r>
      <w:r>
        <w:rPr>
          <w:sz w:val="24"/>
        </w:rPr>
        <w:t>interacts with monetary</w:t>
      </w:r>
      <w:r>
        <w:rPr>
          <w:spacing w:val="-5"/>
          <w:sz w:val="24"/>
        </w:rPr>
        <w:t> </w:t>
      </w:r>
      <w:r>
        <w:rPr>
          <w:sz w:val="24"/>
        </w:rPr>
        <w:t>policy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Nigeria;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0"/>
        </w:numPr>
        <w:tabs>
          <w:tab w:pos="2056" w:val="left" w:leader="none"/>
        </w:tabs>
        <w:spacing w:line="360" w:lineRule="auto" w:before="1" w:after="0"/>
        <w:ind w:left="2060" w:right="1443" w:hanging="300"/>
        <w:jc w:val="left"/>
        <w:rPr>
          <w:sz w:val="24"/>
        </w:rPr>
      </w:pPr>
      <w:r>
        <w:rPr>
          <w:spacing w:val="-1"/>
          <w:sz w:val="24"/>
        </w:rPr>
        <w:t>examine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transmission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effect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policy</w:t>
      </w:r>
      <w:r>
        <w:rPr>
          <w:spacing w:val="-15"/>
          <w:sz w:val="24"/>
        </w:rPr>
        <w:t> </w:t>
      </w:r>
      <w:r>
        <w:rPr>
          <w:sz w:val="24"/>
        </w:rPr>
        <w:t>interactions</w:t>
      </w:r>
      <w:r>
        <w:rPr>
          <w:spacing w:val="-9"/>
          <w:sz w:val="24"/>
        </w:rPr>
        <w:t> </w:t>
      </w:r>
      <w:r>
        <w:rPr>
          <w:sz w:val="24"/>
        </w:rPr>
        <w:t>on</w:t>
      </w:r>
      <w:r>
        <w:rPr>
          <w:spacing w:val="-10"/>
          <w:sz w:val="24"/>
        </w:rPr>
        <w:t> </w:t>
      </w:r>
      <w:r>
        <w:rPr>
          <w:sz w:val="24"/>
        </w:rPr>
        <w:t>output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inflation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sz w:val="24"/>
        </w:rPr>
        <w:t>Nigeria;</w:t>
      </w:r>
      <w:r>
        <w:rPr>
          <w:spacing w:val="-57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0"/>
        </w:numPr>
        <w:tabs>
          <w:tab w:pos="2082" w:val="left" w:leader="none"/>
        </w:tabs>
        <w:spacing w:line="360" w:lineRule="auto" w:before="0" w:after="0"/>
        <w:ind w:left="2060" w:right="1516" w:hanging="300"/>
        <w:jc w:val="left"/>
        <w:rPr>
          <w:sz w:val="24"/>
        </w:rPr>
      </w:pPr>
      <w:r>
        <w:rPr>
          <w:sz w:val="24"/>
        </w:rPr>
        <w:t>investigate the</w:t>
      </w:r>
      <w:r>
        <w:rPr>
          <w:spacing w:val="-1"/>
          <w:sz w:val="24"/>
        </w:rPr>
        <w:t> </w:t>
      </w:r>
      <w:r>
        <w:rPr>
          <w:sz w:val="24"/>
        </w:rPr>
        <w:t>optimal fiscal and monetary</w:t>
      </w:r>
      <w:r>
        <w:rPr>
          <w:spacing w:val="-5"/>
          <w:sz w:val="24"/>
        </w:rPr>
        <w:t> </w:t>
      </w:r>
      <w:r>
        <w:rPr>
          <w:sz w:val="24"/>
        </w:rPr>
        <w:t>policy</w:t>
      </w:r>
      <w:r>
        <w:rPr>
          <w:spacing w:val="-4"/>
          <w:sz w:val="24"/>
        </w:rPr>
        <w:t> </w:t>
      </w:r>
      <w:r>
        <w:rPr>
          <w:sz w:val="24"/>
        </w:rPr>
        <w:t>mix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output and inflation stability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Nigeria.</w:t>
      </w:r>
    </w:p>
    <w:p>
      <w:pPr>
        <w:pStyle w:val="Heading2"/>
        <w:numPr>
          <w:ilvl w:val="1"/>
          <w:numId w:val="8"/>
        </w:numPr>
        <w:tabs>
          <w:tab w:pos="2150" w:val="left" w:leader="none"/>
        </w:tabs>
        <w:spacing w:line="297" w:lineRule="exact" w:before="0" w:after="0"/>
        <w:ind w:left="2149" w:right="0" w:hanging="390"/>
        <w:jc w:val="left"/>
      </w:pPr>
      <w:bookmarkStart w:name="_TOC_250055" w:id="5"/>
      <w:r>
        <w:rPr/>
        <w:t>Research</w:t>
      </w:r>
      <w:r>
        <w:rPr>
          <w:spacing w:val="-2"/>
        </w:rPr>
        <w:t> </w:t>
      </w:r>
      <w:bookmarkEnd w:id="5"/>
      <w:r>
        <w:rPr/>
        <w:t>Hypotheses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530" w:lineRule="auto" w:before="1"/>
        <w:ind w:left="1760" w:right="2835"/>
      </w:pP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5"/>
        </w:rPr>
        <w:t> </w:t>
      </w:r>
      <w:r>
        <w:rPr/>
        <w:t>tests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hypotheses stated in both null 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alternative:</w:t>
      </w:r>
      <w:r>
        <w:rPr>
          <w:spacing w:val="-57"/>
        </w:rPr>
        <w:t> </w:t>
      </w:r>
      <w:r>
        <w:rPr>
          <w:position w:val="2"/>
        </w:rPr>
        <w:t>H</w:t>
      </w:r>
      <w:r>
        <w:rPr>
          <w:sz w:val="16"/>
        </w:rPr>
        <w:t>01</w:t>
      </w:r>
      <w:r>
        <w:rPr>
          <w:position w:val="2"/>
        </w:rPr>
        <w:t>:</w:t>
      </w:r>
      <w:r>
        <w:rPr>
          <w:spacing w:val="59"/>
          <w:position w:val="2"/>
        </w:rPr>
        <w:t> </w:t>
      </w:r>
      <w:r>
        <w:rPr>
          <w:position w:val="2"/>
        </w:rPr>
        <w:t>Fiscal policy</w:t>
      </w:r>
      <w:r>
        <w:rPr>
          <w:spacing w:val="-5"/>
          <w:position w:val="2"/>
        </w:rPr>
        <w:t> </w:t>
      </w:r>
      <w:r>
        <w:rPr>
          <w:position w:val="2"/>
        </w:rPr>
        <w:t>has no</w:t>
      </w:r>
      <w:r>
        <w:rPr>
          <w:spacing w:val="2"/>
          <w:position w:val="2"/>
        </w:rPr>
        <w:t> </w:t>
      </w:r>
      <w:r>
        <w:rPr>
          <w:position w:val="2"/>
        </w:rPr>
        <w:t>interaction</w:t>
      </w:r>
      <w:r>
        <w:rPr>
          <w:spacing w:val="-1"/>
          <w:position w:val="2"/>
        </w:rPr>
        <w:t> </w:t>
      </w:r>
      <w:r>
        <w:rPr>
          <w:position w:val="2"/>
        </w:rPr>
        <w:t>with monetary</w:t>
      </w:r>
      <w:r>
        <w:rPr>
          <w:spacing w:val="-3"/>
          <w:position w:val="2"/>
        </w:rPr>
        <w:t> </w:t>
      </w:r>
      <w:r>
        <w:rPr>
          <w:position w:val="2"/>
        </w:rPr>
        <w:t>policy</w:t>
      </w:r>
      <w:r>
        <w:rPr>
          <w:spacing w:val="-5"/>
          <w:position w:val="2"/>
        </w:rPr>
        <w:t> </w:t>
      </w:r>
      <w:r>
        <w:rPr>
          <w:position w:val="2"/>
        </w:rPr>
        <w:t>in Nigeria</w:t>
      </w:r>
    </w:p>
    <w:p>
      <w:pPr>
        <w:pStyle w:val="BodyText"/>
        <w:spacing w:before="3"/>
        <w:ind w:left="1760"/>
      </w:pPr>
      <w:r>
        <w:rPr>
          <w:position w:val="2"/>
        </w:rPr>
        <w:t>H</w:t>
      </w:r>
      <w:r>
        <w:rPr>
          <w:sz w:val="16"/>
        </w:rPr>
        <w:t>11</w:t>
      </w:r>
      <w:r>
        <w:rPr>
          <w:position w:val="2"/>
        </w:rPr>
        <w:t>:</w:t>
      </w:r>
      <w:r>
        <w:rPr>
          <w:spacing w:val="59"/>
          <w:position w:val="2"/>
        </w:rPr>
        <w:t> </w:t>
      </w:r>
      <w:r>
        <w:rPr>
          <w:position w:val="2"/>
        </w:rPr>
        <w:t>Fiscal policy</w:t>
      </w:r>
      <w:r>
        <w:rPr>
          <w:spacing w:val="-5"/>
          <w:position w:val="2"/>
        </w:rPr>
        <w:t> </w:t>
      </w:r>
      <w:r>
        <w:rPr>
          <w:position w:val="2"/>
        </w:rPr>
        <w:t>has interaction with monetary</w:t>
      </w:r>
      <w:r>
        <w:rPr>
          <w:spacing w:val="-5"/>
          <w:position w:val="2"/>
        </w:rPr>
        <w:t> </w:t>
      </w:r>
      <w:r>
        <w:rPr>
          <w:position w:val="2"/>
        </w:rPr>
        <w:t>policy</w:t>
      </w:r>
      <w:r>
        <w:rPr>
          <w:spacing w:val="-5"/>
          <w:position w:val="2"/>
        </w:rPr>
        <w:t> </w:t>
      </w:r>
      <w:r>
        <w:rPr>
          <w:position w:val="2"/>
        </w:rPr>
        <w:t>in Nigeria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532" w:lineRule="auto" w:before="1"/>
        <w:ind w:left="1760" w:right="1440"/>
        <w:jc w:val="both"/>
      </w:pPr>
      <w:r>
        <w:rPr>
          <w:position w:val="2"/>
        </w:rPr>
        <w:t>H</w:t>
      </w:r>
      <w:r>
        <w:rPr>
          <w:sz w:val="16"/>
        </w:rPr>
        <w:t>02</w:t>
      </w:r>
      <w:r>
        <w:rPr>
          <w:position w:val="2"/>
        </w:rPr>
        <w:t>:</w:t>
      </w:r>
      <w:r>
        <w:rPr>
          <w:spacing w:val="44"/>
          <w:position w:val="2"/>
        </w:rPr>
        <w:t> </w:t>
      </w:r>
      <w:r>
        <w:rPr>
          <w:position w:val="2"/>
        </w:rPr>
        <w:t>There</w:t>
      </w:r>
      <w:r>
        <w:rPr>
          <w:spacing w:val="-10"/>
          <w:position w:val="2"/>
        </w:rPr>
        <w:t> </w:t>
      </w:r>
      <w:r>
        <w:rPr>
          <w:position w:val="2"/>
        </w:rPr>
        <w:t>is</w:t>
      </w:r>
      <w:r>
        <w:rPr>
          <w:spacing w:val="-8"/>
          <w:position w:val="2"/>
        </w:rPr>
        <w:t> </w:t>
      </w:r>
      <w:r>
        <w:rPr>
          <w:position w:val="2"/>
        </w:rPr>
        <w:t>no</w:t>
      </w:r>
      <w:r>
        <w:rPr>
          <w:spacing w:val="-9"/>
          <w:position w:val="2"/>
        </w:rPr>
        <w:t> </w:t>
      </w:r>
      <w:r>
        <w:rPr>
          <w:position w:val="2"/>
        </w:rPr>
        <w:t>transmission</w:t>
      </w:r>
      <w:r>
        <w:rPr>
          <w:spacing w:val="-7"/>
          <w:position w:val="2"/>
        </w:rPr>
        <w:t> </w:t>
      </w:r>
      <w:r>
        <w:rPr>
          <w:position w:val="2"/>
        </w:rPr>
        <w:t>effect</w:t>
      </w:r>
      <w:r>
        <w:rPr>
          <w:spacing w:val="-8"/>
          <w:position w:val="2"/>
        </w:rPr>
        <w:t> </w:t>
      </w:r>
      <w:r>
        <w:rPr>
          <w:position w:val="2"/>
        </w:rPr>
        <w:t>of</w:t>
      </w:r>
      <w:r>
        <w:rPr>
          <w:spacing w:val="-9"/>
          <w:position w:val="2"/>
        </w:rPr>
        <w:t> </w:t>
      </w:r>
      <w:r>
        <w:rPr>
          <w:position w:val="2"/>
        </w:rPr>
        <w:t>the</w:t>
      </w:r>
      <w:r>
        <w:rPr>
          <w:spacing w:val="-10"/>
          <w:position w:val="2"/>
        </w:rPr>
        <w:t> </w:t>
      </w:r>
      <w:r>
        <w:rPr>
          <w:position w:val="2"/>
        </w:rPr>
        <w:t>policy</w:t>
      </w:r>
      <w:r>
        <w:rPr>
          <w:spacing w:val="-13"/>
          <w:position w:val="2"/>
        </w:rPr>
        <w:t> </w:t>
      </w:r>
      <w:r>
        <w:rPr>
          <w:position w:val="2"/>
        </w:rPr>
        <w:t>interaction</w:t>
      </w:r>
      <w:r>
        <w:rPr>
          <w:spacing w:val="-8"/>
          <w:position w:val="2"/>
        </w:rPr>
        <w:t> </w:t>
      </w:r>
      <w:r>
        <w:rPr>
          <w:position w:val="2"/>
        </w:rPr>
        <w:t>on</w:t>
      </w:r>
      <w:r>
        <w:rPr>
          <w:spacing w:val="-9"/>
          <w:position w:val="2"/>
        </w:rPr>
        <w:t> </w:t>
      </w:r>
      <w:r>
        <w:rPr>
          <w:position w:val="2"/>
        </w:rPr>
        <w:t>output</w:t>
      </w:r>
      <w:r>
        <w:rPr>
          <w:spacing w:val="-8"/>
          <w:position w:val="2"/>
        </w:rPr>
        <w:t> </w:t>
      </w:r>
      <w:r>
        <w:rPr>
          <w:position w:val="2"/>
        </w:rPr>
        <w:t>and</w:t>
      </w:r>
      <w:r>
        <w:rPr>
          <w:spacing w:val="-9"/>
          <w:position w:val="2"/>
        </w:rPr>
        <w:t> </w:t>
      </w:r>
      <w:r>
        <w:rPr>
          <w:position w:val="2"/>
        </w:rPr>
        <w:t>inflation</w:t>
      </w:r>
      <w:r>
        <w:rPr>
          <w:spacing w:val="-9"/>
          <w:position w:val="2"/>
        </w:rPr>
        <w:t> </w:t>
      </w:r>
      <w:r>
        <w:rPr>
          <w:position w:val="2"/>
        </w:rPr>
        <w:t>in</w:t>
      </w:r>
      <w:r>
        <w:rPr>
          <w:spacing w:val="-8"/>
          <w:position w:val="2"/>
        </w:rPr>
        <w:t> </w:t>
      </w:r>
      <w:r>
        <w:rPr>
          <w:position w:val="2"/>
        </w:rPr>
        <w:t>Nigeria</w:t>
      </w:r>
      <w:r>
        <w:rPr>
          <w:spacing w:val="-57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12</w:t>
      </w:r>
      <w:r>
        <w:rPr>
          <w:position w:val="2"/>
        </w:rPr>
        <w:t>:</w:t>
      </w:r>
      <w:r>
        <w:rPr>
          <w:spacing w:val="1"/>
          <w:position w:val="2"/>
        </w:rPr>
        <w:t> </w:t>
      </w:r>
      <w:r>
        <w:rPr>
          <w:position w:val="2"/>
        </w:rPr>
        <w:t>There is a transmission effect of the policy interaction on output and inflation in Nigeria</w:t>
      </w:r>
      <w:r>
        <w:rPr>
          <w:spacing w:val="-57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03</w:t>
      </w:r>
      <w:r>
        <w:rPr>
          <w:position w:val="2"/>
        </w:rPr>
        <w:t>:</w:t>
      </w:r>
      <w:r>
        <w:rPr>
          <w:spacing w:val="2"/>
          <w:position w:val="2"/>
        </w:rPr>
        <w:t> </w:t>
      </w:r>
      <w:r>
        <w:rPr>
          <w:position w:val="2"/>
        </w:rPr>
        <w:t>There</w:t>
      </w:r>
      <w:r>
        <w:rPr>
          <w:spacing w:val="-2"/>
          <w:position w:val="2"/>
        </w:rPr>
        <w:t> </w:t>
      </w:r>
      <w:r>
        <w:rPr>
          <w:position w:val="2"/>
        </w:rPr>
        <w:t>is no optimal</w:t>
      </w:r>
      <w:r>
        <w:rPr>
          <w:spacing w:val="-3"/>
          <w:position w:val="2"/>
        </w:rPr>
        <w:t> </w:t>
      </w:r>
      <w:r>
        <w:rPr>
          <w:position w:val="2"/>
        </w:rPr>
        <w:t>fiscal and monetary</w:t>
      </w:r>
      <w:r>
        <w:rPr>
          <w:spacing w:val="-5"/>
          <w:position w:val="2"/>
        </w:rPr>
        <w:t> </w:t>
      </w:r>
      <w:r>
        <w:rPr>
          <w:position w:val="2"/>
        </w:rPr>
        <w:t>policy</w:t>
      </w:r>
      <w:r>
        <w:rPr>
          <w:spacing w:val="-2"/>
          <w:position w:val="2"/>
        </w:rPr>
        <w:t> </w:t>
      </w:r>
      <w:r>
        <w:rPr>
          <w:position w:val="2"/>
        </w:rPr>
        <w:t>mix</w:t>
      </w:r>
      <w:r>
        <w:rPr>
          <w:spacing w:val="2"/>
          <w:position w:val="2"/>
        </w:rPr>
        <w:t> </w:t>
      </w:r>
      <w:r>
        <w:rPr>
          <w:position w:val="2"/>
        </w:rPr>
        <w:t>for</w:t>
      </w:r>
      <w:r>
        <w:rPr>
          <w:spacing w:val="-2"/>
          <w:position w:val="2"/>
        </w:rPr>
        <w:t> </w:t>
      </w:r>
      <w:r>
        <w:rPr>
          <w:position w:val="2"/>
        </w:rPr>
        <w:t>output and inflation stability</w:t>
      </w:r>
      <w:r>
        <w:rPr>
          <w:spacing w:val="-2"/>
          <w:position w:val="2"/>
        </w:rPr>
        <w:t> </w:t>
      </w:r>
      <w:r>
        <w:rPr>
          <w:position w:val="2"/>
        </w:rPr>
        <w:t>in</w:t>
      </w:r>
    </w:p>
    <w:p>
      <w:pPr>
        <w:spacing w:after="0" w:line="532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before="74"/>
        <w:ind w:left="2300"/>
      </w:pPr>
      <w:r>
        <w:rPr/>
        <w:t>Nigeria</w:t>
      </w:r>
    </w:p>
    <w:p>
      <w:pPr>
        <w:pStyle w:val="BodyText"/>
        <w:spacing w:line="360" w:lineRule="auto" w:before="136"/>
        <w:ind w:left="2300" w:right="1430" w:hanging="540"/>
      </w:pPr>
      <w:r>
        <w:rPr>
          <w:position w:val="2"/>
        </w:rPr>
        <w:t>H</w:t>
      </w:r>
      <w:r>
        <w:rPr>
          <w:sz w:val="16"/>
        </w:rPr>
        <w:t>13</w:t>
      </w:r>
      <w:r>
        <w:rPr>
          <w:position w:val="2"/>
        </w:rPr>
        <w:t>:</w:t>
      </w:r>
      <w:r>
        <w:rPr>
          <w:spacing w:val="1"/>
          <w:position w:val="2"/>
        </w:rPr>
        <w:t> </w:t>
      </w:r>
      <w:r>
        <w:rPr>
          <w:position w:val="2"/>
        </w:rPr>
        <w:t>There</w:t>
      </w:r>
      <w:r>
        <w:rPr>
          <w:spacing w:val="-2"/>
          <w:position w:val="2"/>
        </w:rPr>
        <w:t> </w:t>
      </w:r>
      <w:r>
        <w:rPr>
          <w:position w:val="2"/>
        </w:rPr>
        <w:t>is an optimal fiscal and monetary</w:t>
      </w:r>
      <w:r>
        <w:rPr>
          <w:spacing w:val="-5"/>
          <w:position w:val="2"/>
        </w:rPr>
        <w:t> </w:t>
      </w:r>
      <w:r>
        <w:rPr>
          <w:position w:val="2"/>
        </w:rPr>
        <w:t>policy</w:t>
      </w:r>
      <w:r>
        <w:rPr>
          <w:spacing w:val="-3"/>
          <w:position w:val="2"/>
        </w:rPr>
        <w:t> </w:t>
      </w:r>
      <w:r>
        <w:rPr>
          <w:position w:val="2"/>
        </w:rPr>
        <w:t>mix</w:t>
      </w:r>
      <w:r>
        <w:rPr>
          <w:spacing w:val="2"/>
          <w:position w:val="2"/>
        </w:rPr>
        <w:t> </w:t>
      </w:r>
      <w:r>
        <w:rPr>
          <w:position w:val="2"/>
        </w:rPr>
        <w:t>for</w:t>
      </w:r>
      <w:r>
        <w:rPr>
          <w:spacing w:val="-1"/>
          <w:position w:val="2"/>
        </w:rPr>
        <w:t> </w:t>
      </w:r>
      <w:r>
        <w:rPr>
          <w:position w:val="2"/>
        </w:rPr>
        <w:t>output and inflation stability</w:t>
      </w:r>
      <w:r>
        <w:rPr>
          <w:spacing w:val="-8"/>
          <w:position w:val="2"/>
        </w:rPr>
        <w:t> </w:t>
      </w:r>
      <w:r>
        <w:rPr>
          <w:position w:val="2"/>
        </w:rPr>
        <w:t>in</w:t>
      </w:r>
      <w:r>
        <w:rPr>
          <w:spacing w:val="-57"/>
          <w:position w:val="2"/>
        </w:rPr>
        <w:t> </w:t>
      </w:r>
      <w:r>
        <w:rPr/>
        <w:t>Nigeria</w:t>
      </w:r>
    </w:p>
    <w:p>
      <w:pPr>
        <w:pStyle w:val="Heading1"/>
        <w:numPr>
          <w:ilvl w:val="1"/>
          <w:numId w:val="8"/>
        </w:numPr>
        <w:tabs>
          <w:tab w:pos="2150" w:val="left" w:leader="none"/>
        </w:tabs>
        <w:spacing w:line="240" w:lineRule="auto" w:before="6" w:after="0"/>
        <w:ind w:left="2149" w:right="0" w:hanging="390"/>
        <w:jc w:val="left"/>
      </w:pPr>
      <w:bookmarkStart w:name="_TOC_250054" w:id="6"/>
      <w:r>
        <w:rPr/>
        <w:t>Scope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bookmarkEnd w:id="6"/>
      <w:r>
        <w:rPr/>
        <w:t>the Study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360" w:lineRule="auto" w:before="1"/>
        <w:ind w:left="1760" w:right="1434"/>
        <w:jc w:val="both"/>
      </w:pPr>
      <w:r>
        <w:rPr/>
        <w:t>This thesis runs on two central themes: the impact of fiscal behaviour on monetary decisions</w:t>
      </w:r>
      <w:r>
        <w:rPr>
          <w:spacing w:val="1"/>
        </w:rPr>
        <w:t> </w:t>
      </w:r>
      <w:r>
        <w:rPr/>
        <w:t>and the optimal mix of fiscal and monetary policy in Nigeria. First, the study displayed some</w:t>
      </w:r>
      <w:r>
        <w:rPr>
          <w:spacing w:val="1"/>
        </w:rPr>
        <w:t> </w:t>
      </w:r>
      <w:r>
        <w:rPr/>
        <w:t>empirical facts on fiscal-monetary policy interaction in Nigeria using relevant fiscal and</w:t>
      </w:r>
      <w:r>
        <w:rPr>
          <w:spacing w:val="1"/>
        </w:rPr>
        <w:t> </w:t>
      </w:r>
      <w:r>
        <w:rPr/>
        <w:t>monetary policy targets and instrument variables such as budget deficits, public debt, money</w:t>
      </w:r>
      <w:r>
        <w:rPr>
          <w:spacing w:val="1"/>
        </w:rPr>
        <w:t> </w:t>
      </w:r>
      <w:r>
        <w:rPr/>
        <w:t>supply,</w:t>
      </w:r>
      <w:r>
        <w:rPr>
          <w:spacing w:val="-1"/>
        </w:rPr>
        <w:t> </w:t>
      </w:r>
      <w:r>
        <w:rPr/>
        <w:t>interest rates and</w:t>
      </w:r>
      <w:r>
        <w:rPr>
          <w:spacing w:val="2"/>
        </w:rPr>
        <w:t> </w:t>
      </w:r>
      <w:r>
        <w:rPr/>
        <w:t>inflation rates.</w:t>
      </w:r>
    </w:p>
    <w:p>
      <w:pPr>
        <w:pStyle w:val="BodyText"/>
        <w:spacing w:line="360" w:lineRule="auto" w:before="198"/>
        <w:ind w:left="1760" w:right="1440"/>
        <w:jc w:val="both"/>
      </w:pPr>
      <w:r>
        <w:rPr/>
        <w:t>The work then undertakes both positive and normative analysis. In the positive analysis, this</w:t>
      </w:r>
      <w:r>
        <w:rPr>
          <w:spacing w:val="1"/>
        </w:rPr>
        <w:t> </w:t>
      </w:r>
      <w:r>
        <w:rPr/>
        <w:t>thesis</w:t>
      </w:r>
      <w:r>
        <w:rPr>
          <w:spacing w:val="-6"/>
        </w:rPr>
        <w:t> </w:t>
      </w:r>
      <w:r>
        <w:rPr/>
        <w:t>considers</w:t>
      </w:r>
      <w:r>
        <w:rPr>
          <w:spacing w:val="-7"/>
        </w:rPr>
        <w:t> </w:t>
      </w:r>
      <w:r>
        <w:rPr/>
        <w:t>whether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how</w:t>
      </w:r>
      <w:r>
        <w:rPr>
          <w:spacing w:val="-7"/>
        </w:rPr>
        <w:t> </w:t>
      </w:r>
      <w:r>
        <w:rPr/>
        <w:t>fiscal</w:t>
      </w:r>
      <w:r>
        <w:rPr>
          <w:spacing w:val="-6"/>
        </w:rPr>
        <w:t> </w:t>
      </w:r>
      <w:r>
        <w:rPr/>
        <w:t>policy</w:t>
      </w:r>
      <w:r>
        <w:rPr>
          <w:spacing w:val="-11"/>
        </w:rPr>
        <w:t> </w:t>
      </w:r>
      <w:r>
        <w:rPr/>
        <w:t>variables</w:t>
      </w:r>
      <w:r>
        <w:rPr>
          <w:spacing w:val="-6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government</w:t>
      </w:r>
      <w:r>
        <w:rPr>
          <w:spacing w:val="-6"/>
        </w:rPr>
        <w:t> </w:t>
      </w:r>
      <w:r>
        <w:rPr/>
        <w:t>spending,</w:t>
      </w:r>
      <w:r>
        <w:rPr>
          <w:spacing w:val="-6"/>
        </w:rPr>
        <w:t> </w:t>
      </w:r>
      <w:r>
        <w:rPr/>
        <w:t>budget</w:t>
      </w:r>
      <w:r>
        <w:rPr>
          <w:spacing w:val="-57"/>
        </w:rPr>
        <w:t> </w:t>
      </w:r>
      <w:r>
        <w:rPr/>
        <w:t>deficit, debt influences the Central Bank’s goal of low and stable inflation. In case of the</w:t>
      </w:r>
      <w:r>
        <w:rPr>
          <w:spacing w:val="1"/>
        </w:rPr>
        <w:t> </w:t>
      </w:r>
      <w:r>
        <w:rPr/>
        <w:t>normative study, the work draws from literature on macroeconomic policy design to conduct</w:t>
      </w:r>
      <w:r>
        <w:rPr>
          <w:spacing w:val="1"/>
        </w:rPr>
        <w:t> </w:t>
      </w:r>
      <w:r>
        <w:rPr/>
        <w:t>some sensitive policy</w:t>
      </w:r>
      <w:r>
        <w:rPr>
          <w:spacing w:val="-5"/>
        </w:rPr>
        <w:t> </w:t>
      </w:r>
      <w:r>
        <w:rPr/>
        <w:t>analysis in order to determine</w:t>
      </w:r>
      <w:r>
        <w:rPr>
          <w:spacing w:val="-1"/>
        </w:rPr>
        <w:t> </w:t>
      </w:r>
      <w:r>
        <w:rPr/>
        <w:t>optimal</w:t>
      </w:r>
      <w:r>
        <w:rPr>
          <w:spacing w:val="1"/>
        </w:rPr>
        <w:t> </w:t>
      </w:r>
      <w:r>
        <w:rPr/>
        <w:t>fiscal and monetary</w:t>
      </w:r>
      <w:r>
        <w:rPr>
          <w:spacing w:val="-1"/>
        </w:rPr>
        <w:t> </w:t>
      </w:r>
      <w:r>
        <w:rPr/>
        <w:t>policy</w:t>
      </w:r>
      <w:r>
        <w:rPr>
          <w:spacing w:val="-5"/>
        </w:rPr>
        <w:t> </w:t>
      </w:r>
      <w:r>
        <w:rPr/>
        <w:t>mix.</w:t>
      </w:r>
    </w:p>
    <w:p>
      <w:pPr>
        <w:pStyle w:val="BodyText"/>
        <w:spacing w:line="360" w:lineRule="auto" w:before="201"/>
        <w:ind w:left="1760" w:right="1441"/>
        <w:jc w:val="both"/>
      </w:pPr>
      <w:r>
        <w:rPr/>
        <w:t>The study covers the period from 1961Q1 to 2016Q4. This period is regarded as sufficient in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sample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analysing</w:t>
      </w:r>
      <w:r>
        <w:rPr>
          <w:spacing w:val="-3"/>
        </w:rPr>
        <w:t> </w:t>
      </w:r>
      <w:r>
        <w:rPr/>
        <w:t>fiscal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monetary</w:t>
      </w:r>
      <w:r>
        <w:rPr>
          <w:spacing w:val="-8"/>
        </w:rPr>
        <w:t> </w:t>
      </w:r>
      <w:r>
        <w:rPr/>
        <w:t>policy</w:t>
      </w:r>
      <w:r>
        <w:rPr>
          <w:spacing w:val="-8"/>
        </w:rPr>
        <w:t> </w:t>
      </w:r>
      <w:r>
        <w:rPr/>
        <w:t>interaction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</w:t>
      </w:r>
      <w:r>
        <w:rPr>
          <w:spacing w:val="-8"/>
        </w:rPr>
        <w:t> </w:t>
      </w:r>
      <w:r>
        <w:rPr/>
        <w:t>period</w:t>
      </w:r>
      <w:r>
        <w:rPr>
          <w:spacing w:val="-4"/>
        </w:rPr>
        <w:t> </w:t>
      </w:r>
      <w:r>
        <w:rPr/>
        <w:t>is</w:t>
      </w:r>
      <w:r>
        <w:rPr>
          <w:spacing w:val="-57"/>
        </w:rPr>
        <w:t> </w:t>
      </w:r>
      <w:r>
        <w:rPr/>
        <w:t>also characterised by several shifts in both policies that are necessary for interaction between</w:t>
      </w:r>
      <w:r>
        <w:rPr>
          <w:spacing w:val="1"/>
        </w:rPr>
        <w:t> </w:t>
      </w:r>
      <w:r>
        <w:rPr/>
        <w:t>them.</w:t>
      </w:r>
      <w:r>
        <w:rPr>
          <w:spacing w:val="-4"/>
        </w:rPr>
        <w:t> </w:t>
      </w:r>
      <w:r>
        <w:rPr/>
        <w:t>These</w:t>
      </w:r>
      <w:r>
        <w:rPr>
          <w:spacing w:val="-5"/>
        </w:rPr>
        <w:t> </w:t>
      </w:r>
      <w:r>
        <w:rPr/>
        <w:t>include</w:t>
      </w:r>
      <w:r>
        <w:rPr>
          <w:spacing w:val="-5"/>
        </w:rPr>
        <w:t> </w:t>
      </w:r>
      <w:r>
        <w:rPr/>
        <w:t>changes in</w:t>
      </w:r>
      <w:r>
        <w:rPr>
          <w:spacing w:val="-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that</w:t>
      </w:r>
      <w:r>
        <w:rPr>
          <w:spacing w:val="-3"/>
        </w:rPr>
        <w:t> </w:t>
      </w:r>
      <w:r>
        <w:rPr/>
        <w:t>can</w:t>
      </w:r>
      <w:r>
        <w:rPr>
          <w:spacing w:val="-4"/>
        </w:rPr>
        <w:t> </w:t>
      </w:r>
      <w:r>
        <w:rPr/>
        <w:t>influence</w:t>
      </w:r>
      <w:r>
        <w:rPr>
          <w:spacing w:val="-5"/>
        </w:rPr>
        <w:t> </w:t>
      </w:r>
      <w:r>
        <w:rPr/>
        <w:t>fiscal</w:t>
      </w:r>
      <w:r>
        <w:rPr>
          <w:spacing w:val="-2"/>
        </w:rPr>
        <w:t> </w:t>
      </w:r>
      <w:r>
        <w:rPr/>
        <w:t>behaviour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period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independence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operational</w:t>
      </w:r>
      <w:r>
        <w:rPr>
          <w:spacing w:val="-1"/>
        </w:rPr>
        <w:t> </w:t>
      </w:r>
      <w:r>
        <w:rPr/>
        <w:t>independence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 Central</w:t>
      </w:r>
      <w:r>
        <w:rPr>
          <w:spacing w:val="-1"/>
        </w:rPr>
        <w:t> </w:t>
      </w:r>
      <w:r>
        <w:rPr/>
        <w:t>Bank of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8"/>
        </w:numPr>
        <w:tabs>
          <w:tab w:pos="2150" w:val="left" w:leader="none"/>
        </w:tabs>
        <w:spacing w:line="240" w:lineRule="auto" w:before="157" w:after="0"/>
        <w:ind w:left="2149" w:right="0" w:hanging="390"/>
        <w:jc w:val="left"/>
      </w:pPr>
      <w:r>
        <w:rPr/>
        <w:t>Significance of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360" w:lineRule="auto"/>
        <w:ind w:left="1760" w:right="1439"/>
        <w:jc w:val="both"/>
      </w:pPr>
      <w:r>
        <w:rPr/>
        <w:t>The attempt to examine the extent of interaction between fiscal policy and monetary policy,</w:t>
      </w:r>
      <w:r>
        <w:rPr>
          <w:spacing w:val="1"/>
        </w:rPr>
        <w:t> </w:t>
      </w:r>
      <w:r>
        <w:rPr/>
        <w:t>and the optimal manner that fiscal and monetary policy should interact, is germane on two</w:t>
      </w:r>
      <w:r>
        <w:rPr>
          <w:spacing w:val="1"/>
        </w:rPr>
        <w:t> </w:t>
      </w:r>
      <w:r>
        <w:rPr/>
        <w:t>grounds. First, it can be taken as a template to empirically guide the interaction between both</w:t>
      </w:r>
      <w:r>
        <w:rPr>
          <w:spacing w:val="1"/>
        </w:rPr>
        <w:t> </w:t>
      </w:r>
      <w:r>
        <w:rPr/>
        <w:t>policy institutions in the future, so that policymakers can formulate and plan macroeconomic</w:t>
      </w:r>
      <w:r>
        <w:rPr>
          <w:spacing w:val="1"/>
        </w:rPr>
        <w:t> </w:t>
      </w:r>
      <w:r>
        <w:rPr/>
        <w:t>targets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 inflation</w:t>
      </w:r>
      <w:r>
        <w:rPr>
          <w:spacing w:val="-1"/>
        </w:rPr>
        <w:t> </w:t>
      </w:r>
      <w:r>
        <w:rPr/>
        <w:t>rates, debt</w:t>
      </w:r>
      <w:r>
        <w:rPr>
          <w:spacing w:val="-1"/>
        </w:rPr>
        <w:t> </w:t>
      </w:r>
      <w:r>
        <w:rPr/>
        <w:t>levels and growth rates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Nigerian economy.</w:t>
      </w:r>
    </w:p>
    <w:p>
      <w:pPr>
        <w:pStyle w:val="BodyText"/>
        <w:spacing w:line="360" w:lineRule="auto" w:before="199"/>
        <w:ind w:left="1760" w:right="1436"/>
        <w:jc w:val="both"/>
      </w:pPr>
      <w:r>
        <w:rPr/>
        <w:t>Secondly, policymakers can also identify and quantify the transmission of fiscal actions on</w:t>
      </w:r>
      <w:r>
        <w:rPr>
          <w:spacing w:val="1"/>
        </w:rPr>
        <w:t> </w:t>
      </w:r>
      <w:r>
        <w:rPr/>
        <w:t>monetary</w:t>
      </w:r>
      <w:r>
        <w:rPr>
          <w:spacing w:val="14"/>
        </w:rPr>
        <w:t> </w:t>
      </w:r>
      <w:r>
        <w:rPr/>
        <w:t>policy</w:t>
      </w:r>
      <w:r>
        <w:rPr>
          <w:spacing w:val="16"/>
        </w:rPr>
        <w:t> </w:t>
      </w:r>
      <w:r>
        <w:rPr/>
        <w:t>and</w:t>
      </w:r>
      <w:r>
        <w:rPr>
          <w:spacing w:val="18"/>
        </w:rPr>
        <w:t> </w:t>
      </w:r>
      <w:r>
        <w:rPr/>
        <w:t>the</w:t>
      </w:r>
      <w:r>
        <w:rPr>
          <w:spacing w:val="21"/>
        </w:rPr>
        <w:t> </w:t>
      </w:r>
      <w:r>
        <w:rPr/>
        <w:t>aggregate</w:t>
      </w:r>
      <w:r>
        <w:rPr>
          <w:spacing w:val="20"/>
        </w:rPr>
        <w:t> </w:t>
      </w:r>
      <w:r>
        <w:rPr/>
        <w:t>economy.</w:t>
      </w:r>
      <w:r>
        <w:rPr>
          <w:spacing w:val="21"/>
        </w:rPr>
        <w:t> </w:t>
      </w:r>
      <w:r>
        <w:rPr/>
        <w:t>Thirdly,</w:t>
      </w:r>
      <w:r>
        <w:rPr>
          <w:spacing w:val="22"/>
        </w:rPr>
        <w:t> </w:t>
      </w:r>
      <w:r>
        <w:rPr/>
        <w:t>the</w:t>
      </w:r>
      <w:r>
        <w:rPr>
          <w:spacing w:val="18"/>
        </w:rPr>
        <w:t> </w:t>
      </w:r>
      <w:r>
        <w:rPr/>
        <w:t>work</w:t>
      </w:r>
      <w:r>
        <w:rPr>
          <w:spacing w:val="18"/>
        </w:rPr>
        <w:t> </w:t>
      </w:r>
      <w:r>
        <w:rPr/>
        <w:t>contributes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relatively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38"/>
        <w:jc w:val="both"/>
      </w:pPr>
      <w:r>
        <w:rPr/>
        <w:t>unexplored literature on fiscal-monetary policy interactions in Nigeria, especially within the</w:t>
      </w:r>
      <w:r>
        <w:rPr>
          <w:spacing w:val="1"/>
        </w:rPr>
        <w:t> </w:t>
      </w:r>
      <w:r>
        <w:rPr/>
        <w:t>context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modelling</w:t>
      </w:r>
      <w:r>
        <w:rPr>
          <w:spacing w:val="-10"/>
        </w:rPr>
        <w:t> </w:t>
      </w:r>
      <w:r>
        <w:rPr/>
        <w:t>the</w:t>
      </w:r>
      <w:r>
        <w:rPr>
          <w:spacing w:val="-5"/>
        </w:rPr>
        <w:t> </w:t>
      </w:r>
      <w:r>
        <w:rPr/>
        <w:t>fiscal</w:t>
      </w:r>
      <w:r>
        <w:rPr>
          <w:spacing w:val="-7"/>
        </w:rPr>
        <w:t> </w:t>
      </w:r>
      <w:r>
        <w:rPr/>
        <w:t>behaviour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/>
        <w:t>government</w:t>
      </w:r>
      <w:r>
        <w:rPr>
          <w:spacing w:val="-8"/>
        </w:rPr>
        <w:t> </w:t>
      </w:r>
      <w:r>
        <w:rPr/>
        <w:t>using</w:t>
      </w:r>
      <w:r>
        <w:rPr>
          <w:spacing w:val="-8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assumptions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Dynamic</w:t>
      </w:r>
      <w:r>
        <w:rPr>
          <w:spacing w:val="-1"/>
        </w:rPr>
        <w:t> </w:t>
      </w:r>
      <w:r>
        <w:rPr/>
        <w:t>Stochastic</w:t>
      </w:r>
      <w:r>
        <w:rPr>
          <w:spacing w:val="-1"/>
        </w:rPr>
        <w:t> </w:t>
      </w:r>
      <w:r>
        <w:rPr/>
        <w:t>General Equilibrium framework.</w:t>
      </w:r>
    </w:p>
    <w:p>
      <w:pPr>
        <w:pStyle w:val="Heading1"/>
        <w:numPr>
          <w:ilvl w:val="1"/>
          <w:numId w:val="8"/>
        </w:numPr>
        <w:tabs>
          <w:tab w:pos="2150" w:val="left" w:leader="none"/>
        </w:tabs>
        <w:spacing w:line="240" w:lineRule="auto" w:before="209" w:after="0"/>
        <w:ind w:left="2149" w:right="0" w:hanging="390"/>
        <w:jc w:val="both"/>
      </w:pPr>
      <w:bookmarkStart w:name="_TOC_250053" w:id="7"/>
      <w:r>
        <w:rPr/>
        <w:t>Method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7"/>
      <w:r>
        <w:rPr/>
        <w:t>Analysis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360" w:lineRule="auto"/>
        <w:ind w:left="1760" w:right="1436"/>
        <w:jc w:val="both"/>
      </w:pPr>
      <w:r>
        <w:rPr/>
        <w:t>The study, first, employs a-theoretical methods to explain the long-term trend and derive</w:t>
      </w:r>
      <w:r>
        <w:rPr>
          <w:spacing w:val="1"/>
        </w:rPr>
        <w:t> </w:t>
      </w:r>
      <w:r>
        <w:rPr>
          <w:spacing w:val="-1"/>
        </w:rPr>
        <w:t>business</w:t>
      </w:r>
      <w:r>
        <w:rPr>
          <w:spacing w:val="-12"/>
        </w:rPr>
        <w:t> </w:t>
      </w:r>
      <w:r>
        <w:rPr/>
        <w:t>cycle</w:t>
      </w:r>
      <w:r>
        <w:rPr>
          <w:spacing w:val="-13"/>
        </w:rPr>
        <w:t> </w:t>
      </w:r>
      <w:r>
        <w:rPr/>
        <w:t>properties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relevant</w:t>
      </w:r>
      <w:r>
        <w:rPr>
          <w:spacing w:val="-12"/>
        </w:rPr>
        <w:t> </w:t>
      </w:r>
      <w:r>
        <w:rPr/>
        <w:t>fiscal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monetary</w:t>
      </w:r>
      <w:r>
        <w:rPr>
          <w:spacing w:val="-16"/>
        </w:rPr>
        <w:t> </w:t>
      </w:r>
      <w:r>
        <w:rPr/>
        <w:t>policy</w:t>
      </w:r>
      <w:r>
        <w:rPr>
          <w:spacing w:val="-17"/>
        </w:rPr>
        <w:t> </w:t>
      </w:r>
      <w:r>
        <w:rPr/>
        <w:t>variables.</w:t>
      </w:r>
      <w:r>
        <w:rPr>
          <w:spacing w:val="-13"/>
        </w:rPr>
        <w:t> </w:t>
      </w:r>
      <w:r>
        <w:rPr/>
        <w:t>This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chapter</w:t>
      </w:r>
      <w:r>
        <w:rPr>
          <w:spacing w:val="-57"/>
        </w:rPr>
        <w:t> </w:t>
      </w:r>
      <w:r>
        <w:rPr/>
        <w:t>where trend analysis and preliminary stylised facts on policy interactions in Nigeria are</w:t>
      </w:r>
      <w:r>
        <w:rPr>
          <w:spacing w:val="1"/>
        </w:rPr>
        <w:t> </w:t>
      </w:r>
      <w:r>
        <w:rPr/>
        <w:t>generated.</w:t>
      </w:r>
    </w:p>
    <w:p>
      <w:pPr>
        <w:pStyle w:val="BodyText"/>
        <w:spacing w:line="360" w:lineRule="auto" w:before="200"/>
        <w:ind w:left="1760" w:right="1435"/>
        <w:jc w:val="both"/>
      </w:pPr>
      <w:r>
        <w:rPr/>
        <w:t>This study then goes ahead to adopt the dynamic general equilibrium framework based on the</w:t>
      </w:r>
      <w:r>
        <w:rPr>
          <w:spacing w:val="-57"/>
        </w:rPr>
        <w:t> </w:t>
      </w:r>
      <w:r>
        <w:rPr/>
        <w:t>New</w:t>
      </w:r>
      <w:r>
        <w:rPr>
          <w:spacing w:val="-7"/>
        </w:rPr>
        <w:t> </w:t>
      </w:r>
      <w:r>
        <w:rPr/>
        <w:t>Keynesian</w:t>
      </w:r>
      <w:r>
        <w:rPr>
          <w:spacing w:val="-7"/>
        </w:rPr>
        <w:t> </w:t>
      </w:r>
      <w:r>
        <w:rPr/>
        <w:t>school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thought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order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address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set</w:t>
      </w:r>
      <w:r>
        <w:rPr>
          <w:spacing w:val="-6"/>
        </w:rPr>
        <w:t> </w:t>
      </w:r>
      <w:r>
        <w:rPr/>
        <w:t>objectives.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procedure</w:t>
      </w:r>
      <w:r>
        <w:rPr>
          <w:spacing w:val="-8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58"/>
        </w:rPr>
        <w:t> </w:t>
      </w:r>
      <w:r>
        <w:rPr/>
        <w:t>analyse the dynamic stochastic general equilibrium model used includes the following: (1)</w:t>
      </w:r>
      <w:r>
        <w:rPr>
          <w:spacing w:val="1"/>
        </w:rPr>
        <w:t> </w:t>
      </w:r>
      <w:r>
        <w:rPr/>
        <w:t>write down the model (2) Derive the system of equilibrium conditions of the model (3) solve</w:t>
      </w:r>
      <w:r>
        <w:rPr>
          <w:spacing w:val="1"/>
        </w:rPr>
        <w:t> </w:t>
      </w:r>
      <w:r>
        <w:rPr/>
        <w:t>for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steady</w:t>
      </w:r>
      <w:r>
        <w:rPr>
          <w:spacing w:val="-17"/>
        </w:rPr>
        <w:t> </w:t>
      </w:r>
      <w:r>
        <w:rPr/>
        <w:t>state</w:t>
      </w:r>
      <w:r>
        <w:rPr>
          <w:spacing w:val="-11"/>
        </w:rPr>
        <w:t> </w:t>
      </w:r>
      <w:r>
        <w:rPr/>
        <w:t>(4)</w:t>
      </w:r>
      <w:r>
        <w:rPr>
          <w:spacing w:val="-13"/>
        </w:rPr>
        <w:t> </w:t>
      </w:r>
      <w:r>
        <w:rPr/>
        <w:t>calibrate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parameters</w:t>
      </w:r>
      <w:r>
        <w:rPr>
          <w:spacing w:val="-11"/>
        </w:rPr>
        <w:t> </w:t>
      </w:r>
      <w:r>
        <w:rPr/>
        <w:t>(5)</w:t>
      </w:r>
      <w:r>
        <w:rPr>
          <w:spacing w:val="-12"/>
        </w:rPr>
        <w:t> </w:t>
      </w:r>
      <w:r>
        <w:rPr/>
        <w:t>solve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model</w:t>
      </w:r>
      <w:r>
        <w:rPr>
          <w:spacing w:val="-12"/>
        </w:rPr>
        <w:t> </w:t>
      </w:r>
      <w:r>
        <w:rPr/>
        <w:t>by</w:t>
      </w:r>
      <w:r>
        <w:rPr>
          <w:spacing w:val="-17"/>
        </w:rPr>
        <w:t> </w:t>
      </w:r>
      <w:r>
        <w:rPr/>
        <w:t>log-linear</w:t>
      </w:r>
      <w:r>
        <w:rPr>
          <w:spacing w:val="-13"/>
        </w:rPr>
        <w:t> </w:t>
      </w:r>
      <w:r>
        <w:rPr/>
        <w:t>approximation</w:t>
      </w:r>
    </w:p>
    <w:p>
      <w:pPr>
        <w:pStyle w:val="BodyText"/>
        <w:spacing w:line="360" w:lineRule="auto" w:before="2"/>
        <w:ind w:left="1760" w:right="1443"/>
        <w:jc w:val="both"/>
      </w:pPr>
      <w:r>
        <w:rPr/>
        <w:t>(6) Estimate the deep parameters of the model using the Bayesian method and finally, (7)</w:t>
      </w:r>
      <w:r>
        <w:rPr>
          <w:spacing w:val="1"/>
        </w:rPr>
        <w:t> </w:t>
      </w:r>
      <w:r>
        <w:rPr/>
        <w:t>simulate</w:t>
      </w:r>
      <w:r>
        <w:rPr>
          <w:spacing w:val="-2"/>
        </w:rPr>
        <w:t> </w:t>
      </w:r>
      <w:r>
        <w:rPr/>
        <w:t>the model with necessary</w:t>
      </w:r>
      <w:r>
        <w:rPr>
          <w:spacing w:val="-5"/>
        </w:rPr>
        <w:t> </w:t>
      </w:r>
      <w:r>
        <w:rPr/>
        <w:t>counter-factual</w:t>
      </w:r>
      <w:r>
        <w:rPr>
          <w:spacing w:val="2"/>
        </w:rPr>
        <w:t> </w:t>
      </w:r>
      <w:r>
        <w:rPr/>
        <w:t>policy</w:t>
      </w:r>
      <w:r>
        <w:rPr>
          <w:spacing w:val="-5"/>
        </w:rPr>
        <w:t> </w:t>
      </w:r>
      <w:r>
        <w:rPr/>
        <w:t>experiments performed.</w:t>
      </w:r>
    </w:p>
    <w:p>
      <w:pPr>
        <w:pStyle w:val="Heading1"/>
        <w:numPr>
          <w:ilvl w:val="1"/>
          <w:numId w:val="8"/>
        </w:numPr>
        <w:tabs>
          <w:tab w:pos="2150" w:val="left" w:leader="none"/>
        </w:tabs>
        <w:spacing w:line="240" w:lineRule="auto" w:before="207" w:after="0"/>
        <w:ind w:left="2149" w:right="0" w:hanging="390"/>
        <w:jc w:val="both"/>
      </w:pPr>
      <w:bookmarkStart w:name="_TOC_250052" w:id="8"/>
      <w:r>
        <w:rPr/>
        <w:t>Outline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8"/>
      <w:r>
        <w:rPr/>
        <w:t>Study</w:t>
      </w:r>
    </w:p>
    <w:p>
      <w:pPr>
        <w:pStyle w:val="BodyText"/>
        <w:spacing w:before="3"/>
        <w:rPr>
          <w:b/>
          <w:sz w:val="33"/>
        </w:rPr>
      </w:pPr>
    </w:p>
    <w:p>
      <w:pPr>
        <w:pStyle w:val="BodyText"/>
        <w:spacing w:line="360" w:lineRule="auto"/>
        <w:ind w:left="1760" w:right="1434"/>
        <w:jc w:val="both"/>
      </w:pPr>
      <w:r>
        <w:rPr/>
        <w:t>This</w:t>
      </w:r>
      <w:r>
        <w:rPr>
          <w:spacing w:val="-6"/>
        </w:rPr>
        <w:t> </w:t>
      </w:r>
      <w:r>
        <w:rPr/>
        <w:t>work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divided</w:t>
      </w:r>
      <w:r>
        <w:rPr>
          <w:spacing w:val="-4"/>
        </w:rPr>
        <w:t> </w:t>
      </w:r>
      <w:r>
        <w:rPr/>
        <w:t>into</w:t>
      </w:r>
      <w:r>
        <w:rPr>
          <w:spacing w:val="-4"/>
        </w:rPr>
        <w:t> </w:t>
      </w:r>
      <w:r>
        <w:rPr/>
        <w:t>six</w:t>
      </w:r>
      <w:r>
        <w:rPr>
          <w:spacing w:val="-3"/>
        </w:rPr>
        <w:t> </w:t>
      </w:r>
      <w:r>
        <w:rPr/>
        <w:t>Chapters.</w:t>
      </w:r>
      <w:r>
        <w:rPr>
          <w:spacing w:val="-5"/>
        </w:rPr>
        <w:t> </w:t>
      </w:r>
      <w:r>
        <w:rPr/>
        <w:t>Chapter</w:t>
      </w:r>
      <w:r>
        <w:rPr>
          <w:spacing w:val="-7"/>
        </w:rPr>
        <w:t> </w:t>
      </w:r>
      <w:r>
        <w:rPr/>
        <w:t>one</w:t>
      </w:r>
      <w:r>
        <w:rPr>
          <w:spacing w:val="-7"/>
        </w:rPr>
        <w:t> </w:t>
      </w:r>
      <w:r>
        <w:rPr/>
        <w:t>introduces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subject</w:t>
      </w:r>
      <w:r>
        <w:rPr>
          <w:spacing w:val="-3"/>
        </w:rPr>
        <w:t> </w:t>
      </w:r>
      <w:r>
        <w:rPr/>
        <w:t>matter,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research</w:t>
      </w:r>
      <w:r>
        <w:rPr>
          <w:spacing w:val="-58"/>
        </w:rPr>
        <w:t> </w:t>
      </w:r>
      <w:r>
        <w:rPr/>
        <w:t>problem is defined in this chapter, questions of the thesis and strategies to answering these</w:t>
      </w:r>
      <w:r>
        <w:rPr>
          <w:spacing w:val="1"/>
        </w:rPr>
        <w:t> </w:t>
      </w:r>
      <w:r>
        <w:rPr/>
        <w:t>questions are stated.</w:t>
      </w:r>
      <w:r>
        <w:rPr>
          <w:spacing w:val="1"/>
        </w:rPr>
        <w:t> </w:t>
      </w:r>
      <w:r>
        <w:rPr/>
        <w:t>Chapter two reviews the literature on Fiscal and Monetary Policy</w:t>
      </w:r>
      <w:r>
        <w:rPr>
          <w:spacing w:val="1"/>
        </w:rPr>
        <w:t> </w:t>
      </w:r>
      <w:r>
        <w:rPr/>
        <w:t>Interactions.</w:t>
      </w:r>
      <w:r>
        <w:rPr>
          <w:spacing w:val="-7"/>
        </w:rPr>
        <w:t> </w:t>
      </w:r>
      <w:r>
        <w:rPr/>
        <w:t>In</w:t>
      </w:r>
      <w:r>
        <w:rPr>
          <w:spacing w:val="-9"/>
        </w:rPr>
        <w:t> </w:t>
      </w:r>
      <w:r>
        <w:rPr/>
        <w:t>this</w:t>
      </w:r>
      <w:r>
        <w:rPr>
          <w:spacing w:val="-9"/>
        </w:rPr>
        <w:t> </w:t>
      </w:r>
      <w:r>
        <w:rPr/>
        <w:t>chapter,</w:t>
      </w:r>
      <w:r>
        <w:rPr>
          <w:spacing w:val="-9"/>
        </w:rPr>
        <w:t> </w:t>
      </w:r>
      <w:r>
        <w:rPr/>
        <w:t>conceptual,</w:t>
      </w:r>
      <w:r>
        <w:rPr>
          <w:spacing w:val="-8"/>
        </w:rPr>
        <w:t> </w:t>
      </w:r>
      <w:r>
        <w:rPr/>
        <w:t>theoretical,</w:t>
      </w:r>
      <w:r>
        <w:rPr>
          <w:spacing w:val="-8"/>
        </w:rPr>
        <w:t> </w:t>
      </w:r>
      <w:r>
        <w:rPr/>
        <w:t>methodological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empirical</w:t>
      </w:r>
      <w:r>
        <w:rPr>
          <w:spacing w:val="-8"/>
        </w:rPr>
        <w:t> </w:t>
      </w:r>
      <w:r>
        <w:rPr/>
        <w:t>reviews</w:t>
      </w:r>
      <w:r>
        <w:rPr>
          <w:spacing w:val="-7"/>
        </w:rPr>
        <w:t> </w:t>
      </w:r>
      <w:r>
        <w:rPr/>
        <w:t>are</w:t>
      </w:r>
      <w:r>
        <w:rPr>
          <w:spacing w:val="-58"/>
        </w:rPr>
        <w:t> </w:t>
      </w:r>
      <w:r>
        <w:rPr>
          <w:spacing w:val="-1"/>
        </w:rPr>
        <w:t>presented;</w:t>
      </w:r>
      <w:r>
        <w:rPr>
          <w:spacing w:val="-15"/>
        </w:rPr>
        <w:t> </w:t>
      </w:r>
      <w:r>
        <w:rPr>
          <w:spacing w:val="-1"/>
        </w:rPr>
        <w:t>research</w:t>
      </w:r>
      <w:r>
        <w:rPr>
          <w:spacing w:val="-12"/>
        </w:rPr>
        <w:t> </w:t>
      </w:r>
      <w:r>
        <w:rPr/>
        <w:t>gaps</w:t>
      </w:r>
      <w:r>
        <w:rPr>
          <w:spacing w:val="-15"/>
        </w:rPr>
        <w:t> </w:t>
      </w:r>
      <w:r>
        <w:rPr/>
        <w:t>stemming</w:t>
      </w:r>
      <w:r>
        <w:rPr>
          <w:spacing w:val="-17"/>
        </w:rPr>
        <w:t> </w:t>
      </w:r>
      <w:r>
        <w:rPr/>
        <w:t>from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literature</w:t>
      </w:r>
      <w:r>
        <w:rPr>
          <w:spacing w:val="-17"/>
        </w:rPr>
        <w:t> </w:t>
      </w:r>
      <w:r>
        <w:rPr/>
        <w:t>are</w:t>
      </w:r>
      <w:r>
        <w:rPr>
          <w:spacing w:val="-15"/>
        </w:rPr>
        <w:t> </w:t>
      </w:r>
      <w:r>
        <w:rPr/>
        <w:t>also</w:t>
      </w:r>
      <w:r>
        <w:rPr>
          <w:spacing w:val="-14"/>
        </w:rPr>
        <w:t> </w:t>
      </w:r>
      <w:r>
        <w:rPr/>
        <w:t>identified.</w:t>
      </w:r>
      <w:r>
        <w:rPr>
          <w:spacing w:val="-12"/>
        </w:rPr>
        <w:t> </w:t>
      </w:r>
      <w:r>
        <w:rPr/>
        <w:t>In</w:t>
      </w:r>
      <w:r>
        <w:rPr>
          <w:spacing w:val="-15"/>
        </w:rPr>
        <w:t> </w:t>
      </w:r>
      <w:r>
        <w:rPr/>
        <w:t>chapter</w:t>
      </w:r>
      <w:r>
        <w:rPr>
          <w:spacing w:val="-16"/>
        </w:rPr>
        <w:t> </w:t>
      </w:r>
      <w:r>
        <w:rPr/>
        <w:t>three,</w:t>
      </w:r>
      <w:r>
        <w:rPr>
          <w:spacing w:val="-15"/>
        </w:rPr>
        <w:t> </w:t>
      </w:r>
      <w:r>
        <w:rPr/>
        <w:t>some</w:t>
      </w:r>
      <w:r>
        <w:rPr>
          <w:spacing w:val="-57"/>
        </w:rPr>
        <w:t> </w:t>
      </w:r>
      <w:r>
        <w:rPr/>
        <w:t>stylized facts on fiscal-monetary policy interactions in Nigeria are illustrated. The study's</w:t>
      </w:r>
      <w:r>
        <w:rPr>
          <w:spacing w:val="1"/>
        </w:rPr>
        <w:t> </w:t>
      </w:r>
      <w:r>
        <w:rPr/>
        <w:t>theoretical</w:t>
      </w:r>
      <w:r>
        <w:rPr>
          <w:spacing w:val="-11"/>
        </w:rPr>
        <w:t> </w:t>
      </w:r>
      <w:r>
        <w:rPr/>
        <w:t>framework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methodology</w:t>
      </w:r>
      <w:r>
        <w:rPr>
          <w:spacing w:val="-15"/>
        </w:rPr>
        <w:t> </w:t>
      </w:r>
      <w:r>
        <w:rPr/>
        <w:t>make</w:t>
      </w:r>
      <w:r>
        <w:rPr>
          <w:spacing w:val="-12"/>
        </w:rPr>
        <w:t> </w:t>
      </w:r>
      <w:r>
        <w:rPr/>
        <w:t>up</w:t>
      </w:r>
      <w:r>
        <w:rPr>
          <w:spacing w:val="-10"/>
        </w:rPr>
        <w:t> </w:t>
      </w:r>
      <w:r>
        <w:rPr/>
        <w:t>Chapter</w:t>
      </w:r>
      <w:r>
        <w:rPr>
          <w:spacing w:val="-12"/>
        </w:rPr>
        <w:t> </w:t>
      </w:r>
      <w:r>
        <w:rPr/>
        <w:t>four,</w:t>
      </w:r>
      <w:r>
        <w:rPr>
          <w:spacing w:val="-11"/>
        </w:rPr>
        <w:t> </w:t>
      </w:r>
      <w:r>
        <w:rPr/>
        <w:t>while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estimation</w:t>
      </w:r>
      <w:r>
        <w:rPr>
          <w:spacing w:val="-10"/>
        </w:rPr>
        <w:t> </w:t>
      </w:r>
      <w:r>
        <w:rPr/>
        <w:t>results</w:t>
      </w:r>
      <w:r>
        <w:rPr>
          <w:spacing w:val="-11"/>
        </w:rPr>
        <w:t> </w:t>
      </w:r>
      <w:r>
        <w:rPr/>
        <w:t>are</w:t>
      </w:r>
      <w:r>
        <w:rPr>
          <w:spacing w:val="-58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conclusions,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recommendations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made</w:t>
      </w:r>
      <w:r>
        <w:rPr>
          <w:spacing w:val="-1"/>
        </w:rPr>
        <w:t> </w:t>
      </w:r>
      <w:r>
        <w:rPr/>
        <w:t>in Chapter</w:t>
      </w:r>
      <w:r>
        <w:rPr>
          <w:spacing w:val="-2"/>
        </w:rPr>
        <w:t> </w:t>
      </w:r>
      <w:r>
        <w:rPr/>
        <w:t>six.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Heading1"/>
        <w:spacing w:line="523" w:lineRule="auto" w:before="89"/>
        <w:ind w:left="4828" w:right="4504" w:hanging="3"/>
        <w:jc w:val="center"/>
      </w:pPr>
      <w:bookmarkStart w:name="_TOC_250051" w:id="9"/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15"/>
        </w:rPr>
        <w:t> </w:t>
      </w:r>
      <w:bookmarkEnd w:id="9"/>
      <w:r>
        <w:rPr/>
        <w:t>REVIEW</w:t>
      </w:r>
    </w:p>
    <w:p>
      <w:pPr>
        <w:pStyle w:val="BodyText"/>
        <w:spacing w:line="360" w:lineRule="auto"/>
        <w:ind w:left="1760" w:right="1434"/>
        <w:jc w:val="both"/>
      </w:pPr>
      <w:r>
        <w:rPr/>
        <w:t>This chapter provides a</w:t>
      </w:r>
      <w:r>
        <w:rPr>
          <w:spacing w:val="1"/>
        </w:rPr>
        <w:t> </w:t>
      </w:r>
      <w:r>
        <w:rPr/>
        <w:t>comprehensive outline</w:t>
      </w:r>
      <w:r>
        <w:rPr>
          <w:spacing w:val="1"/>
        </w:rPr>
        <w:t> </w:t>
      </w:r>
      <w:r>
        <w:rPr/>
        <w:t>of developments</w:t>
      </w:r>
      <w:r>
        <w:rPr>
          <w:spacing w:val="1"/>
        </w:rPr>
        <w:t> </w:t>
      </w:r>
      <w:r>
        <w:rPr/>
        <w:t>in the literature on the</w:t>
      </w:r>
      <w:r>
        <w:rPr>
          <w:spacing w:val="1"/>
        </w:rPr>
        <w:t> </w:t>
      </w:r>
      <w:r>
        <w:rPr/>
        <w:t>interactions between fiscal and monetary policy. The chapter is divided into four major</w:t>
      </w:r>
      <w:r>
        <w:rPr>
          <w:spacing w:val="1"/>
        </w:rPr>
        <w:t> </w:t>
      </w:r>
      <w:r>
        <w:rPr/>
        <w:t>sections: Conceptual, Theoretical, Methodological and Empirical. In the conceptual review,</w:t>
      </w:r>
      <w:r>
        <w:rPr>
          <w:spacing w:val="1"/>
        </w:rPr>
        <w:t> </w:t>
      </w:r>
      <w:r>
        <w:rPr/>
        <w:t>definitional issues surrounding Fiscal and Monetary policy interactions are examined. Under</w:t>
      </w:r>
      <w:r>
        <w:rPr>
          <w:spacing w:val="1"/>
        </w:rPr>
        <w:t> </w:t>
      </w:r>
      <w:r>
        <w:rPr/>
        <w:t>the theoretical review, the main theories underlying the economic policy interactions are</w:t>
      </w:r>
      <w:r>
        <w:rPr>
          <w:spacing w:val="1"/>
        </w:rPr>
        <w:t> </w:t>
      </w:r>
      <w:r>
        <w:rPr/>
        <w:t>outlined and critiqued. For the methodological review, the essentials techniques of estimation</w:t>
      </w:r>
      <w:r>
        <w:rPr>
          <w:spacing w:val="-57"/>
        </w:rPr>
        <w:t> </w:t>
      </w:r>
      <w:r>
        <w:rPr/>
        <w:t>are mentioned and evaluated.</w:t>
      </w:r>
      <w:r>
        <w:rPr>
          <w:spacing w:val="1"/>
        </w:rPr>
        <w:t> </w:t>
      </w:r>
      <w:r>
        <w:rPr/>
        <w:t>Finally, several empirical findings regarding fiscal-monetary</w:t>
      </w:r>
      <w:r>
        <w:rPr>
          <w:spacing w:val="1"/>
        </w:rPr>
        <w:t> </w:t>
      </w:r>
      <w:r>
        <w:rPr/>
        <w:t>policy</w:t>
      </w:r>
      <w:r>
        <w:rPr>
          <w:spacing w:val="-6"/>
        </w:rPr>
        <w:t> </w:t>
      </w:r>
      <w:r>
        <w:rPr/>
        <w:t>interactions are</w:t>
      </w:r>
      <w:r>
        <w:rPr>
          <w:spacing w:val="-1"/>
        </w:rPr>
        <w:t> </w:t>
      </w:r>
      <w:r>
        <w:rPr/>
        <w:t>enumerated in the empirical review.</w:t>
      </w:r>
    </w:p>
    <w:p>
      <w:pPr>
        <w:pStyle w:val="Heading1"/>
        <w:numPr>
          <w:ilvl w:val="1"/>
          <w:numId w:val="11"/>
        </w:numPr>
        <w:tabs>
          <w:tab w:pos="2150" w:val="left" w:leader="none"/>
        </w:tabs>
        <w:spacing w:line="240" w:lineRule="auto" w:before="192" w:after="0"/>
        <w:ind w:left="2149" w:right="0" w:hanging="390"/>
        <w:jc w:val="both"/>
      </w:pPr>
      <w:bookmarkStart w:name="_TOC_250050" w:id="10"/>
      <w:r>
        <w:rPr/>
        <w:t>Review</w:t>
      </w:r>
      <w:r>
        <w:rPr>
          <w:spacing w:val="2"/>
        </w:rPr>
        <w:t> </w:t>
      </w:r>
      <w:r>
        <w:rPr/>
        <w:t>of</w:t>
      </w:r>
      <w:r>
        <w:rPr>
          <w:spacing w:val="-3"/>
        </w:rPr>
        <w:t> </w:t>
      </w:r>
      <w:r>
        <w:rPr/>
        <w:t>Definitional</w:t>
      </w:r>
      <w:r>
        <w:rPr>
          <w:spacing w:val="-2"/>
        </w:rPr>
        <w:t> </w:t>
      </w:r>
      <w:bookmarkEnd w:id="10"/>
      <w:r>
        <w:rPr/>
        <w:t>Issues</w:t>
      </w:r>
    </w:p>
    <w:p>
      <w:pPr>
        <w:pStyle w:val="ListParagraph"/>
        <w:numPr>
          <w:ilvl w:val="2"/>
          <w:numId w:val="11"/>
        </w:numPr>
        <w:tabs>
          <w:tab w:pos="2344" w:val="left" w:leader="none"/>
        </w:tabs>
        <w:spacing w:line="240" w:lineRule="auto" w:before="151" w:after="0"/>
        <w:ind w:left="2343" w:right="0" w:hanging="584"/>
        <w:jc w:val="both"/>
        <w:rPr>
          <w:b/>
          <w:sz w:val="26"/>
        </w:rPr>
      </w:pPr>
      <w:r>
        <w:rPr>
          <w:b/>
          <w:sz w:val="26"/>
        </w:rPr>
        <w:t>Fiscal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and Monetary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Policy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Interaction</w:t>
      </w:r>
    </w:p>
    <w:p>
      <w:pPr>
        <w:pStyle w:val="BodyText"/>
        <w:spacing w:line="360" w:lineRule="auto" w:before="144"/>
        <w:ind w:left="1760" w:right="1436"/>
        <w:jc w:val="both"/>
      </w:pPr>
      <w:r>
        <w:rPr/>
        <w:t>The</w:t>
      </w:r>
      <w:r>
        <w:rPr>
          <w:spacing w:val="-5"/>
        </w:rPr>
        <w:t> </w:t>
      </w:r>
      <w:r>
        <w:rPr/>
        <w:t>idea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interactions</w:t>
      </w:r>
      <w:r>
        <w:rPr>
          <w:spacing w:val="-3"/>
        </w:rPr>
        <w:t> </w:t>
      </w:r>
      <w:r>
        <w:rPr/>
        <w:t>between Fiscal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Monetary</w:t>
      </w:r>
      <w:r>
        <w:rPr>
          <w:spacing w:val="-8"/>
        </w:rPr>
        <w:t> </w:t>
      </w:r>
      <w:r>
        <w:rPr/>
        <w:t>policy</w:t>
      </w:r>
      <w:r>
        <w:rPr>
          <w:spacing w:val="-8"/>
        </w:rPr>
        <w:t> </w:t>
      </w:r>
      <w:r>
        <w:rPr/>
        <w:t>springs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assumption</w:t>
      </w:r>
      <w:r>
        <w:rPr>
          <w:spacing w:val="-3"/>
        </w:rPr>
        <w:t> </w:t>
      </w:r>
      <w:r>
        <w:rPr/>
        <w:t>that</w:t>
      </w:r>
      <w:r>
        <w:rPr>
          <w:spacing w:val="-57"/>
        </w:rPr>
        <w:t> </w:t>
      </w:r>
      <w:r>
        <w:rPr/>
        <w:t>both</w:t>
      </w:r>
      <w:r>
        <w:rPr>
          <w:spacing w:val="-6"/>
        </w:rPr>
        <w:t> </w:t>
      </w:r>
      <w:r>
        <w:rPr/>
        <w:t>policies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interrelated.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idea</w:t>
      </w:r>
      <w:r>
        <w:rPr>
          <w:spacing w:val="-4"/>
        </w:rPr>
        <w:t> </w:t>
      </w:r>
      <w:r>
        <w:rPr/>
        <w:t>reflects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writing</w:t>
      </w:r>
      <w:r>
        <w:rPr>
          <w:spacing w:val="-9"/>
        </w:rPr>
        <w:t> </w:t>
      </w:r>
      <w:r>
        <w:rPr/>
        <w:t>of</w:t>
      </w:r>
      <w:r>
        <w:rPr>
          <w:spacing w:val="-4"/>
        </w:rPr>
        <w:t> </w:t>
      </w:r>
      <w:r>
        <w:rPr/>
        <w:t>Tinbergen</w:t>
      </w:r>
      <w:r>
        <w:rPr>
          <w:spacing w:val="-4"/>
        </w:rPr>
        <w:t> </w:t>
      </w:r>
      <w:r>
        <w:rPr/>
        <w:t>(1952)</w:t>
      </w:r>
      <w:r>
        <w:rPr>
          <w:spacing w:val="-7"/>
        </w:rPr>
        <w:t> </w:t>
      </w:r>
      <w:r>
        <w:rPr/>
        <w:t>who</w:t>
      </w:r>
      <w:r>
        <w:rPr>
          <w:spacing w:val="-3"/>
        </w:rPr>
        <w:t> </w:t>
      </w:r>
      <w:r>
        <w:rPr/>
        <w:t>argued</w:t>
      </w:r>
      <w:r>
        <w:rPr>
          <w:spacing w:val="-58"/>
        </w:rPr>
        <w:t> </w:t>
      </w:r>
      <w:r>
        <w:rPr/>
        <w:t>that economic policy should be considered as a coherent entity that is devoid of any form of</w:t>
      </w:r>
      <w:r>
        <w:rPr>
          <w:spacing w:val="1"/>
        </w:rPr>
        <w:t> </w:t>
      </w:r>
      <w:r>
        <w:rPr/>
        <w:t>isolation. Fiscal and Monetary policies are, in this regard, interrelated in their impact on each</w:t>
      </w:r>
      <w:r>
        <w:rPr>
          <w:spacing w:val="1"/>
        </w:rPr>
        <w:t> </w:t>
      </w:r>
      <w:r>
        <w:rPr/>
        <w:t>other’s</w:t>
      </w:r>
      <w:r>
        <w:rPr>
          <w:spacing w:val="-4"/>
        </w:rPr>
        <w:t> </w:t>
      </w:r>
      <w:r>
        <w:rPr/>
        <w:t>target.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premised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the ground</w:t>
      </w:r>
      <w:r>
        <w:rPr>
          <w:spacing w:val="-5"/>
        </w:rPr>
        <w:t> </w:t>
      </w:r>
      <w:r>
        <w:rPr/>
        <w:t>that there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externalities</w:t>
      </w:r>
      <w:r>
        <w:rPr>
          <w:spacing w:val="-4"/>
        </w:rPr>
        <w:t> </w:t>
      </w:r>
      <w:r>
        <w:rPr/>
        <w:t>or</w:t>
      </w:r>
      <w:r>
        <w:rPr>
          <w:spacing w:val="1"/>
        </w:rPr>
        <w:t> </w:t>
      </w:r>
      <w:r>
        <w:rPr/>
        <w:t>spill-over</w:t>
      </w:r>
      <w:r>
        <w:rPr>
          <w:spacing w:val="-5"/>
        </w:rPr>
        <w:t> </w:t>
      </w:r>
      <w:r>
        <w:rPr/>
        <w:t>between</w:t>
      </w:r>
      <w:r>
        <w:rPr>
          <w:spacing w:val="-58"/>
        </w:rPr>
        <w:t> </w:t>
      </w:r>
      <w:r>
        <w:rPr/>
        <w:t>the instruments of both policies such that a change in one influences the stance of the other</w:t>
      </w:r>
      <w:r>
        <w:rPr>
          <w:spacing w:val="1"/>
        </w:rPr>
        <w:t> </w:t>
      </w:r>
      <w:r>
        <w:rPr/>
        <w:t>(Niemann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Hagen, 2008).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760" w:right="1437"/>
        <w:jc w:val="both"/>
      </w:pPr>
      <w:r>
        <w:rPr/>
        <w:t>Two channels are involved in explaining the existing externalities or spill-over between both</w:t>
      </w:r>
      <w:r>
        <w:rPr>
          <w:spacing w:val="1"/>
        </w:rPr>
        <w:t> </w:t>
      </w:r>
      <w:r>
        <w:rPr/>
        <w:t>policies. The first channel runs from the influence of fiscal policy on the instruments and</w:t>
      </w:r>
      <w:r>
        <w:rPr>
          <w:spacing w:val="1"/>
        </w:rPr>
        <w:t> </w:t>
      </w:r>
      <w:r>
        <w:rPr/>
        <w:t>targets of monetary policy. This channel essentially considers the impact of government</w:t>
      </w:r>
      <w:r>
        <w:rPr>
          <w:spacing w:val="1"/>
        </w:rPr>
        <w:t> </w:t>
      </w:r>
      <w:r>
        <w:rPr/>
        <w:t>expansive</w:t>
      </w:r>
      <w:r>
        <w:rPr>
          <w:spacing w:val="-4"/>
        </w:rPr>
        <w:t> </w:t>
      </w:r>
      <w:r>
        <w:rPr/>
        <w:t>stance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deficit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debt,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nominal</w:t>
      </w:r>
      <w:r>
        <w:rPr>
          <w:spacing w:val="-3"/>
        </w:rPr>
        <w:t> </w:t>
      </w:r>
      <w:r>
        <w:rPr/>
        <w:t>variables</w:t>
      </w:r>
      <w:r>
        <w:rPr>
          <w:spacing w:val="-3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interest</w:t>
      </w:r>
      <w:r>
        <w:rPr>
          <w:spacing w:val="-3"/>
        </w:rPr>
        <w:t> </w:t>
      </w:r>
      <w:r>
        <w:rPr/>
        <w:t>rate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price</w:t>
      </w:r>
      <w:r>
        <w:rPr>
          <w:spacing w:val="-4"/>
        </w:rPr>
        <w:t> </w:t>
      </w:r>
      <w:r>
        <w:rPr/>
        <w:t>level.</w:t>
      </w:r>
      <w:r>
        <w:rPr>
          <w:spacing w:val="-58"/>
        </w:rPr>
        <w:t> </w:t>
      </w:r>
      <w:r>
        <w:rPr/>
        <w:t>This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because</w:t>
      </w:r>
      <w:r>
        <w:rPr>
          <w:spacing w:val="-9"/>
        </w:rPr>
        <w:t> </w:t>
      </w:r>
      <w:r>
        <w:rPr/>
        <w:t>rising</w:t>
      </w:r>
      <w:r>
        <w:rPr>
          <w:spacing w:val="-13"/>
        </w:rPr>
        <w:t> </w:t>
      </w:r>
      <w:r>
        <w:rPr/>
        <w:t>budget</w:t>
      </w:r>
      <w:r>
        <w:rPr>
          <w:spacing w:val="-11"/>
        </w:rPr>
        <w:t> </w:t>
      </w:r>
      <w:r>
        <w:rPr/>
        <w:t>deficit</w:t>
      </w:r>
      <w:r>
        <w:rPr>
          <w:spacing w:val="-10"/>
        </w:rPr>
        <w:t> </w:t>
      </w:r>
      <w:r>
        <w:rPr/>
        <w:t>can</w:t>
      </w:r>
      <w:r>
        <w:rPr>
          <w:spacing w:val="-11"/>
        </w:rPr>
        <w:t> </w:t>
      </w:r>
      <w:r>
        <w:rPr/>
        <w:t>induce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government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resort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seignorage</w:t>
      </w:r>
      <w:r>
        <w:rPr>
          <w:spacing w:val="-10"/>
        </w:rPr>
        <w:t> </w:t>
      </w:r>
      <w:r>
        <w:rPr/>
        <w:t>revenue</w:t>
      </w:r>
    </w:p>
    <w:p>
      <w:pPr>
        <w:spacing w:after="0" w:line="360" w:lineRule="auto"/>
        <w:jc w:val="both"/>
        <w:sectPr>
          <w:pgSz w:w="12240" w:h="15840"/>
          <w:pgMar w:header="0" w:footer="1015" w:top="1500" w:bottom="1200" w:left="40" w:right="0"/>
        </w:sectPr>
      </w:pPr>
    </w:p>
    <w:p>
      <w:pPr>
        <w:pStyle w:val="BodyText"/>
        <w:spacing w:line="360" w:lineRule="auto" w:before="74"/>
        <w:ind w:left="1760" w:right="1435"/>
        <w:jc w:val="both"/>
      </w:pP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central</w:t>
      </w:r>
      <w:r>
        <w:rPr>
          <w:spacing w:val="-1"/>
        </w:rPr>
        <w:t> </w:t>
      </w:r>
      <w:r>
        <w:rPr/>
        <w:t>bank.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means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can</w:t>
      </w:r>
      <w:r>
        <w:rPr>
          <w:spacing w:val="-2"/>
        </w:rPr>
        <w:t> </w:t>
      </w:r>
      <w:r>
        <w:rPr/>
        <w:t>put</w:t>
      </w:r>
      <w:r>
        <w:rPr>
          <w:spacing w:val="-1"/>
        </w:rPr>
        <w:t> </w:t>
      </w:r>
      <w:r>
        <w:rPr/>
        <w:t>pressure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central</w:t>
      </w:r>
      <w:r>
        <w:rPr>
          <w:spacing w:val="-1"/>
        </w:rPr>
        <w:t> </w:t>
      </w:r>
      <w:r>
        <w:rPr/>
        <w:t>bank</w:t>
      </w:r>
      <w:r>
        <w:rPr>
          <w:spacing w:val="-1"/>
        </w:rPr>
        <w:t> </w:t>
      </w:r>
      <w:r>
        <w:rPr/>
        <w:t>to</w:t>
      </w:r>
      <w:r>
        <w:rPr>
          <w:spacing w:val="-58"/>
        </w:rPr>
        <w:t> </w:t>
      </w:r>
      <w:r>
        <w:rPr/>
        <w:t>print</w:t>
      </w:r>
      <w:r>
        <w:rPr>
          <w:spacing w:val="-6"/>
        </w:rPr>
        <w:t> </w:t>
      </w:r>
      <w:r>
        <w:rPr/>
        <w:t>new</w:t>
      </w:r>
      <w:r>
        <w:rPr>
          <w:spacing w:val="-6"/>
        </w:rPr>
        <w:t> </w:t>
      </w:r>
      <w:r>
        <w:rPr/>
        <w:t>money</w:t>
      </w:r>
      <w:r>
        <w:rPr>
          <w:spacing w:val="-10"/>
        </w:rPr>
        <w:t> </w:t>
      </w:r>
      <w:r>
        <w:rPr/>
        <w:t>in</w:t>
      </w:r>
      <w:r>
        <w:rPr>
          <w:spacing w:val="-6"/>
        </w:rPr>
        <w:t> </w:t>
      </w:r>
      <w:r>
        <w:rPr/>
        <w:t>order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finance</w:t>
      </w:r>
      <w:r>
        <w:rPr>
          <w:spacing w:val="-5"/>
        </w:rPr>
        <w:t> </w:t>
      </w:r>
      <w:r>
        <w:rPr/>
        <w:t>its</w:t>
      </w:r>
      <w:r>
        <w:rPr>
          <w:spacing w:val="-5"/>
        </w:rPr>
        <w:t> </w:t>
      </w:r>
      <w:r>
        <w:rPr/>
        <w:t>fiscal</w:t>
      </w:r>
      <w:r>
        <w:rPr>
          <w:spacing w:val="-5"/>
        </w:rPr>
        <w:t> </w:t>
      </w:r>
      <w:r>
        <w:rPr/>
        <w:t>shortfall.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central</w:t>
      </w:r>
      <w:r>
        <w:rPr>
          <w:spacing w:val="-5"/>
        </w:rPr>
        <w:t> </w:t>
      </w:r>
      <w:r>
        <w:rPr/>
        <w:t>bank</w:t>
      </w:r>
      <w:r>
        <w:rPr>
          <w:spacing w:val="-6"/>
        </w:rPr>
        <w:t> </w:t>
      </w:r>
      <w:r>
        <w:rPr/>
        <w:t>can</w:t>
      </w:r>
      <w:r>
        <w:rPr>
          <w:spacing w:val="-3"/>
        </w:rPr>
        <w:t> </w:t>
      </w:r>
      <w:r>
        <w:rPr/>
        <w:t>also</w:t>
      </w:r>
      <w:r>
        <w:rPr>
          <w:spacing w:val="-5"/>
        </w:rPr>
        <w:t> </w:t>
      </w:r>
      <w:r>
        <w:rPr/>
        <w:t>finance</w:t>
      </w:r>
      <w:r>
        <w:rPr>
          <w:spacing w:val="-7"/>
        </w:rPr>
        <w:t> </w:t>
      </w:r>
      <w:r>
        <w:rPr/>
        <w:t>these</w:t>
      </w:r>
      <w:r>
        <w:rPr>
          <w:spacing w:val="-57"/>
        </w:rPr>
        <w:t> </w:t>
      </w:r>
      <w:r>
        <w:rPr/>
        <w:t>deficits</w:t>
      </w:r>
      <w:r>
        <w:rPr>
          <w:spacing w:val="-5"/>
        </w:rPr>
        <w:t> </w:t>
      </w:r>
      <w:r>
        <w:rPr/>
        <w:t>by</w:t>
      </w:r>
      <w:r>
        <w:rPr>
          <w:spacing w:val="-10"/>
        </w:rPr>
        <w:t> </w:t>
      </w:r>
      <w:r>
        <w:rPr/>
        <w:t>purchasing</w:t>
      </w:r>
      <w:r>
        <w:rPr>
          <w:spacing w:val="-3"/>
        </w:rPr>
        <w:t> </w:t>
      </w:r>
      <w:r>
        <w:rPr/>
        <w:t>government</w:t>
      </w:r>
      <w:r>
        <w:rPr>
          <w:spacing w:val="-4"/>
        </w:rPr>
        <w:t> </w:t>
      </w:r>
      <w:r>
        <w:rPr/>
        <w:t>securities</w:t>
      </w:r>
      <w:r>
        <w:rPr>
          <w:spacing w:val="-4"/>
        </w:rPr>
        <w:t> </w:t>
      </w:r>
      <w:r>
        <w:rPr/>
        <w:t>through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open</w:t>
      </w:r>
      <w:r>
        <w:rPr>
          <w:spacing w:val="-4"/>
        </w:rPr>
        <w:t> </w:t>
      </w:r>
      <w:r>
        <w:rPr/>
        <w:t>market</w:t>
      </w:r>
      <w:r>
        <w:rPr>
          <w:spacing w:val="-4"/>
        </w:rPr>
        <w:t> </w:t>
      </w:r>
      <w:r>
        <w:rPr/>
        <w:t>operation.</w:t>
      </w:r>
      <w:r>
        <w:rPr>
          <w:spacing w:val="-4"/>
        </w:rPr>
        <w:t> </w:t>
      </w:r>
      <w:r>
        <w:rPr/>
        <w:t>These</w:t>
      </w:r>
      <w:r>
        <w:rPr>
          <w:spacing w:val="-6"/>
        </w:rPr>
        <w:t> </w:t>
      </w:r>
      <w:r>
        <w:rPr/>
        <w:t>deficit</w:t>
      </w:r>
      <w:r>
        <w:rPr>
          <w:spacing w:val="-58"/>
        </w:rPr>
        <w:t> </w:t>
      </w:r>
      <w:r>
        <w:rPr>
          <w:spacing w:val="-1"/>
        </w:rPr>
        <w:t>financing</w:t>
      </w:r>
      <w:r>
        <w:rPr>
          <w:spacing w:val="-12"/>
        </w:rPr>
        <w:t> </w:t>
      </w:r>
      <w:r>
        <w:rPr/>
        <w:t>methods</w:t>
      </w:r>
      <w:r>
        <w:rPr>
          <w:spacing w:val="-10"/>
        </w:rPr>
        <w:t> </w:t>
      </w:r>
      <w:r>
        <w:rPr/>
        <w:t>inject</w:t>
      </w:r>
      <w:r>
        <w:rPr>
          <w:spacing w:val="-9"/>
        </w:rPr>
        <w:t> </w:t>
      </w:r>
      <w:r>
        <w:rPr/>
        <w:t>money</w:t>
      </w:r>
      <w:r>
        <w:rPr>
          <w:spacing w:val="-15"/>
        </w:rPr>
        <w:t> </w:t>
      </w:r>
      <w:r>
        <w:rPr/>
        <w:t>into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economy</w:t>
      </w:r>
      <w:r>
        <w:rPr>
          <w:spacing w:val="-12"/>
        </w:rPr>
        <w:t> </w:t>
      </w:r>
      <w:r>
        <w:rPr/>
        <w:t>and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turn,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apex</w:t>
      </w:r>
      <w:r>
        <w:rPr>
          <w:spacing w:val="-10"/>
        </w:rPr>
        <w:t> </w:t>
      </w:r>
      <w:r>
        <w:rPr/>
        <w:t>bank</w:t>
      </w:r>
      <w:r>
        <w:rPr>
          <w:spacing w:val="-9"/>
        </w:rPr>
        <w:t> </w:t>
      </w:r>
      <w:r>
        <w:rPr/>
        <w:t>responds</w:t>
      </w:r>
      <w:r>
        <w:rPr>
          <w:spacing w:val="-10"/>
        </w:rPr>
        <w:t> </w:t>
      </w:r>
      <w:r>
        <w:rPr/>
        <w:t>by</w:t>
      </w:r>
      <w:r>
        <w:rPr>
          <w:spacing w:val="-17"/>
        </w:rPr>
        <w:t> </w:t>
      </w:r>
      <w:r>
        <w:rPr/>
        <w:t>using</w:t>
      </w:r>
      <w:r>
        <w:rPr>
          <w:spacing w:val="-57"/>
        </w:rPr>
        <w:t> </w:t>
      </w:r>
      <w:r>
        <w:rPr/>
        <w:t>restrictive monetary policy to control the resulting inflation. Furthermore, increased deficit</w:t>
      </w:r>
      <w:r>
        <w:rPr>
          <w:spacing w:val="1"/>
        </w:rPr>
        <w:t> </w:t>
      </w:r>
      <w:r>
        <w:rPr/>
        <w:t>spending and new debt issuance raise the rate of interest, when t</w:t>
      </w:r>
      <w:r>
        <w:rPr>
          <w:color w:val="333333"/>
        </w:rPr>
        <w:t>he supply of government</w:t>
      </w:r>
      <w:r>
        <w:rPr>
          <w:color w:val="333333"/>
          <w:spacing w:val="1"/>
        </w:rPr>
        <w:t> </w:t>
      </w:r>
      <w:r>
        <w:rPr>
          <w:color w:val="333333"/>
        </w:rPr>
        <w:t>securities increases which lowers the price and moves the interest rate upward. </w:t>
      </w:r>
      <w:r>
        <w:rPr/>
        <w:t>The second</w:t>
      </w:r>
      <w:r>
        <w:rPr>
          <w:spacing w:val="1"/>
        </w:rPr>
        <w:t> </w:t>
      </w:r>
      <w:r>
        <w:rPr/>
        <w:t>channel concerns the externality that runs from monetary policy to fiscal policy. The rate of</w:t>
      </w:r>
      <w:r>
        <w:rPr>
          <w:spacing w:val="1"/>
        </w:rPr>
        <w:t> </w:t>
      </w:r>
      <w:r>
        <w:rPr/>
        <w:t>interest affects the real value and sustainability of government debt (Niemann and Hagen,</w:t>
      </w:r>
      <w:r>
        <w:rPr>
          <w:spacing w:val="1"/>
        </w:rPr>
        <w:t> </w:t>
      </w:r>
      <w:r>
        <w:rPr/>
        <w:t>2008). The variability of the price level also impacts on public finances as it makes it difficult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predict and plan 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level of public</w:t>
      </w:r>
      <w:r>
        <w:rPr>
          <w:spacing w:val="-2"/>
        </w:rPr>
        <w:t> </w:t>
      </w:r>
      <w:r>
        <w:rPr/>
        <w:t>finances</w:t>
      </w:r>
      <w:r>
        <w:rPr>
          <w:spacing w:val="2"/>
        </w:rPr>
        <w:t> </w:t>
      </w:r>
      <w:r>
        <w:rPr/>
        <w:t>(Algozhina, 2012).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760" w:right="1434"/>
        <w:jc w:val="both"/>
      </w:pPr>
      <w:r>
        <w:rPr/>
        <w:t>Fiscal and monetary policies are also interacting in their overall macroeconomic impact. The</w:t>
      </w:r>
      <w:r>
        <w:rPr>
          <w:spacing w:val="1"/>
        </w:rPr>
        <w:t> </w:t>
      </w:r>
      <w:r>
        <w:rPr/>
        <w:t>Investment Saving- Liquidity Preference and Money Supply (IS-LM) models, for example,</w:t>
      </w:r>
      <w:r>
        <w:rPr>
          <w:spacing w:val="1"/>
        </w:rPr>
        <w:t> </w:t>
      </w:r>
      <w:r>
        <w:rPr/>
        <w:t>show that the fiscal and monetary policy instruments are interacting in the goods and money</w:t>
      </w:r>
      <w:r>
        <w:rPr>
          <w:spacing w:val="1"/>
        </w:rPr>
        <w:t> </w:t>
      </w:r>
      <w:r>
        <w:rPr/>
        <w:t>markets in order to influence aggregate output and interest rate. Theil (1957) also assume that</w:t>
      </w:r>
      <w:r>
        <w:rPr>
          <w:spacing w:val="-57"/>
        </w:rPr>
        <w:t> </w:t>
      </w:r>
      <w:r>
        <w:rPr/>
        <w:t>a</w:t>
      </w:r>
      <w:r>
        <w:rPr>
          <w:spacing w:val="-6"/>
        </w:rPr>
        <w:t> </w:t>
      </w:r>
      <w:r>
        <w:rPr/>
        <w:t>central</w:t>
      </w:r>
      <w:r>
        <w:rPr>
          <w:spacing w:val="-3"/>
        </w:rPr>
        <w:t> </w:t>
      </w:r>
      <w:r>
        <w:rPr/>
        <w:t>policymaker</w:t>
      </w:r>
      <w:r>
        <w:rPr>
          <w:spacing w:val="-5"/>
        </w:rPr>
        <w:t> </w:t>
      </w:r>
      <w:r>
        <w:rPr/>
        <w:t>possesses</w:t>
      </w:r>
      <w:r>
        <w:rPr>
          <w:spacing w:val="-4"/>
        </w:rPr>
        <w:t> </w:t>
      </w:r>
      <w:r>
        <w:rPr/>
        <w:t>all</w:t>
      </w:r>
      <w:r>
        <w:rPr>
          <w:spacing w:val="-3"/>
        </w:rPr>
        <w:t> </w:t>
      </w:r>
      <w:r>
        <w:rPr/>
        <w:t>available</w:t>
      </w:r>
      <w:r>
        <w:rPr>
          <w:spacing w:val="-5"/>
        </w:rPr>
        <w:t> </w:t>
      </w:r>
      <w:r>
        <w:rPr/>
        <w:t>policy</w:t>
      </w:r>
      <w:r>
        <w:rPr>
          <w:spacing w:val="-6"/>
        </w:rPr>
        <w:t> </w:t>
      </w:r>
      <w:r>
        <w:rPr/>
        <w:t>instruments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simultaneously</w:t>
      </w:r>
      <w:r>
        <w:rPr>
          <w:spacing w:val="-9"/>
        </w:rPr>
        <w:t> </w:t>
      </w:r>
      <w:r>
        <w:rPr/>
        <w:t>attain</w:t>
      </w:r>
      <w:r>
        <w:rPr>
          <w:spacing w:val="-58"/>
        </w:rPr>
        <w:t> </w:t>
      </w:r>
      <w:r>
        <w:rPr/>
        <w:t>desired</w:t>
      </w:r>
      <w:r>
        <w:rPr>
          <w:spacing w:val="-4"/>
        </w:rPr>
        <w:t> </w:t>
      </w:r>
      <w:r>
        <w:rPr/>
        <w:t>policy</w:t>
      </w:r>
      <w:r>
        <w:rPr>
          <w:spacing w:val="-10"/>
        </w:rPr>
        <w:t> </w:t>
      </w:r>
      <w:r>
        <w:rPr/>
        <w:t>outcomes</w:t>
      </w:r>
      <w:r>
        <w:rPr>
          <w:spacing w:val="-3"/>
        </w:rPr>
        <w:t> </w:t>
      </w:r>
      <w:r>
        <w:rPr/>
        <w:t>by</w:t>
      </w:r>
      <w:r>
        <w:rPr>
          <w:spacing w:val="-8"/>
        </w:rPr>
        <w:t> </w:t>
      </w:r>
      <w:r>
        <w:rPr/>
        <w:t>combining</w:t>
      </w:r>
      <w:r>
        <w:rPr>
          <w:spacing w:val="-6"/>
        </w:rPr>
        <w:t> </w:t>
      </w:r>
      <w:r>
        <w:rPr/>
        <w:t>these</w:t>
      </w:r>
      <w:r>
        <w:rPr>
          <w:spacing w:val="-4"/>
        </w:rPr>
        <w:t> </w:t>
      </w:r>
      <w:r>
        <w:rPr/>
        <w:t>instruments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right</w:t>
      </w:r>
      <w:r>
        <w:rPr>
          <w:spacing w:val="-2"/>
        </w:rPr>
        <w:t> </w:t>
      </w:r>
      <w:r>
        <w:rPr/>
        <w:t>proportion.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works</w:t>
      </w:r>
      <w:r>
        <w:rPr>
          <w:spacing w:val="-4"/>
        </w:rPr>
        <w:t> </w:t>
      </w:r>
      <w:r>
        <w:rPr/>
        <w:t>of</w:t>
      </w:r>
      <w:r>
        <w:rPr>
          <w:spacing w:val="-57"/>
        </w:rPr>
        <w:t> </w:t>
      </w:r>
      <w:r>
        <w:rPr/>
        <w:t>Sargent and Wallace (1981); Cochrane (2001) and Niemann and Hagen (2008) shows that the</w:t>
      </w:r>
      <w:r>
        <w:rPr>
          <w:spacing w:val="-58"/>
        </w:rPr>
        <w:t> </w:t>
      </w:r>
      <w:r>
        <w:rPr>
          <w:spacing w:val="-1"/>
        </w:rPr>
        <w:t>instruments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fiscal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monetary</w:t>
      </w:r>
      <w:r>
        <w:rPr>
          <w:spacing w:val="-20"/>
        </w:rPr>
        <w:t> </w:t>
      </w:r>
      <w:r>
        <w:rPr/>
        <w:t>policy</w:t>
      </w:r>
      <w:r>
        <w:rPr>
          <w:spacing w:val="-15"/>
        </w:rPr>
        <w:t> </w:t>
      </w:r>
      <w:r>
        <w:rPr/>
        <w:t>are</w:t>
      </w:r>
      <w:r>
        <w:rPr>
          <w:spacing w:val="-14"/>
        </w:rPr>
        <w:t> </w:t>
      </w:r>
      <w:r>
        <w:rPr/>
        <w:t>interacting</w:t>
      </w:r>
      <w:r>
        <w:rPr>
          <w:spacing w:val="-15"/>
        </w:rPr>
        <w:t> </w:t>
      </w:r>
      <w:r>
        <w:rPr/>
        <w:t>to</w:t>
      </w:r>
      <w:r>
        <w:rPr>
          <w:spacing w:val="-12"/>
        </w:rPr>
        <w:t> </w:t>
      </w:r>
      <w:r>
        <w:rPr/>
        <w:t>determine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price</w:t>
      </w:r>
      <w:r>
        <w:rPr>
          <w:spacing w:val="-13"/>
        </w:rPr>
        <w:t> </w:t>
      </w:r>
      <w:r>
        <w:rPr/>
        <w:t>level,</w:t>
      </w:r>
      <w:r>
        <w:rPr>
          <w:spacing w:val="-12"/>
        </w:rPr>
        <w:t> </w:t>
      </w:r>
      <w:r>
        <w:rPr/>
        <w:t>debt</w:t>
      </w:r>
      <w:r>
        <w:rPr>
          <w:spacing w:val="-12"/>
        </w:rPr>
        <w:t> </w:t>
      </w:r>
      <w:r>
        <w:rPr/>
        <w:t>level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growth.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760" w:right="1436"/>
        <w:jc w:val="both"/>
      </w:pPr>
      <w:r>
        <w:rPr/>
        <w:t>Fiscal and monetary policies can by nature, interact as substitutes or in a complementary</w:t>
      </w:r>
      <w:r>
        <w:rPr>
          <w:spacing w:val="1"/>
        </w:rPr>
        <w:t> </w:t>
      </w:r>
      <w:r>
        <w:rPr/>
        <w:t>manner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their</w:t>
      </w:r>
      <w:r>
        <w:rPr>
          <w:spacing w:val="-2"/>
        </w:rPr>
        <w:t> </w:t>
      </w:r>
      <w:r>
        <w:rPr/>
        <w:t>effect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aggregate</w:t>
      </w:r>
      <w:r>
        <w:rPr>
          <w:spacing w:val="-4"/>
        </w:rPr>
        <w:t> </w:t>
      </w:r>
      <w:r>
        <w:rPr/>
        <w:t>economy.</w:t>
      </w:r>
      <w:r>
        <w:rPr>
          <w:spacing w:val="-2"/>
        </w:rPr>
        <w:t> </w:t>
      </w:r>
      <w:r>
        <w:rPr/>
        <w:t>Both</w:t>
      </w:r>
      <w:r>
        <w:rPr>
          <w:spacing w:val="-3"/>
        </w:rPr>
        <w:t> </w:t>
      </w:r>
      <w:r>
        <w:rPr/>
        <w:t>policies</w:t>
      </w:r>
      <w:r>
        <w:rPr>
          <w:spacing w:val="-4"/>
        </w:rPr>
        <w:t> </w:t>
      </w:r>
      <w:r>
        <w:rPr/>
        <w:t>interact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substitutes</w:t>
      </w:r>
      <w:r>
        <w:rPr>
          <w:spacing w:val="-4"/>
        </w:rPr>
        <w:t> </w:t>
      </w:r>
      <w:r>
        <w:rPr/>
        <w:t>when</w:t>
      </w:r>
      <w:r>
        <w:rPr>
          <w:spacing w:val="-4"/>
        </w:rPr>
        <w:t> </w:t>
      </w:r>
      <w:r>
        <w:rPr/>
        <w:t>an</w:t>
      </w:r>
      <w:r>
        <w:rPr>
          <w:spacing w:val="-58"/>
        </w:rPr>
        <w:t> </w:t>
      </w:r>
      <w:r>
        <w:rPr/>
        <w:t>expansionary</w:t>
      </w:r>
      <w:r>
        <w:rPr>
          <w:spacing w:val="-12"/>
        </w:rPr>
        <w:t> </w:t>
      </w:r>
      <w:r>
        <w:rPr/>
        <w:t>fiscal</w:t>
      </w:r>
      <w:r>
        <w:rPr>
          <w:spacing w:val="-7"/>
        </w:rPr>
        <w:t> </w:t>
      </w:r>
      <w:r>
        <w:rPr/>
        <w:t>(monetary)</w:t>
      </w:r>
      <w:r>
        <w:rPr>
          <w:spacing w:val="-8"/>
        </w:rPr>
        <w:t> </w:t>
      </w:r>
      <w:r>
        <w:rPr/>
        <w:t>policy</w:t>
      </w:r>
      <w:r>
        <w:rPr>
          <w:spacing w:val="-12"/>
        </w:rPr>
        <w:t> </w:t>
      </w:r>
      <w:r>
        <w:rPr/>
        <w:t>is</w:t>
      </w:r>
      <w:r>
        <w:rPr>
          <w:spacing w:val="-7"/>
        </w:rPr>
        <w:t> </w:t>
      </w:r>
      <w:r>
        <w:rPr/>
        <w:t>countered</w:t>
      </w:r>
      <w:r>
        <w:rPr>
          <w:spacing w:val="-6"/>
        </w:rPr>
        <w:t> </w:t>
      </w:r>
      <w:r>
        <w:rPr/>
        <w:t>by</w:t>
      </w:r>
      <w:r>
        <w:rPr>
          <w:spacing w:val="-12"/>
        </w:rPr>
        <w:t> </w:t>
      </w:r>
      <w:r>
        <w:rPr/>
        <w:t>contracting</w:t>
      </w:r>
      <w:r>
        <w:rPr>
          <w:spacing w:val="-10"/>
        </w:rPr>
        <w:t> </w:t>
      </w:r>
      <w:r>
        <w:rPr/>
        <w:t>monetary</w:t>
      </w:r>
      <w:r>
        <w:rPr>
          <w:spacing w:val="-10"/>
        </w:rPr>
        <w:t> </w:t>
      </w:r>
      <w:r>
        <w:rPr/>
        <w:t>(fiscal)</w:t>
      </w:r>
      <w:r>
        <w:rPr>
          <w:spacing w:val="-8"/>
        </w:rPr>
        <w:t> </w:t>
      </w:r>
      <w:r>
        <w:rPr/>
        <w:t>policy</w:t>
      </w:r>
      <w:r>
        <w:rPr>
          <w:spacing w:val="-12"/>
        </w:rPr>
        <w:t> </w:t>
      </w:r>
      <w:r>
        <w:rPr/>
        <w:t>and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complements,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expansionary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(monetary)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accompanied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corresponding expansionary monetary (fiscal) policy stance, i.e. they offset and support each</w:t>
      </w:r>
      <w:r>
        <w:rPr>
          <w:spacing w:val="1"/>
        </w:rPr>
        <w:t> </w:t>
      </w:r>
      <w:r>
        <w:rPr/>
        <w:t>other in the stabilisation of the economy. Another nature of interaction between both policies</w:t>
      </w:r>
      <w:r>
        <w:rPr>
          <w:spacing w:val="1"/>
        </w:rPr>
        <w:t> </w:t>
      </w:r>
      <w:r>
        <w:rPr/>
        <w:t>borders on Leeper (1991) classification of active and passive regimes. Both policies can</w:t>
      </w:r>
      <w:r>
        <w:rPr>
          <w:spacing w:val="1"/>
        </w:rPr>
        <w:t> </w:t>
      </w:r>
      <w:r>
        <w:rPr/>
        <w:t>interact</w:t>
      </w:r>
      <w:r>
        <w:rPr>
          <w:spacing w:val="-1"/>
        </w:rPr>
        <w:t> </w:t>
      </w:r>
      <w:r>
        <w:rPr/>
        <w:t>either</w:t>
      </w:r>
      <w:r>
        <w:rPr>
          <w:spacing w:val="-3"/>
        </w:rPr>
        <w:t> </w:t>
      </w:r>
      <w:r>
        <w:rPr/>
        <w:t>in a</w:t>
      </w:r>
      <w:r>
        <w:rPr>
          <w:spacing w:val="-1"/>
        </w:rPr>
        <w:t> </w:t>
      </w:r>
      <w:r>
        <w:rPr/>
        <w:t>passive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active</w:t>
      </w:r>
      <w:r>
        <w:rPr>
          <w:spacing w:val="-1"/>
        </w:rPr>
        <w:t> </w:t>
      </w:r>
      <w:r>
        <w:rPr/>
        <w:t>manner. For instance,</w:t>
      </w:r>
      <w:r>
        <w:rPr>
          <w:spacing w:val="-1"/>
        </w:rPr>
        <w:t> </w:t>
      </w:r>
      <w:r>
        <w:rPr/>
        <w:t>an active</w:t>
      </w:r>
      <w:r>
        <w:rPr>
          <w:spacing w:val="-2"/>
        </w:rPr>
        <w:t> </w:t>
      </w:r>
      <w:r>
        <w:rPr/>
        <w:t>policy</w:t>
      </w:r>
      <w:r>
        <w:rPr>
          <w:spacing w:val="-3"/>
        </w:rPr>
        <w:t> </w:t>
      </w:r>
      <w:r>
        <w:rPr/>
        <w:t>authority</w:t>
      </w:r>
      <w:r>
        <w:rPr>
          <w:spacing w:val="-6"/>
        </w:rPr>
        <w:t> </w:t>
      </w:r>
      <w:r>
        <w:rPr/>
        <w:t>makes</w:t>
      </w:r>
      <w:r>
        <w:rPr>
          <w:spacing w:val="-1"/>
        </w:rPr>
        <w:t> </w:t>
      </w:r>
      <w:r>
        <w:rPr/>
        <w:t>its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39"/>
        <w:jc w:val="both"/>
      </w:pPr>
      <w:r>
        <w:rPr/>
        <w:t>policy decision without regards to the path of government finance while a passive authority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respond to changes in the</w:t>
      </w:r>
      <w:r>
        <w:rPr>
          <w:spacing w:val="1"/>
        </w:rPr>
        <w:t> </w:t>
      </w:r>
      <w:r>
        <w:rPr/>
        <w:t>state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fiscal debt (Leeper, 1991).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1"/>
        </w:numPr>
        <w:tabs>
          <w:tab w:pos="2344" w:val="left" w:leader="none"/>
        </w:tabs>
        <w:spacing w:line="240" w:lineRule="auto" w:before="156" w:after="0"/>
        <w:ind w:left="2343" w:right="0" w:hanging="584"/>
        <w:jc w:val="both"/>
      </w:pPr>
      <w:r>
        <w:rPr/>
        <w:t>Working</w:t>
      </w:r>
      <w:r>
        <w:rPr>
          <w:spacing w:val="-3"/>
        </w:rPr>
        <w:t> </w:t>
      </w:r>
      <w:r>
        <w:rPr/>
        <w:t>definition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Fiscal</w:t>
      </w:r>
      <w:r>
        <w:rPr>
          <w:spacing w:val="-2"/>
        </w:rPr>
        <w:t> </w:t>
      </w:r>
      <w:r>
        <w:rPr/>
        <w:t>and Monetary</w:t>
      </w:r>
      <w:r>
        <w:rPr>
          <w:spacing w:val="1"/>
        </w:rPr>
        <w:t> </w:t>
      </w:r>
      <w:r>
        <w:rPr/>
        <w:t>Policy Interaction</w:t>
      </w:r>
    </w:p>
    <w:p>
      <w:pPr>
        <w:pStyle w:val="BodyText"/>
        <w:spacing w:line="360" w:lineRule="auto" w:before="144"/>
        <w:ind w:left="1760" w:right="1435"/>
        <w:jc w:val="both"/>
      </w:pPr>
      <w:r>
        <w:rPr/>
        <w:t>Based on the preceding section, fiscal and monetary policy interaction is defined as the</w:t>
      </w:r>
      <w:r>
        <w:rPr>
          <w:spacing w:val="1"/>
        </w:rPr>
        <w:t> </w:t>
      </w:r>
      <w:r>
        <w:rPr/>
        <w:t>interplay between both policies with resulting impact on each other’s instruments and on</w:t>
      </w:r>
      <w:r>
        <w:rPr>
          <w:spacing w:val="1"/>
        </w:rPr>
        <w:t> </w:t>
      </w:r>
      <w:r>
        <w:rPr/>
        <w:t>macroeconomic</w:t>
      </w:r>
      <w:r>
        <w:rPr>
          <w:spacing w:val="-2"/>
        </w:rPr>
        <w:t> </w:t>
      </w:r>
      <w:r>
        <w:rPr/>
        <w:t>targets or outcomes.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1760"/>
        <w:jc w:val="both"/>
      </w:pPr>
      <w:r>
        <w:rPr/>
        <w:t>Some</w:t>
      </w:r>
      <w:r>
        <w:rPr>
          <w:spacing w:val="-1"/>
        </w:rPr>
        <w:t> </w:t>
      </w:r>
      <w:r>
        <w:rPr/>
        <w:t>assumptions</w:t>
      </w:r>
      <w:r>
        <w:rPr>
          <w:spacing w:val="-1"/>
        </w:rPr>
        <w:t> </w:t>
      </w:r>
      <w:r>
        <w:rPr/>
        <w:t>guiding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working</w:t>
      </w:r>
      <w:r>
        <w:rPr>
          <w:spacing w:val="-3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include:</w:t>
      </w:r>
    </w:p>
    <w:p>
      <w:pPr>
        <w:pStyle w:val="ListParagraph"/>
        <w:numPr>
          <w:ilvl w:val="0"/>
          <w:numId w:val="12"/>
        </w:numPr>
        <w:tabs>
          <w:tab w:pos="2121" w:val="left" w:leader="none"/>
        </w:tabs>
        <w:spacing w:line="240" w:lineRule="auto" w:before="137" w:after="0"/>
        <w:ind w:left="2120" w:right="0" w:hanging="361"/>
        <w:jc w:val="both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interdependencies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fiscal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monetary</w:t>
      </w:r>
      <w:r>
        <w:rPr>
          <w:spacing w:val="-6"/>
          <w:sz w:val="24"/>
        </w:rPr>
        <w:t> </w:t>
      </w:r>
      <w:r>
        <w:rPr>
          <w:sz w:val="24"/>
        </w:rPr>
        <w:t>policy;</w:t>
      </w:r>
    </w:p>
    <w:p>
      <w:pPr>
        <w:pStyle w:val="ListParagraph"/>
        <w:numPr>
          <w:ilvl w:val="0"/>
          <w:numId w:val="12"/>
        </w:numPr>
        <w:tabs>
          <w:tab w:pos="1999" w:val="left" w:leader="none"/>
        </w:tabs>
        <w:spacing w:line="360" w:lineRule="auto" w:before="139" w:after="0"/>
        <w:ind w:left="1760" w:right="1438" w:firstLine="0"/>
        <w:jc w:val="both"/>
        <w:rPr>
          <w:sz w:val="24"/>
        </w:rPr>
      </w:pPr>
      <w:r>
        <w:rPr>
          <w:sz w:val="24"/>
        </w:rPr>
        <w:t>There</w:t>
      </w:r>
      <w:r>
        <w:rPr>
          <w:spacing w:val="-6"/>
          <w:sz w:val="24"/>
        </w:rPr>
        <w:t> </w:t>
      </w:r>
      <w:r>
        <w:rPr>
          <w:sz w:val="24"/>
        </w:rPr>
        <w:t>is a</w:t>
      </w:r>
      <w:r>
        <w:rPr>
          <w:spacing w:val="-4"/>
          <w:sz w:val="24"/>
        </w:rPr>
        <w:t> </w:t>
      </w:r>
      <w:r>
        <w:rPr>
          <w:sz w:val="24"/>
        </w:rPr>
        <w:t>decentralised</w:t>
      </w:r>
      <w:r>
        <w:rPr>
          <w:spacing w:val="-3"/>
          <w:sz w:val="24"/>
        </w:rPr>
        <w:t> </w:t>
      </w:r>
      <w:r>
        <w:rPr>
          <w:sz w:val="24"/>
        </w:rPr>
        <w:t>policy</w:t>
      </w:r>
      <w:r>
        <w:rPr>
          <w:spacing w:val="-6"/>
          <w:sz w:val="24"/>
        </w:rPr>
        <w:t> </w:t>
      </w:r>
      <w:r>
        <w:rPr>
          <w:sz w:val="24"/>
        </w:rPr>
        <w:t>environment</w:t>
      </w:r>
      <w:r>
        <w:rPr>
          <w:spacing w:val="-2"/>
          <w:sz w:val="24"/>
        </w:rPr>
        <w:t> </w:t>
      </w:r>
      <w:r>
        <w:rPr>
          <w:sz w:val="24"/>
        </w:rPr>
        <w:t>such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two</w:t>
      </w:r>
      <w:r>
        <w:rPr>
          <w:spacing w:val="-3"/>
          <w:sz w:val="24"/>
        </w:rPr>
        <w:t> </w:t>
      </w:r>
      <w:r>
        <w:rPr>
          <w:sz w:val="24"/>
        </w:rPr>
        <w:t>authorities-</w:t>
      </w:r>
      <w:r>
        <w:rPr>
          <w:spacing w:val="-5"/>
          <w:sz w:val="24"/>
        </w:rPr>
        <w:t> </w:t>
      </w:r>
      <w:r>
        <w:rPr>
          <w:sz w:val="24"/>
        </w:rPr>
        <w:t>Central Bank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Ministry of Finance- are respectively in charge of setting monetary policy and fiscal policy;</w:t>
      </w:r>
      <w:r>
        <w:rPr>
          <w:spacing w:val="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2"/>
        </w:numPr>
        <w:tabs>
          <w:tab w:pos="2171" w:val="left" w:leader="none"/>
        </w:tabs>
        <w:spacing w:line="360" w:lineRule="auto" w:before="0" w:after="0"/>
        <w:ind w:left="1760" w:right="1446" w:firstLine="0"/>
        <w:jc w:val="both"/>
        <w:rPr>
          <w:sz w:val="24"/>
        </w:rPr>
      </w:pPr>
      <w:r>
        <w:rPr>
          <w:sz w:val="24"/>
        </w:rPr>
        <w:t>Policy externalities exist between both policies such that changes in one policy induces</w:t>
      </w:r>
      <w:r>
        <w:rPr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other policy.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1"/>
          <w:numId w:val="11"/>
        </w:numPr>
        <w:tabs>
          <w:tab w:pos="2150" w:val="left" w:leader="none"/>
        </w:tabs>
        <w:spacing w:line="240" w:lineRule="auto" w:before="0" w:after="0"/>
        <w:ind w:left="2149" w:right="0" w:hanging="390"/>
        <w:jc w:val="both"/>
      </w:pPr>
      <w:r>
        <w:rPr/>
        <w:t>Theoretical</w:t>
      </w:r>
      <w:r>
        <w:rPr>
          <w:spacing w:val="-3"/>
        </w:rPr>
        <w:t> </w:t>
      </w:r>
      <w:r>
        <w:rPr/>
        <w:t>Review of</w:t>
      </w:r>
      <w:r>
        <w:rPr>
          <w:spacing w:val="-2"/>
        </w:rPr>
        <w:t> </w:t>
      </w:r>
      <w:r>
        <w:rPr/>
        <w:t>Literature</w:t>
      </w:r>
    </w:p>
    <w:p>
      <w:pPr>
        <w:pStyle w:val="BodyText"/>
        <w:spacing w:line="360" w:lineRule="auto" w:before="143"/>
        <w:ind w:left="1760" w:right="1438"/>
        <w:jc w:val="both"/>
      </w:pPr>
      <w:r>
        <w:rPr/>
        <w:t>This sub-section shows the underlying macroeconomic theories on the interactions between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fiscal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monetary</w:t>
      </w:r>
      <w:r>
        <w:rPr>
          <w:spacing w:val="-20"/>
        </w:rPr>
        <w:t> </w:t>
      </w:r>
      <w:r>
        <w:rPr/>
        <w:t>policies.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background</w:t>
      </w:r>
      <w:r>
        <w:rPr>
          <w:spacing w:val="-15"/>
        </w:rPr>
        <w:t> </w:t>
      </w:r>
      <w:r>
        <w:rPr/>
        <w:t>which</w:t>
      </w:r>
      <w:r>
        <w:rPr>
          <w:spacing w:val="-14"/>
        </w:rPr>
        <w:t> </w:t>
      </w:r>
      <w:r>
        <w:rPr/>
        <w:t>summarises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major</w:t>
      </w:r>
      <w:r>
        <w:rPr>
          <w:spacing w:val="-13"/>
        </w:rPr>
        <w:t> </w:t>
      </w:r>
      <w:r>
        <w:rPr/>
        <w:t>schools</w:t>
      </w:r>
      <w:r>
        <w:rPr>
          <w:spacing w:val="-13"/>
        </w:rPr>
        <w:t> </w:t>
      </w:r>
      <w:r>
        <w:rPr/>
        <w:t>of</w:t>
      </w:r>
      <w:r>
        <w:rPr>
          <w:spacing w:val="-16"/>
        </w:rPr>
        <w:t> </w:t>
      </w:r>
      <w:r>
        <w:rPr/>
        <w:t>thought</w:t>
      </w:r>
      <w:r>
        <w:rPr>
          <w:spacing w:val="-58"/>
        </w:rPr>
        <w:t> </w:t>
      </w:r>
      <w:r>
        <w:rPr/>
        <w:t>on economic policy is presented. Thereafter, specific theories on fiscal and monetary policy</w:t>
      </w:r>
      <w:r>
        <w:rPr>
          <w:spacing w:val="1"/>
        </w:rPr>
        <w:t> </w:t>
      </w:r>
      <w:r>
        <w:rPr/>
        <w:t>interaction are outlined. They include the Monetarist Arithmetic and the Fiscal Theory of the</w:t>
      </w:r>
      <w:r>
        <w:rPr>
          <w:spacing w:val="1"/>
        </w:rPr>
        <w:t> </w:t>
      </w:r>
      <w:r>
        <w:rPr/>
        <w:t>Price Level.</w:t>
      </w:r>
    </w:p>
    <w:p>
      <w:pPr>
        <w:pStyle w:val="BodyText"/>
        <w:rPr>
          <w:sz w:val="25"/>
        </w:rPr>
      </w:pPr>
    </w:p>
    <w:p>
      <w:pPr>
        <w:pStyle w:val="Heading1"/>
        <w:numPr>
          <w:ilvl w:val="2"/>
          <w:numId w:val="11"/>
        </w:numPr>
        <w:tabs>
          <w:tab w:pos="2409" w:val="left" w:leader="none"/>
        </w:tabs>
        <w:spacing w:line="240" w:lineRule="auto" w:before="0" w:after="0"/>
        <w:ind w:left="2408" w:right="0" w:hanging="649"/>
        <w:jc w:val="both"/>
      </w:pPr>
      <w:r>
        <w:rPr/>
        <w:t>Macroeconomic Theories up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New Keynesian</w:t>
      </w:r>
      <w:r>
        <w:rPr>
          <w:spacing w:val="-2"/>
        </w:rPr>
        <w:t> </w:t>
      </w:r>
      <w:r>
        <w:rPr/>
        <w:t>School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Thought</w:t>
      </w:r>
    </w:p>
    <w:p>
      <w:pPr>
        <w:pStyle w:val="BodyText"/>
        <w:spacing w:before="9"/>
        <w:rPr>
          <w:b/>
          <w:sz w:val="36"/>
        </w:rPr>
      </w:pPr>
    </w:p>
    <w:p>
      <w:pPr>
        <w:pStyle w:val="BodyText"/>
        <w:spacing w:line="360" w:lineRule="auto" w:before="1"/>
        <w:ind w:left="1760" w:right="1438"/>
        <w:jc w:val="both"/>
      </w:pPr>
      <w:r>
        <w:rPr>
          <w:color w:val="333333"/>
        </w:rPr>
        <w:t>The occurrence of the Great Depression of the 1930s in the United States and Europe sparked</w:t>
      </w:r>
      <w:r>
        <w:rPr>
          <w:color w:val="333333"/>
          <w:spacing w:val="-57"/>
        </w:rPr>
        <w:t> </w:t>
      </w:r>
      <w:r>
        <w:rPr>
          <w:color w:val="333333"/>
        </w:rPr>
        <w:t>the paradigm shift from the classical to the Keynesian school of economic thought (Jahan,</w:t>
      </w:r>
      <w:r>
        <w:rPr>
          <w:color w:val="333333"/>
          <w:spacing w:val="1"/>
        </w:rPr>
        <w:t> </w:t>
      </w:r>
      <w:r>
        <w:rPr>
          <w:color w:val="333333"/>
          <w:spacing w:val="-1"/>
        </w:rPr>
        <w:t>Mahmud</w:t>
      </w:r>
      <w:r>
        <w:rPr>
          <w:color w:val="333333"/>
          <w:spacing w:val="-12"/>
        </w:rPr>
        <w:t> </w:t>
      </w:r>
      <w:r>
        <w:rPr>
          <w:color w:val="333333"/>
          <w:spacing w:val="-1"/>
        </w:rPr>
        <w:t>and</w:t>
      </w:r>
      <w:r>
        <w:rPr>
          <w:color w:val="333333"/>
          <w:spacing w:val="-11"/>
        </w:rPr>
        <w:t> </w:t>
      </w:r>
      <w:r>
        <w:rPr>
          <w:color w:val="333333"/>
          <w:spacing w:val="-1"/>
        </w:rPr>
        <w:t>Papageorgiou,</w:t>
      </w:r>
      <w:r>
        <w:rPr>
          <w:color w:val="333333"/>
          <w:spacing w:val="-11"/>
        </w:rPr>
        <w:t> </w:t>
      </w:r>
      <w:r>
        <w:rPr>
          <w:color w:val="333333"/>
        </w:rPr>
        <w:t>2014).</w:t>
      </w:r>
      <w:r>
        <w:rPr>
          <w:color w:val="333333"/>
          <w:spacing w:val="-11"/>
        </w:rPr>
        <w:t> </w:t>
      </w:r>
      <w:r>
        <w:rPr>
          <w:color w:val="333333"/>
        </w:rPr>
        <w:t>The</w:t>
      </w:r>
      <w:r>
        <w:rPr>
          <w:color w:val="333333"/>
          <w:spacing w:val="-13"/>
        </w:rPr>
        <w:t> </w:t>
      </w:r>
      <w:r>
        <w:rPr>
          <w:color w:val="333333"/>
        </w:rPr>
        <w:t>classical</w:t>
      </w:r>
      <w:r>
        <w:rPr>
          <w:color w:val="333333"/>
          <w:spacing w:val="-11"/>
        </w:rPr>
        <w:t> </w:t>
      </w:r>
      <w:r>
        <w:rPr>
          <w:color w:val="333333"/>
        </w:rPr>
        <w:t>school</w:t>
      </w:r>
      <w:r>
        <w:rPr>
          <w:color w:val="333333"/>
          <w:spacing w:val="-11"/>
        </w:rPr>
        <w:t> </w:t>
      </w:r>
      <w:r>
        <w:rPr>
          <w:color w:val="333333"/>
        </w:rPr>
        <w:t>reflected</w:t>
      </w:r>
      <w:r>
        <w:rPr>
          <w:color w:val="333333"/>
          <w:spacing w:val="-13"/>
        </w:rPr>
        <w:t> </w:t>
      </w:r>
      <w:r>
        <w:rPr>
          <w:color w:val="333333"/>
        </w:rPr>
        <w:t>primarily</w:t>
      </w:r>
      <w:r>
        <w:rPr>
          <w:color w:val="333333"/>
          <w:spacing w:val="-14"/>
        </w:rPr>
        <w:t> </w:t>
      </w:r>
      <w:r>
        <w:rPr>
          <w:color w:val="333333"/>
        </w:rPr>
        <w:t>the</w:t>
      </w:r>
      <w:r>
        <w:rPr>
          <w:color w:val="333333"/>
          <w:spacing w:val="-12"/>
        </w:rPr>
        <w:t> </w:t>
      </w:r>
      <w:r>
        <w:rPr>
          <w:color w:val="333333"/>
        </w:rPr>
        <w:t>works</w:t>
      </w:r>
      <w:r>
        <w:rPr>
          <w:color w:val="333333"/>
          <w:spacing w:val="-11"/>
        </w:rPr>
        <w:t> </w:t>
      </w:r>
      <w:r>
        <w:rPr>
          <w:color w:val="333333"/>
        </w:rPr>
        <w:t>of</w:t>
      </w:r>
      <w:r>
        <w:rPr>
          <w:color w:val="333333"/>
          <w:spacing w:val="-12"/>
        </w:rPr>
        <w:t> </w:t>
      </w:r>
      <w:r>
        <w:rPr>
          <w:color w:val="333333"/>
        </w:rPr>
        <w:t>Adam</w:t>
      </w:r>
      <w:r>
        <w:rPr>
          <w:color w:val="333333"/>
          <w:spacing w:val="-58"/>
        </w:rPr>
        <w:t> </w:t>
      </w:r>
      <w:r>
        <w:rPr>
          <w:color w:val="333333"/>
        </w:rPr>
        <w:t>Smith</w:t>
      </w:r>
      <w:r>
        <w:rPr>
          <w:color w:val="333333"/>
          <w:spacing w:val="-4"/>
        </w:rPr>
        <w:t> </w:t>
      </w:r>
      <w:r>
        <w:rPr>
          <w:color w:val="333333"/>
        </w:rPr>
        <w:t>and</w:t>
      </w:r>
      <w:r>
        <w:rPr>
          <w:color w:val="333333"/>
          <w:spacing w:val="-4"/>
        </w:rPr>
        <w:t> </w:t>
      </w:r>
      <w:r>
        <w:rPr>
          <w:color w:val="333333"/>
        </w:rPr>
        <w:t>David</w:t>
      </w:r>
      <w:r>
        <w:rPr>
          <w:color w:val="333333"/>
          <w:spacing w:val="-2"/>
        </w:rPr>
        <w:t> </w:t>
      </w:r>
      <w:r>
        <w:rPr>
          <w:color w:val="333333"/>
        </w:rPr>
        <w:t>Ricardo.</w:t>
      </w:r>
      <w:r>
        <w:rPr>
          <w:color w:val="333333"/>
          <w:spacing w:val="-5"/>
        </w:rPr>
        <w:t> </w:t>
      </w:r>
      <w:r>
        <w:rPr>
          <w:color w:val="333333"/>
        </w:rPr>
        <w:t>First,</w:t>
      </w:r>
      <w:r>
        <w:rPr>
          <w:color w:val="333333"/>
          <w:spacing w:val="-3"/>
        </w:rPr>
        <w:t> </w:t>
      </w:r>
      <w:r>
        <w:rPr>
          <w:color w:val="333333"/>
        </w:rPr>
        <w:t>they</w:t>
      </w:r>
      <w:r>
        <w:rPr>
          <w:color w:val="333333"/>
          <w:spacing w:val="-8"/>
        </w:rPr>
        <w:t> </w:t>
      </w:r>
      <w:r>
        <w:rPr>
          <w:color w:val="333333"/>
        </w:rPr>
        <w:t>focused</w:t>
      </w:r>
      <w:r>
        <w:rPr>
          <w:color w:val="333333"/>
          <w:spacing w:val="-4"/>
        </w:rPr>
        <w:t> </w:t>
      </w:r>
      <w:r>
        <w:rPr>
          <w:color w:val="333333"/>
        </w:rPr>
        <w:t>on</w:t>
      </w:r>
      <w:r>
        <w:rPr>
          <w:color w:val="333333"/>
          <w:spacing w:val="-4"/>
        </w:rPr>
        <w:t> </w:t>
      </w:r>
      <w:r>
        <w:rPr>
          <w:color w:val="333333"/>
        </w:rPr>
        <w:t>the</w:t>
      </w:r>
      <w:r>
        <w:rPr>
          <w:color w:val="333333"/>
          <w:spacing w:val="-4"/>
        </w:rPr>
        <w:t> </w:t>
      </w:r>
      <w:r>
        <w:rPr>
          <w:color w:val="333333"/>
        </w:rPr>
        <w:t>underlying</w:t>
      </w:r>
      <w:r>
        <w:rPr>
          <w:color w:val="333333"/>
          <w:spacing w:val="-6"/>
        </w:rPr>
        <w:t> </w:t>
      </w:r>
      <w:r>
        <w:rPr>
          <w:color w:val="333333"/>
        </w:rPr>
        <w:t>factors</w:t>
      </w:r>
      <w:r>
        <w:rPr>
          <w:color w:val="333333"/>
          <w:spacing w:val="-4"/>
        </w:rPr>
        <w:t> </w:t>
      </w:r>
      <w:r>
        <w:rPr>
          <w:color w:val="333333"/>
        </w:rPr>
        <w:t>that</w:t>
      </w:r>
      <w:r>
        <w:rPr>
          <w:color w:val="333333"/>
          <w:spacing w:val="-3"/>
        </w:rPr>
        <w:t> </w:t>
      </w:r>
      <w:r>
        <w:rPr>
          <w:color w:val="333333"/>
        </w:rPr>
        <w:t>spawn</w:t>
      </w:r>
      <w:r>
        <w:rPr>
          <w:color w:val="333333"/>
          <w:spacing w:val="-4"/>
        </w:rPr>
        <w:t> </w:t>
      </w:r>
      <w:r>
        <w:rPr>
          <w:color w:val="333333"/>
        </w:rPr>
        <w:t>and</w:t>
      </w:r>
      <w:r>
        <w:rPr>
          <w:color w:val="333333"/>
          <w:spacing w:val="-4"/>
        </w:rPr>
        <w:t> </w:t>
      </w:r>
      <w:r>
        <w:rPr>
          <w:color w:val="333333"/>
        </w:rPr>
        <w:t>sustain</w:t>
      </w:r>
      <w:r>
        <w:rPr>
          <w:color w:val="333333"/>
          <w:spacing w:val="-57"/>
        </w:rPr>
        <w:t> </w:t>
      </w:r>
      <w:r>
        <w:rPr>
          <w:color w:val="333333"/>
        </w:rPr>
        <w:t>economic growth. They postulated that an economy is able to reach its potential output or full</w:t>
      </w:r>
      <w:r>
        <w:rPr>
          <w:color w:val="333333"/>
          <w:spacing w:val="-57"/>
        </w:rPr>
        <w:t> </w:t>
      </w:r>
      <w:r>
        <w:rPr>
          <w:color w:val="333333"/>
        </w:rPr>
        <w:t>employment</w:t>
      </w:r>
      <w:r>
        <w:rPr>
          <w:color w:val="333333"/>
          <w:spacing w:val="16"/>
        </w:rPr>
        <w:t> </w:t>
      </w:r>
      <w:r>
        <w:rPr>
          <w:color w:val="333333"/>
        </w:rPr>
        <w:t>level</w:t>
      </w:r>
      <w:r>
        <w:rPr>
          <w:color w:val="333333"/>
          <w:spacing w:val="17"/>
        </w:rPr>
        <w:t> </w:t>
      </w:r>
      <w:r>
        <w:rPr>
          <w:color w:val="333333"/>
        </w:rPr>
        <w:t>in</w:t>
      </w:r>
      <w:r>
        <w:rPr>
          <w:color w:val="333333"/>
          <w:spacing w:val="17"/>
        </w:rPr>
        <w:t> </w:t>
      </w:r>
      <w:r>
        <w:rPr>
          <w:color w:val="333333"/>
        </w:rPr>
        <w:t>the</w:t>
      </w:r>
      <w:r>
        <w:rPr>
          <w:color w:val="333333"/>
          <w:spacing w:val="18"/>
        </w:rPr>
        <w:t> </w:t>
      </w:r>
      <w:r>
        <w:rPr>
          <w:color w:val="333333"/>
        </w:rPr>
        <w:t>long</w:t>
      </w:r>
      <w:r>
        <w:rPr>
          <w:color w:val="333333"/>
          <w:spacing w:val="14"/>
        </w:rPr>
        <w:t> </w:t>
      </w:r>
      <w:r>
        <w:rPr>
          <w:color w:val="333333"/>
        </w:rPr>
        <w:t>run.</w:t>
      </w:r>
      <w:r>
        <w:rPr>
          <w:color w:val="333333"/>
          <w:spacing w:val="20"/>
        </w:rPr>
        <w:t> </w:t>
      </w:r>
      <w:r>
        <w:rPr>
          <w:color w:val="333333"/>
        </w:rPr>
        <w:t>In</w:t>
      </w:r>
      <w:r>
        <w:rPr>
          <w:color w:val="333333"/>
          <w:spacing w:val="16"/>
        </w:rPr>
        <w:t> </w:t>
      </w:r>
      <w:r>
        <w:rPr>
          <w:color w:val="333333"/>
        </w:rPr>
        <w:t>the</w:t>
      </w:r>
      <w:r>
        <w:rPr>
          <w:color w:val="333333"/>
          <w:spacing w:val="16"/>
        </w:rPr>
        <w:t> </w:t>
      </w:r>
      <w:r>
        <w:rPr>
          <w:color w:val="333333"/>
        </w:rPr>
        <w:t>instance</w:t>
      </w:r>
      <w:r>
        <w:rPr>
          <w:color w:val="333333"/>
          <w:spacing w:val="17"/>
        </w:rPr>
        <w:t> </w:t>
      </w:r>
      <w:r>
        <w:rPr>
          <w:color w:val="333333"/>
        </w:rPr>
        <w:t>of</w:t>
      </w:r>
      <w:r>
        <w:rPr>
          <w:color w:val="333333"/>
          <w:spacing w:val="15"/>
        </w:rPr>
        <w:t> </w:t>
      </w:r>
      <w:r>
        <w:rPr>
          <w:color w:val="333333"/>
        </w:rPr>
        <w:t>any</w:t>
      </w:r>
      <w:r>
        <w:rPr>
          <w:color w:val="333333"/>
          <w:spacing w:val="11"/>
        </w:rPr>
        <w:t> </w:t>
      </w:r>
      <w:r>
        <w:rPr>
          <w:color w:val="333333"/>
        </w:rPr>
        <w:t>distortion</w:t>
      </w:r>
      <w:r>
        <w:rPr>
          <w:color w:val="333333"/>
          <w:spacing w:val="16"/>
        </w:rPr>
        <w:t> </w:t>
      </w:r>
      <w:r>
        <w:rPr>
          <w:color w:val="333333"/>
        </w:rPr>
        <w:t>of</w:t>
      </w:r>
      <w:r>
        <w:rPr>
          <w:color w:val="333333"/>
          <w:spacing w:val="15"/>
        </w:rPr>
        <w:t> </w:t>
      </w:r>
      <w:r>
        <w:rPr>
          <w:color w:val="333333"/>
        </w:rPr>
        <w:t>the</w:t>
      </w:r>
      <w:r>
        <w:rPr>
          <w:color w:val="333333"/>
          <w:spacing w:val="20"/>
        </w:rPr>
        <w:t> </w:t>
      </w:r>
      <w:r>
        <w:rPr>
          <w:color w:val="333333"/>
        </w:rPr>
        <w:t>economy</w:t>
      </w:r>
      <w:r>
        <w:rPr>
          <w:color w:val="333333"/>
          <w:spacing w:val="11"/>
        </w:rPr>
        <w:t> </w:t>
      </w:r>
      <w:r>
        <w:rPr>
          <w:color w:val="333333"/>
        </w:rPr>
        <w:t>from</w:t>
      </w:r>
      <w:r>
        <w:rPr>
          <w:color w:val="333333"/>
          <w:spacing w:val="17"/>
        </w:rPr>
        <w:t> </w:t>
      </w:r>
      <w:r>
        <w:rPr>
          <w:color w:val="333333"/>
        </w:rPr>
        <w:t>its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39"/>
        <w:jc w:val="both"/>
      </w:pPr>
      <w:r>
        <w:rPr>
          <w:color w:val="333333"/>
        </w:rPr>
        <w:t>potential output, the economy can re-adjust on its own in the long run through the price</w:t>
      </w:r>
      <w:r>
        <w:rPr>
          <w:color w:val="333333"/>
          <w:spacing w:val="1"/>
        </w:rPr>
        <w:t> </w:t>
      </w:r>
      <w:r>
        <w:rPr>
          <w:color w:val="333333"/>
        </w:rPr>
        <w:t>mechanism.</w:t>
      </w:r>
      <w:r>
        <w:rPr>
          <w:color w:val="333333"/>
          <w:spacing w:val="-4"/>
        </w:rPr>
        <w:t> </w:t>
      </w:r>
      <w:r>
        <w:rPr>
          <w:color w:val="333333"/>
        </w:rPr>
        <w:t>This</w:t>
      </w:r>
      <w:r>
        <w:rPr>
          <w:color w:val="333333"/>
          <w:spacing w:val="-2"/>
        </w:rPr>
        <w:t> </w:t>
      </w:r>
      <w:r>
        <w:rPr>
          <w:color w:val="333333"/>
        </w:rPr>
        <w:t>precludes</w:t>
      </w:r>
      <w:r>
        <w:rPr>
          <w:color w:val="333333"/>
          <w:spacing w:val="-3"/>
        </w:rPr>
        <w:t> </w:t>
      </w:r>
      <w:r>
        <w:rPr>
          <w:color w:val="333333"/>
        </w:rPr>
        <w:t>any</w:t>
      </w:r>
      <w:r>
        <w:rPr>
          <w:color w:val="333333"/>
          <w:spacing w:val="-8"/>
        </w:rPr>
        <w:t> </w:t>
      </w:r>
      <w:r>
        <w:rPr>
          <w:color w:val="333333"/>
        </w:rPr>
        <w:t>form</w:t>
      </w:r>
      <w:r>
        <w:rPr>
          <w:color w:val="333333"/>
          <w:spacing w:val="-3"/>
        </w:rPr>
        <w:t> </w:t>
      </w:r>
      <w:r>
        <w:rPr>
          <w:color w:val="333333"/>
        </w:rPr>
        <w:t>of government</w:t>
      </w:r>
      <w:r>
        <w:rPr>
          <w:color w:val="333333"/>
          <w:spacing w:val="-2"/>
        </w:rPr>
        <w:t> </w:t>
      </w:r>
      <w:r>
        <w:rPr>
          <w:color w:val="333333"/>
        </w:rPr>
        <w:t>policy.</w:t>
      </w:r>
      <w:r>
        <w:rPr>
          <w:color w:val="333333"/>
          <w:spacing w:val="-3"/>
        </w:rPr>
        <w:t> </w:t>
      </w:r>
      <w:r>
        <w:rPr>
          <w:color w:val="333333"/>
        </w:rPr>
        <w:t>The</w:t>
      </w:r>
      <w:r>
        <w:rPr>
          <w:color w:val="333333"/>
          <w:spacing w:val="-4"/>
        </w:rPr>
        <w:t> </w:t>
      </w:r>
      <w:r>
        <w:rPr>
          <w:color w:val="333333"/>
        </w:rPr>
        <w:t>re-adjustment</w:t>
      </w:r>
      <w:r>
        <w:rPr>
          <w:color w:val="333333"/>
          <w:spacing w:val="-3"/>
        </w:rPr>
        <w:t> </w:t>
      </w:r>
      <w:r>
        <w:rPr>
          <w:color w:val="333333"/>
        </w:rPr>
        <w:t>capacity</w:t>
      </w:r>
      <w:r>
        <w:rPr>
          <w:color w:val="333333"/>
          <w:spacing w:val="-5"/>
        </w:rPr>
        <w:t> </w:t>
      </w:r>
      <w:r>
        <w:rPr>
          <w:color w:val="333333"/>
        </w:rPr>
        <w:t>of</w:t>
      </w:r>
      <w:r>
        <w:rPr>
          <w:color w:val="333333"/>
          <w:spacing w:val="-4"/>
        </w:rPr>
        <w:t> </w:t>
      </w:r>
      <w:r>
        <w:rPr>
          <w:color w:val="333333"/>
        </w:rPr>
        <w:t>the</w:t>
      </w:r>
      <w:r>
        <w:rPr>
          <w:color w:val="333333"/>
          <w:spacing w:val="-58"/>
        </w:rPr>
        <w:t> </w:t>
      </w:r>
      <w:r>
        <w:rPr>
          <w:color w:val="333333"/>
        </w:rPr>
        <w:t>economy</w:t>
      </w:r>
      <w:r>
        <w:rPr>
          <w:color w:val="333333"/>
          <w:spacing w:val="1"/>
        </w:rPr>
        <w:t> </w:t>
      </w:r>
      <w:r>
        <w:rPr>
          <w:color w:val="333333"/>
        </w:rPr>
        <w:t>demonstrates</w:t>
      </w:r>
      <w:r>
        <w:rPr>
          <w:color w:val="333333"/>
          <w:spacing w:val="1"/>
        </w:rPr>
        <w:t> </w:t>
      </w:r>
      <w:r>
        <w:rPr>
          <w:color w:val="333333"/>
        </w:rPr>
        <w:t>their</w:t>
      </w:r>
      <w:r>
        <w:rPr>
          <w:color w:val="333333"/>
          <w:spacing w:val="1"/>
        </w:rPr>
        <w:t> </w:t>
      </w:r>
      <w:r>
        <w:rPr>
          <w:color w:val="333333"/>
        </w:rPr>
        <w:t>liberalist</w:t>
      </w:r>
      <w:r>
        <w:rPr>
          <w:color w:val="333333"/>
          <w:spacing w:val="1"/>
        </w:rPr>
        <w:t> </w:t>
      </w:r>
      <w:r>
        <w:rPr>
          <w:color w:val="333333"/>
        </w:rPr>
        <w:t>tradition.</w:t>
      </w:r>
      <w:r>
        <w:rPr>
          <w:color w:val="333333"/>
          <w:spacing w:val="1"/>
        </w:rPr>
        <w:t> </w:t>
      </w:r>
      <w:r>
        <w:rPr>
          <w:color w:val="333333"/>
        </w:rPr>
        <w:t>Essentially,</w:t>
      </w:r>
      <w:r>
        <w:rPr>
          <w:color w:val="333333"/>
          <w:spacing w:val="1"/>
        </w:rPr>
        <w:t> </w:t>
      </w:r>
      <w:r>
        <w:rPr>
          <w:color w:val="333333"/>
        </w:rPr>
        <w:t>they</w:t>
      </w:r>
      <w:r>
        <w:rPr>
          <w:color w:val="333333"/>
          <w:spacing w:val="1"/>
        </w:rPr>
        <w:t> </w:t>
      </w:r>
      <w:r>
        <w:rPr>
          <w:color w:val="333333"/>
        </w:rPr>
        <w:t>advocated</w:t>
      </w:r>
      <w:r>
        <w:rPr>
          <w:color w:val="333333"/>
          <w:spacing w:val="1"/>
        </w:rPr>
        <w:t> </w:t>
      </w:r>
      <w:r>
        <w:rPr>
          <w:color w:val="333333"/>
        </w:rPr>
        <w:t>for</w:t>
      </w:r>
      <w:r>
        <w:rPr>
          <w:color w:val="333333"/>
          <w:spacing w:val="1"/>
        </w:rPr>
        <w:t> </w:t>
      </w:r>
      <w:r>
        <w:rPr>
          <w:color w:val="333333"/>
        </w:rPr>
        <w:t>minimal</w:t>
      </w:r>
      <w:r>
        <w:rPr>
          <w:color w:val="333333"/>
          <w:spacing w:val="-57"/>
        </w:rPr>
        <w:t> </w:t>
      </w:r>
      <w:r>
        <w:rPr>
          <w:color w:val="333333"/>
        </w:rPr>
        <w:t>government intervention since the economy is self-correcting. Wages and prices are also</w:t>
      </w:r>
      <w:r>
        <w:rPr>
          <w:color w:val="333333"/>
          <w:spacing w:val="1"/>
        </w:rPr>
        <w:t> </w:t>
      </w:r>
      <w:r>
        <w:rPr>
          <w:color w:val="333333"/>
        </w:rPr>
        <w:t>regarded</w:t>
      </w:r>
      <w:r>
        <w:rPr>
          <w:color w:val="333333"/>
          <w:spacing w:val="-1"/>
        </w:rPr>
        <w:t> </w:t>
      </w:r>
      <w:r>
        <w:rPr>
          <w:color w:val="333333"/>
        </w:rPr>
        <w:t>as flexible</w:t>
      </w:r>
      <w:r>
        <w:rPr>
          <w:color w:val="333333"/>
          <w:spacing w:val="-1"/>
        </w:rPr>
        <w:t> </w:t>
      </w:r>
      <w:r>
        <w:rPr>
          <w:color w:val="333333"/>
        </w:rPr>
        <w:t>and determined by</w:t>
      </w:r>
      <w:r>
        <w:rPr>
          <w:color w:val="333333"/>
          <w:spacing w:val="-5"/>
        </w:rPr>
        <w:t> </w:t>
      </w:r>
      <w:r>
        <w:rPr>
          <w:color w:val="333333"/>
        </w:rPr>
        <w:t>the price</w:t>
      </w:r>
      <w:r>
        <w:rPr>
          <w:color w:val="333333"/>
          <w:spacing w:val="1"/>
        </w:rPr>
        <w:t> </w:t>
      </w:r>
      <w:r>
        <w:rPr>
          <w:color w:val="333333"/>
        </w:rPr>
        <w:t>mechanism.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1760" w:right="1437"/>
        <w:jc w:val="both"/>
      </w:pPr>
      <w:r>
        <w:rPr>
          <w:color w:val="333333"/>
        </w:rPr>
        <w:t>John Maynard Keynes in his book, The General Theory of Employment, Interest and Money,</w:t>
      </w:r>
      <w:r>
        <w:rPr>
          <w:color w:val="333333"/>
          <w:spacing w:val="-57"/>
        </w:rPr>
        <w:t> </w:t>
      </w:r>
      <w:r>
        <w:rPr>
          <w:color w:val="333333"/>
        </w:rPr>
        <w:t>differed</w:t>
      </w:r>
      <w:r>
        <w:rPr>
          <w:color w:val="333333"/>
          <w:spacing w:val="1"/>
        </w:rPr>
        <w:t> </w:t>
      </w:r>
      <w:r>
        <w:rPr>
          <w:color w:val="333333"/>
        </w:rPr>
        <w:t>in</w:t>
      </w:r>
      <w:r>
        <w:rPr>
          <w:color w:val="333333"/>
          <w:spacing w:val="1"/>
        </w:rPr>
        <w:t> </w:t>
      </w:r>
      <w:r>
        <w:rPr>
          <w:color w:val="333333"/>
        </w:rPr>
        <w:t>his</w:t>
      </w:r>
      <w:r>
        <w:rPr>
          <w:color w:val="333333"/>
          <w:spacing w:val="1"/>
        </w:rPr>
        <w:t> </w:t>
      </w:r>
      <w:r>
        <w:rPr>
          <w:color w:val="333333"/>
        </w:rPr>
        <w:t>prescription</w:t>
      </w:r>
      <w:r>
        <w:rPr>
          <w:color w:val="333333"/>
          <w:spacing w:val="1"/>
        </w:rPr>
        <w:t> </w:t>
      </w:r>
      <w:r>
        <w:rPr>
          <w:color w:val="333333"/>
        </w:rPr>
        <w:t>to</w:t>
      </w:r>
      <w:r>
        <w:rPr>
          <w:color w:val="333333"/>
          <w:spacing w:val="1"/>
        </w:rPr>
        <w:t> </w:t>
      </w:r>
      <w:r>
        <w:rPr>
          <w:color w:val="333333"/>
        </w:rPr>
        <w:t>tackling</w:t>
      </w:r>
      <w:r>
        <w:rPr>
          <w:color w:val="333333"/>
          <w:spacing w:val="1"/>
        </w:rPr>
        <w:t> </w:t>
      </w:r>
      <w:r>
        <w:rPr>
          <w:color w:val="333333"/>
        </w:rPr>
        <w:t>the</w:t>
      </w:r>
      <w:r>
        <w:rPr>
          <w:color w:val="333333"/>
          <w:spacing w:val="1"/>
        </w:rPr>
        <w:t> </w:t>
      </w:r>
      <w:r>
        <w:rPr>
          <w:color w:val="333333"/>
        </w:rPr>
        <w:t>Great</w:t>
      </w:r>
      <w:r>
        <w:rPr>
          <w:color w:val="333333"/>
          <w:spacing w:val="1"/>
        </w:rPr>
        <w:t> </w:t>
      </w:r>
      <w:r>
        <w:rPr>
          <w:color w:val="333333"/>
        </w:rPr>
        <w:t>Depression.</w:t>
      </w:r>
      <w:r>
        <w:rPr>
          <w:color w:val="333333"/>
          <w:spacing w:val="1"/>
        </w:rPr>
        <w:t> </w:t>
      </w:r>
      <w:r>
        <w:rPr>
          <w:color w:val="333333"/>
        </w:rPr>
        <w:t>Keynes</w:t>
      </w:r>
      <w:r>
        <w:rPr>
          <w:color w:val="333333"/>
          <w:spacing w:val="1"/>
        </w:rPr>
        <w:t> </w:t>
      </w:r>
      <w:r>
        <w:rPr>
          <w:color w:val="333333"/>
        </w:rPr>
        <w:t>drifted</w:t>
      </w:r>
      <w:r>
        <w:rPr>
          <w:color w:val="333333"/>
          <w:spacing w:val="1"/>
        </w:rPr>
        <w:t> </w:t>
      </w:r>
      <w:r>
        <w:rPr>
          <w:color w:val="333333"/>
        </w:rPr>
        <w:t>from</w:t>
      </w:r>
      <w:r>
        <w:rPr>
          <w:color w:val="333333"/>
          <w:spacing w:val="1"/>
        </w:rPr>
        <w:t> </w:t>
      </w:r>
      <w:r>
        <w:rPr>
          <w:color w:val="333333"/>
        </w:rPr>
        <w:t>the</w:t>
      </w:r>
      <w:r>
        <w:rPr>
          <w:color w:val="333333"/>
          <w:spacing w:val="1"/>
        </w:rPr>
        <w:t> </w:t>
      </w:r>
      <w:r>
        <w:rPr>
          <w:color w:val="333333"/>
        </w:rPr>
        <w:t>Classicals’</w:t>
      </w:r>
      <w:r>
        <w:rPr>
          <w:color w:val="333333"/>
          <w:spacing w:val="-5"/>
        </w:rPr>
        <w:t> </w:t>
      </w:r>
      <w:r>
        <w:rPr>
          <w:color w:val="333333"/>
        </w:rPr>
        <w:t>emphasis</w:t>
      </w:r>
      <w:r>
        <w:rPr>
          <w:color w:val="333333"/>
          <w:spacing w:val="-3"/>
        </w:rPr>
        <w:t> </w:t>
      </w:r>
      <w:r>
        <w:rPr>
          <w:color w:val="333333"/>
        </w:rPr>
        <w:t>on</w:t>
      </w:r>
      <w:r>
        <w:rPr>
          <w:color w:val="333333"/>
          <w:spacing w:val="-4"/>
        </w:rPr>
        <w:t> </w:t>
      </w:r>
      <w:r>
        <w:rPr>
          <w:color w:val="333333"/>
        </w:rPr>
        <w:t>aggregate</w:t>
      </w:r>
      <w:r>
        <w:rPr>
          <w:color w:val="333333"/>
          <w:spacing w:val="-4"/>
        </w:rPr>
        <w:t> </w:t>
      </w:r>
      <w:r>
        <w:rPr>
          <w:color w:val="333333"/>
        </w:rPr>
        <w:t>supply</w:t>
      </w:r>
      <w:r>
        <w:rPr>
          <w:color w:val="333333"/>
          <w:spacing w:val="-11"/>
        </w:rPr>
        <w:t> </w:t>
      </w:r>
      <w:r>
        <w:rPr>
          <w:color w:val="333333"/>
        </w:rPr>
        <w:t>to</w:t>
      </w:r>
      <w:r>
        <w:rPr>
          <w:color w:val="333333"/>
          <w:spacing w:val="-3"/>
        </w:rPr>
        <w:t> </w:t>
      </w:r>
      <w:r>
        <w:rPr>
          <w:color w:val="333333"/>
        </w:rPr>
        <w:t>the</w:t>
      </w:r>
      <w:r>
        <w:rPr>
          <w:color w:val="333333"/>
          <w:spacing w:val="-4"/>
        </w:rPr>
        <w:t> </w:t>
      </w:r>
      <w:r>
        <w:rPr>
          <w:color w:val="333333"/>
        </w:rPr>
        <w:t>concept</w:t>
      </w:r>
      <w:r>
        <w:rPr>
          <w:color w:val="333333"/>
          <w:spacing w:val="-4"/>
        </w:rPr>
        <w:t> </w:t>
      </w:r>
      <w:r>
        <w:rPr>
          <w:color w:val="333333"/>
        </w:rPr>
        <w:t>of</w:t>
      </w:r>
      <w:r>
        <w:rPr>
          <w:color w:val="333333"/>
          <w:spacing w:val="-5"/>
        </w:rPr>
        <w:t> </w:t>
      </w:r>
      <w:r>
        <w:rPr>
          <w:color w:val="333333"/>
        </w:rPr>
        <w:t>aggregate</w:t>
      </w:r>
      <w:r>
        <w:rPr>
          <w:color w:val="333333"/>
          <w:spacing w:val="-4"/>
        </w:rPr>
        <w:t> </w:t>
      </w:r>
      <w:r>
        <w:rPr>
          <w:color w:val="333333"/>
        </w:rPr>
        <w:t>demand.</w:t>
      </w:r>
      <w:r>
        <w:rPr>
          <w:color w:val="333333"/>
          <w:spacing w:val="-4"/>
        </w:rPr>
        <w:t> </w:t>
      </w:r>
      <w:r>
        <w:rPr>
          <w:color w:val="333333"/>
        </w:rPr>
        <w:t>The</w:t>
      </w:r>
      <w:r>
        <w:rPr>
          <w:color w:val="333333"/>
          <w:spacing w:val="-5"/>
        </w:rPr>
        <w:t> </w:t>
      </w:r>
      <w:r>
        <w:rPr>
          <w:color w:val="333333"/>
        </w:rPr>
        <w:t>Classicals,</w:t>
      </w:r>
      <w:r>
        <w:rPr>
          <w:color w:val="333333"/>
          <w:spacing w:val="-58"/>
        </w:rPr>
        <w:t> </w:t>
      </w:r>
      <w:r>
        <w:rPr>
          <w:color w:val="333333"/>
        </w:rPr>
        <w:t>going by the Say’s law, correlated the state of the economy with the level of the aggregate</w:t>
      </w:r>
      <w:r>
        <w:rPr>
          <w:color w:val="333333"/>
          <w:spacing w:val="1"/>
        </w:rPr>
        <w:t> </w:t>
      </w:r>
      <w:r>
        <w:rPr>
          <w:color w:val="333333"/>
        </w:rPr>
        <w:t>supply</w:t>
      </w:r>
      <w:r>
        <w:rPr>
          <w:color w:val="333333"/>
          <w:spacing w:val="-12"/>
        </w:rPr>
        <w:t> </w:t>
      </w:r>
      <w:r>
        <w:rPr>
          <w:color w:val="333333"/>
        </w:rPr>
        <w:t>curve.</w:t>
      </w:r>
      <w:r>
        <w:rPr>
          <w:color w:val="333333"/>
          <w:spacing w:val="-6"/>
        </w:rPr>
        <w:t> </w:t>
      </w:r>
      <w:r>
        <w:rPr>
          <w:color w:val="333333"/>
        </w:rPr>
        <w:t>Keynes,</w:t>
      </w:r>
      <w:r>
        <w:rPr>
          <w:color w:val="333333"/>
          <w:spacing w:val="-7"/>
        </w:rPr>
        <w:t> </w:t>
      </w:r>
      <w:r>
        <w:rPr>
          <w:color w:val="333333"/>
        </w:rPr>
        <w:t>in</w:t>
      </w:r>
      <w:r>
        <w:rPr>
          <w:color w:val="333333"/>
          <w:spacing w:val="-6"/>
        </w:rPr>
        <w:t> </w:t>
      </w:r>
      <w:r>
        <w:rPr>
          <w:color w:val="333333"/>
        </w:rPr>
        <w:t>a</w:t>
      </w:r>
      <w:r>
        <w:rPr>
          <w:color w:val="333333"/>
          <w:spacing w:val="-7"/>
        </w:rPr>
        <w:t> </w:t>
      </w:r>
      <w:r>
        <w:rPr>
          <w:color w:val="333333"/>
        </w:rPr>
        <w:t>different</w:t>
      </w:r>
      <w:r>
        <w:rPr>
          <w:color w:val="333333"/>
          <w:spacing w:val="-7"/>
        </w:rPr>
        <w:t> </w:t>
      </w:r>
      <w:r>
        <w:rPr>
          <w:color w:val="333333"/>
        </w:rPr>
        <w:t>manner,</w:t>
      </w:r>
      <w:r>
        <w:rPr>
          <w:color w:val="333333"/>
          <w:spacing w:val="-7"/>
        </w:rPr>
        <w:t> </w:t>
      </w:r>
      <w:r>
        <w:rPr>
          <w:color w:val="333333"/>
        </w:rPr>
        <w:t>posited</w:t>
      </w:r>
      <w:r>
        <w:rPr>
          <w:color w:val="333333"/>
          <w:spacing w:val="-8"/>
        </w:rPr>
        <w:t> </w:t>
      </w:r>
      <w:r>
        <w:rPr>
          <w:color w:val="333333"/>
        </w:rPr>
        <w:t>that</w:t>
      </w:r>
      <w:r>
        <w:rPr>
          <w:color w:val="333333"/>
          <w:spacing w:val="-6"/>
        </w:rPr>
        <w:t> </w:t>
      </w:r>
      <w:r>
        <w:rPr>
          <w:color w:val="333333"/>
        </w:rPr>
        <w:t>the</w:t>
      </w:r>
      <w:r>
        <w:rPr>
          <w:color w:val="333333"/>
          <w:spacing w:val="-7"/>
        </w:rPr>
        <w:t> </w:t>
      </w:r>
      <w:r>
        <w:rPr>
          <w:color w:val="333333"/>
        </w:rPr>
        <w:t>changes</w:t>
      </w:r>
      <w:r>
        <w:rPr>
          <w:color w:val="333333"/>
          <w:spacing w:val="-7"/>
        </w:rPr>
        <w:t> </w:t>
      </w:r>
      <w:r>
        <w:rPr>
          <w:color w:val="333333"/>
        </w:rPr>
        <w:t>in</w:t>
      </w:r>
      <w:r>
        <w:rPr>
          <w:color w:val="333333"/>
          <w:spacing w:val="-6"/>
        </w:rPr>
        <w:t> </w:t>
      </w:r>
      <w:r>
        <w:rPr>
          <w:color w:val="333333"/>
        </w:rPr>
        <w:t>aggregate</w:t>
      </w:r>
      <w:r>
        <w:rPr>
          <w:color w:val="333333"/>
          <w:spacing w:val="-8"/>
        </w:rPr>
        <w:t> </w:t>
      </w:r>
      <w:r>
        <w:rPr>
          <w:color w:val="333333"/>
        </w:rPr>
        <w:t>demand</w:t>
      </w:r>
      <w:r>
        <w:rPr>
          <w:color w:val="333333"/>
          <w:spacing w:val="-7"/>
        </w:rPr>
        <w:t> </w:t>
      </w:r>
      <w:r>
        <w:rPr>
          <w:color w:val="333333"/>
        </w:rPr>
        <w:t>can</w:t>
      </w:r>
      <w:r>
        <w:rPr>
          <w:color w:val="333333"/>
          <w:spacing w:val="-58"/>
        </w:rPr>
        <w:t> </w:t>
      </w:r>
      <w:r>
        <w:rPr>
          <w:color w:val="333333"/>
        </w:rPr>
        <w:t>distort the actual levels of output from its potential level, creating gaps.</w:t>
      </w:r>
      <w:r>
        <w:rPr>
          <w:color w:val="333333"/>
          <w:spacing w:val="1"/>
        </w:rPr>
        <w:t> </w:t>
      </w:r>
      <w:r>
        <w:rPr>
          <w:color w:val="333333"/>
        </w:rPr>
        <w:t>Keynes also focused</w:t>
      </w:r>
      <w:r>
        <w:rPr>
          <w:color w:val="333333"/>
          <w:spacing w:val="1"/>
        </w:rPr>
        <w:t> </w:t>
      </w:r>
      <w:r>
        <w:rPr>
          <w:color w:val="333333"/>
        </w:rPr>
        <w:t>on the short run, he believed that contrary to the Classicals the economy may never attain full</w:t>
      </w:r>
      <w:r>
        <w:rPr>
          <w:color w:val="333333"/>
          <w:spacing w:val="-57"/>
        </w:rPr>
        <w:t> </w:t>
      </w:r>
      <w:r>
        <w:rPr>
          <w:color w:val="333333"/>
        </w:rPr>
        <w:t>employment in the long run, because “in the long run we are all dead.” The economy may be</w:t>
      </w:r>
      <w:r>
        <w:rPr>
          <w:color w:val="333333"/>
          <w:spacing w:val="1"/>
        </w:rPr>
        <w:t> </w:t>
      </w:r>
      <w:r>
        <w:rPr>
          <w:color w:val="333333"/>
        </w:rPr>
        <w:t>unable</w:t>
      </w:r>
      <w:r>
        <w:rPr>
          <w:color w:val="333333"/>
          <w:spacing w:val="-4"/>
        </w:rPr>
        <w:t> </w:t>
      </w:r>
      <w:r>
        <w:rPr>
          <w:color w:val="333333"/>
        </w:rPr>
        <w:t>to</w:t>
      </w:r>
      <w:r>
        <w:rPr>
          <w:color w:val="333333"/>
          <w:spacing w:val="-3"/>
        </w:rPr>
        <w:t> </w:t>
      </w:r>
      <w:r>
        <w:rPr>
          <w:color w:val="333333"/>
        </w:rPr>
        <w:t>correct</w:t>
      </w:r>
      <w:r>
        <w:rPr>
          <w:color w:val="333333"/>
          <w:spacing w:val="-2"/>
        </w:rPr>
        <w:t> </w:t>
      </w:r>
      <w:r>
        <w:rPr>
          <w:color w:val="333333"/>
        </w:rPr>
        <w:t>itself</w:t>
      </w:r>
      <w:r>
        <w:rPr>
          <w:color w:val="333333"/>
          <w:spacing w:val="-4"/>
        </w:rPr>
        <w:t> </w:t>
      </w:r>
      <w:r>
        <w:rPr>
          <w:color w:val="333333"/>
        </w:rPr>
        <w:t>because</w:t>
      </w:r>
      <w:r>
        <w:rPr>
          <w:color w:val="333333"/>
          <w:spacing w:val="-4"/>
        </w:rPr>
        <w:t> </w:t>
      </w:r>
      <w:r>
        <w:rPr>
          <w:color w:val="333333"/>
        </w:rPr>
        <w:t>prices</w:t>
      </w:r>
      <w:r>
        <w:rPr>
          <w:color w:val="333333"/>
          <w:spacing w:val="-1"/>
        </w:rPr>
        <w:t> </w:t>
      </w:r>
      <w:r>
        <w:rPr>
          <w:color w:val="333333"/>
        </w:rPr>
        <w:t>are</w:t>
      </w:r>
      <w:r>
        <w:rPr>
          <w:color w:val="333333"/>
          <w:spacing w:val="-6"/>
        </w:rPr>
        <w:t> </w:t>
      </w:r>
      <w:r>
        <w:rPr>
          <w:color w:val="333333"/>
        </w:rPr>
        <w:t>sticky</w:t>
      </w:r>
      <w:r>
        <w:rPr>
          <w:color w:val="333333"/>
          <w:spacing w:val="-8"/>
        </w:rPr>
        <w:t> </w:t>
      </w:r>
      <w:r>
        <w:rPr>
          <w:color w:val="333333"/>
        </w:rPr>
        <w:t>in</w:t>
      </w:r>
      <w:r>
        <w:rPr>
          <w:color w:val="333333"/>
          <w:spacing w:val="-1"/>
        </w:rPr>
        <w:t> </w:t>
      </w:r>
      <w:r>
        <w:rPr>
          <w:color w:val="333333"/>
        </w:rPr>
        <w:t>the</w:t>
      </w:r>
      <w:r>
        <w:rPr>
          <w:color w:val="333333"/>
          <w:spacing w:val="-4"/>
        </w:rPr>
        <w:t> </w:t>
      </w:r>
      <w:r>
        <w:rPr>
          <w:color w:val="333333"/>
        </w:rPr>
        <w:t>short</w:t>
      </w:r>
      <w:r>
        <w:rPr>
          <w:color w:val="333333"/>
          <w:spacing w:val="-4"/>
        </w:rPr>
        <w:t> </w:t>
      </w:r>
      <w:r>
        <w:rPr>
          <w:color w:val="333333"/>
        </w:rPr>
        <w:t>run.</w:t>
      </w:r>
      <w:r>
        <w:rPr>
          <w:color w:val="333333"/>
          <w:spacing w:val="-4"/>
        </w:rPr>
        <w:t> </w:t>
      </w:r>
      <w:r>
        <w:rPr>
          <w:color w:val="333333"/>
        </w:rPr>
        <w:t>Keynes,</w:t>
      </w:r>
      <w:r>
        <w:rPr>
          <w:color w:val="333333"/>
          <w:spacing w:val="-4"/>
        </w:rPr>
        <w:t> </w:t>
      </w:r>
      <w:r>
        <w:rPr>
          <w:color w:val="333333"/>
        </w:rPr>
        <w:t>therefore, advocated</w:t>
      </w:r>
      <w:r>
        <w:rPr>
          <w:color w:val="333333"/>
          <w:spacing w:val="-58"/>
        </w:rPr>
        <w:t> </w:t>
      </w:r>
      <w:r>
        <w:rPr>
          <w:color w:val="333333"/>
        </w:rPr>
        <w:t>for the intervention of the government, specifically the use of fiscal and of monetary policy,</w:t>
      </w:r>
      <w:r>
        <w:rPr>
          <w:color w:val="333333"/>
          <w:spacing w:val="1"/>
        </w:rPr>
        <w:t> </w:t>
      </w:r>
      <w:r>
        <w:rPr>
          <w:color w:val="333333"/>
        </w:rPr>
        <w:t>which</w:t>
      </w:r>
      <w:r>
        <w:rPr>
          <w:color w:val="333333"/>
          <w:spacing w:val="-1"/>
        </w:rPr>
        <w:t> </w:t>
      </w:r>
      <w:r>
        <w:rPr>
          <w:color w:val="333333"/>
        </w:rPr>
        <w:t>are</w:t>
      </w:r>
      <w:r>
        <w:rPr>
          <w:color w:val="333333"/>
          <w:spacing w:val="-2"/>
        </w:rPr>
        <w:t> </w:t>
      </w:r>
      <w:r>
        <w:rPr>
          <w:color w:val="333333"/>
        </w:rPr>
        <w:t>termed</w:t>
      </w:r>
      <w:r>
        <w:rPr>
          <w:color w:val="333333"/>
          <w:spacing w:val="-1"/>
        </w:rPr>
        <w:t> </w:t>
      </w:r>
      <w:r>
        <w:rPr>
          <w:color w:val="333333"/>
        </w:rPr>
        <w:t>stabilisation policies, to</w:t>
      </w:r>
      <w:r>
        <w:rPr>
          <w:color w:val="333333"/>
          <w:spacing w:val="-1"/>
        </w:rPr>
        <w:t> </w:t>
      </w:r>
      <w:r>
        <w:rPr>
          <w:color w:val="333333"/>
        </w:rPr>
        <w:t>direct the</w:t>
      </w:r>
      <w:r>
        <w:rPr>
          <w:color w:val="333333"/>
          <w:spacing w:val="-1"/>
        </w:rPr>
        <w:t> </w:t>
      </w:r>
      <w:r>
        <w:rPr>
          <w:color w:val="333333"/>
        </w:rPr>
        <w:t>economy</w:t>
      </w:r>
      <w:r>
        <w:rPr>
          <w:color w:val="333333"/>
          <w:spacing w:val="-6"/>
        </w:rPr>
        <w:t> </w:t>
      </w:r>
      <w:r>
        <w:rPr>
          <w:color w:val="333333"/>
        </w:rPr>
        <w:t>to its</w:t>
      </w:r>
      <w:r>
        <w:rPr>
          <w:color w:val="333333"/>
          <w:spacing w:val="-1"/>
        </w:rPr>
        <w:t> </w:t>
      </w:r>
      <w:r>
        <w:rPr>
          <w:color w:val="333333"/>
        </w:rPr>
        <w:t>level of</w:t>
      </w:r>
      <w:r>
        <w:rPr>
          <w:color w:val="333333"/>
          <w:spacing w:val="1"/>
        </w:rPr>
        <w:t> </w:t>
      </w:r>
      <w:r>
        <w:rPr>
          <w:color w:val="333333"/>
        </w:rPr>
        <w:t>potential</w:t>
      </w:r>
      <w:r>
        <w:rPr>
          <w:color w:val="333333"/>
          <w:spacing w:val="-1"/>
        </w:rPr>
        <w:t> </w:t>
      </w:r>
      <w:r>
        <w:rPr>
          <w:color w:val="333333"/>
        </w:rPr>
        <w:t>output.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1760" w:right="1438"/>
        <w:jc w:val="both"/>
      </w:pPr>
      <w:r>
        <w:rPr>
          <w:color w:val="333333"/>
        </w:rPr>
        <w:t>The monetarists led by Milton Friedman link in a direct proportionate manner, changes in the</w:t>
      </w:r>
      <w:r>
        <w:rPr>
          <w:color w:val="333333"/>
          <w:spacing w:val="-57"/>
        </w:rPr>
        <w:t> </w:t>
      </w:r>
      <w:r>
        <w:rPr>
          <w:color w:val="333333"/>
        </w:rPr>
        <w:t>money supply to changes in the level of output. They opine that only money matters in an</w:t>
      </w:r>
      <w:r>
        <w:rPr>
          <w:color w:val="333333"/>
          <w:spacing w:val="1"/>
        </w:rPr>
        <w:t> </w:t>
      </w:r>
      <w:r>
        <w:rPr>
          <w:color w:val="333333"/>
        </w:rPr>
        <w:t>economy (Jahan and Papageorgiou, 2014). They uphold the liberalist view of the Classicals</w:t>
      </w:r>
      <w:r>
        <w:rPr>
          <w:color w:val="333333"/>
          <w:spacing w:val="1"/>
        </w:rPr>
        <w:t> </w:t>
      </w:r>
      <w:r>
        <w:rPr>
          <w:color w:val="333333"/>
        </w:rPr>
        <w:t>and likewise argue for minimal intervention of government in the economy. In this respect,</w:t>
      </w:r>
      <w:r>
        <w:rPr>
          <w:color w:val="333333"/>
          <w:spacing w:val="1"/>
        </w:rPr>
        <w:t> </w:t>
      </w:r>
      <w:r>
        <w:rPr>
          <w:color w:val="333333"/>
        </w:rPr>
        <w:t>they avoid the use of Keynesian stabilisation policy. Fiscal policy is neutral in its impact due</w:t>
      </w:r>
      <w:r>
        <w:rPr>
          <w:color w:val="333333"/>
          <w:spacing w:val="1"/>
        </w:rPr>
        <w:t> </w:t>
      </w:r>
      <w:r>
        <w:rPr>
          <w:color w:val="333333"/>
        </w:rPr>
        <w:t>to its crowding-out effect, while the lags associated with monetary policy can be long and</w:t>
      </w:r>
      <w:r>
        <w:rPr>
          <w:color w:val="333333"/>
          <w:spacing w:val="1"/>
        </w:rPr>
        <w:t> </w:t>
      </w:r>
      <w:r>
        <w:rPr>
          <w:color w:val="333333"/>
        </w:rPr>
        <w:t>destabilising.</w:t>
      </w:r>
      <w:r>
        <w:rPr>
          <w:color w:val="333333"/>
          <w:spacing w:val="-5"/>
        </w:rPr>
        <w:t> </w:t>
      </w:r>
      <w:r>
        <w:rPr>
          <w:color w:val="333333"/>
        </w:rPr>
        <w:t>They</w:t>
      </w:r>
      <w:r>
        <w:rPr>
          <w:color w:val="333333"/>
          <w:spacing w:val="-9"/>
        </w:rPr>
        <w:t> </w:t>
      </w:r>
      <w:r>
        <w:rPr>
          <w:color w:val="333333"/>
        </w:rPr>
        <w:t>advocate</w:t>
      </w:r>
      <w:r>
        <w:rPr>
          <w:color w:val="333333"/>
          <w:spacing w:val="-4"/>
        </w:rPr>
        <w:t> </w:t>
      </w:r>
      <w:r>
        <w:rPr>
          <w:color w:val="333333"/>
        </w:rPr>
        <w:t>the</w:t>
      </w:r>
      <w:r>
        <w:rPr>
          <w:color w:val="333333"/>
          <w:spacing w:val="-5"/>
        </w:rPr>
        <w:t> </w:t>
      </w:r>
      <w:r>
        <w:rPr>
          <w:color w:val="333333"/>
        </w:rPr>
        <w:t>implementation</w:t>
      </w:r>
      <w:r>
        <w:rPr>
          <w:color w:val="333333"/>
          <w:spacing w:val="-5"/>
        </w:rPr>
        <w:t> </w:t>
      </w:r>
      <w:r>
        <w:rPr>
          <w:color w:val="333333"/>
        </w:rPr>
        <w:t>of</w:t>
      </w:r>
      <w:r>
        <w:rPr>
          <w:color w:val="333333"/>
          <w:spacing w:val="-3"/>
        </w:rPr>
        <w:t> </w:t>
      </w:r>
      <w:r>
        <w:rPr>
          <w:color w:val="333333"/>
        </w:rPr>
        <w:t>a</w:t>
      </w:r>
      <w:r>
        <w:rPr>
          <w:color w:val="333333"/>
          <w:spacing w:val="-6"/>
        </w:rPr>
        <w:t> </w:t>
      </w:r>
      <w:r>
        <w:rPr>
          <w:color w:val="333333"/>
        </w:rPr>
        <w:t>monetary</w:t>
      </w:r>
      <w:r>
        <w:rPr>
          <w:color w:val="333333"/>
          <w:spacing w:val="-9"/>
        </w:rPr>
        <w:t> </w:t>
      </w:r>
      <w:r>
        <w:rPr>
          <w:color w:val="333333"/>
        </w:rPr>
        <w:t>rule</w:t>
      </w:r>
      <w:r>
        <w:rPr>
          <w:color w:val="333333"/>
          <w:spacing w:val="-6"/>
        </w:rPr>
        <w:t> </w:t>
      </w:r>
      <w:r>
        <w:rPr>
          <w:color w:val="333333"/>
        </w:rPr>
        <w:t>in</w:t>
      </w:r>
      <w:r>
        <w:rPr>
          <w:color w:val="333333"/>
          <w:spacing w:val="-4"/>
        </w:rPr>
        <w:t> </w:t>
      </w:r>
      <w:r>
        <w:rPr>
          <w:color w:val="333333"/>
        </w:rPr>
        <w:t>money</w:t>
      </w:r>
      <w:r>
        <w:rPr>
          <w:color w:val="333333"/>
          <w:spacing w:val="-8"/>
        </w:rPr>
        <w:t> </w:t>
      </w:r>
      <w:r>
        <w:rPr>
          <w:color w:val="333333"/>
        </w:rPr>
        <w:t>supply</w:t>
      </w:r>
      <w:r>
        <w:rPr>
          <w:color w:val="333333"/>
          <w:spacing w:val="-9"/>
        </w:rPr>
        <w:t> </w:t>
      </w:r>
      <w:r>
        <w:rPr>
          <w:color w:val="333333"/>
        </w:rPr>
        <w:t>such</w:t>
      </w:r>
      <w:r>
        <w:rPr>
          <w:color w:val="333333"/>
          <w:spacing w:val="-5"/>
        </w:rPr>
        <w:t> </w:t>
      </w:r>
      <w:r>
        <w:rPr>
          <w:color w:val="333333"/>
        </w:rPr>
        <w:t>that</w:t>
      </w:r>
      <w:r>
        <w:rPr>
          <w:color w:val="333333"/>
          <w:spacing w:val="-57"/>
        </w:rPr>
        <w:t> </w:t>
      </w:r>
      <w:r>
        <w:rPr>
          <w:color w:val="333333"/>
        </w:rPr>
        <w:t>the</w:t>
      </w:r>
      <w:r>
        <w:rPr>
          <w:color w:val="333333"/>
          <w:spacing w:val="-1"/>
        </w:rPr>
        <w:t> </w:t>
      </w:r>
      <w:r>
        <w:rPr>
          <w:color w:val="333333"/>
        </w:rPr>
        <w:t>central bank increases the money</w:t>
      </w:r>
      <w:r>
        <w:rPr>
          <w:color w:val="333333"/>
          <w:spacing w:val="-5"/>
        </w:rPr>
        <w:t> </w:t>
      </w:r>
      <w:r>
        <w:rPr>
          <w:color w:val="333333"/>
        </w:rPr>
        <w:t>supply</w:t>
      </w:r>
      <w:r>
        <w:rPr>
          <w:color w:val="333333"/>
          <w:spacing w:val="-5"/>
        </w:rPr>
        <w:t> </w:t>
      </w:r>
      <w:r>
        <w:rPr>
          <w:color w:val="333333"/>
        </w:rPr>
        <w:t>at</w:t>
      </w:r>
      <w:r>
        <w:rPr>
          <w:color w:val="333333"/>
          <w:spacing w:val="2"/>
        </w:rPr>
        <w:t> </w:t>
      </w:r>
      <w:r>
        <w:rPr>
          <w:color w:val="333333"/>
        </w:rPr>
        <w:t>a</w:t>
      </w:r>
      <w:r>
        <w:rPr>
          <w:color w:val="333333"/>
          <w:spacing w:val="-1"/>
        </w:rPr>
        <w:t> </w:t>
      </w:r>
      <w:r>
        <w:rPr>
          <w:color w:val="333333"/>
        </w:rPr>
        <w:t>fixed annual rate.</w:t>
      </w:r>
    </w:p>
    <w:p>
      <w:pPr>
        <w:pStyle w:val="BodyText"/>
        <w:spacing w:before="6"/>
      </w:pPr>
    </w:p>
    <w:p>
      <w:pPr>
        <w:pStyle w:val="BodyText"/>
        <w:spacing w:line="360" w:lineRule="auto"/>
        <w:ind w:left="1760" w:right="1438"/>
        <w:jc w:val="both"/>
      </w:pPr>
      <w:r>
        <w:rPr>
          <w:color w:val="333333"/>
        </w:rPr>
        <w:t>The New Classicals build on the ideas of the Classicals. They focus on the supply side of the</w:t>
      </w:r>
      <w:r>
        <w:rPr>
          <w:color w:val="333333"/>
          <w:spacing w:val="1"/>
        </w:rPr>
        <w:t> </w:t>
      </w:r>
      <w:r>
        <w:rPr>
          <w:color w:val="333333"/>
        </w:rPr>
        <w:t>economy, flexible prices and the ability of the economy to correct itself. The New Classicals</w:t>
      </w:r>
      <w:r>
        <w:rPr>
          <w:color w:val="333333"/>
          <w:spacing w:val="1"/>
        </w:rPr>
        <w:t> </w:t>
      </w:r>
      <w:r>
        <w:rPr>
          <w:color w:val="333333"/>
        </w:rPr>
        <w:t>propose the use of sophisticated mathematical economic models with rational agents who</w:t>
      </w:r>
      <w:r>
        <w:rPr>
          <w:color w:val="333333"/>
          <w:spacing w:val="1"/>
        </w:rPr>
        <w:t> </w:t>
      </w:r>
      <w:r>
        <w:rPr>
          <w:color w:val="333333"/>
        </w:rPr>
        <w:t>desire to maximise their preferences (Hoover, 2008). This school also centres its analysis on</w:t>
      </w:r>
      <w:r>
        <w:rPr>
          <w:color w:val="333333"/>
          <w:spacing w:val="1"/>
        </w:rPr>
        <w:t> </w:t>
      </w:r>
      <w:r>
        <w:rPr>
          <w:color w:val="333333"/>
        </w:rPr>
        <w:t>the</w:t>
      </w:r>
      <w:r>
        <w:rPr>
          <w:color w:val="333333"/>
          <w:spacing w:val="5"/>
        </w:rPr>
        <w:t> </w:t>
      </w:r>
      <w:r>
        <w:rPr>
          <w:color w:val="333333"/>
        </w:rPr>
        <w:t>rational</w:t>
      </w:r>
      <w:r>
        <w:rPr>
          <w:color w:val="333333"/>
          <w:spacing w:val="6"/>
        </w:rPr>
        <w:t> </w:t>
      </w:r>
      <w:r>
        <w:rPr>
          <w:color w:val="333333"/>
        </w:rPr>
        <w:t>expectations</w:t>
      </w:r>
      <w:r>
        <w:rPr>
          <w:color w:val="333333"/>
          <w:spacing w:val="8"/>
        </w:rPr>
        <w:t> </w:t>
      </w:r>
      <w:r>
        <w:rPr>
          <w:color w:val="333333"/>
        </w:rPr>
        <w:t>hypothesis,</w:t>
      </w:r>
      <w:r>
        <w:rPr>
          <w:color w:val="333333"/>
          <w:spacing w:val="5"/>
        </w:rPr>
        <w:t> </w:t>
      </w:r>
      <w:r>
        <w:rPr>
          <w:color w:val="333333"/>
        </w:rPr>
        <w:t>which</w:t>
      </w:r>
      <w:r>
        <w:rPr>
          <w:color w:val="333333"/>
          <w:spacing w:val="8"/>
        </w:rPr>
        <w:t> </w:t>
      </w:r>
      <w:r>
        <w:rPr>
          <w:color w:val="333333"/>
        </w:rPr>
        <w:t>assumes</w:t>
      </w:r>
      <w:r>
        <w:rPr>
          <w:color w:val="333333"/>
          <w:spacing w:val="6"/>
        </w:rPr>
        <w:t> </w:t>
      </w:r>
      <w:r>
        <w:rPr>
          <w:color w:val="333333"/>
        </w:rPr>
        <w:t>that</w:t>
      </w:r>
      <w:r>
        <w:rPr>
          <w:color w:val="333333"/>
          <w:spacing w:val="6"/>
        </w:rPr>
        <w:t> </w:t>
      </w:r>
      <w:r>
        <w:rPr>
          <w:color w:val="333333"/>
        </w:rPr>
        <w:t>individuals</w:t>
      </w:r>
      <w:r>
        <w:rPr>
          <w:color w:val="333333"/>
          <w:spacing w:val="6"/>
        </w:rPr>
        <w:t> </w:t>
      </w:r>
      <w:r>
        <w:rPr>
          <w:color w:val="333333"/>
        </w:rPr>
        <w:t>form</w:t>
      </w:r>
      <w:r>
        <w:rPr>
          <w:color w:val="333333"/>
          <w:spacing w:val="8"/>
        </w:rPr>
        <w:t> </w:t>
      </w:r>
      <w:r>
        <w:rPr>
          <w:color w:val="333333"/>
        </w:rPr>
        <w:t>expectations</w:t>
      </w:r>
      <w:r>
        <w:rPr>
          <w:color w:val="333333"/>
          <w:spacing w:val="7"/>
        </w:rPr>
        <w:t> </w:t>
      </w:r>
      <w:r>
        <w:rPr>
          <w:color w:val="333333"/>
        </w:rPr>
        <w:t>about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36"/>
        <w:jc w:val="both"/>
      </w:pPr>
      <w:r>
        <w:rPr>
          <w:color w:val="333333"/>
        </w:rPr>
        <w:t>the future based on the information available to them, and that they act on those expectations.</w:t>
      </w:r>
      <w:r>
        <w:rPr>
          <w:color w:val="333333"/>
          <w:spacing w:val="-57"/>
        </w:rPr>
        <w:t> </w:t>
      </w:r>
      <w:r>
        <w:rPr>
          <w:color w:val="333333"/>
        </w:rPr>
        <w:t>The New Keynesians adopts the conventional argument of sticky prices and the effectiveness</w:t>
      </w:r>
      <w:r>
        <w:rPr>
          <w:color w:val="333333"/>
          <w:spacing w:val="-57"/>
        </w:rPr>
        <w:t> </w:t>
      </w:r>
      <w:r>
        <w:rPr>
          <w:color w:val="333333"/>
        </w:rPr>
        <w:t>of stabilisation policy in returning an economy to the level of the potential output and also</w:t>
      </w:r>
      <w:r>
        <w:rPr>
          <w:color w:val="333333"/>
          <w:spacing w:val="1"/>
        </w:rPr>
        <w:t> </w:t>
      </w:r>
      <w:r>
        <w:rPr>
          <w:color w:val="333333"/>
          <w:spacing w:val="-1"/>
        </w:rPr>
        <w:t>incorporates</w:t>
      </w:r>
      <w:r>
        <w:rPr>
          <w:color w:val="333333"/>
          <w:spacing w:val="-10"/>
        </w:rPr>
        <w:t> </w:t>
      </w:r>
      <w:r>
        <w:rPr>
          <w:color w:val="333333"/>
        </w:rPr>
        <w:t>the</w:t>
      </w:r>
      <w:r>
        <w:rPr>
          <w:color w:val="333333"/>
          <w:spacing w:val="-11"/>
        </w:rPr>
        <w:t> </w:t>
      </w:r>
      <w:r>
        <w:rPr>
          <w:color w:val="333333"/>
        </w:rPr>
        <w:t>aggregate</w:t>
      </w:r>
      <w:r>
        <w:rPr>
          <w:color w:val="333333"/>
          <w:spacing w:val="-10"/>
        </w:rPr>
        <w:t> </w:t>
      </w:r>
      <w:r>
        <w:rPr>
          <w:color w:val="333333"/>
        </w:rPr>
        <w:t>supply</w:t>
      </w:r>
      <w:r>
        <w:rPr>
          <w:color w:val="333333"/>
          <w:spacing w:val="-15"/>
        </w:rPr>
        <w:t> </w:t>
      </w:r>
      <w:r>
        <w:rPr>
          <w:color w:val="333333"/>
        </w:rPr>
        <w:t>bloc</w:t>
      </w:r>
      <w:r>
        <w:rPr>
          <w:color w:val="333333"/>
          <w:spacing w:val="-10"/>
        </w:rPr>
        <w:t> </w:t>
      </w:r>
      <w:r>
        <w:rPr>
          <w:color w:val="333333"/>
        </w:rPr>
        <w:t>into</w:t>
      </w:r>
      <w:r>
        <w:rPr>
          <w:color w:val="333333"/>
          <w:spacing w:val="-10"/>
        </w:rPr>
        <w:t> </w:t>
      </w:r>
      <w:r>
        <w:rPr>
          <w:color w:val="333333"/>
        </w:rPr>
        <w:t>their</w:t>
      </w:r>
      <w:r>
        <w:rPr>
          <w:color w:val="333333"/>
          <w:spacing w:val="-10"/>
        </w:rPr>
        <w:t> </w:t>
      </w:r>
      <w:r>
        <w:rPr>
          <w:color w:val="333333"/>
        </w:rPr>
        <w:t>model.</w:t>
      </w:r>
      <w:r>
        <w:rPr>
          <w:color w:val="333333"/>
          <w:spacing w:val="-10"/>
        </w:rPr>
        <w:t> </w:t>
      </w:r>
      <w:r>
        <w:rPr>
          <w:color w:val="333333"/>
        </w:rPr>
        <w:t>They</w:t>
      </w:r>
      <w:r>
        <w:rPr>
          <w:color w:val="333333"/>
          <w:spacing w:val="-12"/>
        </w:rPr>
        <w:t> </w:t>
      </w:r>
      <w:r>
        <w:rPr>
          <w:color w:val="333333"/>
        </w:rPr>
        <w:t>also</w:t>
      </w:r>
      <w:r>
        <w:rPr>
          <w:color w:val="333333"/>
          <w:spacing w:val="-8"/>
        </w:rPr>
        <w:t> </w:t>
      </w:r>
      <w:r>
        <w:rPr>
          <w:color w:val="333333"/>
        </w:rPr>
        <w:t>adopt</w:t>
      </w:r>
      <w:r>
        <w:rPr>
          <w:color w:val="333333"/>
          <w:spacing w:val="-10"/>
        </w:rPr>
        <w:t> </w:t>
      </w:r>
      <w:r>
        <w:rPr>
          <w:color w:val="333333"/>
        </w:rPr>
        <w:t>a</w:t>
      </w:r>
      <w:r>
        <w:rPr>
          <w:color w:val="333333"/>
          <w:spacing w:val="-10"/>
        </w:rPr>
        <w:t> </w:t>
      </w:r>
      <w:r>
        <w:rPr>
          <w:color w:val="333333"/>
        </w:rPr>
        <w:t>mathematical</w:t>
      </w:r>
      <w:r>
        <w:rPr>
          <w:color w:val="333333"/>
          <w:spacing w:val="-10"/>
        </w:rPr>
        <w:t> </w:t>
      </w:r>
      <w:r>
        <w:rPr>
          <w:color w:val="333333"/>
        </w:rPr>
        <w:t>model</w:t>
      </w:r>
      <w:r>
        <w:rPr>
          <w:color w:val="333333"/>
          <w:spacing w:val="-57"/>
        </w:rPr>
        <w:t> </w:t>
      </w:r>
      <w:r>
        <w:rPr>
          <w:color w:val="333333"/>
        </w:rPr>
        <w:t>of</w:t>
      </w:r>
      <w:r>
        <w:rPr>
          <w:color w:val="333333"/>
          <w:spacing w:val="-1"/>
        </w:rPr>
        <w:t> </w:t>
      </w:r>
      <w:r>
        <w:rPr>
          <w:color w:val="333333"/>
        </w:rPr>
        <w:t>the</w:t>
      </w:r>
      <w:r>
        <w:rPr>
          <w:color w:val="333333"/>
          <w:spacing w:val="-2"/>
        </w:rPr>
        <w:t> </w:t>
      </w:r>
      <w:r>
        <w:rPr>
          <w:color w:val="333333"/>
        </w:rPr>
        <w:t>aggregate economy</w:t>
      </w:r>
      <w:r>
        <w:rPr>
          <w:color w:val="333333"/>
          <w:spacing w:val="-3"/>
        </w:rPr>
        <w:t> </w:t>
      </w:r>
      <w:r>
        <w:rPr>
          <w:color w:val="333333"/>
        </w:rPr>
        <w:t>built upon</w:t>
      </w:r>
      <w:r>
        <w:rPr>
          <w:color w:val="333333"/>
          <w:spacing w:val="-1"/>
        </w:rPr>
        <w:t> </w:t>
      </w:r>
      <w:r>
        <w:rPr>
          <w:color w:val="333333"/>
        </w:rPr>
        <w:t>microeconomic</w:t>
      </w:r>
      <w:r>
        <w:rPr>
          <w:color w:val="333333"/>
          <w:spacing w:val="-1"/>
        </w:rPr>
        <w:t> </w:t>
      </w:r>
      <w:r>
        <w:rPr>
          <w:color w:val="333333"/>
        </w:rPr>
        <w:t>foundations (Mankiw,</w:t>
      </w:r>
      <w:r>
        <w:rPr>
          <w:color w:val="333333"/>
          <w:spacing w:val="-1"/>
        </w:rPr>
        <w:t> </w:t>
      </w:r>
      <w:r>
        <w:rPr>
          <w:color w:val="333333"/>
        </w:rPr>
        <w:t>2008).</w:t>
      </w:r>
    </w:p>
    <w:p>
      <w:pPr>
        <w:pStyle w:val="BodyText"/>
        <w:spacing w:before="9"/>
      </w:pPr>
    </w:p>
    <w:p>
      <w:pPr>
        <w:pStyle w:val="Heading1"/>
        <w:numPr>
          <w:ilvl w:val="2"/>
          <w:numId w:val="11"/>
        </w:numPr>
        <w:tabs>
          <w:tab w:pos="2539" w:val="left" w:leader="none"/>
        </w:tabs>
        <w:spacing w:line="240" w:lineRule="auto" w:before="1" w:after="0"/>
        <w:ind w:left="2538" w:right="0" w:hanging="779"/>
        <w:jc w:val="both"/>
      </w:pPr>
      <w:bookmarkStart w:name="_TOC_250049" w:id="11"/>
      <w:r>
        <w:rPr/>
        <w:t>Models</w:t>
      </w:r>
      <w:r>
        <w:rPr>
          <w:spacing w:val="-3"/>
        </w:rPr>
        <w:t> </w:t>
      </w:r>
      <w:r>
        <w:rPr/>
        <w:t>of Fiscal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Monetary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bookmarkEnd w:id="11"/>
      <w:r>
        <w:rPr/>
        <w:t>Interactions</w:t>
      </w:r>
    </w:p>
    <w:p>
      <w:pPr>
        <w:pStyle w:val="BodyText"/>
        <w:spacing w:line="360" w:lineRule="auto" w:before="144"/>
        <w:ind w:left="1760" w:right="1436"/>
        <w:jc w:val="both"/>
      </w:pPr>
      <w:r>
        <w:rPr/>
        <w:t>The major theories explaining fiscal-monetary policy interaction are presented and reviewed</w:t>
      </w:r>
      <w:r>
        <w:rPr>
          <w:spacing w:val="1"/>
        </w:rPr>
        <w:t> </w:t>
      </w:r>
      <w:r>
        <w:rPr/>
        <w:t>by</w:t>
      </w:r>
      <w:r>
        <w:rPr>
          <w:spacing w:val="-9"/>
        </w:rPr>
        <w:t> </w:t>
      </w:r>
      <w:r>
        <w:rPr/>
        <w:t>highlighting</w:t>
      </w:r>
      <w:r>
        <w:rPr>
          <w:spacing w:val="-4"/>
        </w:rPr>
        <w:t> </w:t>
      </w:r>
      <w:r>
        <w:rPr/>
        <w:t>their</w:t>
      </w:r>
      <w:r>
        <w:rPr>
          <w:spacing w:val="-5"/>
        </w:rPr>
        <w:t> </w:t>
      </w:r>
      <w:r>
        <w:rPr/>
        <w:t>similarities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differences,</w:t>
      </w:r>
      <w:r>
        <w:rPr>
          <w:spacing w:val="-4"/>
        </w:rPr>
        <w:t> </w:t>
      </w:r>
      <w:r>
        <w:rPr/>
        <w:t>strengths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weaknesses</w:t>
      </w:r>
      <w:r>
        <w:rPr>
          <w:spacing w:val="-1"/>
        </w:rPr>
        <w:t> </w:t>
      </w:r>
      <w:r>
        <w:rPr/>
        <w:t>as</w:t>
      </w:r>
      <w:r>
        <w:rPr>
          <w:spacing w:val="-4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-4"/>
        </w:rPr>
        <w:t> </w:t>
      </w:r>
      <w:r>
        <w:rPr/>
        <w:t>existing</w:t>
      </w:r>
      <w:r>
        <w:rPr>
          <w:spacing w:val="-57"/>
        </w:rPr>
        <w:t> </w:t>
      </w:r>
      <w:r>
        <w:rPr/>
        <w:t>gaps. These theories underlying fiscal-monetary policy interaction are the IS-LM model, the</w:t>
      </w:r>
      <w:r>
        <w:rPr>
          <w:spacing w:val="1"/>
        </w:rPr>
        <w:t> </w:t>
      </w:r>
      <w:r>
        <w:rPr/>
        <w:t>Monetarist Arithmetic (Sargent and Wallace, 1981; McCallum, 1984) and the Fiscal Theory</w:t>
      </w:r>
      <w:r>
        <w:rPr>
          <w:spacing w:val="1"/>
        </w:rPr>
        <w:t> </w:t>
      </w:r>
      <w:r>
        <w:rPr/>
        <w:t>of Price Level (Leeper, 1991; Sims (1994, 1999); Woodford (1995, 1996, 2001). These</w:t>
      </w:r>
      <w:r>
        <w:rPr>
          <w:spacing w:val="1"/>
        </w:rPr>
        <w:t> </w:t>
      </w:r>
      <w:r>
        <w:rPr/>
        <w:t>theories,</w:t>
      </w:r>
      <w:r>
        <w:rPr>
          <w:spacing w:val="-4"/>
        </w:rPr>
        <w:t> </w:t>
      </w:r>
      <w:r>
        <w:rPr/>
        <w:t>especially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Monetarist</w:t>
      </w:r>
      <w:r>
        <w:rPr>
          <w:spacing w:val="-2"/>
        </w:rPr>
        <w:t> </w:t>
      </w:r>
      <w:r>
        <w:rPr/>
        <w:t>Arithmetic and</w:t>
      </w:r>
      <w:r>
        <w:rPr>
          <w:spacing w:val="-4"/>
        </w:rPr>
        <w:t> </w:t>
      </w:r>
      <w:r>
        <w:rPr/>
        <w:t>Fiscal</w:t>
      </w:r>
      <w:r>
        <w:rPr>
          <w:spacing w:val="-2"/>
        </w:rPr>
        <w:t> </w:t>
      </w:r>
      <w:r>
        <w:rPr/>
        <w:t>Theory</w:t>
      </w:r>
      <w:r>
        <w:rPr>
          <w:spacing w:val="-9"/>
        </w:rPr>
        <w:t> </w:t>
      </w:r>
      <w:r>
        <w:rPr/>
        <w:t>of</w:t>
      </w:r>
      <w:r>
        <w:rPr>
          <w:spacing w:val="-1"/>
        </w:rPr>
        <w:t> </w:t>
      </w:r>
      <w:r>
        <w:rPr/>
        <w:t>Price</w:t>
      </w:r>
      <w:r>
        <w:rPr>
          <w:spacing w:val="1"/>
        </w:rPr>
        <w:t> </w:t>
      </w:r>
      <w:r>
        <w:rPr/>
        <w:t>Level,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set</w:t>
      </w:r>
      <w:r>
        <w:rPr>
          <w:spacing w:val="-3"/>
        </w:rPr>
        <w:t> </w:t>
      </w:r>
      <w:r>
        <w:rPr/>
        <w:t>within</w:t>
      </w:r>
      <w:r>
        <w:rPr>
          <w:spacing w:val="-57"/>
        </w:rPr>
        <w:t> </w:t>
      </w:r>
      <w:r>
        <w:rPr/>
        <w:t>the mathematical model and rational expectation framework of the New Classical and New</w:t>
      </w:r>
      <w:r>
        <w:rPr>
          <w:spacing w:val="1"/>
        </w:rPr>
        <w:t> </w:t>
      </w:r>
      <w:r>
        <w:rPr/>
        <w:t>Keynesian</w:t>
      </w:r>
      <w:r>
        <w:rPr>
          <w:spacing w:val="-1"/>
        </w:rPr>
        <w:t> </w:t>
      </w:r>
      <w:r>
        <w:rPr/>
        <w:t>schools of</w:t>
      </w:r>
      <w:r>
        <w:rPr>
          <w:spacing w:val="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thought.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0"/>
          <w:numId w:val="13"/>
        </w:numPr>
        <w:tabs>
          <w:tab w:pos="2001" w:val="left" w:leader="none"/>
        </w:tabs>
        <w:spacing w:line="240" w:lineRule="auto" w:before="1" w:after="0"/>
        <w:ind w:left="2000" w:right="0" w:hanging="241"/>
        <w:jc w:val="both"/>
      </w:pPr>
      <w:r>
        <w:rPr/>
        <w:t>The</w:t>
      </w:r>
      <w:r>
        <w:rPr>
          <w:spacing w:val="-3"/>
        </w:rPr>
        <w:t> </w:t>
      </w:r>
      <w:r>
        <w:rPr/>
        <w:t>Investment</w:t>
      </w:r>
      <w:r>
        <w:rPr>
          <w:spacing w:val="-2"/>
        </w:rPr>
        <w:t> </w:t>
      </w:r>
      <w:r>
        <w:rPr/>
        <w:t>Saving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Liquidity</w:t>
      </w:r>
      <w:r>
        <w:rPr>
          <w:spacing w:val="-2"/>
        </w:rPr>
        <w:t> </w:t>
      </w:r>
      <w:r>
        <w:rPr/>
        <w:t>Preference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Money</w:t>
      </w:r>
      <w:r>
        <w:rPr>
          <w:spacing w:val="-1"/>
        </w:rPr>
        <w:t> </w:t>
      </w:r>
      <w:r>
        <w:rPr/>
        <w:t>Supply</w:t>
      </w:r>
      <w:r>
        <w:rPr>
          <w:spacing w:val="-2"/>
        </w:rPr>
        <w:t> </w:t>
      </w:r>
      <w:r>
        <w:rPr/>
        <w:t>(IS-LM)</w:t>
      </w:r>
      <w:r>
        <w:rPr>
          <w:spacing w:val="-1"/>
        </w:rPr>
        <w:t> </w:t>
      </w:r>
      <w:r>
        <w:rPr/>
        <w:t>model</w:t>
      </w:r>
    </w:p>
    <w:p>
      <w:pPr>
        <w:pStyle w:val="BodyText"/>
        <w:spacing w:line="360" w:lineRule="auto" w:before="134"/>
        <w:ind w:left="1760" w:right="1432"/>
        <w:jc w:val="both"/>
      </w:pP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IS-LM</w:t>
      </w:r>
      <w:r>
        <w:rPr>
          <w:spacing w:val="-10"/>
        </w:rPr>
        <w:t> </w:t>
      </w:r>
      <w:r>
        <w:rPr>
          <w:spacing w:val="-1"/>
        </w:rPr>
        <w:t>model</w:t>
      </w:r>
      <w:r>
        <w:rPr>
          <w:spacing w:val="-10"/>
        </w:rPr>
        <w:t> </w:t>
      </w:r>
      <w:r>
        <w:rPr>
          <w:spacing w:val="-1"/>
        </w:rPr>
        <w:t>is</w:t>
      </w:r>
      <w:r>
        <w:rPr>
          <w:spacing w:val="-9"/>
        </w:rPr>
        <w:t> </w:t>
      </w:r>
      <w:r>
        <w:rPr>
          <w:spacing w:val="-1"/>
        </w:rPr>
        <w:t>used</w:t>
      </w:r>
      <w:r>
        <w:rPr>
          <w:spacing w:val="-10"/>
        </w:rPr>
        <w:t> </w:t>
      </w:r>
      <w:r>
        <w:rPr/>
        <w:t>for</w:t>
      </w:r>
      <w:r>
        <w:rPr>
          <w:spacing w:val="-11"/>
        </w:rPr>
        <w:t> </w:t>
      </w:r>
      <w:r>
        <w:rPr/>
        <w:t>policy</w:t>
      </w:r>
      <w:r>
        <w:rPr>
          <w:spacing w:val="-15"/>
        </w:rPr>
        <w:t> </w:t>
      </w:r>
      <w:r>
        <w:rPr/>
        <w:t>analysis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depict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manner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which</w:t>
      </w:r>
      <w:r>
        <w:rPr>
          <w:spacing w:val="-10"/>
        </w:rPr>
        <w:t> </w:t>
      </w:r>
      <w:r>
        <w:rPr/>
        <w:t>fiscal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monetary</w:t>
      </w:r>
      <w:r>
        <w:rPr>
          <w:spacing w:val="-57"/>
        </w:rPr>
        <w:t> </w:t>
      </w:r>
      <w:r>
        <w:rPr/>
        <w:t>policies interact to determine the level of aggregate output and interest rate. The IS curve</w:t>
      </w:r>
      <w:r>
        <w:rPr>
          <w:spacing w:val="1"/>
        </w:rPr>
        <w:t> </w:t>
      </w:r>
      <w:r>
        <w:rPr/>
        <w:t>represents</w:t>
      </w:r>
      <w:r>
        <w:rPr>
          <w:spacing w:val="-3"/>
        </w:rPr>
        <w:t> </w:t>
      </w:r>
      <w:r>
        <w:rPr/>
        <w:t>equilibrium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goods</w:t>
      </w:r>
      <w:r>
        <w:rPr>
          <w:spacing w:val="-4"/>
        </w:rPr>
        <w:t> </w:t>
      </w:r>
      <w:r>
        <w:rPr/>
        <w:t>market</w:t>
      </w:r>
      <w:r>
        <w:rPr>
          <w:spacing w:val="-3"/>
        </w:rPr>
        <w:t> </w:t>
      </w:r>
      <w:r>
        <w:rPr/>
        <w:t>which</w:t>
      </w:r>
      <w:r>
        <w:rPr>
          <w:spacing w:val="-1"/>
        </w:rPr>
        <w:t> </w:t>
      </w:r>
      <w:r>
        <w:rPr/>
        <w:t>shows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aggregate</w:t>
      </w:r>
      <w:r>
        <w:rPr>
          <w:spacing w:val="-4"/>
        </w:rPr>
        <w:t> </w:t>
      </w:r>
      <w:r>
        <w:rPr/>
        <w:t>spending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defined</w:t>
      </w:r>
      <w:r>
        <w:rPr>
          <w:spacing w:val="-1"/>
        </w:rPr>
        <w:t> </w:t>
      </w:r>
      <w:r>
        <w:rPr/>
        <w:t>as</w:t>
      </w:r>
      <w:r>
        <w:rPr>
          <w:spacing w:val="-58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summation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private</w:t>
      </w:r>
      <w:r>
        <w:rPr>
          <w:spacing w:val="-11"/>
        </w:rPr>
        <w:t> </w:t>
      </w:r>
      <w:r>
        <w:rPr/>
        <w:t>household</w:t>
      </w:r>
      <w:r>
        <w:rPr>
          <w:spacing w:val="-10"/>
        </w:rPr>
        <w:t> </w:t>
      </w:r>
      <w:r>
        <w:rPr/>
        <w:t>consumption,</w:t>
      </w:r>
      <w:r>
        <w:rPr>
          <w:spacing w:val="-12"/>
        </w:rPr>
        <w:t> </w:t>
      </w:r>
      <w:r>
        <w:rPr/>
        <w:t>investment</w:t>
      </w:r>
      <w:r>
        <w:rPr>
          <w:spacing w:val="-11"/>
        </w:rPr>
        <w:t> </w:t>
      </w:r>
      <w:r>
        <w:rPr/>
        <w:t>spending</w:t>
      </w:r>
      <w:r>
        <w:rPr>
          <w:spacing w:val="-14"/>
        </w:rPr>
        <w:t> </w:t>
      </w:r>
      <w:r>
        <w:rPr/>
        <w:t>by</w:t>
      </w:r>
      <w:r>
        <w:rPr>
          <w:spacing w:val="-15"/>
        </w:rPr>
        <w:t> </w:t>
      </w:r>
      <w:r>
        <w:rPr/>
        <w:t>firms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purchases</w:t>
      </w:r>
      <w:r>
        <w:rPr>
          <w:spacing w:val="-57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LM</w:t>
      </w:r>
      <w:r>
        <w:rPr>
          <w:spacing w:val="1"/>
        </w:rPr>
        <w:t> </w:t>
      </w:r>
      <w:r>
        <w:rPr/>
        <w:t>curve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money/financial market such that real money</w:t>
      </w:r>
      <w:r>
        <w:rPr>
          <w:spacing w:val="-5"/>
        </w:rPr>
        <w:t> </w:t>
      </w:r>
      <w:r>
        <w:rPr/>
        <w:t>supply</w:t>
      </w:r>
      <w:r>
        <w:rPr>
          <w:spacing w:val="-5"/>
        </w:rPr>
        <w:t> </w:t>
      </w:r>
      <w:r>
        <w:rPr/>
        <w:t>equates money</w:t>
      </w:r>
      <w:r>
        <w:rPr>
          <w:spacing w:val="-5"/>
        </w:rPr>
        <w:t> </w:t>
      </w:r>
      <w:r>
        <w:rPr/>
        <w:t>demand.</w:t>
      </w:r>
    </w:p>
    <w:p>
      <w:pPr>
        <w:pStyle w:val="BodyText"/>
        <w:spacing w:line="360" w:lineRule="auto" w:before="121"/>
        <w:ind w:left="1760" w:right="1439"/>
        <w:jc w:val="both"/>
      </w:pPr>
      <w:r>
        <w:rPr/>
        <w:t>The two curves intersect to uniquely determine the aggregate output (Y) and interest rate (r).</w:t>
      </w:r>
      <w:r>
        <w:rPr>
          <w:spacing w:val="1"/>
        </w:rPr>
        <w:t> </w:t>
      </w:r>
      <w:r>
        <w:rPr/>
        <w:t>The interaction between fiscal and monetary policy in this model occurs whenever there is a</w:t>
      </w:r>
      <w:r>
        <w:rPr>
          <w:spacing w:val="1"/>
        </w:rPr>
        <w:t> </w:t>
      </w:r>
      <w:r>
        <w:rPr/>
        <w:t>change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one</w:t>
      </w:r>
      <w:r>
        <w:rPr>
          <w:spacing w:val="-6"/>
        </w:rPr>
        <w:t> </w:t>
      </w:r>
      <w:r>
        <w:rPr/>
        <w:t>policy</w:t>
      </w:r>
      <w:r>
        <w:rPr>
          <w:spacing w:val="-11"/>
        </w:rPr>
        <w:t> </w:t>
      </w:r>
      <w:r>
        <w:rPr/>
        <w:t>such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other</w:t>
      </w:r>
      <w:r>
        <w:rPr>
          <w:spacing w:val="-7"/>
        </w:rPr>
        <w:t> </w:t>
      </w:r>
      <w:r>
        <w:rPr/>
        <w:t>adjust</w:t>
      </w:r>
      <w:r>
        <w:rPr>
          <w:spacing w:val="-4"/>
        </w:rPr>
        <w:t> </w:t>
      </w:r>
      <w:r>
        <w:rPr/>
        <w:t>its</w:t>
      </w:r>
      <w:r>
        <w:rPr>
          <w:spacing w:val="-6"/>
        </w:rPr>
        <w:t> </w:t>
      </w:r>
      <w:r>
        <w:rPr/>
        <w:t>path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change.</w:t>
      </w:r>
      <w:r>
        <w:rPr>
          <w:spacing w:val="-3"/>
        </w:rPr>
        <w:t> </w:t>
      </w:r>
      <w:r>
        <w:rPr/>
        <w:t>For</w:t>
      </w:r>
      <w:r>
        <w:rPr>
          <w:spacing w:val="-7"/>
        </w:rPr>
        <w:t> </w:t>
      </w:r>
      <w:r>
        <w:rPr/>
        <w:t>instance,</w:t>
      </w:r>
      <w:r>
        <w:rPr>
          <w:spacing w:val="-6"/>
        </w:rPr>
        <w:t> </w:t>
      </w:r>
      <w:r>
        <w:rPr/>
        <w:t>when</w:t>
      </w:r>
      <w:r>
        <w:rPr>
          <w:spacing w:val="-5"/>
        </w:rPr>
        <w:t> </w:t>
      </w:r>
      <w:r>
        <w:rPr/>
        <w:t>there</w:t>
      </w:r>
      <w:r>
        <w:rPr>
          <w:spacing w:val="-58"/>
        </w:rPr>
        <w:t> </w:t>
      </w:r>
      <w:r>
        <w:rPr/>
        <w:t>is a change in fiscal policy such that the government increases the level of spending or lowers</w:t>
      </w:r>
      <w:r>
        <w:rPr>
          <w:spacing w:val="-57"/>
        </w:rPr>
        <w:t> </w:t>
      </w:r>
      <w:r>
        <w:rPr/>
        <w:t>taxes, this affects the goods market and shifts the IS curve to the right. Mankiw (2016) notes</w:t>
      </w:r>
      <w:r>
        <w:rPr>
          <w:spacing w:val="1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bank</w:t>
      </w:r>
      <w:r>
        <w:rPr>
          <w:spacing w:val="-1"/>
        </w:rPr>
        <w:t> </w:t>
      </w:r>
      <w:r>
        <w:rPr/>
        <w:t>can</w:t>
      </w:r>
      <w:r>
        <w:rPr>
          <w:spacing w:val="1"/>
        </w:rPr>
        <w:t> </w:t>
      </w:r>
      <w:r>
        <w:rPr/>
        <w:t>respond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change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ways.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include</w:t>
      </w:r>
      <w:r>
        <w:rPr>
          <w:spacing w:val="-2"/>
        </w:rPr>
        <w:t> </w:t>
      </w:r>
      <w:r>
        <w:rPr/>
        <w:t>holding</w:t>
      </w:r>
      <w:r>
        <w:rPr>
          <w:spacing w:val="-3"/>
        </w:rPr>
        <w:t> </w:t>
      </w:r>
      <w:r>
        <w:rPr/>
        <w:t>constant</w:t>
      </w:r>
      <w:r>
        <w:rPr>
          <w:spacing w:val="-58"/>
        </w:rPr>
        <w:t> </w:t>
      </w:r>
      <w:r>
        <w:rPr/>
        <w:t>the level of money supply, the interest rate and the level of output. In the case that the central</w:t>
      </w:r>
      <w:r>
        <w:rPr>
          <w:spacing w:val="-57"/>
        </w:rPr>
        <w:t> </w:t>
      </w:r>
      <w:r>
        <w:rPr/>
        <w:t>bank responds by</w:t>
      </w:r>
      <w:r>
        <w:rPr>
          <w:spacing w:val="-3"/>
        </w:rPr>
        <w:t> </w:t>
      </w:r>
      <w:r>
        <w:rPr/>
        <w:t>holding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level of</w:t>
      </w:r>
      <w:r>
        <w:rPr>
          <w:spacing w:val="2"/>
        </w:rPr>
        <w:t> </w:t>
      </w:r>
      <w:r>
        <w:rPr/>
        <w:t>money</w:t>
      </w:r>
      <w:r>
        <w:rPr>
          <w:spacing w:val="-5"/>
        </w:rPr>
        <w:t> </w:t>
      </w:r>
      <w:r>
        <w:rPr/>
        <w:t>supply</w:t>
      </w:r>
      <w:r>
        <w:rPr>
          <w:spacing w:val="-5"/>
        </w:rPr>
        <w:t> </w:t>
      </w:r>
      <w:r>
        <w:rPr/>
        <w:t>constant, the level of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goods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34"/>
        <w:jc w:val="both"/>
      </w:pPr>
      <w:r>
        <w:rPr/>
        <w:t>market increases as well as spilling over to the money market where the interest rate equally</w:t>
      </w:r>
      <w:r>
        <w:rPr>
          <w:spacing w:val="1"/>
        </w:rPr>
        <w:t> </w:t>
      </w:r>
      <w:r>
        <w:rPr/>
        <w:t>rises.</w:t>
      </w:r>
      <w:r>
        <w:rPr>
          <w:spacing w:val="-8"/>
        </w:rPr>
        <w:t> </w:t>
      </w:r>
      <w:r>
        <w:rPr/>
        <w:t>When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central</w:t>
      </w:r>
      <w:r>
        <w:rPr>
          <w:spacing w:val="-7"/>
        </w:rPr>
        <w:t> </w:t>
      </w:r>
      <w:r>
        <w:rPr/>
        <w:t>bank</w:t>
      </w:r>
      <w:r>
        <w:rPr>
          <w:spacing w:val="-8"/>
        </w:rPr>
        <w:t> </w:t>
      </w:r>
      <w:r>
        <w:rPr/>
        <w:t>reacts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change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policy</w:t>
      </w:r>
      <w:r>
        <w:rPr>
          <w:spacing w:val="-13"/>
        </w:rPr>
        <w:t> </w:t>
      </w:r>
      <w:r>
        <w:rPr/>
        <w:t>of</w:t>
      </w:r>
      <w:r>
        <w:rPr>
          <w:spacing w:val="-6"/>
        </w:rPr>
        <w:t> </w:t>
      </w:r>
      <w:r>
        <w:rPr/>
        <w:t>government</w:t>
      </w:r>
      <w:r>
        <w:rPr>
          <w:spacing w:val="-5"/>
        </w:rPr>
        <w:t> </w:t>
      </w:r>
      <w:r>
        <w:rPr/>
        <w:t>by</w:t>
      </w:r>
      <w:r>
        <w:rPr>
          <w:spacing w:val="-12"/>
        </w:rPr>
        <w:t> </w:t>
      </w:r>
      <w:r>
        <w:rPr/>
        <w:t>keeping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rate</w:t>
      </w:r>
      <w:r>
        <w:rPr>
          <w:spacing w:val="-57"/>
        </w:rPr>
        <w:t> </w:t>
      </w:r>
      <w:r>
        <w:rPr/>
        <w:t>of interest fixed, then it shifts the LM curve to the right and the level of money supply rises.</w:t>
      </w:r>
      <w:r>
        <w:rPr>
          <w:spacing w:val="1"/>
        </w:rPr>
        <w:t> </w:t>
      </w:r>
      <w:r>
        <w:rPr/>
        <w:t>This scenario is in fact further modelled in a formal manner. Finally, in the face of reacting to</w:t>
      </w:r>
      <w:r>
        <w:rPr>
          <w:spacing w:val="-57"/>
        </w:rPr>
        <w:t> </w:t>
      </w:r>
      <w:r>
        <w:rPr/>
        <w:t>fiscal policy by holding the level of aggregate output unvaried, the central bank will have to</w:t>
      </w:r>
      <w:r>
        <w:rPr>
          <w:spacing w:val="1"/>
        </w:rPr>
        <w:t> </w:t>
      </w:r>
      <w:r>
        <w:rPr/>
        <w:t>shift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LM</w:t>
      </w:r>
      <w:r>
        <w:rPr>
          <w:spacing w:val="-4"/>
        </w:rPr>
        <w:t> </w:t>
      </w:r>
      <w:r>
        <w:rPr/>
        <w:t>curve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left</w:t>
      </w:r>
      <w:r>
        <w:rPr>
          <w:spacing w:val="-2"/>
        </w:rPr>
        <w:t> </w:t>
      </w:r>
      <w:r>
        <w:rPr/>
        <w:t>which</w:t>
      </w:r>
      <w:r>
        <w:rPr>
          <w:spacing w:val="-4"/>
        </w:rPr>
        <w:t> </w:t>
      </w:r>
      <w:r>
        <w:rPr/>
        <w:t>indicates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volume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money</w:t>
      </w:r>
      <w:r>
        <w:rPr>
          <w:spacing w:val="-9"/>
        </w:rPr>
        <w:t> </w:t>
      </w:r>
      <w:r>
        <w:rPr/>
        <w:t>in</w:t>
      </w:r>
      <w:r>
        <w:rPr>
          <w:spacing w:val="-3"/>
        </w:rPr>
        <w:t> </w:t>
      </w:r>
      <w:r>
        <w:rPr/>
        <w:t>circulation</w:t>
      </w:r>
      <w:r>
        <w:rPr>
          <w:spacing w:val="-3"/>
        </w:rPr>
        <w:t> </w:t>
      </w:r>
      <w:r>
        <w:rPr/>
        <w:t>reduces.</w:t>
      </w:r>
    </w:p>
    <w:p>
      <w:pPr>
        <w:pStyle w:val="Heading1"/>
        <w:numPr>
          <w:ilvl w:val="0"/>
          <w:numId w:val="13"/>
        </w:numPr>
        <w:tabs>
          <w:tab w:pos="2015" w:val="left" w:leader="none"/>
        </w:tabs>
        <w:spacing w:line="240" w:lineRule="auto" w:before="126" w:after="0"/>
        <w:ind w:left="2014" w:right="0" w:hanging="255"/>
        <w:jc w:val="both"/>
        <w:rPr>
          <w:sz w:val="24"/>
        </w:rPr>
      </w:pPr>
      <w:r>
        <w:rPr/>
        <w:t>Monetarist</w:t>
      </w:r>
      <w:r>
        <w:rPr>
          <w:spacing w:val="-3"/>
        </w:rPr>
        <w:t> </w:t>
      </w:r>
      <w:r>
        <w:rPr/>
        <w:t>Arithmetic</w:t>
      </w:r>
    </w:p>
    <w:p>
      <w:pPr>
        <w:pStyle w:val="BodyText"/>
        <w:spacing w:line="360" w:lineRule="auto" w:before="144"/>
        <w:ind w:left="1760" w:right="1436"/>
        <w:jc w:val="both"/>
      </w:pPr>
      <w:r>
        <w:rPr/>
        <w:t>The seminal contribution to the concept of the Monetarist Arithmetic was by Sargent and</w:t>
      </w:r>
      <w:r>
        <w:rPr>
          <w:spacing w:val="1"/>
        </w:rPr>
        <w:t> </w:t>
      </w:r>
      <w:r>
        <w:rPr/>
        <w:t>Wallace</w:t>
      </w:r>
      <w:r>
        <w:rPr>
          <w:spacing w:val="1"/>
        </w:rPr>
        <w:t> </w:t>
      </w:r>
      <w:r>
        <w:rPr/>
        <w:t>(1981).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highlights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bankers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government’s</w:t>
      </w:r>
      <w:r>
        <w:rPr>
          <w:spacing w:val="-12"/>
        </w:rPr>
        <w:t> </w:t>
      </w:r>
      <w:r>
        <w:rPr>
          <w:spacing w:val="-1"/>
        </w:rPr>
        <w:t>fiscal</w:t>
      </w:r>
      <w:r>
        <w:rPr>
          <w:spacing w:val="-12"/>
        </w:rPr>
        <w:t> </w:t>
      </w:r>
      <w:r>
        <w:rPr/>
        <w:t>policy,</w:t>
      </w:r>
      <w:r>
        <w:rPr>
          <w:spacing w:val="-10"/>
        </w:rPr>
        <w:t> </w:t>
      </w:r>
      <w:r>
        <w:rPr/>
        <w:t>while</w:t>
      </w:r>
      <w:r>
        <w:rPr>
          <w:spacing w:val="-12"/>
        </w:rPr>
        <w:t> </w:t>
      </w:r>
      <w:r>
        <w:rPr/>
        <w:t>making</w:t>
      </w:r>
      <w:r>
        <w:rPr>
          <w:spacing w:val="-15"/>
        </w:rPr>
        <w:t> </w:t>
      </w:r>
      <w:r>
        <w:rPr/>
        <w:t>policy</w:t>
      </w:r>
      <w:r>
        <w:rPr>
          <w:spacing w:val="-17"/>
        </w:rPr>
        <w:t> </w:t>
      </w:r>
      <w:r>
        <w:rPr/>
        <w:t>decisions.</w:t>
      </w:r>
      <w:r>
        <w:rPr>
          <w:spacing w:val="-12"/>
        </w:rPr>
        <w:t> </w:t>
      </w:r>
      <w:r>
        <w:rPr/>
        <w:t>This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because</w:t>
      </w:r>
      <w:r>
        <w:rPr>
          <w:spacing w:val="-13"/>
        </w:rPr>
        <w:t> </w:t>
      </w:r>
      <w:r>
        <w:rPr/>
        <w:t>government</w:t>
      </w:r>
      <w:r>
        <w:rPr>
          <w:spacing w:val="-12"/>
        </w:rPr>
        <w:t> </w:t>
      </w:r>
      <w:r>
        <w:rPr/>
        <w:t>actions</w:t>
      </w:r>
      <w:r>
        <w:rPr>
          <w:spacing w:val="-57"/>
        </w:rPr>
        <w:t> </w:t>
      </w:r>
      <w:r>
        <w:rPr/>
        <w:t>can render ineffective the ability of monetary authority to determine and stabilise price level</w:t>
      </w:r>
      <w:r>
        <w:rPr>
          <w:spacing w:val="1"/>
        </w:rPr>
        <w:t> </w:t>
      </w:r>
      <w:r>
        <w:rPr/>
        <w:t>in the economy. Sargent and Wallace (1981) define fiscal-monetary policy interaction as a</w:t>
      </w:r>
      <w:r>
        <w:rPr>
          <w:spacing w:val="1"/>
        </w:rPr>
        <w:t> </w:t>
      </w:r>
      <w:r>
        <w:rPr/>
        <w:t>Stackelberg</w:t>
      </w:r>
      <w:r>
        <w:rPr>
          <w:spacing w:val="-4"/>
        </w:rPr>
        <w:t> </w:t>
      </w:r>
      <w:r>
        <w:rPr/>
        <w:t>game</w:t>
      </w:r>
      <w:r>
        <w:rPr>
          <w:spacing w:val="-3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Central</w:t>
      </w:r>
      <w:r>
        <w:rPr>
          <w:spacing w:val="-1"/>
        </w:rPr>
        <w:t> </w:t>
      </w:r>
      <w:r>
        <w:rPr/>
        <w:t>Bank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Treasury.</w:t>
      </w:r>
      <w:r>
        <w:rPr>
          <w:spacing w:val="-1"/>
        </w:rPr>
        <w:t> </w:t>
      </w:r>
      <w:r>
        <w:rPr/>
        <w:t>They</w:t>
      </w:r>
      <w:r>
        <w:rPr>
          <w:spacing w:val="-9"/>
        </w:rPr>
        <w:t> </w:t>
      </w:r>
      <w:r>
        <w:rPr/>
        <w:t>demonstrate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fiscally</w:t>
      </w:r>
      <w:r>
        <w:rPr>
          <w:spacing w:val="-58"/>
        </w:rPr>
        <w:t> </w:t>
      </w:r>
      <w:r>
        <w:rPr/>
        <w:t>dominant regime, the central bank may find it difficult to control inflation since it may be</w:t>
      </w:r>
      <w:r>
        <w:rPr>
          <w:spacing w:val="1"/>
        </w:rPr>
        <w:t> </w:t>
      </w:r>
      <w:r>
        <w:rPr/>
        <w:t>unable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money</w:t>
      </w:r>
      <w:r>
        <w:rPr>
          <w:spacing w:val="1"/>
        </w:rPr>
        <w:t> </w:t>
      </w:r>
      <w:r>
        <w:rPr/>
        <w:t>stock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exogenously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path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government’s budget deficit. In arriving at this conclusion, they draw on a monetarist model</w:t>
      </w:r>
      <w:r>
        <w:rPr>
          <w:spacing w:val="1"/>
        </w:rPr>
        <w:t> </w:t>
      </w:r>
      <w:r>
        <w:rPr/>
        <w:t>embedded in an Over-Lapping Generation framework. In this model, they centrally assume</w:t>
      </w:r>
      <w:r>
        <w:rPr>
          <w:spacing w:val="1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path</w:t>
      </w:r>
      <w:r>
        <w:rPr>
          <w:spacing w:val="-6"/>
        </w:rPr>
        <w:t> </w:t>
      </w:r>
      <w:r>
        <w:rPr/>
        <w:t>for</w:t>
      </w:r>
      <w:r>
        <w:rPr>
          <w:spacing w:val="-3"/>
        </w:rPr>
        <w:t> </w:t>
      </w:r>
      <w:r>
        <w:rPr/>
        <w:t>government</w:t>
      </w:r>
      <w:r>
        <w:rPr>
          <w:spacing w:val="-6"/>
        </w:rPr>
        <w:t> </w:t>
      </w:r>
      <w:r>
        <w:rPr/>
        <w:t>deficit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exogenously</w:t>
      </w:r>
      <w:r>
        <w:rPr>
          <w:spacing w:val="-9"/>
        </w:rPr>
        <w:t> </w:t>
      </w:r>
      <w:r>
        <w:rPr/>
        <w:t>determined</w:t>
      </w:r>
      <w:r>
        <w:rPr>
          <w:spacing w:val="-6"/>
        </w:rPr>
        <w:t> </w:t>
      </w:r>
      <w:r>
        <w:rPr/>
        <w:t>i.e.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is</w:t>
      </w:r>
      <w:r>
        <w:rPr>
          <w:spacing w:val="-5"/>
        </w:rPr>
        <w:t> </w:t>
      </w:r>
      <w:r>
        <w:rPr/>
        <w:t>assumed</w:t>
      </w:r>
      <w:r>
        <w:rPr>
          <w:spacing w:val="-58"/>
        </w:rPr>
        <w:t> </w:t>
      </w:r>
      <w:r>
        <w:rPr/>
        <w:t>to set the deficits, while the central bank controls the level of money supply and can raise</w:t>
      </w:r>
      <w:r>
        <w:rPr>
          <w:spacing w:val="1"/>
        </w:rPr>
        <w:t> </w:t>
      </w:r>
      <w:r>
        <w:rPr/>
        <w:t>revenue</w:t>
      </w:r>
      <w:r>
        <w:rPr>
          <w:spacing w:val="-7"/>
        </w:rPr>
        <w:t> </w:t>
      </w:r>
      <w:r>
        <w:rPr/>
        <w:t>from</w:t>
      </w:r>
      <w:r>
        <w:rPr>
          <w:spacing w:val="-8"/>
        </w:rPr>
        <w:t> </w:t>
      </w:r>
      <w:r>
        <w:rPr/>
        <w:t>money</w:t>
      </w:r>
      <w:r>
        <w:rPr>
          <w:spacing w:val="-13"/>
        </w:rPr>
        <w:t> </w:t>
      </w:r>
      <w:r>
        <w:rPr/>
        <w:t>creation.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model,</w:t>
      </w:r>
      <w:r>
        <w:rPr>
          <w:spacing w:val="-9"/>
        </w:rPr>
        <w:t> </w:t>
      </w:r>
      <w:r>
        <w:rPr/>
        <w:t>fiscal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monetary</w:t>
      </w:r>
      <w:r>
        <w:rPr>
          <w:spacing w:val="-13"/>
        </w:rPr>
        <w:t> </w:t>
      </w:r>
      <w:r>
        <w:rPr/>
        <w:t>policies</w:t>
      </w:r>
      <w:r>
        <w:rPr>
          <w:spacing w:val="-9"/>
        </w:rPr>
        <w:t> </w:t>
      </w:r>
      <w:r>
        <w:rPr/>
        <w:t>are</w:t>
      </w:r>
      <w:r>
        <w:rPr>
          <w:spacing w:val="-8"/>
        </w:rPr>
        <w:t> </w:t>
      </w:r>
      <w:r>
        <w:rPr/>
        <w:t>interacting</w:t>
      </w:r>
      <w:r>
        <w:rPr>
          <w:spacing w:val="-10"/>
        </w:rPr>
        <w:t> </w:t>
      </w:r>
      <w:r>
        <w:rPr/>
        <w:t>within</w:t>
      </w:r>
      <w:r>
        <w:rPr>
          <w:spacing w:val="-58"/>
        </w:rPr>
        <w:t> </w:t>
      </w:r>
      <w:r>
        <w:rPr/>
        <w:t>a consolidated government budget constraint. This constraint is an identity that links both</w:t>
      </w:r>
      <w:r>
        <w:rPr>
          <w:spacing w:val="1"/>
        </w:rPr>
        <w:t> </w:t>
      </w:r>
      <w:r>
        <w:rPr/>
        <w:t>policies. It shows that the government finances its budget deficit by issuing one-period bonds</w:t>
      </w:r>
      <w:r>
        <w:rPr>
          <w:spacing w:val="-57"/>
        </w:rPr>
        <w:t> </w:t>
      </w:r>
      <w:r>
        <w:rPr/>
        <w:t>and by</w:t>
      </w:r>
      <w:r>
        <w:rPr>
          <w:spacing w:val="-5"/>
        </w:rPr>
        <w:t> </w:t>
      </w:r>
      <w:r>
        <w:rPr/>
        <w:t>money</w:t>
      </w:r>
      <w:r>
        <w:rPr>
          <w:spacing w:val="-5"/>
        </w:rPr>
        <w:t> </w:t>
      </w:r>
      <w:r>
        <w:rPr/>
        <w:t>creation.</w:t>
      </w:r>
    </w:p>
    <w:p>
      <w:pPr>
        <w:pStyle w:val="BodyText"/>
        <w:spacing w:line="360" w:lineRule="auto" w:before="201"/>
        <w:ind w:left="1760" w:right="1436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/>
        <w:t>path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fiscal</w:t>
      </w:r>
      <w:r>
        <w:rPr>
          <w:spacing w:val="-12"/>
        </w:rPr>
        <w:t> </w:t>
      </w:r>
      <w:r>
        <w:rPr/>
        <w:t>policy</w:t>
      </w:r>
      <w:r>
        <w:rPr>
          <w:spacing w:val="-17"/>
        </w:rPr>
        <w:t> </w:t>
      </w:r>
      <w:r>
        <w:rPr/>
        <w:t>is,</w:t>
      </w:r>
      <w:r>
        <w:rPr>
          <w:spacing w:val="-12"/>
        </w:rPr>
        <w:t> </w:t>
      </w:r>
      <w:r>
        <w:rPr/>
        <w:t>therefore,</w:t>
      </w:r>
      <w:r>
        <w:rPr>
          <w:spacing w:val="-12"/>
        </w:rPr>
        <w:t> </w:t>
      </w:r>
      <w:r>
        <w:rPr/>
        <w:t>assumed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exogenously</w:t>
      </w:r>
      <w:r>
        <w:rPr>
          <w:spacing w:val="-15"/>
        </w:rPr>
        <w:t> </w:t>
      </w:r>
      <w:r>
        <w:rPr/>
        <w:t>evolve</w:t>
      </w:r>
      <w:r>
        <w:rPr>
          <w:spacing w:val="-13"/>
        </w:rPr>
        <w:t> </w:t>
      </w:r>
      <w:r>
        <w:rPr/>
        <w:t>under</w:t>
      </w:r>
      <w:r>
        <w:rPr>
          <w:spacing w:val="-11"/>
        </w:rPr>
        <w:t> </w:t>
      </w:r>
      <w:r>
        <w:rPr/>
        <w:t>this</w:t>
      </w:r>
      <w:r>
        <w:rPr>
          <w:spacing w:val="-12"/>
        </w:rPr>
        <w:t> </w:t>
      </w:r>
      <w:r>
        <w:rPr/>
        <w:t>form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policy</w:t>
      </w:r>
      <w:r>
        <w:rPr>
          <w:spacing w:val="-57"/>
        </w:rPr>
        <w:t> </w:t>
      </w:r>
      <w:r>
        <w:rPr/>
        <w:t>game; while the central bank passively adjusts to the path of this government policy. Under</w:t>
      </w:r>
      <w:r>
        <w:rPr>
          <w:spacing w:val="1"/>
        </w:rPr>
        <w:t> </w:t>
      </w:r>
      <w:r>
        <w:rPr/>
        <w:t>this circumstance, for every deficit the government fixes, the central bank is forced to finance</w:t>
      </w:r>
      <w:r>
        <w:rPr>
          <w:spacing w:val="-57"/>
        </w:rPr>
        <w:t> </w:t>
      </w:r>
      <w:r>
        <w:rPr/>
        <w:t>it through money creation, if it cannot be financed by the sale of bonds. The central bank is</w:t>
      </w:r>
      <w:r>
        <w:rPr>
          <w:spacing w:val="1"/>
        </w:rPr>
        <w:t> </w:t>
      </w:r>
      <w:r>
        <w:rPr/>
        <w:t>also constrained to finance government deficit if the economy reaches a fiscal limit where the</w:t>
      </w:r>
      <w:r>
        <w:rPr>
          <w:spacing w:val="-57"/>
        </w:rPr>
        <w:t> </w:t>
      </w:r>
      <w:r>
        <w:rPr/>
        <w:t>government can no longer issue new bonds since it has accumulated a large amount of debt</w:t>
      </w:r>
      <w:r>
        <w:rPr>
          <w:spacing w:val="1"/>
        </w:rPr>
        <w:t> </w:t>
      </w:r>
      <w:r>
        <w:rPr/>
        <w:t>which</w:t>
      </w:r>
      <w:r>
        <w:rPr>
          <w:spacing w:val="11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2"/>
        </w:rPr>
        <w:t> </w:t>
      </w:r>
      <w:r>
        <w:rPr/>
        <w:t>likely</w:t>
      </w:r>
      <w:r>
        <w:rPr>
          <w:spacing w:val="5"/>
        </w:rPr>
        <w:t> </w:t>
      </w:r>
      <w:r>
        <w:rPr/>
        <w:t>to</w:t>
      </w:r>
      <w:r>
        <w:rPr>
          <w:spacing w:val="13"/>
        </w:rPr>
        <w:t> </w:t>
      </w:r>
      <w:r>
        <w:rPr/>
        <w:t>default</w:t>
      </w:r>
      <w:r>
        <w:rPr>
          <w:spacing w:val="12"/>
        </w:rPr>
        <w:t> </w:t>
      </w:r>
      <w:r>
        <w:rPr/>
        <w:t>on.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creation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money</w:t>
      </w:r>
      <w:r>
        <w:rPr>
          <w:spacing w:val="6"/>
        </w:rPr>
        <w:t> </w:t>
      </w:r>
      <w:r>
        <w:rPr/>
        <w:t>by</w:t>
      </w:r>
      <w:r>
        <w:rPr>
          <w:spacing w:val="7"/>
        </w:rPr>
        <w:t> </w:t>
      </w:r>
      <w:r>
        <w:rPr/>
        <w:t>the</w:t>
      </w:r>
      <w:r>
        <w:rPr>
          <w:spacing w:val="11"/>
        </w:rPr>
        <w:t> </w:t>
      </w:r>
      <w:r>
        <w:rPr/>
        <w:t>central</w:t>
      </w:r>
      <w:r>
        <w:rPr>
          <w:spacing w:val="12"/>
        </w:rPr>
        <w:t> </w:t>
      </w:r>
      <w:r>
        <w:rPr/>
        <w:t>bank</w:t>
      </w:r>
      <w:r>
        <w:rPr>
          <w:spacing w:val="14"/>
        </w:rPr>
        <w:t> </w:t>
      </w:r>
      <w:r>
        <w:rPr/>
        <w:t>either</w:t>
      </w:r>
      <w:r>
        <w:rPr>
          <w:spacing w:val="12"/>
        </w:rPr>
        <w:t> </w:t>
      </w:r>
      <w:r>
        <w:rPr/>
        <w:t>by</w:t>
      </w:r>
      <w:r>
        <w:rPr>
          <w:spacing w:val="6"/>
        </w:rPr>
        <w:t> </w:t>
      </w:r>
      <w:r>
        <w:rPr/>
        <w:t>printing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41"/>
        <w:jc w:val="both"/>
      </w:pPr>
      <w:r>
        <w:rPr/>
        <w:t>money</w:t>
      </w:r>
      <w:r>
        <w:rPr>
          <w:spacing w:val="-17"/>
        </w:rPr>
        <w:t> </w:t>
      </w:r>
      <w:r>
        <w:rPr/>
        <w:t>or</w:t>
      </w:r>
      <w:r>
        <w:rPr>
          <w:spacing w:val="-16"/>
        </w:rPr>
        <w:t> </w:t>
      </w:r>
      <w:r>
        <w:rPr/>
        <w:t>buying</w:t>
      </w:r>
      <w:r>
        <w:rPr>
          <w:spacing w:val="-15"/>
        </w:rPr>
        <w:t> </w:t>
      </w:r>
      <w:r>
        <w:rPr/>
        <w:t>government</w:t>
      </w:r>
      <w:r>
        <w:rPr>
          <w:spacing w:val="-15"/>
        </w:rPr>
        <w:t> </w:t>
      </w:r>
      <w:r>
        <w:rPr/>
        <w:t>securities</w:t>
      </w:r>
      <w:r>
        <w:rPr>
          <w:spacing w:val="-15"/>
        </w:rPr>
        <w:t> </w:t>
      </w:r>
      <w:r>
        <w:rPr/>
        <w:t>injects</w:t>
      </w:r>
      <w:r>
        <w:rPr>
          <w:spacing w:val="-14"/>
        </w:rPr>
        <w:t> </w:t>
      </w:r>
      <w:r>
        <w:rPr/>
        <w:t>money</w:t>
      </w:r>
      <w:r>
        <w:rPr>
          <w:spacing w:val="-20"/>
        </w:rPr>
        <w:t> </w:t>
      </w:r>
      <w:r>
        <w:rPr/>
        <w:t>into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economy,</w:t>
      </w:r>
      <w:r>
        <w:rPr>
          <w:spacing w:val="-15"/>
        </w:rPr>
        <w:t> </w:t>
      </w:r>
      <w:r>
        <w:rPr/>
        <w:t>which</w:t>
      </w:r>
      <w:r>
        <w:rPr>
          <w:spacing w:val="-15"/>
        </w:rPr>
        <w:t> </w:t>
      </w:r>
      <w:r>
        <w:rPr/>
        <w:t>leads</w:t>
      </w:r>
      <w:r>
        <w:rPr>
          <w:spacing w:val="-15"/>
        </w:rPr>
        <w:t> </w:t>
      </w:r>
      <w:r>
        <w:rPr/>
        <w:t>to</w:t>
      </w:r>
      <w:r>
        <w:rPr>
          <w:spacing w:val="-12"/>
        </w:rPr>
        <w:t> </w:t>
      </w:r>
      <w:r>
        <w:rPr/>
        <w:t>a</w:t>
      </w:r>
      <w:r>
        <w:rPr>
          <w:spacing w:val="-16"/>
        </w:rPr>
        <w:t> </w:t>
      </w:r>
      <w:r>
        <w:rPr/>
        <w:t>surge</w:t>
      </w:r>
      <w:r>
        <w:rPr>
          <w:spacing w:val="-57"/>
        </w:rPr>
        <w:t> </w:t>
      </w:r>
      <w:r>
        <w:rPr/>
        <w:t>in volume of money supplied and by the monetarist quantity theory implies increases in the</w:t>
      </w:r>
      <w:r>
        <w:rPr>
          <w:spacing w:val="1"/>
        </w:rPr>
        <w:t> </w:t>
      </w:r>
      <w:r>
        <w:rPr/>
        <w:t>price level and then inflation. The solution to the constraint imposed on the central bank is an</w:t>
      </w:r>
      <w:r>
        <w:rPr>
          <w:spacing w:val="-57"/>
        </w:rPr>
        <w:t> </w:t>
      </w:r>
      <w:r>
        <w:rPr/>
        <w:t>independent and conservative authority that can discipline the government by refusing to</w:t>
      </w:r>
      <w:r>
        <w:rPr>
          <w:spacing w:val="1"/>
        </w:rPr>
        <w:t> </w:t>
      </w:r>
      <w:r>
        <w:rPr/>
        <w:t>finance</w:t>
      </w:r>
      <w:r>
        <w:rPr>
          <w:spacing w:val="-2"/>
        </w:rPr>
        <w:t> </w:t>
      </w:r>
      <w:r>
        <w:rPr/>
        <w:t>its deficit.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0" w:lineRule="auto"/>
        <w:ind w:left="1760" w:right="1435"/>
        <w:jc w:val="both"/>
      </w:pPr>
      <w:r>
        <w:rPr/>
        <w:t>However, there have been reactions to the position of Sargent and Wallace (1981) as stated</w:t>
      </w:r>
      <w:r>
        <w:rPr>
          <w:spacing w:val="1"/>
        </w:rPr>
        <w:t> </w:t>
      </w:r>
      <w:r>
        <w:rPr/>
        <w:t>earlier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previous</w:t>
      </w:r>
      <w:r>
        <w:rPr>
          <w:spacing w:val="-5"/>
        </w:rPr>
        <w:t> </w:t>
      </w:r>
      <w:r>
        <w:rPr/>
        <w:t>paragraphs.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instance,</w:t>
      </w:r>
      <w:r>
        <w:rPr>
          <w:spacing w:val="-6"/>
        </w:rPr>
        <w:t> </w:t>
      </w:r>
      <w:r>
        <w:rPr/>
        <w:t>Weil</w:t>
      </w:r>
      <w:r>
        <w:rPr>
          <w:spacing w:val="-5"/>
        </w:rPr>
        <w:t> </w:t>
      </w:r>
      <w:r>
        <w:rPr/>
        <w:t>(1987)</w:t>
      </w:r>
      <w:r>
        <w:rPr>
          <w:spacing w:val="-7"/>
        </w:rPr>
        <w:t> </w:t>
      </w:r>
      <w:r>
        <w:rPr/>
        <w:t>re-examines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conclusion</w:t>
      </w:r>
      <w:r>
        <w:rPr>
          <w:spacing w:val="-5"/>
        </w:rPr>
        <w:t> </w:t>
      </w:r>
      <w:r>
        <w:rPr/>
        <w:t>that</w:t>
      </w:r>
      <w:r>
        <w:rPr>
          <w:spacing w:val="-58"/>
        </w:rPr>
        <w:t> </w:t>
      </w:r>
      <w:r>
        <w:rPr/>
        <w:t>primary budget deficits have to be monetized i.e. central banks are restricted from selecting</w:t>
      </w:r>
      <w:r>
        <w:rPr>
          <w:spacing w:val="1"/>
        </w:rPr>
        <w:t> </w:t>
      </w:r>
      <w:r>
        <w:rPr/>
        <w:t>desired range of money supply in the face of exogenously determined budget deficits of the</w:t>
      </w:r>
      <w:r>
        <w:rPr>
          <w:spacing w:val="1"/>
        </w:rPr>
        <w:t> </w:t>
      </w:r>
      <w:r>
        <w:rPr/>
        <w:t>fiscal authorities. Weil (1987) adopts a simple monetary model nested within a fusion of the</w:t>
      </w:r>
      <w:r>
        <w:rPr>
          <w:spacing w:val="1"/>
        </w:rPr>
        <w:t> </w:t>
      </w:r>
      <w:r>
        <w:rPr/>
        <w:t>Over-Lapping Generation and Infinite-Horizon frameworks. The study assumes a monetary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intergenerational</w:t>
      </w:r>
      <w:r>
        <w:rPr>
          <w:spacing w:val="1"/>
        </w:rPr>
        <w:t> </w:t>
      </w:r>
      <w:r>
        <w:rPr/>
        <w:t>dynamics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infinitely-lived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continuously enter the economy. The results reveal contrasting conclusions such that when</w:t>
      </w:r>
      <w:r>
        <w:rPr>
          <w:spacing w:val="1"/>
        </w:rPr>
        <w:t> </w:t>
      </w:r>
      <w:r>
        <w:rPr/>
        <w:t>intergenerational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considered,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chances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banks</w:t>
      </w:r>
      <w:r>
        <w:rPr>
          <w:spacing w:val="1"/>
        </w:rPr>
        <w:t> </w:t>
      </w:r>
      <w:r>
        <w:rPr/>
        <w:t>can</w:t>
      </w:r>
      <w:r>
        <w:rPr>
          <w:spacing w:val="-57"/>
        </w:rPr>
        <w:t> </w:t>
      </w:r>
      <w:r>
        <w:rPr/>
        <w:t>determine the paths of monetary policy for every given fiscal policy. By implication, the</w:t>
      </w:r>
      <w:r>
        <w:rPr>
          <w:spacing w:val="1"/>
        </w:rPr>
        <w:t> </w:t>
      </w:r>
      <w:r>
        <w:rPr/>
        <w:t>findings of Weil (1987) differs from Sargent and Wallace (1981) on grounds that the study</w:t>
      </w:r>
      <w:r>
        <w:rPr>
          <w:spacing w:val="1"/>
        </w:rPr>
        <w:t> </w:t>
      </w:r>
      <w:r>
        <w:rPr/>
        <w:t>departs from the standard OLG models and assumes real interest rates that vary. In the same</w:t>
      </w:r>
      <w:r>
        <w:rPr>
          <w:spacing w:val="1"/>
        </w:rPr>
        <w:t> </w:t>
      </w:r>
      <w:r>
        <w:rPr/>
        <w:t>vein, Darby (1984) counteracts the Sargent and Wallace (1981) assertion. The author shows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-15"/>
        </w:rPr>
        <w:t> </w:t>
      </w:r>
      <w:r>
        <w:rPr>
          <w:spacing w:val="-1"/>
        </w:rPr>
        <w:t>this</w:t>
      </w:r>
      <w:r>
        <w:rPr>
          <w:spacing w:val="-14"/>
        </w:rPr>
        <w:t> </w:t>
      </w:r>
      <w:r>
        <w:rPr>
          <w:spacing w:val="-1"/>
        </w:rPr>
        <w:t>assertion</w:t>
      </w:r>
      <w:r>
        <w:rPr>
          <w:spacing w:val="-14"/>
        </w:rPr>
        <w:t> </w:t>
      </w:r>
      <w:r>
        <w:rPr/>
        <w:t>may</w:t>
      </w:r>
      <w:r>
        <w:rPr>
          <w:spacing w:val="-20"/>
        </w:rPr>
        <w:t> </w:t>
      </w:r>
      <w:r>
        <w:rPr/>
        <w:t>not</w:t>
      </w:r>
      <w:r>
        <w:rPr>
          <w:spacing w:val="-13"/>
        </w:rPr>
        <w:t> </w:t>
      </w:r>
      <w:r>
        <w:rPr/>
        <w:t>hold</w:t>
      </w:r>
      <w:r>
        <w:rPr>
          <w:spacing w:val="-13"/>
        </w:rPr>
        <w:t> </w:t>
      </w:r>
      <w:r>
        <w:rPr/>
        <w:t>under</w:t>
      </w:r>
      <w:r>
        <w:rPr>
          <w:spacing w:val="-16"/>
        </w:rPr>
        <w:t> </w:t>
      </w:r>
      <w:r>
        <w:rPr/>
        <w:t>certain</w:t>
      </w:r>
      <w:r>
        <w:rPr>
          <w:spacing w:val="-13"/>
        </w:rPr>
        <w:t> </w:t>
      </w:r>
      <w:r>
        <w:rPr/>
        <w:t>conditions.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author</w:t>
      </w:r>
      <w:r>
        <w:rPr>
          <w:spacing w:val="-15"/>
        </w:rPr>
        <w:t> </w:t>
      </w:r>
      <w:r>
        <w:rPr/>
        <w:t>overturns</w:t>
      </w:r>
      <w:r>
        <w:rPr>
          <w:spacing w:val="-14"/>
        </w:rPr>
        <w:t> </w:t>
      </w:r>
      <w:r>
        <w:rPr/>
        <w:t>Sargent-Wallace</w:t>
      </w:r>
      <w:r>
        <w:rPr>
          <w:spacing w:val="-58"/>
        </w:rPr>
        <w:t> </w:t>
      </w:r>
      <w:r>
        <w:rPr/>
        <w:t>assumption that real interest rates are higher than</w:t>
      </w:r>
      <w:r>
        <w:rPr>
          <w:spacing w:val="1"/>
        </w:rPr>
        <w:t> </w:t>
      </w:r>
      <w:r>
        <w:rPr/>
        <w:t>growth rates, and</w:t>
      </w:r>
      <w:r>
        <w:rPr>
          <w:spacing w:val="1"/>
        </w:rPr>
        <w:t> </w:t>
      </w:r>
      <w:r>
        <w:rPr/>
        <w:t>also modifies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after-tax</w:t>
      </w:r>
      <w:r>
        <w:rPr>
          <w:spacing w:val="1"/>
        </w:rPr>
        <w:t> </w:t>
      </w:r>
      <w:r>
        <w:rPr/>
        <w:t>values;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retains</w:t>
      </w:r>
      <w:r>
        <w:rPr>
          <w:spacing w:val="1"/>
        </w:rPr>
        <w:t> </w:t>
      </w:r>
      <w:r>
        <w:rPr/>
        <w:t>Sargent-Wallace</w:t>
      </w:r>
      <w:r>
        <w:rPr>
          <w:spacing w:val="1"/>
        </w:rPr>
        <w:t> </w:t>
      </w:r>
      <w:r>
        <w:rPr/>
        <w:t>proposition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real</w:t>
      </w:r>
      <w:r>
        <w:rPr>
          <w:spacing w:val="-7"/>
        </w:rPr>
        <w:t> </w:t>
      </w:r>
      <w:r>
        <w:rPr/>
        <w:t>interest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growth</w:t>
      </w:r>
      <w:r>
        <w:rPr>
          <w:spacing w:val="-7"/>
        </w:rPr>
        <w:t> </w:t>
      </w:r>
      <w:r>
        <w:rPr/>
        <w:t>rates</w:t>
      </w:r>
      <w:r>
        <w:rPr>
          <w:spacing w:val="-4"/>
        </w:rPr>
        <w:t> </w:t>
      </w:r>
      <w:r>
        <w:rPr/>
        <w:t>are</w:t>
      </w:r>
      <w:r>
        <w:rPr>
          <w:spacing w:val="-7"/>
        </w:rPr>
        <w:t> </w:t>
      </w:r>
      <w:r>
        <w:rPr/>
        <w:t>constant.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8"/>
        </w:rPr>
        <w:t> </w:t>
      </w:r>
      <w:r>
        <w:rPr/>
        <w:t>model</w:t>
      </w:r>
      <w:r>
        <w:rPr>
          <w:spacing w:val="-6"/>
        </w:rPr>
        <w:t> </w:t>
      </w:r>
      <w:r>
        <w:rPr/>
        <w:t>where</w:t>
      </w:r>
      <w:r>
        <w:rPr>
          <w:spacing w:val="-7"/>
        </w:rPr>
        <w:t> </w:t>
      </w:r>
      <w:r>
        <w:rPr/>
        <w:t>real</w:t>
      </w:r>
      <w:r>
        <w:rPr>
          <w:spacing w:val="-7"/>
        </w:rPr>
        <w:t> </w:t>
      </w:r>
      <w:r>
        <w:rPr/>
        <w:t>interest</w:t>
      </w:r>
      <w:r>
        <w:rPr>
          <w:spacing w:val="-3"/>
        </w:rPr>
        <w:t> </w:t>
      </w:r>
      <w:r>
        <w:rPr/>
        <w:t>rates</w:t>
      </w:r>
      <w:r>
        <w:rPr>
          <w:spacing w:val="-58"/>
        </w:rPr>
        <w:t> </w:t>
      </w:r>
      <w:r>
        <w:rPr/>
        <w:t>are</w:t>
      </w:r>
      <w:r>
        <w:rPr>
          <w:spacing w:val="-3"/>
        </w:rPr>
        <w:t> </w:t>
      </w:r>
      <w:r>
        <w:rPr/>
        <w:t>lower than</w:t>
      </w:r>
      <w:r>
        <w:rPr>
          <w:spacing w:val="2"/>
        </w:rPr>
        <w:t> </w:t>
      </w:r>
      <w:r>
        <w:rPr/>
        <w:t>growth</w:t>
      </w:r>
      <w:r>
        <w:rPr>
          <w:spacing w:val="-1"/>
        </w:rPr>
        <w:t> </w:t>
      </w:r>
      <w:r>
        <w:rPr/>
        <w:t>rates, Darby</w:t>
      </w:r>
      <w:r>
        <w:rPr>
          <w:spacing w:val="-3"/>
        </w:rPr>
        <w:t> </w:t>
      </w:r>
      <w:r>
        <w:rPr/>
        <w:t>(1984)</w:t>
      </w:r>
      <w:r>
        <w:rPr>
          <w:spacing w:val="-1"/>
        </w:rPr>
        <w:t> </w:t>
      </w:r>
      <w:r>
        <w:rPr/>
        <w:t>shows that the</w:t>
      </w:r>
      <w:r>
        <w:rPr>
          <w:spacing w:val="-1"/>
        </w:rPr>
        <w:t> </w:t>
      </w:r>
      <w:r>
        <w:rPr/>
        <w:t>Sargent-Wallace may</w:t>
      </w:r>
      <w:r>
        <w:rPr>
          <w:spacing w:val="-5"/>
        </w:rPr>
        <w:t> </w:t>
      </w:r>
      <w:r>
        <w:rPr/>
        <w:t>not hold.</w:t>
      </w:r>
    </w:p>
    <w:p>
      <w:pPr>
        <w:pStyle w:val="BodyText"/>
        <w:spacing w:line="360" w:lineRule="auto" w:before="202"/>
        <w:ind w:left="1760" w:right="1433"/>
        <w:jc w:val="both"/>
      </w:pPr>
      <w:r>
        <w:rPr/>
        <w:t>The</w:t>
      </w:r>
      <w:r>
        <w:rPr>
          <w:spacing w:val="-4"/>
        </w:rPr>
        <w:t> </w:t>
      </w:r>
      <w:r>
        <w:rPr/>
        <w:t>conclusions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Weil</w:t>
      </w:r>
      <w:r>
        <w:rPr>
          <w:spacing w:val="-2"/>
        </w:rPr>
        <w:t> </w:t>
      </w:r>
      <w:r>
        <w:rPr/>
        <w:t>(1987),</w:t>
      </w:r>
      <w:r>
        <w:rPr>
          <w:spacing w:val="-4"/>
        </w:rPr>
        <w:t> </w:t>
      </w:r>
      <w:r>
        <w:rPr/>
        <w:t>Darby</w:t>
      </w:r>
      <w:r>
        <w:rPr>
          <w:spacing w:val="-5"/>
        </w:rPr>
        <w:t> </w:t>
      </w:r>
      <w:r>
        <w:rPr/>
        <w:t>(1984)</w:t>
      </w:r>
      <w:r>
        <w:rPr>
          <w:spacing w:val="-4"/>
        </w:rPr>
        <w:t> </w:t>
      </w:r>
      <w:r>
        <w:rPr/>
        <w:t>show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Sargent-Wallace</w:t>
      </w:r>
      <w:r>
        <w:rPr>
          <w:spacing w:val="-4"/>
        </w:rPr>
        <w:t> </w:t>
      </w:r>
      <w:r>
        <w:rPr/>
        <w:t>hypothesis</w:t>
      </w:r>
      <w:r>
        <w:rPr>
          <w:spacing w:val="-2"/>
        </w:rPr>
        <w:t> </w:t>
      </w:r>
      <w:r>
        <w:rPr/>
        <w:t>may</w:t>
      </w:r>
      <w:r>
        <w:rPr>
          <w:spacing w:val="-57"/>
        </w:rPr>
        <w:t> </w:t>
      </w:r>
      <w:r>
        <w:rPr>
          <w:spacing w:val="-1"/>
        </w:rPr>
        <w:t>hold</w:t>
      </w:r>
      <w:r>
        <w:rPr>
          <w:spacing w:val="-14"/>
        </w:rPr>
        <w:t> </w:t>
      </w:r>
      <w:r>
        <w:rPr/>
        <w:t>or</w:t>
      </w:r>
      <w:r>
        <w:rPr>
          <w:spacing w:val="-16"/>
        </w:rPr>
        <w:t> </w:t>
      </w:r>
      <w:r>
        <w:rPr/>
        <w:t>not</w:t>
      </w:r>
      <w:r>
        <w:rPr>
          <w:spacing w:val="-14"/>
        </w:rPr>
        <w:t> </w:t>
      </w:r>
      <w:r>
        <w:rPr/>
        <w:t>depending</w:t>
      </w:r>
      <w:r>
        <w:rPr>
          <w:spacing w:val="-14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underlying</w:t>
      </w:r>
      <w:r>
        <w:rPr>
          <w:spacing w:val="-17"/>
        </w:rPr>
        <w:t> </w:t>
      </w:r>
      <w:r>
        <w:rPr/>
        <w:t>assumptions</w:t>
      </w:r>
      <w:r>
        <w:rPr>
          <w:spacing w:val="-15"/>
        </w:rPr>
        <w:t> </w:t>
      </w:r>
      <w:r>
        <w:rPr/>
        <w:t>held</w:t>
      </w:r>
      <w:r>
        <w:rPr>
          <w:spacing w:val="-14"/>
        </w:rPr>
        <w:t> </w:t>
      </w:r>
      <w:r>
        <w:rPr/>
        <w:t>or</w:t>
      </w:r>
      <w:r>
        <w:rPr>
          <w:spacing w:val="-13"/>
        </w:rPr>
        <w:t> </w:t>
      </w:r>
      <w:r>
        <w:rPr/>
        <w:t>relaxed.</w:t>
      </w:r>
      <w:r>
        <w:rPr>
          <w:spacing w:val="-15"/>
        </w:rPr>
        <w:t> </w:t>
      </w:r>
      <w:r>
        <w:rPr/>
        <w:t>McCallum</w:t>
      </w:r>
      <w:r>
        <w:rPr>
          <w:spacing w:val="-14"/>
        </w:rPr>
        <w:t> </w:t>
      </w:r>
      <w:r>
        <w:rPr/>
        <w:t>(1984),</w:t>
      </w:r>
      <w:r>
        <w:rPr>
          <w:spacing w:val="-16"/>
        </w:rPr>
        <w:t> </w:t>
      </w:r>
      <w:r>
        <w:rPr/>
        <w:t>Miller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Sargent</w:t>
      </w:r>
      <w:r>
        <w:rPr>
          <w:spacing w:val="1"/>
        </w:rPr>
        <w:t> </w:t>
      </w:r>
      <w:r>
        <w:rPr/>
        <w:t>(1984)</w:t>
      </w:r>
      <w:r>
        <w:rPr>
          <w:spacing w:val="1"/>
        </w:rPr>
        <w:t> </w:t>
      </w:r>
      <w:r>
        <w:rPr/>
        <w:t>prove</w:t>
      </w:r>
      <w:r>
        <w:rPr>
          <w:spacing w:val="1"/>
        </w:rPr>
        <w:t> </w:t>
      </w:r>
      <w:r>
        <w:rPr/>
        <w:t>this.</w:t>
      </w:r>
      <w:r>
        <w:rPr>
          <w:spacing w:val="1"/>
        </w:rPr>
        <w:t> </w:t>
      </w:r>
      <w:r>
        <w:rPr/>
        <w:t>McCallum</w:t>
      </w:r>
      <w:r>
        <w:rPr>
          <w:spacing w:val="1"/>
        </w:rPr>
        <w:t> </w:t>
      </w:r>
      <w:r>
        <w:rPr/>
        <w:t>(1984)</w:t>
      </w:r>
      <w:r>
        <w:rPr>
          <w:spacing w:val="1"/>
        </w:rPr>
        <w:t> </w:t>
      </w:r>
      <w:r>
        <w:rPr/>
        <w:t>examines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monetarist</w:t>
      </w:r>
      <w:r>
        <w:rPr>
          <w:spacing w:val="1"/>
        </w:rPr>
        <w:t> </w:t>
      </w:r>
      <w:r>
        <w:rPr/>
        <w:t>notion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government</w:t>
      </w:r>
      <w:r>
        <w:rPr>
          <w:spacing w:val="-3"/>
        </w:rPr>
        <w:t> </w:t>
      </w:r>
      <w:r>
        <w:rPr/>
        <w:t>budget</w:t>
      </w:r>
      <w:r>
        <w:rPr>
          <w:spacing w:val="-2"/>
        </w:rPr>
        <w:t> </w:t>
      </w:r>
      <w:r>
        <w:rPr/>
        <w:t>deficit</w:t>
      </w:r>
      <w:r>
        <w:rPr>
          <w:spacing w:val="-2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non-inflationary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/>
        <w:t>condition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funded</w:t>
      </w:r>
      <w:r>
        <w:rPr>
          <w:spacing w:val="-3"/>
        </w:rPr>
        <w:t> </w:t>
      </w:r>
      <w:r>
        <w:rPr/>
        <w:t>by</w:t>
      </w:r>
      <w:r>
        <w:rPr>
          <w:spacing w:val="-8"/>
        </w:rPr>
        <w:t> </w:t>
      </w:r>
      <w:r>
        <w:rPr/>
        <w:t>bond</w:t>
      </w:r>
      <w:r>
        <w:rPr>
          <w:spacing w:val="-4"/>
        </w:rPr>
        <w:t> </w:t>
      </w:r>
      <w:r>
        <w:rPr/>
        <w:t>sales</w:t>
      </w:r>
      <w:r>
        <w:rPr>
          <w:spacing w:val="-57"/>
        </w:rPr>
        <w:t> </w:t>
      </w:r>
      <w:r>
        <w:rPr/>
        <w:t>rather than from currency. Using a discrete time, deterministic model, the study is able to</w:t>
      </w:r>
      <w:r>
        <w:rPr>
          <w:spacing w:val="1"/>
        </w:rPr>
        <w:t> </w:t>
      </w:r>
      <w:r>
        <w:rPr/>
        <w:t>illustrate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validity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depends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whether</w:t>
      </w:r>
      <w:r>
        <w:rPr>
          <w:spacing w:val="-3"/>
        </w:rPr>
        <w:t> </w:t>
      </w:r>
      <w:r>
        <w:rPr/>
        <w:t>budget</w:t>
      </w:r>
      <w:r>
        <w:rPr>
          <w:spacing w:val="-1"/>
        </w:rPr>
        <w:t> </w:t>
      </w:r>
      <w:r>
        <w:rPr/>
        <w:t>deficits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defined</w:t>
      </w:r>
      <w:r>
        <w:rPr>
          <w:spacing w:val="-1"/>
        </w:rPr>
        <w:t> </w:t>
      </w:r>
      <w:r>
        <w:rPr/>
        <w:t>as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38"/>
        <w:jc w:val="both"/>
      </w:pPr>
      <w:r>
        <w:rPr/>
        <w:t>including</w:t>
      </w:r>
      <w:r>
        <w:rPr>
          <w:spacing w:val="-8"/>
        </w:rPr>
        <w:t> </w:t>
      </w:r>
      <w:r>
        <w:rPr/>
        <w:t>interest</w:t>
      </w:r>
      <w:r>
        <w:rPr>
          <w:spacing w:val="-6"/>
        </w:rPr>
        <w:t> </w:t>
      </w:r>
      <w:r>
        <w:rPr/>
        <w:t>payments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not.</w:t>
      </w:r>
      <w:r>
        <w:rPr>
          <w:spacing w:val="-6"/>
        </w:rPr>
        <w:t> </w:t>
      </w:r>
      <w:r>
        <w:rPr/>
        <w:t>Specifically,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monetarist</w:t>
      </w:r>
      <w:r>
        <w:rPr>
          <w:spacing w:val="-5"/>
        </w:rPr>
        <w:t> </w:t>
      </w:r>
      <w:r>
        <w:rPr/>
        <w:t>hypothesis</w:t>
      </w:r>
      <w:r>
        <w:rPr>
          <w:spacing w:val="-3"/>
        </w:rPr>
        <w:t> </w:t>
      </w:r>
      <w:r>
        <w:rPr/>
        <w:t>does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hold</w:t>
      </w:r>
      <w:r>
        <w:rPr>
          <w:spacing w:val="-5"/>
        </w:rPr>
        <w:t> </w:t>
      </w:r>
      <w:r>
        <w:rPr/>
        <w:t>when</w:t>
      </w:r>
      <w:r>
        <w:rPr>
          <w:spacing w:val="-58"/>
        </w:rPr>
        <w:t> </w:t>
      </w:r>
      <w:r>
        <w:rPr/>
        <w:t>deficits are defined as excluding interest payments. Also, Miller and Sargent (1984) relax the</w:t>
      </w:r>
      <w:r>
        <w:rPr>
          <w:spacing w:val="1"/>
        </w:rPr>
        <w:t> </w:t>
      </w:r>
      <w:r>
        <w:rPr/>
        <w:t>Sargent-Wallace assumption of an exogenously fixed interest rate. According to the authors,</w:t>
      </w:r>
      <w:r>
        <w:rPr>
          <w:spacing w:val="1"/>
        </w:rPr>
        <w:t> </w:t>
      </w:r>
      <w:r>
        <w:rPr/>
        <w:t>the real interest rate is partly derived as a function of the ratio of interest-bearing government</w:t>
      </w:r>
      <w:r>
        <w:rPr>
          <w:spacing w:val="-57"/>
        </w:rPr>
        <w:t> </w:t>
      </w:r>
      <w:r>
        <w:rPr/>
        <w:t>bonds to base money. By this, the study uses ad-hoc aggregate demand and supply equations</w:t>
      </w:r>
      <w:r>
        <w:rPr>
          <w:spacing w:val="1"/>
        </w:rPr>
        <w:t> </w:t>
      </w:r>
      <w:r>
        <w:rPr/>
        <w:t>to show that merely comparing real interest and growth rates as conducted in Darby (1984) is</w:t>
      </w:r>
      <w:r>
        <w:rPr>
          <w:spacing w:val="-57"/>
        </w:rPr>
        <w:t> </w:t>
      </w:r>
      <w:r>
        <w:rPr/>
        <w:t>insufficient</w:t>
      </w:r>
      <w:r>
        <w:rPr>
          <w:spacing w:val="-1"/>
        </w:rPr>
        <w:t> </w:t>
      </w:r>
      <w:r>
        <w:rPr/>
        <w:t>to predict the</w:t>
      </w:r>
      <w:r>
        <w:rPr>
          <w:spacing w:val="1"/>
        </w:rPr>
        <w:t> </w:t>
      </w:r>
      <w:r>
        <w:rPr/>
        <w:t>Sargent-Wallace</w:t>
      </w:r>
      <w:r>
        <w:rPr>
          <w:spacing w:val="-1"/>
        </w:rPr>
        <w:t> </w:t>
      </w:r>
      <w:r>
        <w:rPr/>
        <w:t>hypothesis.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3"/>
        </w:numPr>
        <w:tabs>
          <w:tab w:pos="2006" w:val="left" w:leader="none"/>
        </w:tabs>
        <w:spacing w:line="240" w:lineRule="auto" w:before="155" w:after="0"/>
        <w:ind w:left="2005" w:right="0" w:hanging="246"/>
        <w:jc w:val="both"/>
      </w:pPr>
      <w:r>
        <w:rPr/>
        <w:t>Fiscal</w:t>
      </w:r>
      <w:r>
        <w:rPr>
          <w:spacing w:val="-3"/>
        </w:rPr>
        <w:t> </w:t>
      </w:r>
      <w:r>
        <w:rPr/>
        <w:t>Theory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Price</w:t>
      </w:r>
      <w:r>
        <w:rPr>
          <w:spacing w:val="-1"/>
        </w:rPr>
        <w:t> </w:t>
      </w:r>
      <w:r>
        <w:rPr/>
        <w:t>Level</w:t>
      </w:r>
    </w:p>
    <w:p>
      <w:pPr>
        <w:pStyle w:val="BodyText"/>
        <w:spacing w:line="360" w:lineRule="auto" w:before="145"/>
        <w:ind w:left="1760" w:right="1433"/>
        <w:jc w:val="both"/>
      </w:pPr>
      <w:r>
        <w:rPr/>
        <w:t>Even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Weil</w:t>
      </w:r>
      <w:r>
        <w:rPr>
          <w:spacing w:val="1"/>
        </w:rPr>
        <w:t> </w:t>
      </w:r>
      <w:r>
        <w:rPr/>
        <w:t>(1987),</w:t>
      </w:r>
      <w:r>
        <w:rPr>
          <w:spacing w:val="1"/>
        </w:rPr>
        <w:t> </w:t>
      </w:r>
      <w:r>
        <w:rPr/>
        <w:t>Darby</w:t>
      </w:r>
      <w:r>
        <w:rPr>
          <w:spacing w:val="1"/>
        </w:rPr>
        <w:t> </w:t>
      </w:r>
      <w:r>
        <w:rPr/>
        <w:t>(1984),</w:t>
      </w:r>
      <w:r>
        <w:rPr>
          <w:spacing w:val="1"/>
        </w:rPr>
        <w:t> </w:t>
      </w:r>
      <w:r>
        <w:rPr/>
        <w:t>McCallum</w:t>
      </w:r>
      <w:r>
        <w:rPr>
          <w:spacing w:val="1"/>
        </w:rPr>
        <w:t> </w:t>
      </w:r>
      <w:r>
        <w:rPr/>
        <w:t>(1984)</w:t>
      </w:r>
      <w:r>
        <w:rPr>
          <w:spacing w:val="1"/>
        </w:rPr>
        <w:t> </w:t>
      </w:r>
      <w:r>
        <w:rPr/>
        <w:t>contradict</w:t>
      </w:r>
      <w:r>
        <w:rPr>
          <w:spacing w:val="1"/>
        </w:rPr>
        <w:t> </w:t>
      </w:r>
      <w:r>
        <w:rPr/>
        <w:t>Sargent-Wallace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modify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assumptions,</w:t>
      </w:r>
      <w:r>
        <w:rPr>
          <w:spacing w:val="1"/>
        </w:rPr>
        <w:t> </w:t>
      </w:r>
      <w:r>
        <w:rPr/>
        <w:t>Buiter</w:t>
      </w:r>
      <w:r>
        <w:rPr>
          <w:spacing w:val="1"/>
        </w:rPr>
        <w:t> </w:t>
      </w:r>
      <w:r>
        <w:rPr/>
        <w:t>(1999)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hypothesis. Apart from the generalization of Sargent-Wallace hypothesis when certain of its</w:t>
      </w:r>
      <w:r>
        <w:rPr>
          <w:spacing w:val="1"/>
        </w:rPr>
        <w:t> </w:t>
      </w:r>
      <w:r>
        <w:rPr/>
        <w:t>assumptions are relaxed or modified, a second source of contradiction to this proposition is</w:t>
      </w:r>
      <w:r>
        <w:rPr>
          <w:spacing w:val="1"/>
        </w:rPr>
        <w:t> </w:t>
      </w:r>
      <w:r>
        <w:rPr/>
        <w:t>from Leeper (1991), Sims (1994), Cochrane (2001), Woodford (1995, 2001). This set of</w:t>
      </w:r>
      <w:r>
        <w:rPr>
          <w:spacing w:val="1"/>
        </w:rPr>
        <w:t> </w:t>
      </w:r>
      <w:r>
        <w:rPr/>
        <w:t>articles</w:t>
      </w:r>
      <w:r>
        <w:rPr>
          <w:spacing w:val="-1"/>
        </w:rPr>
        <w:t> </w:t>
      </w:r>
      <w:r>
        <w:rPr/>
        <w:t>make</w:t>
      </w:r>
      <w:r>
        <w:rPr>
          <w:spacing w:val="-1"/>
        </w:rPr>
        <w:t> </w:t>
      </w:r>
      <w:r>
        <w:rPr/>
        <w:t>up the</w:t>
      </w:r>
      <w:r>
        <w:rPr>
          <w:spacing w:val="-1"/>
        </w:rPr>
        <w:t> </w:t>
      </w:r>
      <w:r>
        <w:rPr/>
        <w:t>literature</w:t>
      </w:r>
      <w:r>
        <w:rPr>
          <w:spacing w:val="-3"/>
        </w:rPr>
        <w:t> </w:t>
      </w:r>
      <w:r>
        <w:rPr/>
        <w:t>on the</w:t>
      </w:r>
      <w:r>
        <w:rPr>
          <w:spacing w:val="1"/>
        </w:rPr>
        <w:t> </w:t>
      </w:r>
      <w:r>
        <w:rPr/>
        <w:t>Fiscal Theory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Price</w:t>
      </w:r>
      <w:r>
        <w:rPr>
          <w:spacing w:val="1"/>
        </w:rPr>
        <w:t> </w:t>
      </w:r>
      <w:r>
        <w:rPr/>
        <w:t>Level (FTPL)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760" w:right="1439"/>
        <w:jc w:val="both"/>
      </w:pPr>
      <w:r>
        <w:rPr/>
        <w:t>Its proponents argue that fiscal policy is the foremost determinant of price level. Unlike the</w:t>
      </w:r>
      <w:r>
        <w:rPr>
          <w:spacing w:val="1"/>
        </w:rPr>
        <w:t> </w:t>
      </w:r>
      <w:r>
        <w:rPr/>
        <w:t>monetarists who propose that government budgets indirectly affect the price level through the</w:t>
      </w:r>
      <w:r>
        <w:rPr>
          <w:spacing w:val="-57"/>
        </w:rPr>
        <w:t> </w:t>
      </w:r>
      <w:r>
        <w:rPr/>
        <w:t>seignorage-</w:t>
      </w:r>
      <w:r>
        <w:rPr>
          <w:spacing w:val="1"/>
        </w:rPr>
        <w:t> </w:t>
      </w:r>
      <w:r>
        <w:rPr/>
        <w:t>money</w:t>
      </w:r>
      <w:r>
        <w:rPr>
          <w:spacing w:val="1"/>
        </w:rPr>
        <w:t> </w:t>
      </w:r>
      <w:r>
        <w:rPr/>
        <w:t>stock</w:t>
      </w:r>
      <w:r>
        <w:rPr>
          <w:spacing w:val="1"/>
        </w:rPr>
        <w:t> </w:t>
      </w:r>
      <w:r>
        <w:rPr/>
        <w:t>channel.</w:t>
      </w:r>
      <w:r>
        <w:rPr>
          <w:spacing w:val="1"/>
        </w:rPr>
        <w:t> </w:t>
      </w:r>
      <w:r>
        <w:rPr/>
        <w:t>Woodford</w:t>
      </w:r>
      <w:r>
        <w:rPr>
          <w:spacing w:val="1"/>
        </w:rPr>
        <w:t> </w:t>
      </w:r>
      <w:r>
        <w:rPr/>
        <w:t>(1995,</w:t>
      </w:r>
      <w:r>
        <w:rPr>
          <w:spacing w:val="1"/>
        </w:rPr>
        <w:t> </w:t>
      </w:r>
      <w:r>
        <w:rPr/>
        <w:t>1996,</w:t>
      </w:r>
      <w:r>
        <w:rPr>
          <w:spacing w:val="1"/>
        </w:rPr>
        <w:t> </w:t>
      </w:r>
      <w:r>
        <w:rPr/>
        <w:t>2001)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posit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government</w:t>
      </w:r>
      <w:r>
        <w:rPr>
          <w:spacing w:val="-6"/>
        </w:rPr>
        <w:t> </w:t>
      </w:r>
      <w:r>
        <w:rPr/>
        <w:t>budget</w:t>
      </w:r>
      <w:r>
        <w:rPr>
          <w:spacing w:val="-7"/>
        </w:rPr>
        <w:t> </w:t>
      </w:r>
      <w:r>
        <w:rPr/>
        <w:t>can</w:t>
      </w:r>
      <w:r>
        <w:rPr>
          <w:spacing w:val="-8"/>
        </w:rPr>
        <w:t> </w:t>
      </w:r>
      <w:r>
        <w:rPr/>
        <w:t>have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direct</w:t>
      </w:r>
      <w:r>
        <w:rPr>
          <w:spacing w:val="-5"/>
        </w:rPr>
        <w:t> </w:t>
      </w:r>
      <w:r>
        <w:rPr/>
        <w:t>impact</w:t>
      </w:r>
      <w:r>
        <w:rPr>
          <w:spacing w:val="-7"/>
        </w:rPr>
        <w:t> </w:t>
      </w:r>
      <w:r>
        <w:rPr/>
        <w:t>on</w:t>
      </w:r>
      <w:r>
        <w:rPr>
          <w:spacing w:val="-9"/>
        </w:rPr>
        <w:t> </w:t>
      </w:r>
      <w:r>
        <w:rPr/>
        <w:t>price</w:t>
      </w:r>
      <w:r>
        <w:rPr>
          <w:spacing w:val="-9"/>
        </w:rPr>
        <w:t> </w:t>
      </w:r>
      <w:r>
        <w:rPr/>
        <w:t>level</w:t>
      </w:r>
      <w:r>
        <w:rPr>
          <w:spacing w:val="-7"/>
        </w:rPr>
        <w:t> </w:t>
      </w:r>
      <w:r>
        <w:rPr/>
        <w:t>void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any</w:t>
      </w:r>
      <w:r>
        <w:rPr>
          <w:spacing w:val="-12"/>
        </w:rPr>
        <w:t> </w:t>
      </w:r>
      <w:r>
        <w:rPr/>
        <w:t>monetary</w:t>
      </w:r>
      <w:r>
        <w:rPr>
          <w:spacing w:val="-10"/>
        </w:rPr>
        <w:t> </w:t>
      </w:r>
      <w:r>
        <w:rPr/>
        <w:t>channel.</w:t>
      </w:r>
      <w:r>
        <w:rPr>
          <w:spacing w:val="-5"/>
        </w:rPr>
        <w:t> </w:t>
      </w:r>
      <w:r>
        <w:rPr/>
        <w:t>This</w:t>
      </w:r>
      <w:r>
        <w:rPr>
          <w:spacing w:val="-58"/>
        </w:rPr>
        <w:t> </w:t>
      </w:r>
      <w:r>
        <w:rPr/>
        <w:t>indicates that fiscal policy takes on an active role while monetary policy only plays a passive</w:t>
      </w:r>
      <w:r>
        <w:rPr>
          <w:spacing w:val="1"/>
        </w:rPr>
        <w:t> </w:t>
      </w:r>
      <w:r>
        <w:rPr/>
        <w:t>role</w:t>
      </w:r>
      <w:r>
        <w:rPr>
          <w:spacing w:val="-3"/>
        </w:rPr>
        <w:t> </w:t>
      </w:r>
      <w:r>
        <w:rPr/>
        <w:t>in controlling</w:t>
      </w:r>
      <w:r>
        <w:rPr>
          <w:spacing w:val="-2"/>
        </w:rPr>
        <w:t> </w:t>
      </w:r>
      <w:r>
        <w:rPr/>
        <w:t>the price</w:t>
      </w:r>
      <w:r>
        <w:rPr>
          <w:spacing w:val="-1"/>
        </w:rPr>
        <w:t> </w:t>
      </w:r>
      <w:r>
        <w:rPr/>
        <w:t>level.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760" w:right="1437"/>
        <w:jc w:val="both"/>
      </w:pPr>
      <w:r>
        <w:rPr/>
        <w:t>One of the key contributions to the literature on the fiscal theory of the price level is from</w:t>
      </w:r>
      <w:r>
        <w:rPr>
          <w:spacing w:val="1"/>
        </w:rPr>
        <w:t> </w:t>
      </w:r>
      <w:r>
        <w:rPr/>
        <w:t>Leeper (1991). The study shows the joint pairing of fiscal and monetary policy paths which</w:t>
      </w:r>
      <w:r>
        <w:rPr>
          <w:spacing w:val="1"/>
        </w:rPr>
        <w:t> </w:t>
      </w:r>
      <w:r>
        <w:rPr/>
        <w:t>uniquely determines equilibrium price level. In a specific manner, the study models the</w:t>
      </w:r>
      <w:r>
        <w:rPr>
          <w:spacing w:val="1"/>
        </w:rPr>
        <w:t> </w:t>
      </w:r>
      <w:r>
        <w:rPr>
          <w:spacing w:val="-1"/>
        </w:rPr>
        <w:t>interaction</w:t>
      </w:r>
      <w:r>
        <w:rPr>
          <w:spacing w:val="-10"/>
        </w:rPr>
        <w:t> </w:t>
      </w:r>
      <w:r>
        <w:rPr/>
        <w:t>between</w:t>
      </w:r>
      <w:r>
        <w:rPr>
          <w:spacing w:val="-10"/>
        </w:rPr>
        <w:t> </w:t>
      </w:r>
      <w:r>
        <w:rPr/>
        <w:t>fiscal</w:t>
      </w:r>
      <w:r>
        <w:rPr>
          <w:spacing w:val="-6"/>
        </w:rPr>
        <w:t> </w:t>
      </w:r>
      <w:r>
        <w:rPr/>
        <w:t>and</w:t>
      </w:r>
      <w:r>
        <w:rPr>
          <w:spacing w:val="-10"/>
        </w:rPr>
        <w:t> </w:t>
      </w:r>
      <w:r>
        <w:rPr/>
        <w:t>monetary</w:t>
      </w:r>
      <w:r>
        <w:rPr>
          <w:spacing w:val="-12"/>
        </w:rPr>
        <w:t> </w:t>
      </w:r>
      <w:r>
        <w:rPr/>
        <w:t>policy</w:t>
      </w:r>
      <w:r>
        <w:rPr>
          <w:spacing w:val="-15"/>
        </w:rPr>
        <w:t> </w:t>
      </w:r>
      <w:r>
        <w:rPr/>
        <w:t>as</w:t>
      </w:r>
      <w:r>
        <w:rPr>
          <w:spacing w:val="-9"/>
        </w:rPr>
        <w:t> </w:t>
      </w:r>
      <w:r>
        <w:rPr/>
        <w:t>an</w:t>
      </w:r>
      <w:r>
        <w:rPr>
          <w:spacing w:val="-10"/>
        </w:rPr>
        <w:t> </w:t>
      </w:r>
      <w:r>
        <w:rPr/>
        <w:t>active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passive</w:t>
      </w:r>
      <w:r>
        <w:rPr>
          <w:spacing w:val="-8"/>
        </w:rPr>
        <w:t> </w:t>
      </w:r>
      <w:r>
        <w:rPr/>
        <w:t>game.</w:t>
      </w:r>
      <w:r>
        <w:rPr>
          <w:spacing w:val="-11"/>
        </w:rPr>
        <w:t> </w:t>
      </w:r>
      <w:r>
        <w:rPr/>
        <w:t>An</w:t>
      </w:r>
      <w:r>
        <w:rPr>
          <w:spacing w:val="-10"/>
        </w:rPr>
        <w:t> </w:t>
      </w:r>
      <w:r>
        <w:rPr/>
        <w:t>active</w:t>
      </w:r>
      <w:r>
        <w:rPr>
          <w:spacing w:val="-11"/>
        </w:rPr>
        <w:t> </w:t>
      </w:r>
      <w:r>
        <w:rPr/>
        <w:t>policy</w:t>
      </w:r>
      <w:r>
        <w:rPr>
          <w:spacing w:val="-58"/>
        </w:rPr>
        <w:t> </w:t>
      </w:r>
      <w:r>
        <w:rPr/>
        <w:t>is</w:t>
      </w:r>
      <w:r>
        <w:rPr>
          <w:spacing w:val="-2"/>
        </w:rPr>
        <w:t> </w:t>
      </w:r>
      <w:r>
        <w:rPr/>
        <w:t>defined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policy</w:t>
      </w:r>
      <w:r>
        <w:rPr>
          <w:spacing w:val="-6"/>
        </w:rPr>
        <w:t> </w:t>
      </w:r>
      <w:r>
        <w:rPr/>
        <w:t>that</w:t>
      </w:r>
      <w:r>
        <w:rPr>
          <w:spacing w:val="-1"/>
        </w:rPr>
        <w:t> </w:t>
      </w:r>
      <w:r>
        <w:rPr/>
        <w:t>fixes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path</w:t>
      </w:r>
      <w:r>
        <w:rPr>
          <w:spacing w:val="-2"/>
        </w:rPr>
        <w:t> </w:t>
      </w:r>
      <w:r>
        <w:rPr/>
        <w:t>independently</w:t>
      </w:r>
      <w:r>
        <w:rPr>
          <w:spacing w:val="-4"/>
        </w:rPr>
        <w:t> </w:t>
      </w:r>
      <w:r>
        <w:rPr/>
        <w:t>from</w:t>
      </w:r>
      <w:r>
        <w:rPr>
          <w:spacing w:val="-1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budgetary</w:t>
      </w:r>
      <w:r>
        <w:rPr>
          <w:spacing w:val="-6"/>
        </w:rPr>
        <w:t> </w:t>
      </w:r>
      <w:r>
        <w:rPr/>
        <w:t>condition</w:t>
      </w:r>
      <w:r>
        <w:rPr>
          <w:spacing w:val="-58"/>
        </w:rPr>
        <w:t> </w:t>
      </w:r>
      <w:r>
        <w:rPr/>
        <w:t>or debt shocks while a passive policy responds to budgetary shocks and is constrained by the</w:t>
      </w:r>
      <w:r>
        <w:rPr>
          <w:spacing w:val="1"/>
        </w:rPr>
        <w:t> </w:t>
      </w:r>
      <w:r>
        <w:rPr/>
        <w:t>actions of the authority with the active policy. A unique determination of the price level,</w:t>
      </w:r>
      <w:r>
        <w:rPr>
          <w:spacing w:val="1"/>
        </w:rPr>
        <w:t> </w:t>
      </w:r>
      <w:r>
        <w:rPr/>
        <w:t>therefore,</w:t>
      </w:r>
      <w:r>
        <w:rPr>
          <w:spacing w:val="-5"/>
        </w:rPr>
        <w:t> </w:t>
      </w:r>
      <w:r>
        <w:rPr/>
        <w:t>requires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pairing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an</w:t>
      </w:r>
      <w:r>
        <w:rPr>
          <w:spacing w:val="-4"/>
        </w:rPr>
        <w:t> </w:t>
      </w:r>
      <w:r>
        <w:rPr/>
        <w:t>active</w:t>
      </w:r>
      <w:r>
        <w:rPr>
          <w:spacing w:val="-6"/>
        </w:rPr>
        <w:t> </w:t>
      </w:r>
      <w:r>
        <w:rPr/>
        <w:t>policy</w:t>
      </w:r>
      <w:r>
        <w:rPr>
          <w:spacing w:val="-9"/>
        </w:rPr>
        <w:t> </w:t>
      </w:r>
      <w:r>
        <w:rPr/>
        <w:t>with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passive</w:t>
      </w:r>
      <w:r>
        <w:rPr>
          <w:spacing w:val="-6"/>
        </w:rPr>
        <w:t> </w:t>
      </w:r>
      <w:r>
        <w:rPr/>
        <w:t>policy.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instance,</w:t>
      </w:r>
      <w:r>
        <w:rPr>
          <w:spacing w:val="-5"/>
        </w:rPr>
        <w:t> </w:t>
      </w:r>
      <w:r>
        <w:rPr/>
        <w:t>an</w:t>
      </w:r>
      <w:r>
        <w:rPr>
          <w:spacing w:val="-4"/>
        </w:rPr>
        <w:t> </w:t>
      </w:r>
      <w:r>
        <w:rPr/>
        <w:t>active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39"/>
        <w:jc w:val="both"/>
      </w:pPr>
      <w:r>
        <w:rPr/>
        <w:t>monetary</w:t>
      </w:r>
      <w:r>
        <w:rPr>
          <w:spacing w:val="-8"/>
        </w:rPr>
        <w:t> </w:t>
      </w:r>
      <w:r>
        <w:rPr/>
        <w:t>policy</w:t>
      </w:r>
      <w:r>
        <w:rPr>
          <w:spacing w:val="-7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passive</w:t>
      </w:r>
      <w:r>
        <w:rPr>
          <w:spacing w:val="-3"/>
        </w:rPr>
        <w:t> </w:t>
      </w:r>
      <w:r>
        <w:rPr/>
        <w:t>fiscal</w:t>
      </w:r>
      <w:r>
        <w:rPr>
          <w:spacing w:val="-1"/>
        </w:rPr>
        <w:t> </w:t>
      </w:r>
      <w:r>
        <w:rPr/>
        <w:t>stance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active</w:t>
      </w:r>
      <w:r>
        <w:rPr>
          <w:spacing w:val="-3"/>
        </w:rPr>
        <w:t> </w:t>
      </w:r>
      <w:r>
        <w:rPr/>
        <w:t>fiscal</w:t>
      </w:r>
      <w:r>
        <w:rPr>
          <w:spacing w:val="-2"/>
        </w:rPr>
        <w:t> </w:t>
      </w:r>
      <w:r>
        <w:rPr/>
        <w:t>policy</w:t>
      </w:r>
      <w:r>
        <w:rPr>
          <w:spacing w:val="-7"/>
        </w:rPr>
        <w:t> </w:t>
      </w:r>
      <w:r>
        <w:rPr/>
        <w:t>coupled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passive</w:t>
      </w:r>
      <w:r>
        <w:rPr>
          <w:spacing w:val="-58"/>
        </w:rPr>
        <w:t> </w:t>
      </w:r>
      <w:r>
        <w:rPr/>
        <w:t>monetary</w:t>
      </w:r>
      <w:r>
        <w:rPr>
          <w:spacing w:val="-10"/>
        </w:rPr>
        <w:t> </w:t>
      </w:r>
      <w:r>
        <w:rPr/>
        <w:t>policy</w:t>
      </w:r>
      <w:r>
        <w:rPr>
          <w:spacing w:val="-10"/>
        </w:rPr>
        <w:t> </w:t>
      </w:r>
      <w:r>
        <w:rPr/>
        <w:t>leads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uniquely</w:t>
      </w:r>
      <w:r>
        <w:rPr>
          <w:spacing w:val="-10"/>
        </w:rPr>
        <w:t> </w:t>
      </w:r>
      <w:r>
        <w:rPr/>
        <w:t>determined</w:t>
      </w:r>
      <w:r>
        <w:rPr>
          <w:spacing w:val="-3"/>
        </w:rPr>
        <w:t> </w:t>
      </w:r>
      <w:r>
        <w:rPr/>
        <w:t>prices.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combination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two</w:t>
      </w:r>
      <w:r>
        <w:rPr>
          <w:spacing w:val="-6"/>
        </w:rPr>
        <w:t> </w:t>
      </w:r>
      <w:r>
        <w:rPr/>
        <w:t>passive</w:t>
      </w:r>
      <w:r>
        <w:rPr>
          <w:spacing w:val="-4"/>
        </w:rPr>
        <w:t> </w:t>
      </w:r>
      <w:r>
        <w:rPr/>
        <w:t>policies</w:t>
      </w:r>
      <w:r>
        <w:rPr>
          <w:spacing w:val="-57"/>
        </w:rPr>
        <w:t> </w:t>
      </w:r>
      <w:r>
        <w:rPr/>
        <w:t>leads to indeterminacy of the price level, while the pairing of two active policies produces an</w:t>
      </w:r>
      <w:r>
        <w:rPr>
          <w:spacing w:val="1"/>
        </w:rPr>
        <w:t> </w:t>
      </w:r>
      <w:r>
        <w:rPr>
          <w:spacing w:val="-1"/>
        </w:rPr>
        <w:t>explosive</w:t>
      </w:r>
      <w:r>
        <w:rPr>
          <w:spacing w:val="-16"/>
        </w:rPr>
        <w:t> </w:t>
      </w:r>
      <w:r>
        <w:rPr/>
        <w:t>path.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fiscal</w:t>
      </w:r>
      <w:r>
        <w:rPr>
          <w:spacing w:val="-12"/>
        </w:rPr>
        <w:t> </w:t>
      </w:r>
      <w:r>
        <w:rPr/>
        <w:t>policy</w:t>
      </w:r>
      <w:r>
        <w:rPr>
          <w:spacing w:val="-20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proposition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fiscalists,</w:t>
      </w:r>
      <w:r>
        <w:rPr>
          <w:spacing w:val="-15"/>
        </w:rPr>
        <w:t> </w:t>
      </w:r>
      <w:r>
        <w:rPr/>
        <w:t>therefore,</w:t>
      </w:r>
      <w:r>
        <w:rPr>
          <w:spacing w:val="-15"/>
        </w:rPr>
        <w:t> </w:t>
      </w:r>
      <w:r>
        <w:rPr/>
        <w:t>takes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an</w:t>
      </w:r>
      <w:r>
        <w:rPr>
          <w:spacing w:val="-12"/>
        </w:rPr>
        <w:t> </w:t>
      </w:r>
      <w:r>
        <w:rPr/>
        <w:t>active</w:t>
      </w:r>
      <w:r>
        <w:rPr>
          <w:spacing w:val="-57"/>
        </w:rPr>
        <w:t> </w:t>
      </w:r>
      <w:r>
        <w:rPr/>
        <w:t>path while</w:t>
      </w:r>
      <w:r>
        <w:rPr>
          <w:spacing w:val="-1"/>
        </w:rPr>
        <w:t> </w:t>
      </w:r>
      <w:r>
        <w:rPr/>
        <w:t>monetary</w:t>
      </w:r>
      <w:r>
        <w:rPr>
          <w:spacing w:val="-5"/>
        </w:rPr>
        <w:t> </w:t>
      </w:r>
      <w:r>
        <w:rPr/>
        <w:t>policy</w:t>
      </w:r>
      <w:r>
        <w:rPr>
          <w:spacing w:val="-5"/>
        </w:rPr>
        <w:t> </w:t>
      </w:r>
      <w:r>
        <w:rPr/>
        <w:t>is passive in order to uniquely</w:t>
      </w:r>
      <w:r>
        <w:rPr>
          <w:spacing w:val="-5"/>
        </w:rPr>
        <w:t> </w:t>
      </w:r>
      <w:r>
        <w:rPr/>
        <w:t>determine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price</w:t>
      </w:r>
      <w:r>
        <w:rPr>
          <w:spacing w:val="-1"/>
        </w:rPr>
        <w:t> </w:t>
      </w:r>
      <w:r>
        <w:rPr/>
        <w:t>level.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0" w:lineRule="auto"/>
        <w:ind w:left="1760" w:right="1438"/>
        <w:jc w:val="both"/>
      </w:pPr>
      <w:r>
        <w:rPr/>
        <w:t>It suffices to note at this point that there are several issues of contest between proponents of</w:t>
      </w:r>
      <w:r>
        <w:rPr>
          <w:spacing w:val="1"/>
        </w:rPr>
        <w:t> </w:t>
      </w:r>
      <w:r>
        <w:rPr/>
        <w:t>the Monetarist Arithmetic and the Fiscal theory of the price level. Although, the monetarist</w:t>
      </w:r>
      <w:r>
        <w:rPr>
          <w:spacing w:val="1"/>
        </w:rPr>
        <w:t> </w:t>
      </w:r>
      <w:r>
        <w:rPr/>
        <w:t>literature comprising the thoughts of Sargent-Wallace assume that there is a budget constraint</w:t>
      </w:r>
      <w:r>
        <w:rPr>
          <w:spacing w:val="-57"/>
        </w:rPr>
        <w:t> </w:t>
      </w:r>
      <w:r>
        <w:rPr>
          <w:spacing w:val="-1"/>
        </w:rPr>
        <w:t>on</w:t>
      </w:r>
      <w:r>
        <w:rPr>
          <w:spacing w:val="-8"/>
        </w:rPr>
        <w:t> </w:t>
      </w:r>
      <w:r>
        <w:rPr>
          <w:spacing w:val="-1"/>
        </w:rPr>
        <w:t>government</w:t>
      </w:r>
      <w:r>
        <w:rPr>
          <w:spacing w:val="-7"/>
        </w:rPr>
        <w:t> </w:t>
      </w:r>
      <w:r>
        <w:rPr/>
        <w:t>which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an</w:t>
      </w:r>
      <w:r>
        <w:rPr>
          <w:spacing w:val="-8"/>
        </w:rPr>
        <w:t> </w:t>
      </w:r>
      <w:r>
        <w:rPr/>
        <w:t>identity</w:t>
      </w:r>
      <w:r>
        <w:rPr>
          <w:spacing w:val="-14"/>
        </w:rPr>
        <w:t> </w:t>
      </w:r>
      <w:r>
        <w:rPr/>
        <w:t>that</w:t>
      </w:r>
      <w:r>
        <w:rPr>
          <w:spacing w:val="-8"/>
        </w:rPr>
        <w:t> </w:t>
      </w:r>
      <w:r>
        <w:rPr/>
        <w:t>must</w:t>
      </w:r>
      <w:r>
        <w:rPr>
          <w:spacing w:val="-7"/>
        </w:rPr>
        <w:t> </w:t>
      </w:r>
      <w:r>
        <w:rPr/>
        <w:t>be</w:t>
      </w:r>
      <w:r>
        <w:rPr>
          <w:spacing w:val="-9"/>
        </w:rPr>
        <w:t> </w:t>
      </w:r>
      <w:r>
        <w:rPr/>
        <w:t>satisfied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all</w:t>
      </w:r>
      <w:r>
        <w:rPr>
          <w:spacing w:val="-6"/>
        </w:rPr>
        <w:t> </w:t>
      </w:r>
      <w:r>
        <w:rPr/>
        <w:t>paths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prices,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proponents</w:t>
      </w:r>
      <w:r>
        <w:rPr>
          <w:spacing w:val="-57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>
          <w:spacing w:val="-1"/>
        </w:rPr>
        <w:t>FTPL</w:t>
      </w:r>
      <w:r>
        <w:rPr>
          <w:spacing w:val="-13"/>
        </w:rPr>
        <w:t> </w:t>
      </w:r>
      <w:r>
        <w:rPr>
          <w:spacing w:val="-1"/>
        </w:rPr>
        <w:t>assumes</w:t>
      </w:r>
      <w:r>
        <w:rPr>
          <w:spacing w:val="-7"/>
        </w:rPr>
        <w:t> </w:t>
      </w:r>
      <w:r>
        <w:rPr/>
        <w:t>otherwise.</w:t>
      </w:r>
      <w:r>
        <w:rPr>
          <w:spacing w:val="-8"/>
        </w:rPr>
        <w:t> </w:t>
      </w:r>
      <w:r>
        <w:rPr/>
        <w:t>They</w:t>
      </w:r>
      <w:r>
        <w:rPr>
          <w:spacing w:val="-12"/>
        </w:rPr>
        <w:t> </w:t>
      </w:r>
      <w:r>
        <w:rPr/>
        <w:t>opine</w:t>
      </w:r>
      <w:r>
        <w:rPr>
          <w:spacing w:val="-8"/>
        </w:rPr>
        <w:t> </w:t>
      </w:r>
      <w:r>
        <w:rPr/>
        <w:t>that</w:t>
      </w:r>
      <w:r>
        <w:rPr>
          <w:spacing w:val="-5"/>
        </w:rPr>
        <w:t> </w:t>
      </w:r>
      <w:r>
        <w:rPr/>
        <w:t>government</w:t>
      </w:r>
      <w:r>
        <w:rPr>
          <w:spacing w:val="-7"/>
        </w:rPr>
        <w:t> </w:t>
      </w:r>
      <w:r>
        <w:rPr/>
        <w:t>budget</w:t>
      </w:r>
      <w:r>
        <w:rPr>
          <w:spacing w:val="-7"/>
        </w:rPr>
        <w:t> </w:t>
      </w:r>
      <w:r>
        <w:rPr/>
        <w:t>constraint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fulfilled</w:t>
      </w:r>
      <w:r>
        <w:rPr>
          <w:spacing w:val="-8"/>
        </w:rPr>
        <w:t> </w:t>
      </w:r>
      <w:r>
        <w:rPr/>
        <w:t>only</w:t>
      </w:r>
      <w:r>
        <w:rPr>
          <w:spacing w:val="-15"/>
        </w:rPr>
        <w:t> </w:t>
      </w:r>
      <w:r>
        <w:rPr/>
        <w:t>for</w:t>
      </w:r>
      <w:r>
        <w:rPr>
          <w:spacing w:val="-57"/>
        </w:rPr>
        <w:t> </w:t>
      </w:r>
      <w:r>
        <w:rPr/>
        <w:t>equilibrium price paths. In dealing with fiscal dominant regimes, the monetarist doctrine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banks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Taylor’s</w:t>
      </w:r>
      <w:r>
        <w:rPr>
          <w:spacing w:val="1"/>
        </w:rPr>
        <w:t> </w:t>
      </w:r>
      <w:r>
        <w:rPr/>
        <w:t>rule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-1"/>
        </w:rPr>
        <w:t>determining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course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monetary</w:t>
      </w:r>
      <w:r>
        <w:rPr>
          <w:spacing w:val="-14"/>
        </w:rPr>
        <w:t> </w:t>
      </w:r>
      <w:r>
        <w:rPr/>
        <w:t>policy.</w:t>
      </w:r>
      <w:r>
        <w:rPr>
          <w:spacing w:val="-8"/>
        </w:rPr>
        <w:t> </w:t>
      </w:r>
      <w:r>
        <w:rPr/>
        <w:t>However,</w:t>
      </w:r>
      <w:r>
        <w:rPr>
          <w:spacing w:val="-10"/>
        </w:rPr>
        <w:t> </w:t>
      </w:r>
      <w:r>
        <w:rPr/>
        <w:t>Woodford</w:t>
      </w:r>
      <w:r>
        <w:rPr>
          <w:spacing w:val="-7"/>
        </w:rPr>
        <w:t> </w:t>
      </w:r>
      <w:r>
        <w:rPr/>
        <w:t>(1995,</w:t>
      </w:r>
      <w:r>
        <w:rPr>
          <w:spacing w:val="-10"/>
        </w:rPr>
        <w:t> </w:t>
      </w:r>
      <w:r>
        <w:rPr/>
        <w:t>1996,</w:t>
      </w:r>
      <w:r>
        <w:rPr>
          <w:spacing w:val="-9"/>
        </w:rPr>
        <w:t> </w:t>
      </w:r>
      <w:r>
        <w:rPr/>
        <w:t>2001)</w:t>
      </w:r>
      <w:r>
        <w:rPr>
          <w:spacing w:val="-10"/>
        </w:rPr>
        <w:t> </w:t>
      </w:r>
      <w:r>
        <w:rPr/>
        <w:t>argue</w:t>
      </w:r>
      <w:r>
        <w:rPr>
          <w:spacing w:val="-9"/>
        </w:rPr>
        <w:t> </w:t>
      </w:r>
      <w:r>
        <w:rPr/>
        <w:t>that</w:t>
      </w:r>
      <w:r>
        <w:rPr>
          <w:spacing w:val="-57"/>
        </w:rPr>
        <w:t> </w:t>
      </w:r>
      <w:r>
        <w:rPr>
          <w:spacing w:val="-1"/>
        </w:rPr>
        <w:t>such</w:t>
      </w:r>
      <w:r>
        <w:rPr>
          <w:spacing w:val="-13"/>
        </w:rPr>
        <w:t> </w:t>
      </w:r>
      <w:r>
        <w:rPr/>
        <w:t>recommendation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insufficient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quelling</w:t>
      </w:r>
      <w:r>
        <w:rPr>
          <w:spacing w:val="-14"/>
        </w:rPr>
        <w:t> </w:t>
      </w:r>
      <w:r>
        <w:rPr/>
        <w:t>unstable</w:t>
      </w:r>
      <w:r>
        <w:rPr>
          <w:spacing w:val="-14"/>
        </w:rPr>
        <w:t> </w:t>
      </w:r>
      <w:r>
        <w:rPr/>
        <w:t>price</w:t>
      </w:r>
      <w:r>
        <w:rPr>
          <w:spacing w:val="-14"/>
        </w:rPr>
        <w:t> </w:t>
      </w:r>
      <w:r>
        <w:rPr/>
        <w:t>levels,</w:t>
      </w:r>
      <w:r>
        <w:rPr>
          <w:spacing w:val="-13"/>
        </w:rPr>
        <w:t> </w:t>
      </w:r>
      <w:r>
        <w:rPr/>
        <w:t>since</w:t>
      </w:r>
      <w:r>
        <w:rPr>
          <w:spacing w:val="-11"/>
        </w:rPr>
        <w:t> </w:t>
      </w:r>
      <w:r>
        <w:rPr/>
        <w:t>government</w:t>
      </w:r>
      <w:r>
        <w:rPr>
          <w:spacing w:val="-13"/>
        </w:rPr>
        <w:t> </w:t>
      </w:r>
      <w:r>
        <w:rPr/>
        <w:t>budget</w:t>
      </w:r>
      <w:r>
        <w:rPr>
          <w:spacing w:val="-58"/>
        </w:rPr>
        <w:t> </w:t>
      </w:r>
      <w:r>
        <w:rPr/>
        <w:t>surpluses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direct</w:t>
      </w:r>
      <w:r>
        <w:rPr>
          <w:spacing w:val="-6"/>
        </w:rPr>
        <w:t> </w:t>
      </w:r>
      <w:r>
        <w:rPr/>
        <w:t>effects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price</w:t>
      </w:r>
      <w:r>
        <w:rPr>
          <w:spacing w:val="-7"/>
        </w:rPr>
        <w:t> </w:t>
      </w:r>
      <w:r>
        <w:rPr/>
        <w:t>levels</w:t>
      </w:r>
      <w:r>
        <w:rPr>
          <w:spacing w:val="-6"/>
        </w:rPr>
        <w:t> </w:t>
      </w:r>
      <w:r>
        <w:rPr/>
        <w:t>even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face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conservative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independent</w:t>
      </w:r>
      <w:r>
        <w:rPr>
          <w:spacing w:val="-58"/>
        </w:rPr>
        <w:t> </w:t>
      </w:r>
      <w:r>
        <w:rPr/>
        <w:t>central bank. This is because the price level adjusts to maintain inter-temporal government</w:t>
      </w:r>
      <w:r>
        <w:rPr>
          <w:spacing w:val="1"/>
        </w:rPr>
        <w:t> </w:t>
      </w:r>
      <w:r>
        <w:rPr/>
        <w:t>budget balance. As a result, Woodford (1995, 1996, 2001) advocates fiscal policy as the main</w:t>
      </w:r>
      <w:r>
        <w:rPr>
          <w:spacing w:val="-57"/>
        </w:rPr>
        <w:t> </w:t>
      </w:r>
      <w:r>
        <w:rPr/>
        <w:t>determinant of price levels.</w:t>
      </w:r>
      <w:r>
        <w:rPr>
          <w:spacing w:val="1"/>
        </w:rPr>
        <w:t> </w:t>
      </w:r>
      <w:r>
        <w:rPr/>
        <w:t>Furthermore, he suggests that the pairing of a Taylor rule for</w:t>
      </w:r>
      <w:r>
        <w:rPr>
          <w:spacing w:val="1"/>
        </w:rPr>
        <w:t> </w:t>
      </w:r>
      <w:r>
        <w:rPr/>
        <w:t>monetary policy with government budget deficits rule for fiscal policy is panacea to achieve</w:t>
      </w:r>
      <w:r>
        <w:rPr>
          <w:spacing w:val="1"/>
        </w:rPr>
        <w:t> </w:t>
      </w:r>
      <w:r>
        <w:rPr/>
        <w:t>low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stable</w:t>
      </w:r>
      <w:r>
        <w:rPr>
          <w:spacing w:val="-7"/>
        </w:rPr>
        <w:t> </w:t>
      </w:r>
      <w:r>
        <w:rPr/>
        <w:t>inflation</w:t>
      </w:r>
      <w:r>
        <w:rPr>
          <w:spacing w:val="-6"/>
        </w:rPr>
        <w:t> </w:t>
      </w:r>
      <w:r>
        <w:rPr/>
        <w:t>rates.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similar</w:t>
      </w:r>
      <w:r>
        <w:rPr>
          <w:spacing w:val="-4"/>
        </w:rPr>
        <w:t> </w:t>
      </w:r>
      <w:r>
        <w:rPr/>
        <w:t>grounds,</w:t>
      </w:r>
      <w:r>
        <w:rPr>
          <w:spacing w:val="-4"/>
        </w:rPr>
        <w:t> </w:t>
      </w:r>
      <w:r>
        <w:rPr/>
        <w:t>Leeper</w:t>
      </w:r>
      <w:r>
        <w:rPr>
          <w:spacing w:val="-7"/>
        </w:rPr>
        <w:t> </w:t>
      </w:r>
      <w:r>
        <w:rPr/>
        <w:t>(1991);</w:t>
      </w:r>
      <w:r>
        <w:rPr>
          <w:spacing w:val="-4"/>
        </w:rPr>
        <w:t> </w:t>
      </w:r>
      <w:r>
        <w:rPr/>
        <w:t>Leeper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Leith</w:t>
      </w:r>
      <w:r>
        <w:rPr>
          <w:spacing w:val="-6"/>
        </w:rPr>
        <w:t> </w:t>
      </w:r>
      <w:r>
        <w:rPr/>
        <w:t>(2015)</w:t>
      </w:r>
      <w:r>
        <w:rPr>
          <w:spacing w:val="-6"/>
        </w:rPr>
        <w:t> </w:t>
      </w:r>
      <w:r>
        <w:rPr/>
        <w:t>put</w:t>
      </w:r>
      <w:r>
        <w:rPr>
          <w:spacing w:val="-58"/>
        </w:rPr>
        <w:t> </w:t>
      </w:r>
      <w:r>
        <w:rPr/>
        <w:t>forward that the joint movements of monetary and fiscal policies determine the price level.</w:t>
      </w:r>
      <w:r>
        <w:rPr>
          <w:spacing w:val="1"/>
        </w:rPr>
        <w:t> </w:t>
      </w:r>
      <w:r>
        <w:rPr/>
        <w:t>Leeper (1991) specifically recommends that monetary and fiscal policies are paired such that</w:t>
      </w:r>
      <w:r>
        <w:rPr>
          <w:spacing w:val="1"/>
        </w:rPr>
        <w:t> </w:t>
      </w:r>
      <w:r>
        <w:rPr/>
        <w:t>an</w:t>
      </w:r>
      <w:r>
        <w:rPr>
          <w:spacing w:val="-3"/>
        </w:rPr>
        <w:t> </w:t>
      </w:r>
      <w:r>
        <w:rPr/>
        <w:t>active</w:t>
      </w:r>
      <w:r>
        <w:rPr>
          <w:spacing w:val="-4"/>
        </w:rPr>
        <w:t> </w:t>
      </w:r>
      <w:r>
        <w:rPr/>
        <w:t>policy</w:t>
      </w:r>
      <w:r>
        <w:rPr>
          <w:spacing w:val="-8"/>
        </w:rPr>
        <w:t> </w:t>
      </w:r>
      <w:r>
        <w:rPr/>
        <w:t>stance</w:t>
      </w:r>
      <w:r>
        <w:rPr>
          <w:spacing w:val="-4"/>
        </w:rPr>
        <w:t> </w:t>
      </w:r>
      <w:r>
        <w:rPr/>
        <w:t>is accompanied</w:t>
      </w:r>
      <w:r>
        <w:rPr>
          <w:spacing w:val="-3"/>
        </w:rPr>
        <w:t> </w:t>
      </w:r>
      <w:r>
        <w:rPr/>
        <w:t>by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passive</w:t>
      </w:r>
      <w:r>
        <w:rPr>
          <w:spacing w:val="-4"/>
        </w:rPr>
        <w:t> </w:t>
      </w:r>
      <w:r>
        <w:rPr/>
        <w:t>one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realise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low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stable</w:t>
      </w:r>
      <w:r>
        <w:rPr>
          <w:spacing w:val="-4"/>
        </w:rPr>
        <w:t> </w:t>
      </w:r>
      <w:r>
        <w:rPr/>
        <w:t>price</w:t>
      </w:r>
      <w:r>
        <w:rPr>
          <w:spacing w:val="-4"/>
        </w:rPr>
        <w:t> </w:t>
      </w:r>
      <w:r>
        <w:rPr/>
        <w:t>level.</w:t>
      </w:r>
    </w:p>
    <w:p>
      <w:pPr>
        <w:pStyle w:val="BodyText"/>
        <w:spacing w:line="360" w:lineRule="auto" w:before="202"/>
        <w:ind w:left="1760" w:right="1436"/>
        <w:jc w:val="both"/>
      </w:pPr>
      <w:r>
        <w:rPr/>
        <w:t>A</w:t>
      </w:r>
      <w:r>
        <w:rPr>
          <w:spacing w:val="-7"/>
        </w:rPr>
        <w:t> </w:t>
      </w:r>
      <w:r>
        <w:rPr/>
        <w:t>second</w:t>
      </w:r>
      <w:r>
        <w:rPr>
          <w:spacing w:val="-6"/>
        </w:rPr>
        <w:t> </w:t>
      </w:r>
      <w:r>
        <w:rPr/>
        <w:t>line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contest</w:t>
      </w:r>
      <w:r>
        <w:rPr>
          <w:spacing w:val="-6"/>
        </w:rPr>
        <w:t> </w:t>
      </w:r>
      <w:r>
        <w:rPr/>
        <w:t>between</w:t>
      </w:r>
      <w:r>
        <w:rPr>
          <w:spacing w:val="-5"/>
        </w:rPr>
        <w:t> </w:t>
      </w:r>
      <w:r>
        <w:rPr/>
        <w:t>FTPL</w:t>
      </w:r>
      <w:r>
        <w:rPr>
          <w:spacing w:val="-11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monetarist</w:t>
      </w:r>
      <w:r>
        <w:rPr>
          <w:spacing w:val="-5"/>
        </w:rPr>
        <w:t> </w:t>
      </w:r>
      <w:r>
        <w:rPr/>
        <w:t>doctrine</w:t>
      </w:r>
      <w:r>
        <w:rPr>
          <w:spacing w:val="-6"/>
        </w:rPr>
        <w:t> </w:t>
      </w:r>
      <w:r>
        <w:rPr/>
        <w:t>centres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existence</w:t>
      </w:r>
      <w:r>
        <w:rPr>
          <w:spacing w:val="-7"/>
        </w:rPr>
        <w:t> </w:t>
      </w:r>
      <w:r>
        <w:rPr/>
        <w:t>of</w:t>
      </w:r>
      <w:r>
        <w:rPr>
          <w:spacing w:val="-57"/>
        </w:rPr>
        <w:t> </w:t>
      </w:r>
      <w:r>
        <w:rPr/>
        <w:t>Ricardian</w:t>
      </w:r>
      <w:r>
        <w:rPr>
          <w:spacing w:val="-10"/>
        </w:rPr>
        <w:t> </w:t>
      </w:r>
      <w:r>
        <w:rPr/>
        <w:t>or</w:t>
      </w:r>
      <w:r>
        <w:rPr>
          <w:spacing w:val="-10"/>
        </w:rPr>
        <w:t> </w:t>
      </w:r>
      <w:r>
        <w:rPr/>
        <w:t>Non-Ricardian</w:t>
      </w:r>
      <w:r>
        <w:rPr>
          <w:spacing w:val="-10"/>
        </w:rPr>
        <w:t> </w:t>
      </w:r>
      <w:r>
        <w:rPr/>
        <w:t>fiscal</w:t>
      </w:r>
      <w:r>
        <w:rPr>
          <w:spacing w:val="-9"/>
        </w:rPr>
        <w:t> </w:t>
      </w:r>
      <w:r>
        <w:rPr/>
        <w:t>policy.</w:t>
      </w:r>
      <w:r>
        <w:rPr>
          <w:spacing w:val="-9"/>
        </w:rPr>
        <w:t> </w:t>
      </w:r>
      <w:r>
        <w:rPr/>
        <w:t>Woodford</w:t>
      </w:r>
      <w:r>
        <w:rPr>
          <w:spacing w:val="-10"/>
        </w:rPr>
        <w:t> </w:t>
      </w:r>
      <w:r>
        <w:rPr/>
        <w:t>(1995,</w:t>
      </w:r>
      <w:r>
        <w:rPr>
          <w:spacing w:val="-10"/>
        </w:rPr>
        <w:t> </w:t>
      </w:r>
      <w:r>
        <w:rPr/>
        <w:t>1996,</w:t>
      </w:r>
      <w:r>
        <w:rPr>
          <w:spacing w:val="-10"/>
        </w:rPr>
        <w:t> </w:t>
      </w:r>
      <w:r>
        <w:rPr/>
        <w:t>2001)</w:t>
      </w:r>
      <w:r>
        <w:rPr>
          <w:spacing w:val="-9"/>
        </w:rPr>
        <w:t> </w:t>
      </w:r>
      <w:r>
        <w:rPr/>
        <w:t>assumes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existence</w:t>
      </w:r>
      <w:r>
        <w:rPr>
          <w:spacing w:val="-58"/>
        </w:rPr>
        <w:t> </w:t>
      </w:r>
      <w:r>
        <w:rPr/>
        <w:t>of non-Ricardian fiscal policies. Under this setting, Ricardian equivalence as posited under</w:t>
      </w:r>
      <w:r>
        <w:rPr>
          <w:spacing w:val="1"/>
        </w:rPr>
        <w:t> </w:t>
      </w:r>
      <w:r>
        <w:rPr/>
        <w:t>conventional</w:t>
      </w:r>
      <w:r>
        <w:rPr>
          <w:spacing w:val="-4"/>
        </w:rPr>
        <w:t> </w:t>
      </w:r>
      <w:r>
        <w:rPr/>
        <w:t>macroeconomic</w:t>
      </w:r>
      <w:r>
        <w:rPr>
          <w:spacing w:val="-5"/>
        </w:rPr>
        <w:t> </w:t>
      </w:r>
      <w:r>
        <w:rPr/>
        <w:t>studies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violated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fiscal</w:t>
      </w:r>
      <w:r>
        <w:rPr>
          <w:spacing w:val="-4"/>
        </w:rPr>
        <w:t> </w:t>
      </w:r>
      <w:r>
        <w:rPr/>
        <w:t>policy</w:t>
      </w:r>
      <w:r>
        <w:rPr>
          <w:spacing w:val="-6"/>
        </w:rPr>
        <w:t> </w:t>
      </w:r>
      <w:r>
        <w:rPr/>
        <w:t>can</w:t>
      </w:r>
      <w:r>
        <w:rPr>
          <w:spacing w:val="-4"/>
        </w:rPr>
        <w:t> </w:t>
      </w:r>
      <w:r>
        <w:rPr/>
        <w:t>have</w:t>
      </w:r>
      <w:r>
        <w:rPr>
          <w:spacing w:val="-5"/>
        </w:rPr>
        <w:t> </w:t>
      </w:r>
      <w:r>
        <w:rPr/>
        <w:t>non-neutral</w:t>
      </w:r>
      <w:r>
        <w:rPr>
          <w:spacing w:val="-3"/>
        </w:rPr>
        <w:t> </w:t>
      </w:r>
      <w:r>
        <w:rPr/>
        <w:t>effects</w:t>
      </w:r>
      <w:r>
        <w:rPr>
          <w:spacing w:val="-58"/>
        </w:rPr>
        <w:t> </w:t>
      </w:r>
      <w:r>
        <w:rPr/>
        <w:t>on</w:t>
      </w:r>
      <w:r>
        <w:rPr>
          <w:spacing w:val="1"/>
        </w:rPr>
        <w:t> </w:t>
      </w:r>
      <w:r>
        <w:rPr/>
        <w:t>aggregate</w:t>
      </w:r>
      <w:r>
        <w:rPr>
          <w:spacing w:val="1"/>
        </w:rPr>
        <w:t> </w:t>
      </w:r>
      <w:r>
        <w:rPr/>
        <w:t>demand.</w:t>
      </w:r>
      <w:r>
        <w:rPr>
          <w:spacing w:val="1"/>
        </w:rPr>
        <w:t> </w:t>
      </w:r>
      <w:r>
        <w:rPr/>
        <w:t>Specifically,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inter-temporal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budget</w:t>
      </w:r>
      <w:r>
        <w:rPr>
          <w:spacing w:val="1"/>
        </w:rPr>
        <w:t> </w:t>
      </w:r>
      <w:r>
        <w:rPr/>
        <w:t>constraint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satisfied</w:t>
      </w:r>
      <w:r>
        <w:rPr>
          <w:spacing w:val="37"/>
        </w:rPr>
        <w:t> </w:t>
      </w:r>
      <w:r>
        <w:rPr/>
        <w:t>for</w:t>
      </w:r>
      <w:r>
        <w:rPr>
          <w:spacing w:val="35"/>
        </w:rPr>
        <w:t> </w:t>
      </w:r>
      <w:r>
        <w:rPr/>
        <w:t>some,</w:t>
      </w:r>
      <w:r>
        <w:rPr>
          <w:spacing w:val="38"/>
        </w:rPr>
        <w:t> </w:t>
      </w:r>
      <w:r>
        <w:rPr/>
        <w:t>but</w:t>
      </w:r>
      <w:r>
        <w:rPr>
          <w:spacing w:val="38"/>
        </w:rPr>
        <w:t> </w:t>
      </w:r>
      <w:r>
        <w:rPr/>
        <w:t>not</w:t>
      </w:r>
      <w:r>
        <w:rPr>
          <w:spacing w:val="37"/>
        </w:rPr>
        <w:t> </w:t>
      </w:r>
      <w:r>
        <w:rPr/>
        <w:t>all,</w:t>
      </w:r>
      <w:r>
        <w:rPr>
          <w:spacing w:val="37"/>
        </w:rPr>
        <w:t> </w:t>
      </w:r>
      <w:r>
        <w:rPr/>
        <w:t>price</w:t>
      </w:r>
      <w:r>
        <w:rPr>
          <w:spacing w:val="36"/>
        </w:rPr>
        <w:t> </w:t>
      </w:r>
      <w:r>
        <w:rPr/>
        <w:t>paths.</w:t>
      </w:r>
      <w:r>
        <w:rPr>
          <w:spacing w:val="38"/>
        </w:rPr>
        <w:t> </w:t>
      </w:r>
      <w:r>
        <w:rPr/>
        <w:t>This</w:t>
      </w:r>
      <w:r>
        <w:rPr>
          <w:spacing w:val="37"/>
        </w:rPr>
        <w:t> </w:t>
      </w:r>
      <w:r>
        <w:rPr/>
        <w:t>negates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monetarist</w:t>
      </w:r>
      <w:r>
        <w:rPr>
          <w:spacing w:val="38"/>
        </w:rPr>
        <w:t> </w:t>
      </w:r>
      <w:r>
        <w:rPr/>
        <w:t>doctrine</w:t>
      </w:r>
      <w:r>
        <w:rPr>
          <w:spacing w:val="36"/>
        </w:rPr>
        <w:t> </w:t>
      </w:r>
      <w:r>
        <w:rPr/>
        <w:t>that</w:t>
      </w:r>
      <w:r>
        <w:rPr>
          <w:spacing w:val="37"/>
        </w:rPr>
        <w:t> </w:t>
      </w:r>
      <w:r>
        <w:rPr/>
        <w:t>only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33"/>
        <w:jc w:val="both"/>
      </w:pPr>
      <w:r>
        <w:rPr/>
        <w:t>Ricardian fiscal policies exist. In addition, a third line of division between both theories rest</w:t>
      </w:r>
      <w:r>
        <w:rPr>
          <w:spacing w:val="1"/>
        </w:rPr>
        <w:t> </w:t>
      </w:r>
      <w:r>
        <w:rPr/>
        <w:t>on the instrument of monetary policy. While the monetarist considers money stock to be the</w:t>
      </w:r>
      <w:r>
        <w:rPr>
          <w:spacing w:val="1"/>
        </w:rPr>
        <w:t> </w:t>
      </w:r>
      <w:r>
        <w:rPr/>
        <w:t>instrument of monetary policy, the FTPL of Woodford (1995,1996, 2001) backs the use of</w:t>
      </w:r>
      <w:r>
        <w:rPr>
          <w:spacing w:val="1"/>
        </w:rPr>
        <w:t> </w:t>
      </w:r>
      <w:r>
        <w:rPr>
          <w:spacing w:val="-1"/>
        </w:rPr>
        <w:t>nominal</w:t>
      </w:r>
      <w:r>
        <w:rPr>
          <w:spacing w:val="-14"/>
        </w:rPr>
        <w:t> </w:t>
      </w:r>
      <w:r>
        <w:rPr/>
        <w:t>interest</w:t>
      </w:r>
      <w:r>
        <w:rPr>
          <w:spacing w:val="-14"/>
        </w:rPr>
        <w:t> </w:t>
      </w:r>
      <w:r>
        <w:rPr/>
        <w:t>rate,</w:t>
      </w:r>
      <w:r>
        <w:rPr>
          <w:spacing w:val="-15"/>
        </w:rPr>
        <w:t> </w:t>
      </w:r>
      <w:r>
        <w:rPr/>
        <w:t>since</w:t>
      </w:r>
      <w:r>
        <w:rPr>
          <w:spacing w:val="-16"/>
        </w:rPr>
        <w:t> </w:t>
      </w:r>
      <w:r>
        <w:rPr/>
        <w:t>they</w:t>
      </w:r>
      <w:r>
        <w:rPr>
          <w:spacing w:val="-19"/>
        </w:rPr>
        <w:t> </w:t>
      </w:r>
      <w:r>
        <w:rPr/>
        <w:t>assume</w:t>
      </w:r>
      <w:r>
        <w:rPr>
          <w:spacing w:val="-13"/>
        </w:rPr>
        <w:t> </w:t>
      </w:r>
      <w:r>
        <w:rPr/>
        <w:t>a</w:t>
      </w:r>
      <w:r>
        <w:rPr>
          <w:spacing w:val="-16"/>
        </w:rPr>
        <w:t> </w:t>
      </w:r>
      <w:r>
        <w:rPr/>
        <w:t>cashless</w:t>
      </w:r>
      <w:r>
        <w:rPr>
          <w:spacing w:val="-12"/>
        </w:rPr>
        <w:t> </w:t>
      </w:r>
      <w:r>
        <w:rPr/>
        <w:t>economy</w:t>
      </w:r>
      <w:r>
        <w:rPr>
          <w:spacing w:val="-16"/>
        </w:rPr>
        <w:t> </w:t>
      </w:r>
      <w:r>
        <w:rPr/>
        <w:t>experiencing</w:t>
      </w:r>
      <w:r>
        <w:rPr>
          <w:spacing w:val="-17"/>
        </w:rPr>
        <w:t> </w:t>
      </w:r>
      <w:r>
        <w:rPr/>
        <w:t>financial</w:t>
      </w:r>
      <w:r>
        <w:rPr>
          <w:spacing w:val="-15"/>
        </w:rPr>
        <w:t> </w:t>
      </w:r>
      <w:r>
        <w:rPr/>
        <w:t>innovations</w:t>
      </w:r>
      <w:r>
        <w:rPr>
          <w:spacing w:val="-57"/>
        </w:rPr>
        <w:t> </w:t>
      </w:r>
      <w:r>
        <w:rPr/>
        <w:t>and have no government-backed money. Like Woodford, Sims (1994) proposes that in a</w:t>
      </w:r>
      <w:r>
        <w:rPr>
          <w:spacing w:val="1"/>
        </w:rPr>
        <w:t> </w:t>
      </w:r>
      <w:r>
        <w:rPr/>
        <w:t>rational expectation framework, fiscal policy plays a major role in price level determinacy. In</w:t>
      </w:r>
      <w:r>
        <w:rPr>
          <w:spacing w:val="-57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same</w:t>
      </w:r>
      <w:r>
        <w:rPr>
          <w:spacing w:val="-8"/>
        </w:rPr>
        <w:t> </w:t>
      </w:r>
      <w:r>
        <w:rPr>
          <w:spacing w:val="-1"/>
        </w:rPr>
        <w:t>vein,</w:t>
      </w:r>
      <w:r>
        <w:rPr>
          <w:spacing w:val="-7"/>
        </w:rPr>
        <w:t> </w:t>
      </w:r>
      <w:r>
        <w:rPr>
          <w:spacing w:val="-1"/>
        </w:rPr>
        <w:t>Sims</w:t>
      </w:r>
      <w:r>
        <w:rPr>
          <w:spacing w:val="-7"/>
        </w:rPr>
        <w:t> </w:t>
      </w:r>
      <w:r>
        <w:rPr/>
        <w:t>(1994)</w:t>
      </w:r>
      <w:r>
        <w:rPr>
          <w:spacing w:val="-7"/>
        </w:rPr>
        <w:t> </w:t>
      </w:r>
      <w:r>
        <w:rPr/>
        <w:t>advocates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interest</w:t>
      </w:r>
      <w:r>
        <w:rPr>
          <w:spacing w:val="-5"/>
        </w:rPr>
        <w:t> </w:t>
      </w:r>
      <w:r>
        <w:rPr/>
        <w:t>rate</w:t>
      </w:r>
      <w:r>
        <w:rPr>
          <w:spacing w:val="-7"/>
        </w:rPr>
        <w:t> </w:t>
      </w:r>
      <w:r>
        <w:rPr/>
        <w:t>rather</w:t>
      </w:r>
      <w:r>
        <w:rPr>
          <w:spacing w:val="-8"/>
        </w:rPr>
        <w:t> </w:t>
      </w:r>
      <w:r>
        <w:rPr/>
        <w:t>than</w:t>
      </w:r>
      <w:r>
        <w:rPr>
          <w:spacing w:val="-8"/>
        </w:rPr>
        <w:t> </w:t>
      </w:r>
      <w:r>
        <w:rPr/>
        <w:t>money</w:t>
      </w:r>
      <w:r>
        <w:rPr>
          <w:spacing w:val="-15"/>
        </w:rPr>
        <w:t> </w:t>
      </w:r>
      <w:r>
        <w:rPr/>
        <w:t>stock</w:t>
      </w:r>
      <w:r>
        <w:rPr>
          <w:spacing w:val="-7"/>
        </w:rPr>
        <w:t> </w:t>
      </w:r>
      <w:r>
        <w:rPr/>
        <w:t>leads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unique</w:t>
      </w:r>
      <w:r>
        <w:rPr>
          <w:spacing w:val="-57"/>
        </w:rPr>
        <w:t> </w:t>
      </w:r>
      <w:r>
        <w:rPr/>
        <w:t>price paths. But, Sims’ point of departure is his assumption of an economy with frictionless</w:t>
      </w:r>
      <w:r>
        <w:rPr>
          <w:spacing w:val="1"/>
        </w:rPr>
        <w:t> </w:t>
      </w:r>
      <w:r>
        <w:rPr/>
        <w:t>market</w:t>
      </w:r>
      <w:r>
        <w:rPr>
          <w:spacing w:val="-1"/>
        </w:rPr>
        <w:t> </w:t>
      </w:r>
      <w:r>
        <w:rPr/>
        <w:t>as Woodford assumes 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 nominal</w:t>
      </w:r>
      <w:r>
        <w:rPr>
          <w:spacing w:val="-1"/>
        </w:rPr>
        <w:t> </w:t>
      </w:r>
      <w:r>
        <w:rPr/>
        <w:t>rigidity.</w:t>
      </w:r>
    </w:p>
    <w:p>
      <w:pPr>
        <w:pStyle w:val="BodyText"/>
        <w:spacing w:line="360" w:lineRule="auto" w:before="202"/>
        <w:ind w:left="1760" w:right="1437"/>
        <w:jc w:val="both"/>
      </w:pPr>
      <w:r>
        <w:rPr>
          <w:spacing w:val="-1"/>
        </w:rPr>
        <w:t>Although</w:t>
      </w:r>
      <w:r>
        <w:rPr>
          <w:spacing w:val="-12"/>
        </w:rPr>
        <w:t> </w:t>
      </w:r>
      <w:r>
        <w:rPr/>
        <w:t>authors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FTPL</w:t>
      </w:r>
      <w:r>
        <w:rPr>
          <w:spacing w:val="-18"/>
        </w:rPr>
        <w:t> </w:t>
      </w:r>
      <w:r>
        <w:rPr/>
        <w:t>critique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monetarist</w:t>
      </w:r>
      <w:r>
        <w:rPr>
          <w:spacing w:val="-12"/>
        </w:rPr>
        <w:t> </w:t>
      </w:r>
      <w:r>
        <w:rPr/>
        <w:t>notion,</w:t>
      </w:r>
      <w:r>
        <w:rPr>
          <w:spacing w:val="-12"/>
        </w:rPr>
        <w:t> </w:t>
      </w:r>
      <w:r>
        <w:rPr/>
        <w:t>their</w:t>
      </w:r>
      <w:r>
        <w:rPr>
          <w:spacing w:val="-13"/>
        </w:rPr>
        <w:t> </w:t>
      </w:r>
      <w:r>
        <w:rPr/>
        <w:t>contributions</w:t>
      </w:r>
      <w:r>
        <w:rPr>
          <w:spacing w:val="-12"/>
        </w:rPr>
        <w:t> </w:t>
      </w:r>
      <w:r>
        <w:rPr/>
        <w:t>have</w:t>
      </w:r>
      <w:r>
        <w:rPr>
          <w:spacing w:val="-13"/>
        </w:rPr>
        <w:t> </w:t>
      </w:r>
      <w:r>
        <w:rPr/>
        <w:t>also</w:t>
      </w:r>
      <w:r>
        <w:rPr>
          <w:spacing w:val="-12"/>
        </w:rPr>
        <w:t> </w:t>
      </w:r>
      <w:r>
        <w:rPr/>
        <w:t>been</w:t>
      </w:r>
      <w:r>
        <w:rPr>
          <w:spacing w:val="-57"/>
        </w:rPr>
        <w:t> </w:t>
      </w:r>
      <w:r>
        <w:rPr/>
        <w:t>scrutinized. For instance, Christiano and Fitzgerald (2000) support their assertion, so does</w:t>
      </w:r>
      <w:r>
        <w:rPr>
          <w:spacing w:val="1"/>
        </w:rPr>
        <w:t> </w:t>
      </w:r>
      <w:r>
        <w:rPr/>
        <w:t>Cochrane</w:t>
      </w:r>
      <w:r>
        <w:rPr>
          <w:spacing w:val="-2"/>
        </w:rPr>
        <w:t> </w:t>
      </w:r>
      <w:r>
        <w:rPr/>
        <w:t>(2001). Both show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plausibility</w:t>
      </w:r>
      <w:r>
        <w:rPr>
          <w:spacing w:val="-8"/>
        </w:rPr>
        <w:t> </w:t>
      </w:r>
      <w:r>
        <w:rPr/>
        <w:t>of</w:t>
      </w:r>
      <w:r>
        <w:rPr>
          <w:spacing w:val="-1"/>
        </w:rPr>
        <w:t> </w:t>
      </w:r>
      <w:r>
        <w:rPr/>
        <w:t>FTPL</w:t>
      </w:r>
      <w:r>
        <w:rPr>
          <w:spacing w:val="-7"/>
        </w:rPr>
        <w:t> </w:t>
      </w:r>
      <w:r>
        <w:rPr/>
        <w:t>models. However,</w:t>
      </w:r>
      <w:r>
        <w:rPr>
          <w:spacing w:val="-1"/>
        </w:rPr>
        <w:t> </w:t>
      </w:r>
      <w:r>
        <w:rPr/>
        <w:t>some writers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57"/>
        </w:rPr>
        <w:t> </w:t>
      </w:r>
      <w:r>
        <w:rPr/>
        <w:t>Buiter (1999, 2002), Niepelt (2004), Kocherkalota and Phelan (1999) are pessimistic of the</w:t>
      </w:r>
      <w:r>
        <w:rPr>
          <w:spacing w:val="1"/>
        </w:rPr>
        <w:t> </w:t>
      </w:r>
      <w:r>
        <w:rPr/>
        <w:t>FTPL strand of literature. Niepelt (2004) demonstrates that the FTPL model fails to produce</w:t>
      </w:r>
      <w:r>
        <w:rPr>
          <w:spacing w:val="1"/>
        </w:rPr>
        <w:t> </w:t>
      </w:r>
      <w:r>
        <w:rPr/>
        <w:t>unique and equilibrium price paths when analysed in a different model, specifically in a cash-</w:t>
      </w:r>
      <w:r>
        <w:rPr>
          <w:spacing w:val="-57"/>
        </w:rPr>
        <w:t> </w:t>
      </w:r>
      <w:r>
        <w:rPr/>
        <w:t>in-advance (CIA) constraint model with postulations of a positive interest rates and a money</w:t>
      </w:r>
      <w:r>
        <w:rPr>
          <w:spacing w:val="1"/>
        </w:rPr>
        <w:t> </w:t>
      </w:r>
      <w:r>
        <w:rPr/>
        <w:t>supply target. Furthermore, Buiter (1999, 2002) shows that the FTPL has a fundamental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flaw.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</w:t>
      </w:r>
      <w:r>
        <w:rPr>
          <w:spacing w:val="1"/>
        </w:rPr>
        <w:t> </w:t>
      </w:r>
      <w:r>
        <w:rPr/>
        <w:t>argues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FTPL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confuses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budget</w:t>
      </w:r>
      <w:r>
        <w:rPr>
          <w:spacing w:val="1"/>
        </w:rPr>
        <w:t> </w:t>
      </w:r>
      <w:r>
        <w:rPr/>
        <w:t>constraints</w:t>
      </w:r>
      <w:r>
        <w:rPr>
          <w:spacing w:val="-14"/>
        </w:rPr>
        <w:t> </w:t>
      </w:r>
      <w:r>
        <w:rPr/>
        <w:t>with</w:t>
      </w:r>
      <w:r>
        <w:rPr>
          <w:spacing w:val="-13"/>
        </w:rPr>
        <w:t> </w:t>
      </w:r>
      <w:r>
        <w:rPr/>
        <w:t>equilibrium</w:t>
      </w:r>
      <w:r>
        <w:rPr>
          <w:spacing w:val="-13"/>
        </w:rPr>
        <w:t> </w:t>
      </w:r>
      <w:r>
        <w:rPr/>
        <w:t>conditions.</w:t>
      </w:r>
      <w:r>
        <w:rPr>
          <w:spacing w:val="-13"/>
        </w:rPr>
        <w:t> </w:t>
      </w:r>
      <w:r>
        <w:rPr/>
        <w:t>Just</w:t>
      </w:r>
      <w:r>
        <w:rPr>
          <w:spacing w:val="-14"/>
        </w:rPr>
        <w:t> </w:t>
      </w:r>
      <w:r>
        <w:rPr/>
        <w:t>as</w:t>
      </w:r>
      <w:r>
        <w:rPr>
          <w:spacing w:val="-13"/>
        </w:rPr>
        <w:t> </w:t>
      </w:r>
      <w:r>
        <w:rPr/>
        <w:t>Niepelt</w:t>
      </w:r>
      <w:r>
        <w:rPr>
          <w:spacing w:val="-13"/>
        </w:rPr>
        <w:t> </w:t>
      </w:r>
      <w:r>
        <w:rPr/>
        <w:t>(2004),</w:t>
      </w:r>
      <w:r>
        <w:rPr>
          <w:spacing w:val="-12"/>
        </w:rPr>
        <w:t> </w:t>
      </w:r>
      <w:r>
        <w:rPr/>
        <w:t>Buiter</w:t>
      </w:r>
      <w:r>
        <w:rPr>
          <w:spacing w:val="-13"/>
        </w:rPr>
        <w:t> </w:t>
      </w:r>
      <w:r>
        <w:rPr/>
        <w:t>(1999,</w:t>
      </w:r>
      <w:r>
        <w:rPr>
          <w:spacing w:val="-13"/>
        </w:rPr>
        <w:t> </w:t>
      </w:r>
      <w:r>
        <w:rPr/>
        <w:t>2002)</w:t>
      </w:r>
      <w:r>
        <w:rPr>
          <w:spacing w:val="-14"/>
        </w:rPr>
        <w:t> </w:t>
      </w:r>
      <w:r>
        <w:rPr/>
        <w:t>also</w:t>
      </w:r>
      <w:r>
        <w:rPr>
          <w:spacing w:val="-13"/>
        </w:rPr>
        <w:t> </w:t>
      </w:r>
      <w:r>
        <w:rPr/>
        <w:t>argues</w:t>
      </w:r>
      <w:r>
        <w:rPr>
          <w:spacing w:val="-58"/>
        </w:rPr>
        <w:t> </w:t>
      </w:r>
      <w:r>
        <w:rPr/>
        <w:t>that</w:t>
      </w:r>
      <w:r>
        <w:rPr>
          <w:spacing w:val="-15"/>
        </w:rPr>
        <w:t> </w:t>
      </w:r>
      <w:r>
        <w:rPr/>
        <w:t>FTPL</w:t>
      </w:r>
      <w:r>
        <w:rPr>
          <w:spacing w:val="-18"/>
        </w:rPr>
        <w:t> </w:t>
      </w:r>
      <w:r>
        <w:rPr/>
        <w:t>postulations</w:t>
      </w:r>
      <w:r>
        <w:rPr>
          <w:spacing w:val="-13"/>
        </w:rPr>
        <w:t> </w:t>
      </w:r>
      <w:r>
        <w:rPr/>
        <w:t>hold</w:t>
      </w:r>
      <w:r>
        <w:rPr>
          <w:spacing w:val="-14"/>
        </w:rPr>
        <w:t> </w:t>
      </w:r>
      <w:r>
        <w:rPr/>
        <w:t>only</w:t>
      </w:r>
      <w:r>
        <w:rPr>
          <w:spacing w:val="-19"/>
        </w:rPr>
        <w:t> </w:t>
      </w:r>
      <w:r>
        <w:rPr/>
        <w:t>in</w:t>
      </w:r>
      <w:r>
        <w:rPr>
          <w:spacing w:val="-14"/>
        </w:rPr>
        <w:t> </w:t>
      </w:r>
      <w:r>
        <w:rPr/>
        <w:t>models</w:t>
      </w:r>
      <w:r>
        <w:rPr>
          <w:spacing w:val="-11"/>
        </w:rPr>
        <w:t> </w:t>
      </w:r>
      <w:r>
        <w:rPr/>
        <w:t>where</w:t>
      </w:r>
      <w:r>
        <w:rPr>
          <w:spacing w:val="-13"/>
        </w:rPr>
        <w:t> </w:t>
      </w:r>
      <w:r>
        <w:rPr/>
        <w:t>monetary</w:t>
      </w:r>
      <w:r>
        <w:rPr>
          <w:spacing w:val="-19"/>
        </w:rPr>
        <w:t> </w:t>
      </w:r>
      <w:r>
        <w:rPr/>
        <w:t>policy</w:t>
      </w:r>
      <w:r>
        <w:rPr>
          <w:spacing w:val="-20"/>
        </w:rPr>
        <w:t> </w:t>
      </w:r>
      <w:r>
        <w:rPr/>
        <w:t>is</w:t>
      </w:r>
      <w:r>
        <w:rPr>
          <w:spacing w:val="-13"/>
        </w:rPr>
        <w:t> </w:t>
      </w:r>
      <w:r>
        <w:rPr/>
        <w:t>specified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interest</w:t>
      </w:r>
      <w:r>
        <w:rPr>
          <w:spacing w:val="-13"/>
        </w:rPr>
        <w:t> </w:t>
      </w:r>
      <w:r>
        <w:rPr/>
        <w:t>rates.</w:t>
      </w:r>
      <w:r>
        <w:rPr>
          <w:spacing w:val="-58"/>
        </w:rPr>
        <w:t> </w:t>
      </w:r>
      <w:r>
        <w:rPr/>
        <w:t>Equilibrium</w:t>
      </w:r>
      <w:r>
        <w:rPr>
          <w:spacing w:val="-1"/>
        </w:rPr>
        <w:t> </w:t>
      </w:r>
      <w:r>
        <w:rPr/>
        <w:t>price</w:t>
      </w:r>
      <w:r>
        <w:rPr>
          <w:spacing w:val="-2"/>
        </w:rPr>
        <w:t> </w:t>
      </w:r>
      <w:r>
        <w:rPr/>
        <w:t>level is</w:t>
      </w:r>
      <w:r>
        <w:rPr>
          <w:spacing w:val="-1"/>
        </w:rPr>
        <w:t> </w:t>
      </w:r>
      <w:r>
        <w:rPr/>
        <w:t>over-determined</w:t>
      </w:r>
      <w:r>
        <w:rPr>
          <w:spacing w:val="-1"/>
        </w:rPr>
        <w:t> </w:t>
      </w:r>
      <w:r>
        <w:rPr/>
        <w:t>in models</w:t>
      </w:r>
      <w:r>
        <w:rPr>
          <w:spacing w:val="-1"/>
        </w:rPr>
        <w:t> </w:t>
      </w:r>
      <w:r>
        <w:rPr/>
        <w:t>where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assumption</w:t>
      </w:r>
      <w:r>
        <w:rPr>
          <w:spacing w:val="-1"/>
        </w:rPr>
        <w:t> </w:t>
      </w:r>
      <w:r>
        <w:rPr/>
        <w:t>is altered.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760" w:right="1431"/>
        <w:jc w:val="both"/>
      </w:pPr>
      <w:r>
        <w:rPr/>
        <w:t>In</w:t>
      </w:r>
      <w:r>
        <w:rPr>
          <w:spacing w:val="1"/>
        </w:rPr>
        <w:t> </w:t>
      </w:r>
      <w:r>
        <w:rPr/>
        <w:t>summary,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similarly adopt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ideology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policy is</w:t>
      </w:r>
      <w:r>
        <w:rPr>
          <w:spacing w:val="1"/>
        </w:rPr>
        <w:t> </w:t>
      </w:r>
      <w:r>
        <w:rPr/>
        <w:t>important for price level determinacy, and are mainly concerned with short-term stabilisation</w:t>
      </w:r>
      <w:r>
        <w:rPr>
          <w:spacing w:val="1"/>
        </w:rPr>
        <w:t> </w:t>
      </w:r>
      <w:r>
        <w:rPr/>
        <w:t>issues. However, Canzoneri, Cumby and Diba (2001) surmise the major difference between</w:t>
      </w:r>
      <w:r>
        <w:rPr>
          <w:spacing w:val="1"/>
        </w:rPr>
        <w:t> </w:t>
      </w:r>
      <w:r>
        <w:rPr/>
        <w:t>the FTPL and monetarist arithmetic. While the monetarist arithmetic viewed fiscal-monetary</w:t>
      </w:r>
      <w:r>
        <w:rPr>
          <w:spacing w:val="1"/>
        </w:rPr>
        <w:t> </w:t>
      </w:r>
      <w:r>
        <w:rPr/>
        <w:t>policy</w:t>
      </w:r>
      <w:r>
        <w:rPr>
          <w:spacing w:val="-12"/>
        </w:rPr>
        <w:t> </w:t>
      </w:r>
      <w:r>
        <w:rPr/>
        <w:t>interaction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non-cooperative</w:t>
      </w:r>
      <w:r>
        <w:rPr>
          <w:spacing w:val="-5"/>
        </w:rPr>
        <w:t> </w:t>
      </w:r>
      <w:r>
        <w:rPr/>
        <w:t>game</w:t>
      </w:r>
      <w:r>
        <w:rPr>
          <w:spacing w:val="-7"/>
        </w:rPr>
        <w:t> </w:t>
      </w:r>
      <w:r>
        <w:rPr/>
        <w:t>between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government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its</w:t>
      </w:r>
      <w:r>
        <w:rPr>
          <w:spacing w:val="-6"/>
        </w:rPr>
        <w:t> </w:t>
      </w:r>
      <w:r>
        <w:rPr/>
        <w:t>central</w:t>
      </w:r>
      <w:r>
        <w:rPr>
          <w:spacing w:val="-7"/>
        </w:rPr>
        <w:t> </w:t>
      </w:r>
      <w:r>
        <w:rPr/>
        <w:t>bank</w:t>
      </w:r>
      <w:r>
        <w:rPr>
          <w:spacing w:val="-6"/>
        </w:rPr>
        <w:t> </w:t>
      </w:r>
      <w:r>
        <w:rPr/>
        <w:t>and</w:t>
      </w:r>
      <w:r>
        <w:rPr>
          <w:spacing w:val="-57"/>
        </w:rPr>
        <w:t> </w:t>
      </w:r>
      <w:r>
        <w:rPr/>
        <w:t>believed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coordination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fiscal-monetary</w:t>
      </w:r>
      <w:r>
        <w:rPr>
          <w:spacing w:val="-11"/>
        </w:rPr>
        <w:t> </w:t>
      </w:r>
      <w:r>
        <w:rPr/>
        <w:t>policy</w:t>
      </w:r>
      <w:r>
        <w:rPr>
          <w:spacing w:val="-11"/>
        </w:rPr>
        <w:t> </w:t>
      </w:r>
      <w:r>
        <w:rPr/>
        <w:t>produced</w:t>
      </w:r>
      <w:r>
        <w:rPr>
          <w:spacing w:val="-5"/>
        </w:rPr>
        <w:t> </w:t>
      </w:r>
      <w:r>
        <w:rPr/>
        <w:t>Pareto</w:t>
      </w:r>
      <w:r>
        <w:rPr>
          <w:spacing w:val="-6"/>
        </w:rPr>
        <w:t> </w:t>
      </w:r>
      <w:r>
        <w:rPr/>
        <w:t>improving</w:t>
      </w:r>
      <w:r>
        <w:rPr>
          <w:spacing w:val="-8"/>
        </w:rPr>
        <w:t> </w:t>
      </w:r>
      <w:r>
        <w:rPr/>
        <w:t>outcomes.</w:t>
      </w:r>
      <w:r>
        <w:rPr>
          <w:spacing w:val="-5"/>
        </w:rPr>
        <w:t> </w:t>
      </w:r>
      <w:r>
        <w:rPr/>
        <w:t>By</w:t>
      </w:r>
      <w:r>
        <w:rPr>
          <w:spacing w:val="-58"/>
        </w:rPr>
        <w:t> </w:t>
      </w:r>
      <w:r>
        <w:rPr/>
        <w:t>contrast, the FTPL coined the problem of fiscal-monetary policy interaction as one that</w:t>
      </w:r>
      <w:r>
        <w:rPr>
          <w:spacing w:val="1"/>
        </w:rPr>
        <w:t> </w:t>
      </w:r>
      <w:r>
        <w:rPr/>
        <w:t>concerns design of the right combination of policies to provide stable economic outcomes.</w:t>
      </w:r>
      <w:r>
        <w:rPr>
          <w:spacing w:val="1"/>
        </w:rPr>
        <w:t> </w:t>
      </w:r>
      <w:r>
        <w:rPr/>
        <w:t>Other</w:t>
      </w:r>
      <w:r>
        <w:rPr>
          <w:spacing w:val="14"/>
        </w:rPr>
        <w:t> </w:t>
      </w:r>
      <w:r>
        <w:rPr/>
        <w:t>dividing</w:t>
      </w:r>
      <w:r>
        <w:rPr>
          <w:spacing w:val="14"/>
        </w:rPr>
        <w:t> </w:t>
      </w:r>
      <w:r>
        <w:rPr/>
        <w:t>themes</w:t>
      </w:r>
      <w:r>
        <w:rPr>
          <w:spacing w:val="16"/>
        </w:rPr>
        <w:t> </w:t>
      </w:r>
      <w:r>
        <w:rPr/>
        <w:t>between</w:t>
      </w:r>
      <w:r>
        <w:rPr>
          <w:spacing w:val="16"/>
        </w:rPr>
        <w:t> </w:t>
      </w:r>
      <w:r>
        <w:rPr/>
        <w:t>both</w:t>
      </w:r>
      <w:r>
        <w:rPr>
          <w:spacing w:val="17"/>
        </w:rPr>
        <w:t> </w:t>
      </w:r>
      <w:r>
        <w:rPr/>
        <w:t>theories</w:t>
      </w:r>
      <w:r>
        <w:rPr>
          <w:spacing w:val="16"/>
        </w:rPr>
        <w:t> </w:t>
      </w:r>
      <w:r>
        <w:rPr/>
        <w:t>centre</w:t>
      </w:r>
      <w:r>
        <w:rPr>
          <w:spacing w:val="15"/>
        </w:rPr>
        <w:t> </w:t>
      </w:r>
      <w:r>
        <w:rPr/>
        <w:t>on</w:t>
      </w:r>
      <w:r>
        <w:rPr>
          <w:spacing w:val="16"/>
        </w:rPr>
        <w:t> </w:t>
      </w:r>
      <w:r>
        <w:rPr/>
        <w:t>four</w:t>
      </w:r>
      <w:r>
        <w:rPr>
          <w:spacing w:val="15"/>
        </w:rPr>
        <w:t> </w:t>
      </w:r>
      <w:r>
        <w:rPr/>
        <w:t>issues:</w:t>
      </w:r>
      <w:r>
        <w:rPr>
          <w:spacing w:val="17"/>
        </w:rPr>
        <w:t> </w:t>
      </w:r>
      <w:r>
        <w:rPr/>
        <w:t>their</w:t>
      </w:r>
      <w:r>
        <w:rPr>
          <w:spacing w:val="18"/>
        </w:rPr>
        <w:t> </w:t>
      </w:r>
      <w:r>
        <w:rPr/>
        <w:t>assumptions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37"/>
        <w:jc w:val="both"/>
      </w:pPr>
      <w:r>
        <w:rPr>
          <w:spacing w:val="-1"/>
        </w:rPr>
        <w:t>inter-temporal</w:t>
      </w:r>
      <w:r>
        <w:rPr>
          <w:spacing w:val="-10"/>
        </w:rPr>
        <w:t> </w:t>
      </w:r>
      <w:r>
        <w:rPr/>
        <w:t>government</w:t>
      </w:r>
      <w:r>
        <w:rPr>
          <w:spacing w:val="-12"/>
        </w:rPr>
        <w:t> </w:t>
      </w:r>
      <w:r>
        <w:rPr/>
        <w:t>budget</w:t>
      </w:r>
      <w:r>
        <w:rPr>
          <w:spacing w:val="-11"/>
        </w:rPr>
        <w:t> </w:t>
      </w:r>
      <w:r>
        <w:rPr/>
        <w:t>constraint,</w:t>
      </w:r>
      <w:r>
        <w:rPr>
          <w:spacing w:val="-12"/>
        </w:rPr>
        <w:t> </w:t>
      </w:r>
      <w:r>
        <w:rPr/>
        <w:t>whether</w:t>
      </w:r>
      <w:r>
        <w:rPr>
          <w:spacing w:val="-13"/>
        </w:rPr>
        <w:t> </w:t>
      </w:r>
      <w:r>
        <w:rPr/>
        <w:t>fiscal</w:t>
      </w:r>
      <w:r>
        <w:rPr>
          <w:spacing w:val="-12"/>
        </w:rPr>
        <w:t> </w:t>
      </w:r>
      <w:r>
        <w:rPr/>
        <w:t>policy</w:t>
      </w:r>
      <w:r>
        <w:rPr>
          <w:spacing w:val="-17"/>
        </w:rPr>
        <w:t> </w:t>
      </w:r>
      <w:r>
        <w:rPr/>
        <w:t>follows</w:t>
      </w:r>
      <w:r>
        <w:rPr>
          <w:spacing w:val="-9"/>
        </w:rPr>
        <w:t> </w:t>
      </w:r>
      <w:r>
        <w:rPr/>
        <w:t>a</w:t>
      </w:r>
      <w:r>
        <w:rPr>
          <w:spacing w:val="-13"/>
        </w:rPr>
        <w:t> </w:t>
      </w:r>
      <w:r>
        <w:rPr/>
        <w:t>Ricardian</w:t>
      </w:r>
      <w:r>
        <w:rPr>
          <w:spacing w:val="-11"/>
        </w:rPr>
        <w:t> </w:t>
      </w:r>
      <w:r>
        <w:rPr/>
        <w:t>or</w:t>
      </w:r>
      <w:r>
        <w:rPr>
          <w:spacing w:val="-13"/>
        </w:rPr>
        <w:t> </w:t>
      </w:r>
      <w:r>
        <w:rPr/>
        <w:t>non-</w:t>
      </w:r>
      <w:r>
        <w:rPr>
          <w:spacing w:val="-57"/>
        </w:rPr>
        <w:t> </w:t>
      </w:r>
      <w:r>
        <w:rPr/>
        <w:t>Ricardian process, using either the money stock or interest rate as a tool of monetary policy</w:t>
      </w:r>
      <w:r>
        <w:rPr>
          <w:spacing w:val="1"/>
        </w:rPr>
        <w:t> </w:t>
      </w:r>
      <w:r>
        <w:rPr/>
        <w:t>and whether government debt is nominal or real. In addition to the four theoretical issues that</w:t>
      </w:r>
      <w:r>
        <w:rPr>
          <w:spacing w:val="-57"/>
        </w:rPr>
        <w:t> </w:t>
      </w:r>
      <w:r>
        <w:rPr/>
        <w:t>have been spotted, another major theoretical gap is the emphasis on stabilisation, leaving out</w:t>
      </w:r>
      <w:r>
        <w:rPr>
          <w:spacing w:val="1"/>
        </w:rPr>
        <w:t> </w:t>
      </w:r>
      <w:r>
        <w:rPr/>
        <w:t>long term issues such as debt or structural reforms. However, Cochrane (2001), Leeper and</w:t>
      </w:r>
      <w:r>
        <w:rPr>
          <w:spacing w:val="1"/>
        </w:rPr>
        <w:t> </w:t>
      </w:r>
      <w:r>
        <w:rPr/>
        <w:t>Leith</w:t>
      </w:r>
      <w:r>
        <w:rPr>
          <w:spacing w:val="-4"/>
        </w:rPr>
        <w:t> </w:t>
      </w:r>
      <w:r>
        <w:rPr/>
        <w:t>(2015)</w:t>
      </w:r>
      <w:r>
        <w:rPr>
          <w:spacing w:val="-5"/>
        </w:rPr>
        <w:t> </w:t>
      </w:r>
      <w:r>
        <w:rPr/>
        <w:t>comprise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few</w:t>
      </w:r>
      <w:r>
        <w:rPr>
          <w:spacing w:val="-4"/>
        </w:rPr>
        <w:t> </w:t>
      </w:r>
      <w:r>
        <w:rPr/>
        <w:t>articles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consider</w:t>
      </w:r>
      <w:r>
        <w:rPr>
          <w:spacing w:val="-6"/>
        </w:rPr>
        <w:t> </w:t>
      </w:r>
      <w:r>
        <w:rPr/>
        <w:t>long-term</w:t>
      </w:r>
      <w:r>
        <w:rPr>
          <w:spacing w:val="-7"/>
        </w:rPr>
        <w:t> </w:t>
      </w:r>
      <w:r>
        <w:rPr/>
        <w:t>debt</w:t>
      </w:r>
      <w:r>
        <w:rPr>
          <w:spacing w:val="-6"/>
        </w:rPr>
        <w:t> </w:t>
      </w:r>
      <w:r>
        <w:rPr/>
        <w:t>issues.</w:t>
      </w:r>
      <w:r>
        <w:rPr>
          <w:spacing w:val="-6"/>
        </w:rPr>
        <w:t> </w:t>
      </w:r>
      <w:r>
        <w:rPr/>
        <w:t>Other</w:t>
      </w:r>
      <w:r>
        <w:rPr>
          <w:spacing w:val="-4"/>
        </w:rPr>
        <w:t> </w:t>
      </w:r>
      <w:r>
        <w:rPr/>
        <w:t>theoretical</w:t>
      </w:r>
      <w:r>
        <w:rPr>
          <w:spacing w:val="-58"/>
        </w:rPr>
        <w:t> </w:t>
      </w:r>
      <w:r>
        <w:rPr/>
        <w:t>gaps span across whether a consolidated government budget constraint should be prescribed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face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decentralised</w:t>
      </w:r>
      <w:r>
        <w:rPr>
          <w:spacing w:val="-5"/>
        </w:rPr>
        <w:t> </w:t>
      </w:r>
      <w:r>
        <w:rPr/>
        <w:t>policy</w:t>
      </w:r>
      <w:r>
        <w:rPr>
          <w:spacing w:val="-8"/>
        </w:rPr>
        <w:t> </w:t>
      </w:r>
      <w:r>
        <w:rPr/>
        <w:t>environment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whether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assumption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exogenous</w:t>
      </w:r>
      <w:r>
        <w:rPr>
          <w:spacing w:val="-57"/>
        </w:rPr>
        <w:t> </w:t>
      </w:r>
      <w:r>
        <w:rPr/>
        <w:t>fiscal policy</w:t>
      </w:r>
      <w:r>
        <w:rPr>
          <w:spacing w:val="-5"/>
        </w:rPr>
        <w:t> </w:t>
      </w:r>
      <w:r>
        <w:rPr/>
        <w:t>holds.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0" w:lineRule="auto"/>
        <w:ind w:left="1760" w:right="1439"/>
        <w:jc w:val="both"/>
      </w:pPr>
      <w:r>
        <w:rPr/>
        <w:t>In</w:t>
      </w:r>
      <w:r>
        <w:rPr>
          <w:spacing w:val="-7"/>
        </w:rPr>
        <w:t> </w:t>
      </w:r>
      <w:r>
        <w:rPr/>
        <w:t>relation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theoretical</w:t>
      </w:r>
      <w:r>
        <w:rPr>
          <w:spacing w:val="-6"/>
        </w:rPr>
        <w:t> </w:t>
      </w:r>
      <w:r>
        <w:rPr/>
        <w:t>gaps</w:t>
      </w:r>
      <w:r>
        <w:rPr>
          <w:spacing w:val="-6"/>
        </w:rPr>
        <w:t> </w:t>
      </w:r>
      <w:r>
        <w:rPr/>
        <w:t>identified,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study</w:t>
      </w:r>
      <w:r>
        <w:rPr>
          <w:spacing w:val="-11"/>
        </w:rPr>
        <w:t> </w:t>
      </w:r>
      <w:r>
        <w:rPr/>
        <w:t>considers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strengths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defects</w:t>
      </w:r>
      <w:r>
        <w:rPr>
          <w:spacing w:val="-7"/>
        </w:rPr>
        <w:t> </w:t>
      </w:r>
      <w:r>
        <w:rPr/>
        <w:t>of</w:t>
      </w:r>
      <w:r>
        <w:rPr>
          <w:spacing w:val="-58"/>
        </w:rPr>
        <w:t> </w:t>
      </w:r>
      <w:r>
        <w:rPr/>
        <w:t>both theories. The thesis outlines theoretical assumptions that synchronises the best of both</w:t>
      </w:r>
      <w:r>
        <w:rPr>
          <w:spacing w:val="1"/>
        </w:rPr>
        <w:t> </w:t>
      </w:r>
      <w:r>
        <w:rPr/>
        <w:t>theories</w:t>
      </w:r>
      <w:r>
        <w:rPr>
          <w:spacing w:val="-1"/>
        </w:rPr>
        <w:t> </w:t>
      </w:r>
      <w:r>
        <w:rPr/>
        <w:t>and that holds in the</w:t>
      </w:r>
      <w:r>
        <w:rPr>
          <w:spacing w:val="-1"/>
        </w:rPr>
        <w:t> </w:t>
      </w:r>
      <w:r>
        <w:rPr/>
        <w:t>Nigerian context.</w:t>
      </w:r>
    </w:p>
    <w:p>
      <w:pPr>
        <w:pStyle w:val="Heading1"/>
        <w:numPr>
          <w:ilvl w:val="1"/>
          <w:numId w:val="11"/>
        </w:numPr>
        <w:tabs>
          <w:tab w:pos="2150" w:val="left" w:leader="none"/>
        </w:tabs>
        <w:spacing w:line="240" w:lineRule="auto" w:before="208" w:after="0"/>
        <w:ind w:left="2149" w:right="0" w:hanging="390"/>
        <w:jc w:val="both"/>
      </w:pPr>
      <w:bookmarkStart w:name="_TOC_250048" w:id="12"/>
      <w:r>
        <w:rPr/>
        <w:t>Methodological</w:t>
      </w:r>
      <w:r>
        <w:rPr>
          <w:spacing w:val="-2"/>
        </w:rPr>
        <w:t> </w:t>
      </w:r>
      <w:bookmarkEnd w:id="12"/>
      <w:r>
        <w:rPr/>
        <w:t>Review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360" w:lineRule="auto"/>
        <w:ind w:left="1760" w:right="1436"/>
        <w:jc w:val="both"/>
      </w:pPr>
      <w:r>
        <w:rPr/>
        <w:t>The existing methods that have been used by researchers to analyse the interactions between</w:t>
      </w:r>
      <w:r>
        <w:rPr>
          <w:spacing w:val="1"/>
        </w:rPr>
        <w:t> </w:t>
      </w:r>
      <w:r>
        <w:rPr/>
        <w:t>fiscal and monetary policy are categorized as a-theoretical, game theoretical and dynamic</w:t>
      </w:r>
      <w:r>
        <w:rPr>
          <w:spacing w:val="1"/>
        </w:rPr>
        <w:t> </w:t>
      </w:r>
      <w:r>
        <w:rPr/>
        <w:t>general equilibrium framework. The a-theoretical method involves pure statistical analysis of</w:t>
      </w:r>
      <w:r>
        <w:rPr>
          <w:spacing w:val="-57"/>
        </w:rPr>
        <w:t> </w:t>
      </w:r>
      <w:r>
        <w:rPr/>
        <w:t>economic phenomena, while the game theoretical and dynamic general equilibrium methods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essentially</w:t>
      </w:r>
      <w:r>
        <w:rPr>
          <w:spacing w:val="1"/>
        </w:rPr>
        <w:t> </w:t>
      </w:r>
      <w:r>
        <w:rPr/>
        <w:t>computational-based</w:t>
      </w:r>
      <w:r>
        <w:rPr>
          <w:spacing w:val="1"/>
        </w:rPr>
        <w:t> </w:t>
      </w:r>
      <w:r>
        <w:rPr/>
        <w:t>techniques.</w:t>
      </w:r>
      <w:r>
        <w:rPr>
          <w:spacing w:val="1"/>
        </w:rPr>
        <w:t> </w:t>
      </w:r>
      <w:r>
        <w:rPr/>
        <w:t>Generally,</w:t>
      </w:r>
      <w:r>
        <w:rPr>
          <w:spacing w:val="1"/>
        </w:rPr>
        <w:t> </w:t>
      </w:r>
      <w:r>
        <w:rPr/>
        <w:t>computational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use</w:t>
      </w:r>
      <w:r>
        <w:rPr>
          <w:spacing w:val="-57"/>
        </w:rPr>
        <w:t> </w:t>
      </w:r>
      <w:r>
        <w:rPr/>
        <w:t>numerical methods to solve economic models that assume that economic agents such as</w:t>
      </w:r>
      <w:r>
        <w:rPr>
          <w:spacing w:val="1"/>
        </w:rPr>
        <w:t> </w:t>
      </w:r>
      <w:r>
        <w:rPr/>
        <w:t>households,</w:t>
      </w:r>
      <w:r>
        <w:rPr>
          <w:spacing w:val="1"/>
        </w:rPr>
        <w:t> </w:t>
      </w:r>
      <w:r>
        <w:rPr/>
        <w:t>firms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policymakers,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interacting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rules.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>
          <w:spacing w:val="-1"/>
        </w:rPr>
        <w:t>interested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/>
        <w:t>deriving</w:t>
      </w:r>
      <w:r>
        <w:rPr>
          <w:spacing w:val="-17"/>
        </w:rPr>
        <w:t> </w:t>
      </w:r>
      <w:r>
        <w:rPr/>
        <w:t>equilibrium</w:t>
      </w:r>
      <w:r>
        <w:rPr>
          <w:spacing w:val="-14"/>
        </w:rPr>
        <w:t> </w:t>
      </w:r>
      <w:r>
        <w:rPr/>
        <w:t>outcomes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relevant</w:t>
      </w:r>
      <w:r>
        <w:rPr>
          <w:spacing w:val="-14"/>
        </w:rPr>
        <w:t> </w:t>
      </w:r>
      <w:r>
        <w:rPr/>
        <w:t>rules</w:t>
      </w:r>
      <w:r>
        <w:rPr>
          <w:spacing w:val="-15"/>
        </w:rPr>
        <w:t> </w:t>
      </w:r>
      <w:r>
        <w:rPr/>
        <w:t>underlying</w:t>
      </w:r>
      <w:r>
        <w:rPr>
          <w:spacing w:val="-17"/>
        </w:rPr>
        <w:t> </w:t>
      </w:r>
      <w:r>
        <w:rPr/>
        <w:t>such</w:t>
      </w:r>
      <w:r>
        <w:rPr>
          <w:spacing w:val="-15"/>
        </w:rPr>
        <w:t> </w:t>
      </w:r>
      <w:r>
        <w:rPr/>
        <w:t>interactions.</w:t>
      </w:r>
      <w:r>
        <w:rPr>
          <w:spacing w:val="-57"/>
        </w:rPr>
        <w:t> </w:t>
      </w: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two</w:t>
      </w:r>
      <w:r>
        <w:rPr>
          <w:spacing w:val="-14"/>
        </w:rPr>
        <w:t> </w:t>
      </w:r>
      <w:r>
        <w:rPr>
          <w:spacing w:val="-1"/>
        </w:rPr>
        <w:t>methods,</w:t>
      </w:r>
      <w:r>
        <w:rPr>
          <w:spacing w:val="-15"/>
        </w:rPr>
        <w:t> </w:t>
      </w:r>
      <w:r>
        <w:rPr/>
        <w:t>it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/>
        <w:t>assumed</w:t>
      </w:r>
      <w:r>
        <w:rPr>
          <w:spacing w:val="-15"/>
        </w:rPr>
        <w:t> </w:t>
      </w:r>
      <w:r>
        <w:rPr/>
        <w:t>there</w:t>
      </w:r>
      <w:r>
        <w:rPr>
          <w:spacing w:val="-12"/>
        </w:rPr>
        <w:t> </w:t>
      </w:r>
      <w:r>
        <w:rPr/>
        <w:t>are</w:t>
      </w:r>
      <w:r>
        <w:rPr>
          <w:spacing w:val="-14"/>
        </w:rPr>
        <w:t> </w:t>
      </w:r>
      <w:r>
        <w:rPr/>
        <w:t>economic</w:t>
      </w:r>
      <w:r>
        <w:rPr>
          <w:spacing w:val="-15"/>
        </w:rPr>
        <w:t> </w:t>
      </w:r>
      <w:r>
        <w:rPr/>
        <w:t>agents</w:t>
      </w:r>
      <w:r>
        <w:rPr>
          <w:spacing w:val="-13"/>
        </w:rPr>
        <w:t> </w:t>
      </w:r>
      <w:r>
        <w:rPr/>
        <w:t>who</w:t>
      </w:r>
      <w:r>
        <w:rPr>
          <w:spacing w:val="-11"/>
        </w:rPr>
        <w:t> </w:t>
      </w:r>
      <w:r>
        <w:rPr/>
        <w:t>are</w:t>
      </w:r>
      <w:r>
        <w:rPr>
          <w:spacing w:val="-14"/>
        </w:rPr>
        <w:t> </w:t>
      </w:r>
      <w:r>
        <w:rPr/>
        <w:t>concerned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optimising</w:t>
      </w:r>
      <w:r>
        <w:rPr>
          <w:spacing w:val="-57"/>
        </w:rPr>
        <w:t> </w:t>
      </w:r>
      <w:r>
        <w:rPr/>
        <w:t>their</w:t>
      </w:r>
      <w:r>
        <w:rPr>
          <w:spacing w:val="-15"/>
        </w:rPr>
        <w:t> </w:t>
      </w:r>
      <w:r>
        <w:rPr/>
        <w:t>objective</w:t>
      </w:r>
      <w:r>
        <w:rPr>
          <w:spacing w:val="-14"/>
        </w:rPr>
        <w:t> </w:t>
      </w:r>
      <w:r>
        <w:rPr/>
        <w:t>functions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face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economic</w:t>
      </w:r>
      <w:r>
        <w:rPr>
          <w:spacing w:val="-15"/>
        </w:rPr>
        <w:t> </w:t>
      </w:r>
      <w:r>
        <w:rPr/>
        <w:t>constraints.</w:t>
      </w:r>
      <w:r>
        <w:rPr>
          <w:spacing w:val="-13"/>
        </w:rPr>
        <w:t> </w:t>
      </w:r>
      <w:r>
        <w:rPr/>
        <w:t>This</w:t>
      </w:r>
      <w:r>
        <w:rPr>
          <w:spacing w:val="-14"/>
        </w:rPr>
        <w:t> </w:t>
      </w:r>
      <w:r>
        <w:rPr/>
        <w:t>sub-section</w:t>
      </w:r>
      <w:r>
        <w:rPr>
          <w:spacing w:val="-13"/>
        </w:rPr>
        <w:t> </w:t>
      </w:r>
      <w:r>
        <w:rPr/>
        <w:t>presents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review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studies that have</w:t>
      </w:r>
      <w:r>
        <w:rPr>
          <w:spacing w:val="1"/>
        </w:rPr>
        <w:t> </w:t>
      </w:r>
      <w:r>
        <w:rPr/>
        <w:t>employed these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methods.</w:t>
      </w:r>
    </w:p>
    <w:p>
      <w:pPr>
        <w:pStyle w:val="BodyText"/>
        <w:spacing w:before="7"/>
        <w:rPr>
          <w:sz w:val="36"/>
        </w:rPr>
      </w:pPr>
    </w:p>
    <w:p>
      <w:pPr>
        <w:pStyle w:val="Heading1"/>
        <w:numPr>
          <w:ilvl w:val="2"/>
          <w:numId w:val="11"/>
        </w:numPr>
        <w:tabs>
          <w:tab w:pos="2474" w:val="left" w:leader="none"/>
        </w:tabs>
        <w:spacing w:line="240" w:lineRule="auto" w:before="0" w:after="0"/>
        <w:ind w:left="2473" w:right="0" w:hanging="714"/>
        <w:jc w:val="both"/>
      </w:pPr>
      <w:bookmarkStart w:name="_TOC_250047" w:id="13"/>
      <w:r>
        <w:rPr/>
        <w:t>A-theoretic Statistical</w:t>
      </w:r>
      <w:r>
        <w:rPr>
          <w:spacing w:val="-3"/>
        </w:rPr>
        <w:t> </w:t>
      </w:r>
      <w:bookmarkEnd w:id="13"/>
      <w:r>
        <w:rPr/>
        <w:t>Methods</w:t>
      </w:r>
    </w:p>
    <w:p>
      <w:pPr>
        <w:pStyle w:val="BodyText"/>
        <w:spacing w:line="360" w:lineRule="auto" w:before="144"/>
        <w:ind w:left="1760" w:right="1437"/>
        <w:jc w:val="both"/>
      </w:pPr>
      <w:r>
        <w:rPr/>
        <w:t>The a-theoretical statistical approach has been used in a number of studies to capture fiscal-</w:t>
      </w:r>
      <w:r>
        <w:rPr>
          <w:spacing w:val="1"/>
        </w:rPr>
        <w:t> </w:t>
      </w:r>
      <w:r>
        <w:rPr/>
        <w:t>monetary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interactions.</w:t>
      </w:r>
      <w:r>
        <w:rPr>
          <w:spacing w:val="1"/>
        </w:rPr>
        <w:t> </w:t>
      </w:r>
      <w:r>
        <w:rPr/>
        <w:t>A-theoretic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measurement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economic</w:t>
      </w:r>
      <w:r>
        <w:rPr>
          <w:spacing w:val="15"/>
        </w:rPr>
        <w:t> </w:t>
      </w:r>
      <w:r>
        <w:rPr/>
        <w:t>phenomena</w:t>
      </w:r>
      <w:r>
        <w:rPr>
          <w:spacing w:val="14"/>
        </w:rPr>
        <w:t> </w:t>
      </w:r>
      <w:r>
        <w:rPr/>
        <w:t>without</w:t>
      </w:r>
      <w:r>
        <w:rPr>
          <w:spacing w:val="15"/>
        </w:rPr>
        <w:t> </w:t>
      </w:r>
      <w:r>
        <w:rPr/>
        <w:t>relying</w:t>
      </w:r>
      <w:r>
        <w:rPr>
          <w:spacing w:val="13"/>
        </w:rPr>
        <w:t> </w:t>
      </w:r>
      <w:r>
        <w:rPr/>
        <w:t>on</w:t>
      </w:r>
      <w:r>
        <w:rPr>
          <w:spacing w:val="15"/>
        </w:rPr>
        <w:t> </w:t>
      </w:r>
      <w:r>
        <w:rPr/>
        <w:t>economic</w:t>
      </w:r>
      <w:r>
        <w:rPr>
          <w:spacing w:val="14"/>
        </w:rPr>
        <w:t> </w:t>
      </w:r>
      <w:r>
        <w:rPr/>
        <w:t>theory.</w:t>
      </w:r>
      <w:r>
        <w:rPr>
          <w:spacing w:val="19"/>
        </w:rPr>
        <w:t> </w:t>
      </w:r>
      <w:r>
        <w:rPr/>
        <w:t>In</w:t>
      </w:r>
      <w:r>
        <w:rPr>
          <w:spacing w:val="15"/>
        </w:rPr>
        <w:t> </w:t>
      </w:r>
      <w:r>
        <w:rPr/>
        <w:t>this</w:t>
      </w:r>
      <w:r>
        <w:rPr>
          <w:spacing w:val="15"/>
        </w:rPr>
        <w:t> </w:t>
      </w:r>
      <w:r>
        <w:rPr/>
        <w:t>group</w:t>
      </w:r>
      <w:r>
        <w:rPr>
          <w:spacing w:val="14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42"/>
        <w:jc w:val="both"/>
      </w:pPr>
      <w:r>
        <w:rPr/>
        <w:t>studies, statistical measures serve as the basis for deciding the existing form of interaction</w:t>
      </w:r>
      <w:r>
        <w:rPr>
          <w:spacing w:val="1"/>
        </w:rPr>
        <w:t> </w:t>
      </w:r>
      <w:r>
        <w:rPr/>
        <w:t>between fiscal and monetary</w:t>
      </w:r>
      <w:r>
        <w:rPr>
          <w:spacing w:val="-5"/>
        </w:rPr>
        <w:t> </w:t>
      </w:r>
      <w:r>
        <w:rPr/>
        <w:t>policy</w:t>
      </w:r>
      <w:r>
        <w:rPr>
          <w:spacing w:val="-5"/>
        </w:rPr>
        <w:t> </w:t>
      </w:r>
      <w:r>
        <w:rPr/>
        <w:t>(Alege, 2008).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760" w:right="1435"/>
        <w:jc w:val="both"/>
      </w:pPr>
      <w:r>
        <w:rPr/>
        <w:t>The</w:t>
      </w:r>
      <w:r>
        <w:rPr>
          <w:spacing w:val="-7"/>
        </w:rPr>
        <w:t> </w:t>
      </w:r>
      <w:r>
        <w:rPr/>
        <w:t>studies</w:t>
      </w:r>
      <w:r>
        <w:rPr>
          <w:spacing w:val="-5"/>
        </w:rPr>
        <w:t> </w:t>
      </w:r>
      <w:r>
        <w:rPr/>
        <w:t>by</w:t>
      </w:r>
      <w:r>
        <w:rPr>
          <w:spacing w:val="-10"/>
        </w:rPr>
        <w:t> </w:t>
      </w:r>
      <w:r>
        <w:rPr/>
        <w:t>Nyamongo,</w:t>
      </w:r>
      <w:r>
        <w:rPr>
          <w:spacing w:val="-5"/>
        </w:rPr>
        <w:t> </w:t>
      </w:r>
      <w:r>
        <w:rPr/>
        <w:t>Sichei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Mutai</w:t>
      </w:r>
      <w:r>
        <w:rPr>
          <w:spacing w:val="-5"/>
        </w:rPr>
        <w:t> </w:t>
      </w:r>
      <w:r>
        <w:rPr/>
        <w:t>(2008),</w:t>
      </w:r>
      <w:r>
        <w:rPr>
          <w:spacing w:val="-7"/>
        </w:rPr>
        <w:t> </w:t>
      </w:r>
      <w:r>
        <w:rPr/>
        <w:t>Rothenberg</w:t>
      </w:r>
      <w:r>
        <w:rPr>
          <w:spacing w:val="-5"/>
        </w:rPr>
        <w:t> </w:t>
      </w:r>
      <w:r>
        <w:rPr/>
        <w:t>(2004),</w:t>
      </w:r>
      <w:r>
        <w:rPr>
          <w:spacing w:val="-4"/>
        </w:rPr>
        <w:t> </w:t>
      </w:r>
      <w:r>
        <w:rPr/>
        <w:t>Montoro,</w:t>
      </w:r>
      <w:r>
        <w:rPr>
          <w:spacing w:val="-6"/>
        </w:rPr>
        <w:t> </w:t>
      </w:r>
      <w:r>
        <w:rPr/>
        <w:t>Takats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Yetman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began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monetary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characterising the cyclical properties of each policy i.e. whether they are procyclical or</w:t>
      </w:r>
      <w:r>
        <w:rPr>
          <w:spacing w:val="1"/>
        </w:rPr>
        <w:t> </w:t>
      </w:r>
      <w:r>
        <w:rPr/>
        <w:t>countercyclical and each policy stance i.e. whether they are tight or loose. In this regard, the</w:t>
      </w:r>
      <w:r>
        <w:rPr>
          <w:spacing w:val="1"/>
        </w:rPr>
        <w:t> </w:t>
      </w:r>
      <w:r>
        <w:rPr/>
        <w:t>most widely adopted measure of fiscal policy in these studies is the structural or cyclically-</w:t>
      </w:r>
      <w:r>
        <w:rPr>
          <w:spacing w:val="1"/>
        </w:rPr>
        <w:t> </w:t>
      </w:r>
      <w:r>
        <w:rPr/>
        <w:t>adjusted budget balance. The cyclically-adjusted budget balance is obtained by removing the</w:t>
      </w:r>
      <w:r>
        <w:rPr>
          <w:spacing w:val="1"/>
        </w:rPr>
        <w:t> </w:t>
      </w:r>
      <w:r>
        <w:rPr/>
        <w:t>business cyclical component of the budget balance from its nominal component. On the other</w:t>
      </w:r>
      <w:r>
        <w:rPr>
          <w:spacing w:val="-57"/>
        </w:rPr>
        <w:t> </w:t>
      </w:r>
      <w:r>
        <w:rPr>
          <w:spacing w:val="-1"/>
        </w:rPr>
        <w:t>hand,</w:t>
      </w:r>
      <w:r>
        <w:rPr>
          <w:spacing w:val="-12"/>
        </w:rPr>
        <w:t> </w:t>
      </w:r>
      <w:r>
        <w:rPr>
          <w:spacing w:val="-1"/>
        </w:rPr>
        <w:t>monetary</w:t>
      </w:r>
      <w:r>
        <w:rPr>
          <w:spacing w:val="-20"/>
        </w:rPr>
        <w:t> </w:t>
      </w:r>
      <w:r>
        <w:rPr/>
        <w:t>policy</w:t>
      </w:r>
      <w:r>
        <w:rPr>
          <w:spacing w:val="-17"/>
        </w:rPr>
        <w:t> </w:t>
      </w:r>
      <w:r>
        <w:rPr/>
        <w:t>is</w:t>
      </w:r>
      <w:r>
        <w:rPr>
          <w:spacing w:val="-8"/>
        </w:rPr>
        <w:t> </w:t>
      </w:r>
      <w:r>
        <w:rPr/>
        <w:t>captured</w:t>
      </w:r>
      <w:r>
        <w:rPr>
          <w:spacing w:val="-12"/>
        </w:rPr>
        <w:t> </w:t>
      </w:r>
      <w:r>
        <w:rPr/>
        <w:t>by</w:t>
      </w:r>
      <w:r>
        <w:rPr>
          <w:spacing w:val="-17"/>
        </w:rPr>
        <w:t> </w:t>
      </w:r>
      <w:r>
        <w:rPr/>
        <w:t>the</w:t>
      </w:r>
      <w:r>
        <w:rPr>
          <w:spacing w:val="-13"/>
        </w:rPr>
        <w:t> </w:t>
      </w:r>
      <w:r>
        <w:rPr/>
        <w:t>real</w:t>
      </w:r>
      <w:r>
        <w:rPr>
          <w:spacing w:val="-11"/>
        </w:rPr>
        <w:t> </w:t>
      </w:r>
      <w:r>
        <w:rPr/>
        <w:t>interest</w:t>
      </w:r>
      <w:r>
        <w:rPr>
          <w:spacing w:val="-12"/>
        </w:rPr>
        <w:t> </w:t>
      </w:r>
      <w:r>
        <w:rPr/>
        <w:t>rate</w:t>
      </w:r>
      <w:r>
        <w:rPr>
          <w:spacing w:val="-13"/>
        </w:rPr>
        <w:t> </w:t>
      </w:r>
      <w:r>
        <w:rPr/>
        <w:t>or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policy</w:t>
      </w:r>
      <w:r>
        <w:rPr>
          <w:spacing w:val="-17"/>
        </w:rPr>
        <w:t> </w:t>
      </w:r>
      <w:r>
        <w:rPr/>
        <w:t>rate</w:t>
      </w:r>
      <w:r>
        <w:rPr>
          <w:spacing w:val="-13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Central</w:t>
      </w:r>
      <w:r>
        <w:rPr>
          <w:spacing w:val="-12"/>
        </w:rPr>
        <w:t> </w:t>
      </w:r>
      <w:r>
        <w:rPr/>
        <w:t>Bank.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760" w:right="1439"/>
        <w:jc w:val="both"/>
      </w:pPr>
      <w:r>
        <w:rPr/>
        <w:t>Once each policy has been appropriately measured, they are thereafter characterised. For</w:t>
      </w:r>
      <w:r>
        <w:rPr>
          <w:spacing w:val="1"/>
        </w:rPr>
        <w:t> </w:t>
      </w:r>
      <w:r>
        <w:rPr/>
        <w:t>instance,</w:t>
      </w:r>
      <w:r>
        <w:rPr>
          <w:spacing w:val="57"/>
        </w:rPr>
        <w:t> </w:t>
      </w:r>
      <w:r>
        <w:rPr/>
        <w:t>Montoro,</w:t>
      </w:r>
      <w:r>
        <w:rPr>
          <w:spacing w:val="58"/>
        </w:rPr>
        <w:t> </w:t>
      </w:r>
      <w:r>
        <w:rPr/>
        <w:t>Takats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Yetman</w:t>
      </w:r>
      <w:r>
        <w:rPr>
          <w:spacing w:val="57"/>
        </w:rPr>
        <w:t> </w:t>
      </w:r>
      <w:r>
        <w:rPr/>
        <w:t>(2012)</w:t>
      </w:r>
      <w:r>
        <w:rPr>
          <w:spacing w:val="58"/>
        </w:rPr>
        <w:t> </w:t>
      </w:r>
      <w:r>
        <w:rPr/>
        <w:t>examined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cyclical</w:t>
      </w:r>
      <w:r>
        <w:rPr>
          <w:spacing w:val="58"/>
        </w:rPr>
        <w:t> </w:t>
      </w:r>
      <w:r>
        <w:rPr/>
        <w:t>properties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both</w:t>
      </w:r>
      <w:r>
        <w:rPr>
          <w:spacing w:val="-58"/>
        </w:rPr>
        <w:t> </w:t>
      </w:r>
      <w:r>
        <w:rPr/>
        <w:t>policies.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cyclical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Gross</w:t>
      </w:r>
      <w:r>
        <w:rPr>
          <w:spacing w:val="-57"/>
        </w:rPr>
        <w:t> </w:t>
      </w:r>
      <w:r>
        <w:rPr/>
        <w:t>Domestic Product (GDP) and the real interest rate on one hand, and the correlation between</w:t>
      </w:r>
      <w:r>
        <w:rPr>
          <w:spacing w:val="1"/>
        </w:rPr>
        <w:t> </w:t>
      </w:r>
      <w:r>
        <w:rPr/>
        <w:t>the cyclical component of Real Gross Domestic Product and budget balance as a percent of</w:t>
      </w:r>
      <w:r>
        <w:rPr>
          <w:spacing w:val="1"/>
        </w:rPr>
        <w:t> </w:t>
      </w:r>
      <w:r>
        <w:rPr/>
        <w:t>GDP on the other hand. Large and positive values of the correlation parameter imply a</w:t>
      </w:r>
      <w:r>
        <w:rPr>
          <w:spacing w:val="1"/>
        </w:rPr>
        <w:t> </w:t>
      </w:r>
      <w:r>
        <w:rPr/>
        <w:t>countercyclical fiscal/monetary policy while a negative value means that fiscal/monetary</w:t>
      </w:r>
      <w:r>
        <w:rPr>
          <w:spacing w:val="1"/>
        </w:rPr>
        <w:t> </w:t>
      </w:r>
      <w:r>
        <w:rPr/>
        <w:t>policy is procyclical. Rothenberg (2004) also investigated the nature of the policy stance. He</w:t>
      </w:r>
      <w:r>
        <w:rPr>
          <w:spacing w:val="1"/>
        </w:rPr>
        <w:t> </w:t>
      </w:r>
      <w:r>
        <w:rPr/>
        <w:t>interpreted positive values of the cyclically-adjusted budget balance as an expansionary/loose</w:t>
      </w:r>
      <w:r>
        <w:rPr>
          <w:spacing w:val="-57"/>
        </w:rPr>
        <w:t> </w:t>
      </w:r>
      <w:r>
        <w:rPr/>
        <w:t>fiscal stance while negative values mean a contractionary/tight fiscal stance. Conversely,</w:t>
      </w:r>
      <w:r>
        <w:rPr>
          <w:spacing w:val="1"/>
        </w:rPr>
        <w:t> </w:t>
      </w:r>
      <w:r>
        <w:rPr/>
        <w:t>Carlson</w:t>
      </w:r>
      <w:r>
        <w:rPr>
          <w:spacing w:val="-4"/>
        </w:rPr>
        <w:t> </w:t>
      </w:r>
      <w:r>
        <w:rPr/>
        <w:t>(1982)</w:t>
      </w:r>
      <w:r>
        <w:rPr>
          <w:spacing w:val="-5"/>
        </w:rPr>
        <w:t> </w:t>
      </w:r>
      <w:r>
        <w:rPr/>
        <w:t>interpreted</w:t>
      </w:r>
      <w:r>
        <w:rPr>
          <w:spacing w:val="-3"/>
        </w:rPr>
        <w:t> </w:t>
      </w:r>
      <w:r>
        <w:rPr/>
        <w:t>negative</w:t>
      </w:r>
      <w:r>
        <w:rPr>
          <w:spacing w:val="-5"/>
        </w:rPr>
        <w:t> </w:t>
      </w:r>
      <w:r>
        <w:rPr/>
        <w:t>values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real interest</w:t>
      </w:r>
      <w:r>
        <w:rPr>
          <w:spacing w:val="-3"/>
        </w:rPr>
        <w:t> </w:t>
      </w:r>
      <w:r>
        <w:rPr/>
        <w:t>rates as</w:t>
      </w:r>
      <w:r>
        <w:rPr>
          <w:spacing w:val="-4"/>
        </w:rPr>
        <w:t> </w:t>
      </w:r>
      <w:r>
        <w:rPr/>
        <w:t>tight</w:t>
      </w:r>
      <w:r>
        <w:rPr>
          <w:spacing w:val="-2"/>
        </w:rPr>
        <w:t> </w:t>
      </w:r>
      <w:r>
        <w:rPr/>
        <w:t>monetary</w:t>
      </w:r>
      <w:r>
        <w:rPr>
          <w:spacing w:val="-9"/>
        </w:rPr>
        <w:t> </w:t>
      </w:r>
      <w:r>
        <w:rPr/>
        <w:t>policy</w:t>
      </w:r>
      <w:r>
        <w:rPr>
          <w:spacing w:val="-8"/>
        </w:rPr>
        <w:t> </w:t>
      </w:r>
      <w:r>
        <w:rPr/>
        <w:t>while</w:t>
      </w:r>
      <w:r>
        <w:rPr>
          <w:spacing w:val="-58"/>
        </w:rPr>
        <w:t> </w:t>
      </w:r>
      <w:r>
        <w:rPr/>
        <w:t>its positive</w:t>
      </w:r>
      <w:r>
        <w:rPr>
          <w:spacing w:val="-1"/>
        </w:rPr>
        <w:t> </w:t>
      </w:r>
      <w:r>
        <w:rPr/>
        <w:t>value means that monetary</w:t>
      </w:r>
      <w:r>
        <w:rPr>
          <w:spacing w:val="-5"/>
        </w:rPr>
        <w:t> </w:t>
      </w:r>
      <w:r>
        <w:rPr/>
        <w:t>policy</w:t>
      </w:r>
      <w:r>
        <w:rPr>
          <w:spacing w:val="-6"/>
        </w:rPr>
        <w:t> </w:t>
      </w:r>
      <w:r>
        <w:rPr/>
        <w:t>is loose.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760" w:right="1440"/>
        <w:jc w:val="both"/>
      </w:pPr>
      <w:r>
        <w:rPr/>
        <w:t>After</w:t>
      </w:r>
      <w:r>
        <w:rPr>
          <w:spacing w:val="-13"/>
        </w:rPr>
        <w:t> </w:t>
      </w:r>
      <w:r>
        <w:rPr/>
        <w:t>characterising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cyclical</w:t>
      </w:r>
      <w:r>
        <w:rPr>
          <w:spacing w:val="-11"/>
        </w:rPr>
        <w:t> </w:t>
      </w:r>
      <w:r>
        <w:rPr/>
        <w:t>properties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stance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both</w:t>
      </w:r>
      <w:r>
        <w:rPr>
          <w:spacing w:val="-11"/>
        </w:rPr>
        <w:t> </w:t>
      </w:r>
      <w:r>
        <w:rPr/>
        <w:t>policies,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nature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interaction</w:t>
      </w:r>
      <w:r>
        <w:rPr>
          <w:spacing w:val="-58"/>
        </w:rPr>
        <w:t> </w:t>
      </w:r>
      <w:r>
        <w:rPr/>
        <w:t>existing between both policies can then be investigated. Nyamongo, Sichei and Mutai (2008)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12"/>
        </w:rPr>
        <w:t> </w:t>
      </w:r>
      <w:r>
        <w:rPr>
          <w:spacing w:val="-1"/>
        </w:rPr>
        <w:t>example,</w:t>
      </w:r>
      <w:r>
        <w:rPr>
          <w:spacing w:val="-10"/>
        </w:rPr>
        <w:t> </w:t>
      </w:r>
      <w:r>
        <w:rPr/>
        <w:t>investigated</w:t>
      </w:r>
      <w:r>
        <w:rPr>
          <w:spacing w:val="-8"/>
        </w:rPr>
        <w:t> </w:t>
      </w:r>
      <w:r>
        <w:rPr/>
        <w:t>policy</w:t>
      </w:r>
      <w:r>
        <w:rPr>
          <w:spacing w:val="-15"/>
        </w:rPr>
        <w:t> </w:t>
      </w:r>
      <w:r>
        <w:rPr/>
        <w:t>interaction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Kenya</w:t>
      </w:r>
      <w:r>
        <w:rPr>
          <w:spacing w:val="-5"/>
        </w:rPr>
        <w:t> </w:t>
      </w:r>
      <w:r>
        <w:rPr/>
        <w:t>with</w:t>
      </w:r>
      <w:r>
        <w:rPr>
          <w:spacing w:val="-10"/>
        </w:rPr>
        <w:t> </w:t>
      </w:r>
      <w:r>
        <w:rPr/>
        <w:t>respect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extent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coordination</w:t>
      </w:r>
      <w:r>
        <w:rPr>
          <w:spacing w:val="-57"/>
        </w:rPr>
        <w:t> </w:t>
      </w:r>
      <w:r>
        <w:rPr/>
        <w:t>between both policies. In the study, both policies are interpreted as being coordinated when</w:t>
      </w:r>
      <w:r>
        <w:rPr>
          <w:spacing w:val="1"/>
        </w:rPr>
        <w:t> </w:t>
      </w:r>
      <w:r>
        <w:rPr/>
        <w:t>they simultaneously take on a tight/tight stance or a loose/loose stance. In a related manner,</w:t>
      </w:r>
      <w:r>
        <w:rPr>
          <w:spacing w:val="1"/>
        </w:rPr>
        <w:t> </w:t>
      </w:r>
      <w:r>
        <w:rPr/>
        <w:t>Rothenberg</w:t>
      </w:r>
      <w:r>
        <w:rPr>
          <w:spacing w:val="3"/>
        </w:rPr>
        <w:t> </w:t>
      </w:r>
      <w:r>
        <w:rPr/>
        <w:t>(2004)</w:t>
      </w:r>
      <w:r>
        <w:rPr>
          <w:spacing w:val="5"/>
        </w:rPr>
        <w:t> </w:t>
      </w:r>
      <w:r>
        <w:rPr/>
        <w:t>used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pairwise</w:t>
      </w:r>
      <w:r>
        <w:rPr>
          <w:spacing w:val="5"/>
        </w:rPr>
        <w:t> </w:t>
      </w:r>
      <w:r>
        <w:rPr/>
        <w:t>correlation</w:t>
      </w:r>
      <w:r>
        <w:rPr>
          <w:spacing w:val="6"/>
        </w:rPr>
        <w:t> </w:t>
      </w:r>
      <w:r>
        <w:rPr/>
        <w:t>statistic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examine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nature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interaction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37"/>
        <w:jc w:val="both"/>
      </w:pPr>
      <w:r>
        <w:rPr>
          <w:spacing w:val="-1"/>
        </w:rPr>
        <w:t>between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policy</w:t>
      </w:r>
      <w:r>
        <w:rPr>
          <w:spacing w:val="-17"/>
        </w:rPr>
        <w:t> </w:t>
      </w:r>
      <w:r>
        <w:rPr/>
        <w:t>rate</w:t>
      </w:r>
      <w:r>
        <w:rPr>
          <w:spacing w:val="-13"/>
        </w:rPr>
        <w:t> </w:t>
      </w:r>
      <w:r>
        <w:rPr/>
        <w:t>of</w:t>
      </w:r>
      <w:r>
        <w:rPr>
          <w:spacing w:val="-10"/>
        </w:rPr>
        <w:t> </w:t>
      </w:r>
      <w:r>
        <w:rPr/>
        <w:t>Federal</w:t>
      </w:r>
      <w:r>
        <w:rPr>
          <w:spacing w:val="-12"/>
        </w:rPr>
        <w:t> </w:t>
      </w:r>
      <w:r>
        <w:rPr/>
        <w:t>Reserve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adjusted</w:t>
      </w:r>
      <w:r>
        <w:rPr>
          <w:spacing w:val="-12"/>
        </w:rPr>
        <w:t> </w:t>
      </w:r>
      <w:r>
        <w:rPr/>
        <w:t>budget</w:t>
      </w:r>
      <w:r>
        <w:rPr>
          <w:spacing w:val="-12"/>
        </w:rPr>
        <w:t> </w:t>
      </w:r>
      <w:r>
        <w:rPr/>
        <w:t>balance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United</w:t>
      </w:r>
      <w:r>
        <w:rPr>
          <w:spacing w:val="-13"/>
        </w:rPr>
        <w:t> </w:t>
      </w:r>
      <w:r>
        <w:rPr/>
        <w:t>States</w:t>
      </w:r>
      <w:r>
        <w:rPr>
          <w:spacing w:val="-57"/>
        </w:rPr>
        <w:t> </w:t>
      </w:r>
      <w:r>
        <w:rPr/>
        <w:t>government. The author found a statistically insignificant and negative correlation between</w:t>
      </w:r>
      <w:r>
        <w:rPr>
          <w:spacing w:val="1"/>
        </w:rPr>
        <w:t> </w:t>
      </w:r>
      <w:r>
        <w:rPr/>
        <w:t>both</w:t>
      </w:r>
      <w:r>
        <w:rPr>
          <w:spacing w:val="-1"/>
        </w:rPr>
        <w:t> </w:t>
      </w:r>
      <w:r>
        <w:rPr/>
        <w:t>fiscal and monetary</w:t>
      </w:r>
      <w:r>
        <w:rPr>
          <w:spacing w:val="-4"/>
        </w:rPr>
        <w:t> </w:t>
      </w:r>
      <w:r>
        <w:rPr/>
        <w:t>policy, which is</w:t>
      </w:r>
      <w:r>
        <w:rPr>
          <w:spacing w:val="-1"/>
        </w:rPr>
        <w:t> </w:t>
      </w:r>
      <w:r>
        <w:rPr/>
        <w:t>interpreted as evidence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no</w:t>
      </w:r>
      <w:r>
        <w:rPr>
          <w:spacing w:val="1"/>
        </w:rPr>
        <w:t> </w:t>
      </w:r>
      <w:r>
        <w:rPr/>
        <w:t>coordination.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760" w:right="1432"/>
        <w:jc w:val="both"/>
      </w:pPr>
      <w:r>
        <w:rPr/>
        <w:t>The</w:t>
      </w:r>
      <w:r>
        <w:rPr>
          <w:spacing w:val="-15"/>
        </w:rPr>
        <w:t> </w:t>
      </w:r>
      <w:r>
        <w:rPr/>
        <w:t>a-theoretical</w:t>
      </w:r>
      <w:r>
        <w:rPr>
          <w:spacing w:val="-12"/>
        </w:rPr>
        <w:t> </w:t>
      </w:r>
      <w:r>
        <w:rPr/>
        <w:t>statistical</w:t>
      </w:r>
      <w:r>
        <w:rPr>
          <w:spacing w:val="-13"/>
        </w:rPr>
        <w:t> </w:t>
      </w:r>
      <w:r>
        <w:rPr/>
        <w:t>approach</w:t>
      </w:r>
      <w:r>
        <w:rPr>
          <w:spacing w:val="-12"/>
        </w:rPr>
        <w:t> </w:t>
      </w:r>
      <w:r>
        <w:rPr/>
        <w:t>also</w:t>
      </w:r>
      <w:r>
        <w:rPr>
          <w:spacing w:val="-13"/>
        </w:rPr>
        <w:t> </w:t>
      </w:r>
      <w:r>
        <w:rPr/>
        <w:t>includes</w:t>
      </w:r>
      <w:r>
        <w:rPr>
          <w:spacing w:val="-11"/>
        </w:rPr>
        <w:t> </w:t>
      </w:r>
      <w:r>
        <w:rPr/>
        <w:t>estimation</w:t>
      </w:r>
      <w:r>
        <w:rPr>
          <w:spacing w:val="-12"/>
        </w:rPr>
        <w:t> </w:t>
      </w:r>
      <w:r>
        <w:rPr/>
        <w:t>techniques</w:t>
      </w:r>
      <w:r>
        <w:rPr>
          <w:spacing w:val="-13"/>
        </w:rPr>
        <w:t> </w:t>
      </w:r>
      <w:r>
        <w:rPr/>
        <w:t>that</w:t>
      </w:r>
      <w:r>
        <w:rPr>
          <w:spacing w:val="-13"/>
        </w:rPr>
        <w:t> </w:t>
      </w:r>
      <w:r>
        <w:rPr/>
        <w:t>depend</w:t>
      </w:r>
      <w:r>
        <w:rPr>
          <w:spacing w:val="-13"/>
        </w:rPr>
        <w:t> </w:t>
      </w:r>
      <w:r>
        <w:rPr/>
        <w:t>primarily</w:t>
      </w:r>
      <w:r>
        <w:rPr>
          <w:spacing w:val="-57"/>
        </w:rPr>
        <w:t> </w:t>
      </w:r>
      <w:r>
        <w:rPr/>
        <w:t>on statistics without relying on economic theories. Relevant a-theoretic estimation techniques</w:t>
      </w:r>
      <w:r>
        <w:rPr>
          <w:spacing w:val="-57"/>
        </w:rPr>
        <w:t> </w:t>
      </w:r>
      <w:r>
        <w:rPr/>
        <w:t>that have been applied in the context of research on fiscal and monetary policy interactions</w:t>
      </w:r>
      <w:r>
        <w:rPr>
          <w:spacing w:val="1"/>
        </w:rPr>
        <w:t> </w:t>
      </w:r>
      <w:r>
        <w:rPr>
          <w:spacing w:val="-1"/>
        </w:rPr>
        <w:t>include</w:t>
      </w:r>
      <w:r>
        <w:rPr>
          <w:spacing w:val="-16"/>
        </w:rPr>
        <w:t> </w:t>
      </w:r>
      <w:r>
        <w:rPr>
          <w:spacing w:val="-1"/>
        </w:rPr>
        <w:t>Granger</w:t>
      </w:r>
      <w:r>
        <w:rPr>
          <w:spacing w:val="-13"/>
        </w:rPr>
        <w:t> </w:t>
      </w:r>
      <w:r>
        <w:rPr/>
        <w:t>Causality,</w:t>
      </w:r>
      <w:r>
        <w:rPr>
          <w:spacing w:val="-13"/>
        </w:rPr>
        <w:t> </w:t>
      </w:r>
      <w:r>
        <w:rPr/>
        <w:t>Cointegration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Vector</w:t>
      </w:r>
      <w:r>
        <w:rPr>
          <w:spacing w:val="-16"/>
        </w:rPr>
        <w:t> </w:t>
      </w:r>
      <w:r>
        <w:rPr/>
        <w:t>Auto</w:t>
      </w:r>
      <w:r>
        <w:rPr>
          <w:spacing w:val="-15"/>
        </w:rPr>
        <w:t> </w:t>
      </w:r>
      <w:r>
        <w:rPr/>
        <w:t>regression</w:t>
      </w:r>
      <w:r>
        <w:rPr>
          <w:spacing w:val="-15"/>
        </w:rPr>
        <w:t> </w:t>
      </w:r>
      <w:r>
        <w:rPr/>
        <w:t>techniques.</w:t>
      </w:r>
      <w:r>
        <w:rPr>
          <w:spacing w:val="-15"/>
        </w:rPr>
        <w:t> </w:t>
      </w:r>
      <w:r>
        <w:rPr/>
        <w:t>For</w:t>
      </w:r>
      <w:r>
        <w:rPr>
          <w:spacing w:val="-16"/>
        </w:rPr>
        <w:t> </w:t>
      </w:r>
      <w:r>
        <w:rPr/>
        <w:t>example,</w:t>
      </w:r>
      <w:r>
        <w:rPr>
          <w:spacing w:val="-57"/>
        </w:rPr>
        <w:t> </w:t>
      </w:r>
      <w:r>
        <w:rPr/>
        <w:t>Janků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Kappel</w:t>
      </w:r>
      <w:r>
        <w:rPr>
          <w:spacing w:val="58"/>
        </w:rPr>
        <w:t> </w:t>
      </w:r>
      <w:r>
        <w:rPr/>
        <w:t>(2014)</w:t>
      </w:r>
      <w:r>
        <w:rPr>
          <w:spacing w:val="57"/>
        </w:rPr>
        <w:t> </w:t>
      </w:r>
      <w:r>
        <w:rPr/>
        <w:t>used</w:t>
      </w:r>
      <w:r>
        <w:rPr>
          <w:spacing w:val="57"/>
        </w:rPr>
        <w:t> </w:t>
      </w:r>
      <w:r>
        <w:rPr/>
        <w:t>a</w:t>
      </w:r>
      <w:r>
        <w:rPr>
          <w:spacing w:val="56"/>
        </w:rPr>
        <w:t> </w:t>
      </w:r>
      <w:r>
        <w:rPr/>
        <w:t>multivariate</w:t>
      </w:r>
      <w:r>
        <w:rPr>
          <w:spacing w:val="57"/>
        </w:rPr>
        <w:t> </w:t>
      </w:r>
      <w:r>
        <w:rPr/>
        <w:t>regression</w:t>
      </w:r>
      <w:r>
        <w:rPr>
          <w:spacing w:val="58"/>
        </w:rPr>
        <w:t> </w:t>
      </w:r>
      <w:r>
        <w:rPr/>
        <w:t>analysis</w:t>
      </w:r>
      <w:r>
        <w:rPr>
          <w:spacing w:val="58"/>
        </w:rPr>
        <w:t> </w:t>
      </w:r>
      <w:r>
        <w:rPr/>
        <w:t>to</w:t>
      </w:r>
      <w:r>
        <w:rPr>
          <w:spacing w:val="58"/>
        </w:rPr>
        <w:t> </w:t>
      </w:r>
      <w:r>
        <w:rPr/>
        <w:t>examine</w:t>
      </w:r>
      <w:r>
        <w:rPr>
          <w:spacing w:val="56"/>
        </w:rPr>
        <w:t> </w:t>
      </w:r>
      <w:r>
        <w:rPr/>
        <w:t>fiscal</w:t>
      </w:r>
      <w:r>
        <w:rPr>
          <w:spacing w:val="58"/>
        </w:rPr>
        <w:t> </w:t>
      </w:r>
      <w:r>
        <w:rPr/>
        <w:t>and</w:t>
      </w:r>
      <w:r>
        <w:rPr>
          <w:spacing w:val="-58"/>
        </w:rPr>
        <w:t> </w:t>
      </w:r>
      <w:r>
        <w:rPr/>
        <w:t>monetary</w:t>
      </w:r>
      <w:r>
        <w:rPr>
          <w:spacing w:val="-13"/>
        </w:rPr>
        <w:t> </w:t>
      </w:r>
      <w:r>
        <w:rPr/>
        <w:t>policy</w:t>
      </w:r>
      <w:r>
        <w:rPr>
          <w:spacing w:val="-12"/>
        </w:rPr>
        <w:t> </w:t>
      </w:r>
      <w:r>
        <w:rPr/>
        <w:t>interaction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countries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Visegrad</w:t>
      </w:r>
      <w:r>
        <w:rPr>
          <w:spacing w:val="-6"/>
        </w:rPr>
        <w:t> </w:t>
      </w:r>
      <w:r>
        <w:rPr/>
        <w:t>Group: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Czech</w:t>
      </w:r>
      <w:r>
        <w:rPr>
          <w:spacing w:val="-5"/>
        </w:rPr>
        <w:t> </w:t>
      </w:r>
      <w:r>
        <w:rPr/>
        <w:t>Republic,</w:t>
      </w:r>
      <w:r>
        <w:rPr>
          <w:spacing w:val="-9"/>
        </w:rPr>
        <w:t> </w:t>
      </w:r>
      <w:r>
        <w:rPr/>
        <w:t>Slovakia,</w:t>
      </w:r>
      <w:r>
        <w:rPr>
          <w:spacing w:val="-57"/>
        </w:rPr>
        <w:t> </w:t>
      </w:r>
      <w:r>
        <w:rPr/>
        <w:t>Poland and Hungary over the period 2000Q1- 2012Q4. The authors estimated fiscal and</w:t>
      </w:r>
      <w:r>
        <w:rPr>
          <w:spacing w:val="1"/>
        </w:rPr>
        <w:t> </w:t>
      </w:r>
      <w:r>
        <w:rPr/>
        <w:t>monetary reaction functions for each country using twelve separate equations. The authors</w:t>
      </w:r>
      <w:r>
        <w:rPr>
          <w:spacing w:val="1"/>
        </w:rPr>
        <w:t> </w:t>
      </w:r>
      <w:r>
        <w:rPr>
          <w:spacing w:val="-1"/>
        </w:rPr>
        <w:t>conducted</w:t>
      </w:r>
      <w:r>
        <w:rPr>
          <w:spacing w:val="-11"/>
        </w:rPr>
        <w:t> </w:t>
      </w:r>
      <w:r>
        <w:rPr/>
        <w:t>unit</w:t>
      </w:r>
      <w:r>
        <w:rPr>
          <w:spacing w:val="-8"/>
        </w:rPr>
        <w:t> </w:t>
      </w:r>
      <w:r>
        <w:rPr/>
        <w:t>root</w:t>
      </w:r>
      <w:r>
        <w:rPr>
          <w:spacing w:val="-10"/>
        </w:rPr>
        <w:t> </w:t>
      </w:r>
      <w:r>
        <w:rPr/>
        <w:t>tests</w:t>
      </w:r>
      <w:r>
        <w:rPr>
          <w:spacing w:val="-9"/>
        </w:rPr>
        <w:t> </w:t>
      </w:r>
      <w:r>
        <w:rPr/>
        <w:t>on</w:t>
      </w:r>
      <w:r>
        <w:rPr>
          <w:spacing w:val="-10"/>
        </w:rPr>
        <w:t> </w:t>
      </w:r>
      <w:r>
        <w:rPr/>
        <w:t>variables</w:t>
      </w:r>
      <w:r>
        <w:rPr>
          <w:spacing w:val="-9"/>
        </w:rPr>
        <w:t> </w:t>
      </w:r>
      <w:r>
        <w:rPr/>
        <w:t>used,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order</w:t>
      </w:r>
      <w:r>
        <w:rPr>
          <w:spacing w:val="-11"/>
        </w:rPr>
        <w:t> </w:t>
      </w:r>
      <w:r>
        <w:rPr/>
        <w:t>to</w:t>
      </w:r>
      <w:r>
        <w:rPr>
          <w:spacing w:val="-9"/>
        </w:rPr>
        <w:t> </w:t>
      </w:r>
      <w:r>
        <w:rPr/>
        <w:t>ensure</w:t>
      </w:r>
      <w:r>
        <w:rPr>
          <w:spacing w:val="-12"/>
        </w:rPr>
        <w:t> </w:t>
      </w:r>
      <w:r>
        <w:rPr/>
        <w:t>stationarity</w:t>
      </w:r>
      <w:r>
        <w:rPr>
          <w:spacing w:val="-14"/>
        </w:rPr>
        <w:t> </w:t>
      </w:r>
      <w:r>
        <w:rPr/>
        <w:t>and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avoid</w:t>
      </w:r>
      <w:r>
        <w:rPr>
          <w:spacing w:val="-6"/>
        </w:rPr>
        <w:t> </w:t>
      </w:r>
      <w:r>
        <w:rPr/>
        <w:t>spurious</w:t>
      </w:r>
      <w:r>
        <w:rPr>
          <w:spacing w:val="-57"/>
        </w:rPr>
        <w:t> </w:t>
      </w:r>
      <w:r>
        <w:rPr/>
        <w:t>regression.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result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study</w:t>
      </w:r>
      <w:r>
        <w:rPr>
          <w:spacing w:val="-15"/>
        </w:rPr>
        <w:t> </w:t>
      </w:r>
      <w:r>
        <w:rPr/>
        <w:t>showed</w:t>
      </w:r>
      <w:r>
        <w:rPr>
          <w:spacing w:val="-10"/>
        </w:rPr>
        <w:t> </w:t>
      </w:r>
      <w:r>
        <w:rPr/>
        <w:t>that</w:t>
      </w:r>
      <w:r>
        <w:rPr>
          <w:spacing w:val="-8"/>
        </w:rPr>
        <w:t> </w:t>
      </w:r>
      <w:r>
        <w:rPr/>
        <w:t>monetary</w:t>
      </w:r>
      <w:r>
        <w:rPr>
          <w:spacing w:val="-15"/>
        </w:rPr>
        <w:t> </w:t>
      </w:r>
      <w:r>
        <w:rPr/>
        <w:t>policy</w:t>
      </w:r>
      <w:r>
        <w:rPr>
          <w:spacing w:val="-12"/>
        </w:rPr>
        <w:t> </w:t>
      </w:r>
      <w:r>
        <w:rPr/>
        <w:t>has</w:t>
      </w:r>
      <w:r>
        <w:rPr>
          <w:spacing w:val="-8"/>
        </w:rPr>
        <w:t> </w:t>
      </w:r>
      <w:r>
        <w:rPr/>
        <w:t>stabilising</w:t>
      </w:r>
      <w:r>
        <w:rPr>
          <w:spacing w:val="-9"/>
        </w:rPr>
        <w:t> </w:t>
      </w:r>
      <w:r>
        <w:rPr/>
        <w:t>effect,</w:t>
      </w:r>
      <w:r>
        <w:rPr>
          <w:spacing w:val="-7"/>
        </w:rPr>
        <w:t> </w:t>
      </w:r>
      <w:r>
        <w:rPr/>
        <w:t>such</w:t>
      </w:r>
      <w:r>
        <w:rPr>
          <w:spacing w:val="-10"/>
        </w:rPr>
        <w:t> </w:t>
      </w:r>
      <w:r>
        <w:rPr/>
        <w:t>that</w:t>
      </w:r>
      <w:r>
        <w:rPr>
          <w:spacing w:val="-57"/>
        </w:rPr>
        <w:t> </w:t>
      </w:r>
      <w:r>
        <w:rPr/>
        <w:t>inflation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output</w:t>
      </w:r>
      <w:r>
        <w:rPr>
          <w:spacing w:val="-5"/>
        </w:rPr>
        <w:t> </w:t>
      </w:r>
      <w:r>
        <w:rPr/>
        <w:t>gap</w:t>
      </w:r>
      <w:r>
        <w:rPr>
          <w:spacing w:val="-9"/>
        </w:rPr>
        <w:t> </w:t>
      </w:r>
      <w:r>
        <w:rPr/>
        <w:t>significantly</w:t>
      </w:r>
      <w:r>
        <w:rPr>
          <w:spacing w:val="-10"/>
        </w:rPr>
        <w:t> </w:t>
      </w:r>
      <w:r>
        <w:rPr/>
        <w:t>respond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both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negative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positive</w:t>
      </w:r>
      <w:r>
        <w:rPr>
          <w:spacing w:val="-8"/>
        </w:rPr>
        <w:t> </w:t>
      </w:r>
      <w:r>
        <w:rPr/>
        <w:t>manner.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fiscal</w:t>
      </w:r>
      <w:r>
        <w:rPr>
          <w:spacing w:val="-2"/>
        </w:rPr>
        <w:t> </w:t>
      </w:r>
      <w:r>
        <w:rPr/>
        <w:t>policy</w:t>
      </w:r>
      <w:r>
        <w:rPr>
          <w:spacing w:val="-8"/>
        </w:rPr>
        <w:t> </w:t>
      </w:r>
      <w:r>
        <w:rPr/>
        <w:t>too</w:t>
      </w:r>
      <w:r>
        <w:rPr>
          <w:spacing w:val="-2"/>
        </w:rPr>
        <w:t> </w:t>
      </w:r>
      <w:r>
        <w:rPr/>
        <w:t>has</w:t>
      </w:r>
      <w:r>
        <w:rPr>
          <w:spacing w:val="-3"/>
        </w:rPr>
        <w:t> </w:t>
      </w:r>
      <w:r>
        <w:rPr/>
        <w:t>stabilising</w:t>
      </w:r>
      <w:r>
        <w:rPr>
          <w:spacing w:val="-5"/>
        </w:rPr>
        <w:t> </w:t>
      </w:r>
      <w:r>
        <w:rPr/>
        <w:t>effects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economy</w:t>
      </w:r>
      <w:r>
        <w:rPr>
          <w:spacing w:val="-8"/>
        </w:rPr>
        <w:t> </w:t>
      </w:r>
      <w:r>
        <w:rPr/>
        <w:t>to</w:t>
      </w:r>
      <w:r>
        <w:rPr>
          <w:spacing w:val="-2"/>
        </w:rPr>
        <w:t> </w:t>
      </w:r>
      <w:r>
        <w:rPr/>
        <w:t>some</w:t>
      </w:r>
      <w:r>
        <w:rPr>
          <w:spacing w:val="-3"/>
        </w:rPr>
        <w:t> </w:t>
      </w:r>
      <w:r>
        <w:rPr/>
        <w:t>extent.</w:t>
      </w:r>
      <w:r>
        <w:rPr>
          <w:spacing w:val="-3"/>
        </w:rPr>
        <w:t> </w:t>
      </w:r>
      <w:r>
        <w:rPr/>
        <w:t>Furthermore,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57"/>
        </w:rPr>
        <w:t> </w:t>
      </w:r>
      <w:r>
        <w:rPr/>
        <w:t>found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fiscal</w:t>
      </w:r>
      <w:r>
        <w:rPr>
          <w:spacing w:val="-2"/>
        </w:rPr>
        <w:t> </w:t>
      </w:r>
      <w:r>
        <w:rPr/>
        <w:t>policy</w:t>
      </w:r>
      <w:r>
        <w:rPr>
          <w:spacing w:val="-7"/>
        </w:rPr>
        <w:t> </w:t>
      </w:r>
      <w:r>
        <w:rPr/>
        <w:t>significantly</w:t>
      </w:r>
      <w:r>
        <w:rPr>
          <w:spacing w:val="-8"/>
        </w:rPr>
        <w:t> </w:t>
      </w:r>
      <w:r>
        <w:rPr/>
        <w:t>adjusts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monetary</w:t>
      </w:r>
      <w:r>
        <w:rPr>
          <w:spacing w:val="-8"/>
        </w:rPr>
        <w:t> </w:t>
      </w:r>
      <w:r>
        <w:rPr/>
        <w:t>policy</w:t>
      </w:r>
      <w:r>
        <w:rPr>
          <w:spacing w:val="-9"/>
        </w:rPr>
        <w:t> </w:t>
      </w:r>
      <w:r>
        <w:rPr/>
        <w:t>in</w:t>
      </w:r>
      <w:r>
        <w:rPr>
          <w:spacing w:val="-2"/>
        </w:rPr>
        <w:t> </w:t>
      </w:r>
      <w:r>
        <w:rPr/>
        <w:t>three</w:t>
      </w:r>
      <w:r>
        <w:rPr>
          <w:spacing w:val="-4"/>
        </w:rPr>
        <w:t> </w:t>
      </w:r>
      <w:r>
        <w:rPr/>
        <w:t>out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four</w:t>
      </w:r>
      <w:r>
        <w:rPr>
          <w:spacing w:val="-4"/>
        </w:rPr>
        <w:t> </w:t>
      </w:r>
      <w:r>
        <w:rPr/>
        <w:t>sample</w:t>
      </w:r>
      <w:r>
        <w:rPr>
          <w:spacing w:val="-57"/>
        </w:rPr>
        <w:t> </w:t>
      </w:r>
      <w:r>
        <w:rPr>
          <w:spacing w:val="-1"/>
        </w:rPr>
        <w:t>countries:</w:t>
      </w:r>
      <w:r>
        <w:rPr>
          <w:spacing w:val="-9"/>
        </w:rPr>
        <w:t> </w:t>
      </w:r>
      <w:r>
        <w:rPr/>
        <w:t>Czech</w:t>
      </w:r>
      <w:r>
        <w:rPr>
          <w:spacing w:val="-9"/>
        </w:rPr>
        <w:t> </w:t>
      </w:r>
      <w:r>
        <w:rPr/>
        <w:t>Republic,</w:t>
      </w:r>
      <w:r>
        <w:rPr>
          <w:spacing w:val="-9"/>
        </w:rPr>
        <w:t> </w:t>
      </w:r>
      <w:r>
        <w:rPr/>
        <w:t>Slovakia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Poland.</w:t>
      </w:r>
      <w:r>
        <w:rPr>
          <w:spacing w:val="-10"/>
        </w:rPr>
        <w:t> </w:t>
      </w:r>
      <w:r>
        <w:rPr/>
        <w:t>This</w:t>
      </w:r>
      <w:r>
        <w:rPr>
          <w:spacing w:val="-9"/>
        </w:rPr>
        <w:t> </w:t>
      </w:r>
      <w:r>
        <w:rPr/>
        <w:t>means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there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monetary</w:t>
      </w:r>
      <w:r>
        <w:rPr>
          <w:spacing w:val="-14"/>
        </w:rPr>
        <w:t> </w:t>
      </w:r>
      <w:r>
        <w:rPr/>
        <w:t>dominance</w:t>
      </w:r>
      <w:r>
        <w:rPr>
          <w:spacing w:val="-58"/>
        </w:rPr>
        <w:t> </w:t>
      </w:r>
      <w:r>
        <w:rPr/>
        <w:t>in these countries. However, the study left out diagnostic testing of parameter values for</w:t>
      </w:r>
      <w:r>
        <w:rPr>
          <w:spacing w:val="1"/>
        </w:rPr>
        <w:t> </w:t>
      </w:r>
      <w:r>
        <w:rPr/>
        <w:t>violation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assumptions</w:t>
      </w:r>
      <w:r>
        <w:rPr>
          <w:spacing w:val="-3"/>
        </w:rPr>
        <w:t> </w:t>
      </w:r>
      <w:r>
        <w:rPr/>
        <w:t>of ordinary</w:t>
      </w:r>
      <w:r>
        <w:rPr>
          <w:spacing w:val="-5"/>
        </w:rPr>
        <w:t> </w:t>
      </w:r>
      <w:r>
        <w:rPr/>
        <w:t>least square estimates.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760" w:right="1434"/>
        <w:jc w:val="both"/>
      </w:pPr>
      <w:r>
        <w:rPr/>
        <w:t>Reade (2011) used a cointegrated VAR method to assess monetary and fiscal interactions in</w:t>
      </w:r>
      <w:r>
        <w:rPr>
          <w:spacing w:val="1"/>
        </w:rPr>
        <w:t> </w:t>
      </w:r>
      <w:r>
        <w:rPr/>
        <w:t>the United States over the period 1982Q1- 2010Q2. The author found that, monetary policy</w:t>
      </w:r>
      <w:r>
        <w:rPr>
          <w:spacing w:val="1"/>
        </w:rPr>
        <w:t> </w:t>
      </w:r>
      <w:r>
        <w:rPr/>
        <w:t>has a passive stance while fiscal policy has an active stance. Both policies are revealed to</w:t>
      </w:r>
      <w:r>
        <w:rPr>
          <w:spacing w:val="1"/>
        </w:rPr>
        <w:t> </w:t>
      </w:r>
      <w:r>
        <w:rPr/>
        <w:t>complement each other. Muscatelli, Tirelli and Trecroci (2002) estimated VAR and Bayesian</w:t>
      </w:r>
      <w:r>
        <w:rPr>
          <w:spacing w:val="-57"/>
        </w:rPr>
        <w:t> </w:t>
      </w:r>
      <w:r>
        <w:rPr/>
        <w:t>VAR models for 5 OECD countries: Germany, France, Italy, the United Kingdom, and the</w:t>
      </w:r>
      <w:r>
        <w:rPr>
          <w:spacing w:val="1"/>
        </w:rPr>
        <w:t> </w:t>
      </w:r>
      <w:r>
        <w:rPr/>
        <w:t>United</w:t>
      </w:r>
      <w:r>
        <w:rPr>
          <w:spacing w:val="-9"/>
        </w:rPr>
        <w:t> </w:t>
      </w:r>
      <w:r>
        <w:rPr/>
        <w:t>States,</w:t>
      </w:r>
      <w:r>
        <w:rPr>
          <w:spacing w:val="-7"/>
        </w:rPr>
        <w:t> </w:t>
      </w:r>
      <w:r>
        <w:rPr/>
        <w:t>using</w:t>
      </w:r>
      <w:r>
        <w:rPr>
          <w:spacing w:val="-10"/>
        </w:rPr>
        <w:t> </w:t>
      </w:r>
      <w:r>
        <w:rPr/>
        <w:t>quarterly</w:t>
      </w:r>
      <w:r>
        <w:rPr>
          <w:spacing w:val="-10"/>
        </w:rPr>
        <w:t> </w:t>
      </w:r>
      <w:r>
        <w:rPr/>
        <w:t>series</w:t>
      </w:r>
      <w:r>
        <w:rPr>
          <w:spacing w:val="-7"/>
        </w:rPr>
        <w:t> </w:t>
      </w:r>
      <w:r>
        <w:rPr/>
        <w:t>comprising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output</w:t>
      </w:r>
      <w:r>
        <w:rPr>
          <w:spacing w:val="-5"/>
        </w:rPr>
        <w:t> </w:t>
      </w:r>
      <w:r>
        <w:rPr/>
        <w:t>gap,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inflation</w:t>
      </w:r>
      <w:r>
        <w:rPr>
          <w:spacing w:val="-8"/>
        </w:rPr>
        <w:t> </w:t>
      </w:r>
      <w:r>
        <w:rPr/>
        <w:t>rate,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measure</w:t>
      </w:r>
      <w:r>
        <w:rPr>
          <w:spacing w:val="-9"/>
        </w:rPr>
        <w:t> </w:t>
      </w:r>
      <w:r>
        <w:rPr/>
        <w:t>of</w:t>
      </w:r>
      <w:r>
        <w:rPr>
          <w:spacing w:val="-57"/>
        </w:rPr>
        <w:t> </w:t>
      </w:r>
      <w:r>
        <w:rPr/>
        <w:t>fiscal stance and the interest rate, in order to examine fiscal and monetary policy interactions</w:t>
      </w:r>
      <w:r>
        <w:rPr>
          <w:spacing w:val="1"/>
        </w:rPr>
        <w:t> </w:t>
      </w:r>
      <w:r>
        <w:rPr/>
        <w:t>and their effects on macroeconomic targets. The authors estimated for fixed parameters in the</w:t>
      </w:r>
      <w:r>
        <w:rPr>
          <w:spacing w:val="-57"/>
        </w:rPr>
        <w:t> </w:t>
      </w:r>
      <w:r>
        <w:rPr/>
        <w:t>conventional</w:t>
      </w:r>
      <w:r>
        <w:rPr>
          <w:spacing w:val="-6"/>
        </w:rPr>
        <w:t> </w:t>
      </w:r>
      <w:r>
        <w:rPr/>
        <w:t>VAR</w:t>
      </w:r>
      <w:r>
        <w:rPr>
          <w:spacing w:val="-5"/>
        </w:rPr>
        <w:t> </w:t>
      </w:r>
      <w:r>
        <w:rPr/>
        <w:t>technique,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order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assess</w:t>
      </w:r>
      <w:r>
        <w:rPr>
          <w:spacing w:val="-3"/>
        </w:rPr>
        <w:t> </w:t>
      </w:r>
      <w:r>
        <w:rPr/>
        <w:t>whether</w:t>
      </w:r>
      <w:r>
        <w:rPr>
          <w:spacing w:val="-5"/>
        </w:rPr>
        <w:t> </w:t>
      </w:r>
      <w:r>
        <w:rPr/>
        <w:t>fiscal</w:t>
      </w:r>
      <w:r>
        <w:rPr>
          <w:spacing w:val="-2"/>
        </w:rPr>
        <w:t> </w:t>
      </w:r>
      <w:r>
        <w:rPr/>
        <w:t>and</w:t>
      </w:r>
      <w:r>
        <w:rPr>
          <w:spacing w:val="-6"/>
        </w:rPr>
        <w:t> </w:t>
      </w:r>
      <w:r>
        <w:rPr/>
        <w:t>monetary</w:t>
      </w:r>
      <w:r>
        <w:rPr>
          <w:spacing w:val="-8"/>
        </w:rPr>
        <w:t> </w:t>
      </w:r>
      <w:r>
        <w:rPr/>
        <w:t>policy</w:t>
      </w:r>
      <w:r>
        <w:rPr>
          <w:spacing w:val="-8"/>
        </w:rPr>
        <w:t> </w:t>
      </w:r>
      <w:r>
        <w:rPr/>
        <w:t>interact</w:t>
      </w:r>
      <w:r>
        <w:rPr>
          <w:spacing w:val="-6"/>
        </w:rPr>
        <w:t> </w:t>
      </w:r>
      <w:r>
        <w:rPr/>
        <w:t>as</w:t>
      </w:r>
      <w:r>
        <w:rPr>
          <w:spacing w:val="-57"/>
        </w:rPr>
        <w:t> </w:t>
      </w:r>
      <w:r>
        <w:rPr/>
        <w:t>substitutes</w:t>
      </w:r>
      <w:r>
        <w:rPr>
          <w:spacing w:val="32"/>
        </w:rPr>
        <w:t> </w:t>
      </w:r>
      <w:r>
        <w:rPr/>
        <w:t>or</w:t>
      </w:r>
      <w:r>
        <w:rPr>
          <w:spacing w:val="31"/>
        </w:rPr>
        <w:t> </w:t>
      </w:r>
      <w:r>
        <w:rPr/>
        <w:t>complements.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study,</w:t>
      </w:r>
      <w:r>
        <w:rPr>
          <w:spacing w:val="32"/>
        </w:rPr>
        <w:t> </w:t>
      </w:r>
      <w:r>
        <w:rPr/>
        <w:t>then,</w:t>
      </w:r>
      <w:r>
        <w:rPr>
          <w:spacing w:val="31"/>
        </w:rPr>
        <w:t> </w:t>
      </w:r>
      <w:r>
        <w:rPr/>
        <w:t>estimated</w:t>
      </w:r>
      <w:r>
        <w:rPr>
          <w:spacing w:val="32"/>
        </w:rPr>
        <w:t> </w:t>
      </w:r>
      <w:r>
        <w:rPr/>
        <w:t>for</w:t>
      </w:r>
      <w:r>
        <w:rPr>
          <w:spacing w:val="30"/>
        </w:rPr>
        <w:t> </w:t>
      </w:r>
      <w:r>
        <w:rPr/>
        <w:t>time-varying</w:t>
      </w:r>
      <w:r>
        <w:rPr>
          <w:spacing w:val="29"/>
        </w:rPr>
        <w:t> </w:t>
      </w:r>
      <w:r>
        <w:rPr/>
        <w:t>policy</w:t>
      </w:r>
      <w:r>
        <w:rPr>
          <w:spacing w:val="28"/>
        </w:rPr>
        <w:t> </w:t>
      </w:r>
      <w:r>
        <w:rPr/>
        <w:t>parameters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37"/>
        <w:jc w:val="both"/>
      </w:pPr>
      <w:r>
        <w:rPr/>
        <w:t>using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Bayesian</w:t>
      </w:r>
      <w:r>
        <w:rPr>
          <w:spacing w:val="-8"/>
        </w:rPr>
        <w:t> </w:t>
      </w:r>
      <w:r>
        <w:rPr/>
        <w:t>VAR</w:t>
      </w:r>
      <w:r>
        <w:rPr>
          <w:spacing w:val="-6"/>
        </w:rPr>
        <w:t> </w:t>
      </w:r>
      <w:r>
        <w:rPr/>
        <w:t>model,</w:t>
      </w:r>
      <w:r>
        <w:rPr>
          <w:spacing w:val="-8"/>
        </w:rPr>
        <w:t> </w:t>
      </w:r>
      <w:r>
        <w:rPr/>
        <w:t>so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capture</w:t>
      </w:r>
      <w:r>
        <w:rPr>
          <w:spacing w:val="-10"/>
        </w:rPr>
        <w:t> </w:t>
      </w:r>
      <w:r>
        <w:rPr/>
        <w:t>any</w:t>
      </w:r>
      <w:r>
        <w:rPr>
          <w:spacing w:val="-10"/>
        </w:rPr>
        <w:t> </w:t>
      </w:r>
      <w:r>
        <w:rPr/>
        <w:t>regime</w:t>
      </w:r>
      <w:r>
        <w:rPr>
          <w:spacing w:val="-10"/>
        </w:rPr>
        <w:t> </w:t>
      </w:r>
      <w:r>
        <w:rPr/>
        <w:t>shift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fiscal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monetary</w:t>
      </w:r>
      <w:r>
        <w:rPr>
          <w:spacing w:val="-13"/>
        </w:rPr>
        <w:t> </w:t>
      </w:r>
      <w:r>
        <w:rPr/>
        <w:t>policy</w:t>
      </w:r>
      <w:r>
        <w:rPr>
          <w:spacing w:val="-57"/>
        </w:rPr>
        <w:t> </w:t>
      </w:r>
      <w:r>
        <w:rPr/>
        <w:t>interactions over time. The study found asymmetry in the interaction between fiscal and</w:t>
      </w:r>
      <w:r>
        <w:rPr>
          <w:spacing w:val="1"/>
        </w:rPr>
        <w:t> </w:t>
      </w:r>
      <w:r>
        <w:rPr/>
        <w:t>monetary policies in some countries. The study also provided evidence that the nature of</w:t>
      </w:r>
      <w:r>
        <w:rPr>
          <w:spacing w:val="1"/>
        </w:rPr>
        <w:t> </w:t>
      </w:r>
      <w:r>
        <w:rPr/>
        <w:t>interdependence</w:t>
      </w:r>
      <w:r>
        <w:rPr>
          <w:spacing w:val="-2"/>
        </w:rPr>
        <w:t> </w:t>
      </w:r>
      <w:r>
        <w:rPr/>
        <w:t>between</w:t>
      </w:r>
      <w:r>
        <w:rPr>
          <w:spacing w:val="2"/>
        </w:rPr>
        <w:t> </w:t>
      </w:r>
      <w:r>
        <w:rPr/>
        <w:t>fiscal and monetary</w:t>
      </w:r>
      <w:r>
        <w:rPr>
          <w:spacing w:val="-5"/>
        </w:rPr>
        <w:t> </w:t>
      </w:r>
      <w:r>
        <w:rPr/>
        <w:t>policy</w:t>
      </w:r>
      <w:r>
        <w:rPr>
          <w:spacing w:val="-5"/>
        </w:rPr>
        <w:t> </w:t>
      </w:r>
      <w:r>
        <w:rPr/>
        <w:t>has shifted over time.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760" w:right="1435"/>
        <w:jc w:val="both"/>
      </w:pPr>
      <w:r>
        <w:rPr/>
        <w:t>Franta, Libich and Stehlík (2012) also used the Time Varying Parameter VAR to analyse the</w:t>
      </w:r>
      <w:r>
        <w:rPr>
          <w:spacing w:val="1"/>
        </w:rPr>
        <w:t> </w:t>
      </w:r>
      <w:r>
        <w:rPr/>
        <w:t>interactions between fiscal and monetary policies, in terms of how monetary authorities</w:t>
      </w:r>
      <w:r>
        <w:rPr>
          <w:spacing w:val="1"/>
        </w:rPr>
        <w:t> </w:t>
      </w:r>
      <w:r>
        <w:rPr/>
        <w:t>respond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government</w:t>
      </w:r>
      <w:r>
        <w:rPr>
          <w:spacing w:val="-11"/>
        </w:rPr>
        <w:t> </w:t>
      </w:r>
      <w:r>
        <w:rPr/>
        <w:t>spending</w:t>
      </w:r>
      <w:r>
        <w:rPr>
          <w:spacing w:val="-13"/>
        </w:rPr>
        <w:t> </w:t>
      </w:r>
      <w:r>
        <w:rPr/>
        <w:t>shocks,</w:t>
      </w:r>
      <w:r>
        <w:rPr>
          <w:spacing w:val="-11"/>
        </w:rPr>
        <w:t> </w:t>
      </w:r>
      <w:r>
        <w:rPr/>
        <w:t>comparing</w:t>
      </w:r>
      <w:r>
        <w:rPr>
          <w:spacing w:val="-13"/>
        </w:rPr>
        <w:t> </w:t>
      </w:r>
      <w:r>
        <w:rPr/>
        <w:t>countries</w:t>
      </w:r>
      <w:r>
        <w:rPr>
          <w:spacing w:val="-12"/>
        </w:rPr>
        <w:t> </w:t>
      </w:r>
      <w:r>
        <w:rPr/>
        <w:t>with</w:t>
      </w:r>
      <w:r>
        <w:rPr>
          <w:spacing w:val="-11"/>
        </w:rPr>
        <w:t> </w:t>
      </w:r>
      <w:r>
        <w:rPr/>
        <w:t>inflation</w:t>
      </w:r>
      <w:r>
        <w:rPr>
          <w:spacing w:val="-13"/>
        </w:rPr>
        <w:t> </w:t>
      </w:r>
      <w:r>
        <w:rPr/>
        <w:t>targeting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non-</w:t>
      </w:r>
      <w:r>
        <w:rPr>
          <w:spacing w:val="-58"/>
        </w:rPr>
        <w:t> </w:t>
      </w:r>
      <w:r>
        <w:rPr/>
        <w:t>inflation targeting regimes. The authors estimated the Bayesian VAR models comprising of</w:t>
      </w:r>
      <w:r>
        <w:rPr>
          <w:spacing w:val="1"/>
        </w:rPr>
        <w:t> </w:t>
      </w:r>
      <w:r>
        <w:rPr>
          <w:spacing w:val="-1"/>
        </w:rPr>
        <w:t>five</w:t>
      </w:r>
      <w:r>
        <w:rPr>
          <w:spacing w:val="-16"/>
        </w:rPr>
        <w:t> </w:t>
      </w:r>
      <w:r>
        <w:rPr>
          <w:spacing w:val="-1"/>
        </w:rPr>
        <w:t>variables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output,</w:t>
      </w:r>
      <w:r>
        <w:rPr>
          <w:spacing w:val="-14"/>
        </w:rPr>
        <w:t> </w:t>
      </w:r>
      <w:r>
        <w:rPr/>
        <w:t>private</w:t>
      </w:r>
      <w:r>
        <w:rPr>
          <w:spacing w:val="-15"/>
        </w:rPr>
        <w:t> </w:t>
      </w:r>
      <w:r>
        <w:rPr/>
        <w:t>consumption,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short-term</w:t>
      </w:r>
      <w:r>
        <w:rPr>
          <w:spacing w:val="-14"/>
        </w:rPr>
        <w:t> </w:t>
      </w:r>
      <w:r>
        <w:rPr/>
        <w:t>interest</w:t>
      </w:r>
      <w:r>
        <w:rPr>
          <w:spacing w:val="-13"/>
        </w:rPr>
        <w:t> </w:t>
      </w:r>
      <w:r>
        <w:rPr/>
        <w:t>rate,</w:t>
      </w:r>
      <w:r>
        <w:rPr>
          <w:spacing w:val="-13"/>
        </w:rPr>
        <w:t> </w:t>
      </w:r>
      <w:r>
        <w:rPr/>
        <w:t>government</w:t>
      </w:r>
      <w:r>
        <w:rPr>
          <w:spacing w:val="-14"/>
        </w:rPr>
        <w:t> </w:t>
      </w:r>
      <w:r>
        <w:rPr/>
        <w:t>spending</w:t>
      </w:r>
      <w:r>
        <w:rPr>
          <w:spacing w:val="-57"/>
        </w:rPr>
        <w:t> </w:t>
      </w:r>
      <w:r>
        <w:rPr/>
        <w:t>(consumption and investment), and government debt over the period 1980Q1–2008Q2 for the</w:t>
      </w:r>
      <w:r>
        <w:rPr>
          <w:spacing w:val="-57"/>
        </w:rPr>
        <w:t> </w:t>
      </w:r>
      <w:r>
        <w:rPr/>
        <w:t>economies of Australia, Canada, Japan, Switzerland, the UK, and the U.S. The authors then</w:t>
      </w:r>
      <w:r>
        <w:rPr>
          <w:spacing w:val="1"/>
        </w:rPr>
        <w:t> </w:t>
      </w:r>
      <w:r>
        <w:rPr/>
        <w:t>obtained</w:t>
      </w:r>
      <w:r>
        <w:rPr>
          <w:spacing w:val="-6"/>
        </w:rPr>
        <w:t> </w:t>
      </w:r>
      <w:r>
        <w:rPr/>
        <w:t>impulse</w:t>
      </w:r>
      <w:r>
        <w:rPr>
          <w:spacing w:val="-5"/>
        </w:rPr>
        <w:t> </w:t>
      </w:r>
      <w:r>
        <w:rPr/>
        <w:t>response</w:t>
      </w:r>
      <w:r>
        <w:rPr>
          <w:spacing w:val="-7"/>
        </w:rPr>
        <w:t> </w:t>
      </w:r>
      <w:r>
        <w:rPr/>
        <w:t>functions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variables</w:t>
      </w:r>
      <w:r>
        <w:rPr>
          <w:spacing w:val="-6"/>
        </w:rPr>
        <w:t> </w:t>
      </w:r>
      <w:r>
        <w:rPr/>
        <w:t>assuming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spending</w:t>
      </w:r>
      <w:r>
        <w:rPr>
          <w:spacing w:val="-7"/>
        </w:rPr>
        <w:t> </w:t>
      </w:r>
      <w:r>
        <w:rPr/>
        <w:t>shock.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result</w:t>
      </w:r>
      <w:r>
        <w:rPr>
          <w:spacing w:val="-5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banks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inflation-targeting</w:t>
      </w:r>
      <w:r>
        <w:rPr>
          <w:spacing w:val="1"/>
        </w:rPr>
        <w:t> </w:t>
      </w:r>
      <w:r>
        <w:rPr/>
        <w:t>regimes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withstand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accommodating</w:t>
      </w:r>
      <w:r>
        <w:rPr>
          <w:spacing w:val="-10"/>
        </w:rPr>
        <w:t> </w:t>
      </w:r>
      <w:r>
        <w:rPr/>
        <w:t>government’s</w:t>
      </w:r>
      <w:r>
        <w:rPr>
          <w:spacing w:val="-10"/>
        </w:rPr>
        <w:t> </w:t>
      </w:r>
      <w:r>
        <w:rPr/>
        <w:t>spending</w:t>
      </w:r>
      <w:r>
        <w:rPr>
          <w:spacing w:val="-12"/>
        </w:rPr>
        <w:t> </w:t>
      </w:r>
      <w:r>
        <w:rPr/>
        <w:t>shocks.</w:t>
      </w:r>
      <w:r>
        <w:rPr>
          <w:spacing w:val="-8"/>
        </w:rPr>
        <w:t> </w:t>
      </w:r>
      <w:r>
        <w:rPr/>
        <w:t>Gerba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Hauzenberger</w:t>
      </w:r>
      <w:r>
        <w:rPr>
          <w:spacing w:val="-7"/>
        </w:rPr>
        <w:t> </w:t>
      </w:r>
      <w:r>
        <w:rPr/>
        <w:t>(2014)</w:t>
      </w:r>
      <w:r>
        <w:rPr>
          <w:spacing w:val="-10"/>
        </w:rPr>
        <w:t> </w:t>
      </w:r>
      <w:r>
        <w:rPr/>
        <w:t>also</w:t>
      </w:r>
      <w:r>
        <w:rPr>
          <w:spacing w:val="-9"/>
        </w:rPr>
        <w:t> </w:t>
      </w:r>
      <w:r>
        <w:rPr/>
        <w:t>used</w:t>
      </w:r>
      <w:r>
        <w:rPr>
          <w:spacing w:val="-10"/>
        </w:rPr>
        <w:t> </w:t>
      </w:r>
      <w:r>
        <w:rPr/>
        <w:t>the</w:t>
      </w:r>
      <w:r>
        <w:rPr>
          <w:spacing w:val="-57"/>
        </w:rPr>
        <w:t> </w:t>
      </w:r>
      <w:r>
        <w:rPr/>
        <w:t>TVP-VAR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examine</w:t>
      </w:r>
      <w:r>
        <w:rPr>
          <w:spacing w:val="-5"/>
        </w:rPr>
        <w:t> </w:t>
      </w:r>
      <w:r>
        <w:rPr/>
        <w:t>fiscal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monetary</w:t>
      </w:r>
      <w:r>
        <w:rPr>
          <w:spacing w:val="-11"/>
        </w:rPr>
        <w:t> </w:t>
      </w:r>
      <w:r>
        <w:rPr/>
        <w:t>policy</w:t>
      </w:r>
      <w:r>
        <w:rPr>
          <w:spacing w:val="-8"/>
        </w:rPr>
        <w:t> </w:t>
      </w:r>
      <w:r>
        <w:rPr/>
        <w:t>interaction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United</w:t>
      </w:r>
      <w:r>
        <w:rPr>
          <w:spacing w:val="-4"/>
        </w:rPr>
        <w:t> </w:t>
      </w:r>
      <w:r>
        <w:rPr/>
        <w:t>States.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fallout,</w:t>
      </w:r>
      <w:r>
        <w:rPr>
          <w:spacing w:val="-58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a-theoretic</w:t>
      </w:r>
      <w:r>
        <w:rPr>
          <w:spacing w:val="-1"/>
        </w:rPr>
        <w:t> </w:t>
      </w:r>
      <w:r>
        <w:rPr/>
        <w:t>approach is their</w:t>
      </w:r>
      <w:r>
        <w:rPr>
          <w:spacing w:val="-1"/>
        </w:rPr>
        <w:t> </w:t>
      </w:r>
      <w:r>
        <w:rPr/>
        <w:t>susceptibility</w:t>
      </w:r>
      <w:r>
        <w:rPr>
          <w:spacing w:val="-8"/>
        </w:rPr>
        <w:t> </w:t>
      </w:r>
      <w:r>
        <w:rPr/>
        <w:t>to the Lucas’</w:t>
      </w:r>
      <w:r>
        <w:rPr>
          <w:spacing w:val="-1"/>
        </w:rPr>
        <w:t> </w:t>
      </w:r>
      <w:r>
        <w:rPr/>
        <w:t>critique.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1"/>
        </w:numPr>
        <w:tabs>
          <w:tab w:pos="2603" w:val="left" w:leader="none"/>
        </w:tabs>
        <w:spacing w:line="240" w:lineRule="auto" w:before="156" w:after="0"/>
        <w:ind w:left="2602" w:right="0" w:hanging="843"/>
        <w:jc w:val="both"/>
      </w:pPr>
      <w:bookmarkStart w:name="_TOC_250046" w:id="14"/>
      <w:r>
        <w:rPr/>
        <w:t>Game</w:t>
      </w:r>
      <w:r>
        <w:rPr>
          <w:spacing w:val="-2"/>
        </w:rPr>
        <w:t> </w:t>
      </w:r>
      <w:r>
        <w:rPr/>
        <w:t>Theoretic</w:t>
      </w:r>
      <w:r>
        <w:rPr>
          <w:spacing w:val="-2"/>
        </w:rPr>
        <w:t> </w:t>
      </w:r>
      <w:bookmarkEnd w:id="14"/>
      <w:r>
        <w:rPr/>
        <w:t>Models</w:t>
      </w:r>
    </w:p>
    <w:p>
      <w:pPr>
        <w:pStyle w:val="BodyText"/>
        <w:spacing w:line="360" w:lineRule="auto" w:before="145"/>
        <w:ind w:left="1760" w:right="1435"/>
        <w:jc w:val="both"/>
      </w:pPr>
      <w:r>
        <w:rPr/>
        <w:t>Blinder</w:t>
      </w:r>
      <w:r>
        <w:rPr>
          <w:spacing w:val="-7"/>
        </w:rPr>
        <w:t> </w:t>
      </w:r>
      <w:r>
        <w:rPr/>
        <w:t>(1982),</w:t>
      </w:r>
      <w:r>
        <w:rPr>
          <w:spacing w:val="-6"/>
        </w:rPr>
        <w:t> </w:t>
      </w:r>
      <w:r>
        <w:rPr/>
        <w:t>Alesina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Tabellini</w:t>
      </w:r>
      <w:r>
        <w:rPr>
          <w:spacing w:val="-6"/>
        </w:rPr>
        <w:t> </w:t>
      </w:r>
      <w:r>
        <w:rPr/>
        <w:t>(1987)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examples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early</w:t>
      </w:r>
      <w:r>
        <w:rPr>
          <w:spacing w:val="-8"/>
        </w:rPr>
        <w:t> </w:t>
      </w:r>
      <w:r>
        <w:rPr/>
        <w:t>application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game</w:t>
      </w:r>
      <w:r>
        <w:rPr>
          <w:spacing w:val="-7"/>
        </w:rPr>
        <w:t> </w:t>
      </w:r>
      <w:r>
        <w:rPr/>
        <w:t>theory</w:t>
      </w:r>
      <w:r>
        <w:rPr>
          <w:spacing w:val="-57"/>
        </w:rPr>
        <w:t> </w:t>
      </w:r>
      <w:r>
        <w:rPr/>
        <w:t>models to issues on economic policy interactions. In these studies, fiscal and monetary policy</w:t>
      </w:r>
      <w:r>
        <w:rPr>
          <w:spacing w:val="-57"/>
        </w:rPr>
        <w:t> </w:t>
      </w:r>
      <w:r>
        <w:rPr/>
        <w:t>can be modelled as relating in three ways: as a single, unified policy maker- who can set both</w:t>
      </w:r>
      <w:r>
        <w:rPr>
          <w:spacing w:val="-57"/>
        </w:rPr>
        <w:t> </w:t>
      </w:r>
      <w:r>
        <w:rPr/>
        <w:t>fiscal and monetary targets; as independent institutions with no coordination; and in a leader-</w:t>
      </w:r>
      <w:r>
        <w:rPr>
          <w:spacing w:val="-57"/>
        </w:rPr>
        <w:t> </w:t>
      </w:r>
      <w:r>
        <w:rPr/>
        <w:t>follower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(Blinder,</w:t>
      </w:r>
      <w:r>
        <w:rPr>
          <w:spacing w:val="1"/>
        </w:rPr>
        <w:t> </w:t>
      </w:r>
      <w:r>
        <w:rPr/>
        <w:t>1982).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linear-quadratic</w:t>
      </w:r>
      <w:r>
        <w:rPr>
          <w:spacing w:val="1"/>
        </w:rPr>
        <w:t> </w:t>
      </w:r>
      <w:r>
        <w:rPr/>
        <w:t>constrained optimisation technique, to analyse a policymaker who maximises a (quadratic)</w:t>
      </w:r>
      <w:r>
        <w:rPr>
          <w:spacing w:val="1"/>
        </w:rPr>
        <w:t> </w:t>
      </w:r>
      <w:r>
        <w:rPr/>
        <w:t>policy preference or minimises loss functions in policy instruments subject to economic</w:t>
      </w:r>
      <w:r>
        <w:rPr>
          <w:spacing w:val="1"/>
        </w:rPr>
        <w:t> </w:t>
      </w:r>
      <w:r>
        <w:rPr/>
        <w:t>constraints. Two important results are usually obtained: first, the policy reaction functions</w:t>
      </w:r>
      <w:r>
        <w:rPr>
          <w:spacing w:val="1"/>
        </w:rPr>
        <w:t> </w:t>
      </w:r>
      <w:r>
        <w:rPr/>
        <w:t>which is a rule that depicts how one agent responds to the action of others and then, the</w:t>
      </w:r>
      <w:r>
        <w:rPr>
          <w:spacing w:val="1"/>
        </w:rPr>
        <w:t> </w:t>
      </w:r>
      <w:r>
        <w:rPr/>
        <w:t>equilibrium policy solutions. The equilibrium solution is usually an optimal rule in specified</w:t>
      </w:r>
      <w:r>
        <w:rPr>
          <w:spacing w:val="1"/>
        </w:rPr>
        <w:t> </w:t>
      </w:r>
      <w:r>
        <w:rPr/>
        <w:t>fiscal and monetary policy variables like interest rates, money supply, government spending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deficits.</w:t>
      </w:r>
      <w:r>
        <w:rPr>
          <w:spacing w:val="-4"/>
        </w:rPr>
        <w:t> </w:t>
      </w:r>
      <w:r>
        <w:rPr/>
        <w:t>Once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policy</w:t>
      </w:r>
      <w:r>
        <w:rPr>
          <w:spacing w:val="-9"/>
        </w:rPr>
        <w:t> </w:t>
      </w:r>
      <w:r>
        <w:rPr/>
        <w:t>reaction</w:t>
      </w:r>
      <w:r>
        <w:rPr>
          <w:spacing w:val="-4"/>
        </w:rPr>
        <w:t> </w:t>
      </w:r>
      <w:r>
        <w:rPr/>
        <w:t>functions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equilibrium</w:t>
      </w:r>
      <w:r>
        <w:rPr>
          <w:spacing w:val="-4"/>
        </w:rPr>
        <w:t> </w:t>
      </w:r>
      <w:r>
        <w:rPr/>
        <w:t>solutions</w:t>
      </w:r>
      <w:r>
        <w:rPr>
          <w:spacing w:val="-3"/>
        </w:rPr>
        <w:t> </w:t>
      </w:r>
      <w:r>
        <w:rPr/>
        <w:t>are</w:t>
      </w:r>
      <w:r>
        <w:rPr>
          <w:spacing w:val="-6"/>
        </w:rPr>
        <w:t> </w:t>
      </w:r>
      <w:r>
        <w:rPr/>
        <w:t>computed,</w:t>
      </w:r>
      <w:r>
        <w:rPr>
          <w:spacing w:val="-4"/>
        </w:rPr>
        <w:t> </w:t>
      </w:r>
      <w:r>
        <w:rPr/>
        <w:t>some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45"/>
        <w:jc w:val="both"/>
      </w:pPr>
      <w:r>
        <w:rPr/>
        <w:t>studies proceed further to estimate the parameters in these functions and simulate using a</w:t>
      </w:r>
      <w:r>
        <w:rPr>
          <w:spacing w:val="1"/>
        </w:rPr>
        <w:t> </w:t>
      </w:r>
      <w:r>
        <w:rPr/>
        <w:t>computational</w:t>
      </w:r>
      <w:r>
        <w:rPr>
          <w:spacing w:val="-1"/>
        </w:rPr>
        <w:t> </w:t>
      </w:r>
      <w:r>
        <w:rPr/>
        <w:t>iterative</w:t>
      </w:r>
      <w:r>
        <w:rPr>
          <w:spacing w:val="1"/>
        </w:rPr>
        <w:t> </w:t>
      </w:r>
      <w:r>
        <w:rPr/>
        <w:t>method that converges.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760" w:right="1435"/>
        <w:jc w:val="both"/>
      </w:pPr>
      <w:r>
        <w:rPr/>
        <w:t>Alesina and Tabellini (1987) examined fiscal and monetary policy interaction in a static-</w:t>
      </w:r>
      <w:r>
        <w:rPr>
          <w:spacing w:val="1"/>
        </w:rPr>
        <w:t> </w:t>
      </w:r>
      <w:r>
        <w:rPr/>
        <w:t>deterministic policy game that consists of three economic agents- the central bank, fiscal</w:t>
      </w:r>
      <w:r>
        <w:rPr>
          <w:spacing w:val="1"/>
        </w:rPr>
        <w:t> </w:t>
      </w:r>
      <w:r>
        <w:rPr/>
        <w:t>authority and wage setters. Using the quadratic programming and constrained optimization,</w:t>
      </w:r>
      <w:r>
        <w:rPr>
          <w:spacing w:val="1"/>
        </w:rPr>
        <w:t> </w:t>
      </w:r>
      <w:r>
        <w:rPr/>
        <w:t>the authors minimise the quadratic loss functions of both fiscal and monetary authorities as</w:t>
      </w:r>
      <w:r>
        <w:rPr>
          <w:spacing w:val="1"/>
        </w:rPr>
        <w:t> </w:t>
      </w:r>
      <w:r>
        <w:rPr/>
        <w:t>deviations of inflation and outputs from their targets. Then the authors computed the policy</w:t>
      </w:r>
      <w:r>
        <w:rPr>
          <w:spacing w:val="1"/>
        </w:rPr>
        <w:t> </w:t>
      </w:r>
      <w:r>
        <w:rPr>
          <w:spacing w:val="-1"/>
        </w:rPr>
        <w:t>reaction</w:t>
      </w:r>
      <w:r>
        <w:rPr>
          <w:spacing w:val="-10"/>
        </w:rPr>
        <w:t> </w:t>
      </w:r>
      <w:r>
        <w:rPr/>
        <w:t>functions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fiscal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monetary</w:t>
      </w:r>
      <w:r>
        <w:rPr>
          <w:spacing w:val="-15"/>
        </w:rPr>
        <w:t> </w:t>
      </w:r>
      <w:r>
        <w:rPr/>
        <w:t>authorities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government</w:t>
      </w:r>
      <w:r>
        <w:rPr>
          <w:spacing w:val="-10"/>
        </w:rPr>
        <w:t> </w:t>
      </w:r>
      <w:r>
        <w:rPr/>
        <w:t>expenditure</w:t>
      </w:r>
      <w:r>
        <w:rPr>
          <w:spacing w:val="-14"/>
        </w:rPr>
        <w:t> </w:t>
      </w:r>
      <w:r>
        <w:rPr/>
        <w:t>and</w:t>
      </w:r>
      <w:r>
        <w:rPr>
          <w:spacing w:val="-10"/>
        </w:rPr>
        <w:t> </w:t>
      </w:r>
      <w:r>
        <w:rPr/>
        <w:t>money</w:t>
      </w:r>
      <w:r>
        <w:rPr>
          <w:spacing w:val="-57"/>
        </w:rPr>
        <w:t> </w:t>
      </w:r>
      <w:r>
        <w:rPr/>
        <w:t>supply, under assumptions of both discretionary and rule-based policy regimes. In a related</w:t>
      </w:r>
      <w:r>
        <w:rPr>
          <w:spacing w:val="1"/>
        </w:rPr>
        <w:t> </w:t>
      </w:r>
      <w:r>
        <w:rPr/>
        <w:t>manner, Nordhaus (1994) also used a linear-quadratic programming to solve a constrained</w:t>
      </w:r>
      <w:r>
        <w:rPr>
          <w:spacing w:val="1"/>
        </w:rPr>
        <w:t> </w:t>
      </w:r>
      <w:r>
        <w:rPr/>
        <w:t>optimisation problem of a static game model. In this model, fiscal and monetary authorities</w:t>
      </w:r>
      <w:r>
        <w:rPr>
          <w:spacing w:val="1"/>
        </w:rPr>
        <w:t> </w:t>
      </w:r>
      <w:r>
        <w:rPr/>
        <w:t>seek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maximise</w:t>
      </w:r>
      <w:r>
        <w:rPr>
          <w:spacing w:val="-13"/>
        </w:rPr>
        <w:t> </w:t>
      </w:r>
      <w:r>
        <w:rPr/>
        <w:t>different</w:t>
      </w:r>
      <w:r>
        <w:rPr>
          <w:spacing w:val="-12"/>
        </w:rPr>
        <w:t> </w:t>
      </w:r>
      <w:r>
        <w:rPr/>
        <w:t>preferences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inflation,</w:t>
      </w:r>
      <w:r>
        <w:rPr>
          <w:spacing w:val="-14"/>
        </w:rPr>
        <w:t> </w:t>
      </w:r>
      <w:r>
        <w:rPr/>
        <w:t>unemployment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potential</w:t>
      </w:r>
      <w:r>
        <w:rPr>
          <w:spacing w:val="-12"/>
        </w:rPr>
        <w:t> </w:t>
      </w:r>
      <w:r>
        <w:rPr/>
        <w:t>output</w:t>
      </w:r>
      <w:r>
        <w:rPr>
          <w:spacing w:val="-14"/>
        </w:rPr>
        <w:t> </w:t>
      </w:r>
      <w:r>
        <w:rPr/>
        <w:t>subject</w:t>
      </w:r>
      <w:r>
        <w:rPr>
          <w:spacing w:val="-57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>
          <w:spacing w:val="-1"/>
        </w:rPr>
        <w:t>constraints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the</w:t>
      </w:r>
      <w:r>
        <w:rPr>
          <w:spacing w:val="-12"/>
        </w:rPr>
        <w:t> </w:t>
      </w:r>
      <w:r>
        <w:rPr/>
        <w:t>economy.</w:t>
      </w:r>
      <w:r>
        <w:rPr>
          <w:spacing w:val="-12"/>
        </w:rPr>
        <w:t> </w:t>
      </w:r>
      <w:r>
        <w:rPr/>
        <w:t>From</w:t>
      </w:r>
      <w:r>
        <w:rPr>
          <w:spacing w:val="-15"/>
        </w:rPr>
        <w:t> </w:t>
      </w:r>
      <w:r>
        <w:rPr/>
        <w:t>this,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study</w:t>
      </w:r>
      <w:r>
        <w:rPr>
          <w:spacing w:val="-17"/>
        </w:rPr>
        <w:t> </w:t>
      </w:r>
      <w:r>
        <w:rPr/>
        <w:t>derived</w:t>
      </w:r>
      <w:r>
        <w:rPr>
          <w:spacing w:val="-12"/>
        </w:rPr>
        <w:t> </w:t>
      </w:r>
      <w:r>
        <w:rPr/>
        <w:t>first-order</w:t>
      </w:r>
      <w:r>
        <w:rPr>
          <w:spacing w:val="-12"/>
        </w:rPr>
        <w:t> </w:t>
      </w:r>
      <w:r>
        <w:rPr/>
        <w:t>conditions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computes</w:t>
      </w:r>
      <w:r>
        <w:rPr>
          <w:spacing w:val="-57"/>
        </w:rPr>
        <w:t> </w:t>
      </w:r>
      <w:r>
        <w:rPr/>
        <w:t>both</w:t>
      </w:r>
      <w:r>
        <w:rPr>
          <w:spacing w:val="-1"/>
        </w:rPr>
        <w:t> </w:t>
      </w:r>
      <w:r>
        <w:rPr/>
        <w:t>fiscal and</w:t>
      </w:r>
      <w:r>
        <w:rPr>
          <w:spacing w:val="-1"/>
        </w:rPr>
        <w:t> </w:t>
      </w:r>
      <w:r>
        <w:rPr/>
        <w:t>monetary</w:t>
      </w:r>
      <w:r>
        <w:rPr>
          <w:spacing w:val="-3"/>
        </w:rPr>
        <w:t> </w:t>
      </w:r>
      <w:r>
        <w:rPr/>
        <w:t>policy</w:t>
      </w:r>
      <w:r>
        <w:rPr>
          <w:spacing w:val="-6"/>
        </w:rPr>
        <w:t> </w:t>
      </w:r>
      <w:r>
        <w:rPr/>
        <w:t>reaction function</w:t>
      </w:r>
      <w:r>
        <w:rPr>
          <w:spacing w:val="-1"/>
        </w:rPr>
        <w:t> </w:t>
      </w:r>
      <w:r>
        <w:rPr/>
        <w:t>in budget</w:t>
      </w:r>
      <w:r>
        <w:rPr>
          <w:spacing w:val="-1"/>
        </w:rPr>
        <w:t> </w:t>
      </w:r>
      <w:r>
        <w:rPr/>
        <w:t>deficit and</w:t>
      </w:r>
      <w:r>
        <w:rPr>
          <w:spacing w:val="-1"/>
        </w:rPr>
        <w:t> </w:t>
      </w:r>
      <w:r>
        <w:rPr/>
        <w:t>real</w:t>
      </w:r>
      <w:r>
        <w:rPr>
          <w:spacing w:val="2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rate.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760" w:right="1438"/>
        <w:jc w:val="both"/>
      </w:pPr>
      <w:r>
        <w:rPr/>
        <w:t>Bartolomeo and Gioacchino (2004) studied fiscal-monetary policy interaction in a dynamic</w:t>
      </w:r>
      <w:r>
        <w:rPr>
          <w:spacing w:val="1"/>
        </w:rPr>
        <w:t> </w:t>
      </w:r>
      <w:r>
        <w:rPr>
          <w:spacing w:val="-1"/>
        </w:rPr>
        <w:t>two-stage</w:t>
      </w:r>
      <w:r>
        <w:rPr>
          <w:spacing w:val="-14"/>
        </w:rPr>
        <w:t> </w:t>
      </w:r>
      <w:r>
        <w:rPr>
          <w:spacing w:val="-1"/>
        </w:rPr>
        <w:t>game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/>
        <w:t>within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long</w:t>
      </w:r>
      <w:r>
        <w:rPr>
          <w:spacing w:val="-17"/>
        </w:rPr>
        <w:t> </w:t>
      </w:r>
      <w:r>
        <w:rPr/>
        <w:t>run</w:t>
      </w:r>
      <w:r>
        <w:rPr>
          <w:spacing w:val="-16"/>
        </w:rPr>
        <w:t> </w:t>
      </w:r>
      <w:r>
        <w:rPr/>
        <w:t>(public</w:t>
      </w:r>
      <w:r>
        <w:rPr>
          <w:spacing w:val="-16"/>
        </w:rPr>
        <w:t> </w:t>
      </w:r>
      <w:r>
        <w:rPr/>
        <w:t>debt)</w:t>
      </w:r>
      <w:r>
        <w:rPr>
          <w:spacing w:val="-13"/>
        </w:rPr>
        <w:t> </w:t>
      </w:r>
      <w:r>
        <w:rPr/>
        <w:t>context.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/>
        <w:t>contrasts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static</w:t>
      </w:r>
      <w:r>
        <w:rPr>
          <w:spacing w:val="-15"/>
        </w:rPr>
        <w:t> </w:t>
      </w:r>
      <w:r>
        <w:rPr/>
        <w:t>games</w:t>
      </w:r>
      <w:r>
        <w:rPr>
          <w:spacing w:val="-57"/>
        </w:rPr>
        <w:t> </w:t>
      </w:r>
      <w:r>
        <w:rPr/>
        <w:t>of Alesina and Tabellini (1987); Nordhaus (1994). In the first stage, the authors derived</w:t>
      </w:r>
      <w:r>
        <w:rPr>
          <w:spacing w:val="1"/>
        </w:rPr>
        <w:t> </w:t>
      </w:r>
      <w:r>
        <w:rPr/>
        <w:t>equilibrium</w:t>
      </w:r>
      <w:r>
        <w:rPr>
          <w:spacing w:val="-3"/>
        </w:rPr>
        <w:t> </w:t>
      </w:r>
      <w:r>
        <w:rPr/>
        <w:t>conditions,</w:t>
      </w:r>
      <w:r>
        <w:rPr>
          <w:spacing w:val="-3"/>
        </w:rPr>
        <w:t> </w:t>
      </w:r>
      <w:r>
        <w:rPr/>
        <w:t>preferably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correlated</w:t>
      </w:r>
      <w:r>
        <w:rPr>
          <w:spacing w:val="-1"/>
        </w:rPr>
        <w:t> </w:t>
      </w:r>
      <w:r>
        <w:rPr/>
        <w:t>equilibria.</w:t>
      </w:r>
      <w:r>
        <w:rPr>
          <w:spacing w:val="-3"/>
        </w:rPr>
        <w:t> </w:t>
      </w:r>
      <w:r>
        <w:rPr/>
        <w:t>Then</w:t>
      </w:r>
      <w:r>
        <w:rPr>
          <w:spacing w:val="-4"/>
        </w:rPr>
        <w:t> </w:t>
      </w:r>
      <w:r>
        <w:rPr/>
        <w:t>output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first</w:t>
      </w:r>
      <w:r>
        <w:rPr>
          <w:spacing w:val="-3"/>
        </w:rPr>
        <w:t> </w:t>
      </w:r>
      <w:r>
        <w:rPr/>
        <w:t>stage</w:t>
      </w:r>
      <w:r>
        <w:rPr>
          <w:spacing w:val="-4"/>
        </w:rPr>
        <w:t> </w:t>
      </w:r>
      <w:r>
        <w:rPr/>
        <w:t>is</w:t>
      </w:r>
      <w:r>
        <w:rPr>
          <w:spacing w:val="-58"/>
        </w:rPr>
        <w:t> </w:t>
      </w:r>
      <w:r>
        <w:rPr/>
        <w:t>imputed in the differential game of the second stage. In this stage, central bank and 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minimise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inter-temporal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budget</w:t>
      </w:r>
      <w:r>
        <w:rPr>
          <w:spacing w:val="1"/>
        </w:rPr>
        <w:t> </w:t>
      </w:r>
      <w:r>
        <w:rPr/>
        <w:t>constraints. The introduction of government budget constraints differs from the approach of</w:t>
      </w:r>
      <w:r>
        <w:rPr>
          <w:spacing w:val="1"/>
        </w:rPr>
        <w:t> </w:t>
      </w:r>
      <w:r>
        <w:rPr/>
        <w:t>Alesina and Tabellini (1987); Nordhaus (1994) who only specify aggregate supply functions.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authors compute</w:t>
      </w:r>
      <w:r>
        <w:rPr>
          <w:spacing w:val="-1"/>
        </w:rPr>
        <w:t> </w:t>
      </w:r>
      <w:r>
        <w:rPr/>
        <w:t>policy</w:t>
      </w:r>
      <w:r>
        <w:rPr>
          <w:spacing w:val="-5"/>
        </w:rPr>
        <w:t> </w:t>
      </w:r>
      <w:r>
        <w:rPr/>
        <w:t>reaction</w:t>
      </w:r>
      <w:r>
        <w:rPr>
          <w:spacing w:val="2"/>
        </w:rPr>
        <w:t> </w:t>
      </w:r>
      <w:r>
        <w:rPr/>
        <w:t>functions in money</w:t>
      </w:r>
      <w:r>
        <w:rPr>
          <w:spacing w:val="-5"/>
        </w:rPr>
        <w:t> </w:t>
      </w:r>
      <w:r>
        <w:rPr/>
        <w:t>supply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fiscal</w:t>
      </w:r>
      <w:r>
        <w:rPr>
          <w:spacing w:val="2"/>
        </w:rPr>
        <w:t> </w:t>
      </w:r>
      <w:r>
        <w:rPr/>
        <w:t>deficits.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760" w:right="1432"/>
        <w:jc w:val="both"/>
      </w:pPr>
      <w:r>
        <w:rPr/>
        <w:t>Apart from the policy reaction functions computed from solving game theoretical model, the</w:t>
      </w:r>
      <w:r>
        <w:rPr>
          <w:spacing w:val="1"/>
        </w:rPr>
        <w:t> </w:t>
      </w:r>
      <w:r>
        <w:rPr/>
        <w:t>solution concept of these games is a second trend worth mentioning. The essential solution</w:t>
      </w:r>
      <w:r>
        <w:rPr>
          <w:spacing w:val="1"/>
        </w:rPr>
        <w:t> </w:t>
      </w:r>
      <w:r>
        <w:rPr/>
        <w:t>concepts are the cooperative and non-cooperative (Nash and Stackelberg). Games in the non-</w:t>
      </w:r>
      <w:r>
        <w:rPr>
          <w:spacing w:val="-57"/>
        </w:rPr>
        <w:t> </w:t>
      </w:r>
      <w:r>
        <w:rPr/>
        <w:t>cooperative</w:t>
      </w:r>
      <w:r>
        <w:rPr>
          <w:spacing w:val="1"/>
        </w:rPr>
        <w:t> </w:t>
      </w:r>
      <w:r>
        <w:rPr/>
        <w:t>realm</w:t>
      </w:r>
      <w:r>
        <w:rPr>
          <w:spacing w:val="1"/>
        </w:rPr>
        <w:t> </w:t>
      </w:r>
      <w:r>
        <w:rPr/>
        <w:t>assume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treasury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optimise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preference</w:t>
      </w:r>
      <w:r>
        <w:rPr>
          <w:spacing w:val="29"/>
        </w:rPr>
        <w:t> </w:t>
      </w:r>
      <w:r>
        <w:rPr/>
        <w:t>functions.</w:t>
      </w:r>
      <w:r>
        <w:rPr>
          <w:spacing w:val="27"/>
        </w:rPr>
        <w:t> </w:t>
      </w:r>
      <w:r>
        <w:rPr/>
        <w:t>However,</w:t>
      </w:r>
      <w:r>
        <w:rPr>
          <w:spacing w:val="29"/>
        </w:rPr>
        <w:t> </w:t>
      </w:r>
      <w:r>
        <w:rPr/>
        <w:t>for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cooperative</w:t>
      </w:r>
      <w:r>
        <w:rPr>
          <w:spacing w:val="26"/>
        </w:rPr>
        <w:t> </w:t>
      </w:r>
      <w:r>
        <w:rPr/>
        <w:t>solution,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game</w:t>
      </w:r>
      <w:r>
        <w:rPr>
          <w:spacing w:val="26"/>
        </w:rPr>
        <w:t> </w:t>
      </w:r>
      <w:r>
        <w:rPr/>
        <w:t>is</w:t>
      </w:r>
      <w:r>
        <w:rPr>
          <w:spacing w:val="30"/>
        </w:rPr>
        <w:t> </w:t>
      </w:r>
      <w:r>
        <w:rPr/>
        <w:t>modelled</w:t>
      </w:r>
      <w:r>
        <w:rPr>
          <w:spacing w:val="27"/>
        </w:rPr>
        <w:t> </w:t>
      </w:r>
      <w:r>
        <w:rPr/>
        <w:t>as</w:t>
      </w:r>
      <w:r>
        <w:rPr>
          <w:spacing w:val="29"/>
        </w:rPr>
        <w:t> </w:t>
      </w:r>
      <w:r>
        <w:rPr/>
        <w:t>both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46"/>
        <w:jc w:val="both"/>
      </w:pPr>
      <w:r>
        <w:rPr/>
        <w:t>fiscal and monetary policy makers optimising on a consolidated loss or preference function</w:t>
      </w:r>
      <w:r>
        <w:rPr>
          <w:spacing w:val="1"/>
        </w:rPr>
        <w:t> </w:t>
      </w:r>
      <w:r>
        <w:rPr/>
        <w:t>subject to economic constraints. This idea of a consolidated objective function reflects the</w:t>
      </w:r>
      <w:r>
        <w:rPr>
          <w:spacing w:val="1"/>
        </w:rPr>
        <w:t> </w:t>
      </w:r>
      <w:r>
        <w:rPr/>
        <w:t>existence</w:t>
      </w:r>
      <w:r>
        <w:rPr>
          <w:spacing w:val="-1"/>
        </w:rPr>
        <w:t> </w:t>
      </w:r>
      <w:r>
        <w:rPr/>
        <w:t>of fiscal and monetary</w:t>
      </w:r>
      <w:r>
        <w:rPr>
          <w:spacing w:val="-4"/>
        </w:rPr>
        <w:t> </w:t>
      </w:r>
      <w:r>
        <w:rPr/>
        <w:t>policy</w:t>
      </w:r>
      <w:r>
        <w:rPr>
          <w:spacing w:val="-5"/>
        </w:rPr>
        <w:t> </w:t>
      </w:r>
      <w:r>
        <w:rPr/>
        <w:t>coordination than the</w:t>
      </w:r>
      <w:r>
        <w:rPr>
          <w:spacing w:val="-1"/>
        </w:rPr>
        <w:t> </w:t>
      </w:r>
      <w:r>
        <w:rPr/>
        <w:t>non-cooperative</w:t>
      </w:r>
      <w:r>
        <w:rPr>
          <w:spacing w:val="1"/>
        </w:rPr>
        <w:t> </w:t>
      </w:r>
      <w:r>
        <w:rPr/>
        <w:t>solutions.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760" w:right="1436"/>
        <w:jc w:val="both"/>
      </w:pPr>
      <w:r>
        <w:rPr/>
        <w:t>Petit (1989) computed cooperative and non-cooperative (Nash and Stackelberg) equilibria of</w:t>
      </w:r>
      <w:r>
        <w:rPr>
          <w:spacing w:val="1"/>
        </w:rPr>
        <w:t> </w:t>
      </w:r>
      <w:r>
        <w:rPr/>
        <w:t>a</w:t>
      </w:r>
      <w:r>
        <w:rPr>
          <w:spacing w:val="-7"/>
        </w:rPr>
        <w:t> </w:t>
      </w:r>
      <w:r>
        <w:rPr/>
        <w:t>differential</w:t>
      </w:r>
      <w:r>
        <w:rPr>
          <w:spacing w:val="-3"/>
        </w:rPr>
        <w:t> </w:t>
      </w:r>
      <w:r>
        <w:rPr/>
        <w:t>game</w:t>
      </w:r>
      <w:r>
        <w:rPr>
          <w:spacing w:val="-7"/>
        </w:rPr>
        <w:t> </w:t>
      </w:r>
      <w:r>
        <w:rPr/>
        <w:t>between</w:t>
      </w:r>
      <w:r>
        <w:rPr>
          <w:spacing w:val="-6"/>
        </w:rPr>
        <w:t> </w:t>
      </w:r>
      <w:r>
        <w:rPr/>
        <w:t>treasury</w:t>
      </w:r>
      <w:r>
        <w:rPr>
          <w:spacing w:val="-11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central</w:t>
      </w:r>
      <w:r>
        <w:rPr>
          <w:spacing w:val="-6"/>
        </w:rPr>
        <w:t> </w:t>
      </w:r>
      <w:r>
        <w:rPr/>
        <w:t>bank.</w:t>
      </w:r>
      <w:r>
        <w:rPr>
          <w:spacing w:val="-6"/>
        </w:rPr>
        <w:t> </w:t>
      </w:r>
      <w:r>
        <w:rPr/>
        <w:t>Here</w:t>
      </w:r>
      <w:r>
        <w:rPr>
          <w:spacing w:val="-8"/>
        </w:rPr>
        <w:t> </w:t>
      </w:r>
      <w:r>
        <w:rPr/>
        <w:t>each</w:t>
      </w:r>
      <w:r>
        <w:rPr>
          <w:spacing w:val="-6"/>
        </w:rPr>
        <w:t> </w:t>
      </w:r>
      <w:r>
        <w:rPr/>
        <w:t>policy</w:t>
      </w:r>
      <w:r>
        <w:rPr>
          <w:spacing w:val="-11"/>
        </w:rPr>
        <w:t> </w:t>
      </w:r>
      <w:r>
        <w:rPr/>
        <w:t>maker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modelled</w:t>
      </w:r>
      <w:r>
        <w:rPr>
          <w:spacing w:val="-58"/>
        </w:rPr>
        <w:t> </w:t>
      </w:r>
      <w:r>
        <w:rPr/>
        <w:t>as choosing optimal policy strategies by minimising a quadratic loss function subject to</w:t>
      </w:r>
      <w:r>
        <w:rPr>
          <w:spacing w:val="1"/>
        </w:rPr>
        <w:t> </w:t>
      </w:r>
      <w:r>
        <w:rPr/>
        <w:t>economic constraints defined as an econometric function comprising of a system of 20</w:t>
      </w:r>
      <w:r>
        <w:rPr>
          <w:spacing w:val="1"/>
        </w:rPr>
        <w:t> </w:t>
      </w:r>
      <w:r>
        <w:rPr/>
        <w:t>differential</w:t>
      </w:r>
      <w:r>
        <w:rPr>
          <w:spacing w:val="1"/>
        </w:rPr>
        <w:t> </w:t>
      </w:r>
      <w:r>
        <w:rPr/>
        <w:t>equations.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Petit</w:t>
      </w:r>
      <w:r>
        <w:rPr>
          <w:spacing w:val="1"/>
        </w:rPr>
        <w:t> </w:t>
      </w:r>
      <w:r>
        <w:rPr/>
        <w:t>(1989),</w:t>
      </w:r>
      <w:r>
        <w:rPr>
          <w:spacing w:val="1"/>
        </w:rPr>
        <w:t> </w:t>
      </w:r>
      <w:r>
        <w:rPr/>
        <w:t>Hallett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Weymark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derive</w:t>
      </w:r>
      <w:r>
        <w:rPr>
          <w:spacing w:val="1"/>
        </w:rPr>
        <w:t> </w:t>
      </w:r>
      <w:r>
        <w:rPr/>
        <w:t>cooperative and non-cooperative solutions. The study computes optimal fiscal and monetary</w:t>
      </w:r>
      <w:r>
        <w:rPr>
          <w:spacing w:val="1"/>
        </w:rPr>
        <w:t> </w:t>
      </w:r>
      <w:r>
        <w:rPr/>
        <w:t>policy rules in expenditure and money supply using the Nash and Stackelberg solutions to a</w:t>
      </w:r>
      <w:r>
        <w:rPr>
          <w:spacing w:val="1"/>
        </w:rPr>
        <w:t> </w:t>
      </w:r>
      <w:r>
        <w:rPr/>
        <w:t>two-stage dynamic game between the government and the central bank. In the first stage, the</w:t>
      </w:r>
      <w:r>
        <w:rPr>
          <w:spacing w:val="1"/>
        </w:rPr>
        <w:t> </w:t>
      </w:r>
      <w:r>
        <w:rPr/>
        <w:t>requisite</w:t>
      </w:r>
      <w:r>
        <w:rPr>
          <w:spacing w:val="1"/>
        </w:rPr>
        <w:t> </w:t>
      </w:r>
      <w:r>
        <w:rPr/>
        <w:t>institution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designed.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stage,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authorities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>
          <w:spacing w:val="-1"/>
        </w:rPr>
        <w:t>instruments,</w:t>
      </w:r>
      <w:r>
        <w:rPr>
          <w:spacing w:val="-12"/>
        </w:rPr>
        <w:t> </w:t>
      </w:r>
      <w:r>
        <w:rPr/>
        <w:t>expenditure</w:t>
      </w:r>
      <w:r>
        <w:rPr>
          <w:spacing w:val="-17"/>
        </w:rPr>
        <w:t> </w:t>
      </w:r>
      <w:r>
        <w:rPr/>
        <w:t>and</w:t>
      </w:r>
      <w:r>
        <w:rPr>
          <w:spacing w:val="-11"/>
        </w:rPr>
        <w:t> </w:t>
      </w:r>
      <w:r>
        <w:rPr/>
        <w:t>money</w:t>
      </w:r>
      <w:r>
        <w:rPr>
          <w:spacing w:val="-17"/>
        </w:rPr>
        <w:t> </w:t>
      </w:r>
      <w:r>
        <w:rPr/>
        <w:t>supply</w:t>
      </w:r>
      <w:r>
        <w:rPr>
          <w:spacing w:val="-16"/>
        </w:rPr>
        <w:t> </w:t>
      </w:r>
      <w:r>
        <w:rPr/>
        <w:t>respectively,</w:t>
      </w:r>
      <w:r>
        <w:rPr>
          <w:spacing w:val="-12"/>
        </w:rPr>
        <w:t> </w:t>
      </w:r>
      <w:r>
        <w:rPr/>
        <w:t>given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already</w:t>
      </w:r>
      <w:r>
        <w:rPr>
          <w:spacing w:val="-16"/>
        </w:rPr>
        <w:t> </w:t>
      </w:r>
      <w:r>
        <w:rPr/>
        <w:t>designed</w:t>
      </w:r>
      <w:r>
        <w:rPr>
          <w:spacing w:val="-12"/>
        </w:rPr>
        <w:t> </w:t>
      </w:r>
      <w:r>
        <w:rPr/>
        <w:t>institution</w:t>
      </w:r>
      <w:r>
        <w:rPr>
          <w:spacing w:val="-58"/>
        </w:rPr>
        <w:t> </w:t>
      </w:r>
      <w:r>
        <w:rPr/>
        <w:t>in stage one. Specifically, both authorities minimise their respective loss functions. Also,</w:t>
      </w:r>
      <w:r>
        <w:rPr>
          <w:spacing w:val="1"/>
        </w:rPr>
        <w:t> </w:t>
      </w:r>
      <w:r>
        <w:rPr>
          <w:spacing w:val="-1"/>
        </w:rPr>
        <w:t>Saulo,</w:t>
      </w:r>
      <w:r>
        <w:rPr>
          <w:spacing w:val="-12"/>
        </w:rPr>
        <w:t> </w:t>
      </w:r>
      <w:r>
        <w:rPr>
          <w:spacing w:val="-1"/>
        </w:rPr>
        <w:t>Rego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/>
        <w:t>Divino</w:t>
      </w:r>
      <w:r>
        <w:rPr>
          <w:spacing w:val="-11"/>
        </w:rPr>
        <w:t> </w:t>
      </w:r>
      <w:r>
        <w:rPr/>
        <w:t>(2013)</w:t>
      </w:r>
      <w:r>
        <w:rPr>
          <w:spacing w:val="-13"/>
        </w:rPr>
        <w:t> </w:t>
      </w:r>
      <w:r>
        <w:rPr/>
        <w:t>solve</w:t>
      </w:r>
      <w:r>
        <w:rPr>
          <w:spacing w:val="-13"/>
        </w:rPr>
        <w:t> </w:t>
      </w:r>
      <w:r>
        <w:rPr/>
        <w:t>for</w:t>
      </w:r>
      <w:r>
        <w:rPr>
          <w:spacing w:val="-14"/>
        </w:rPr>
        <w:t> </w:t>
      </w:r>
      <w:r>
        <w:rPr/>
        <w:t>optimal</w:t>
      </w:r>
      <w:r>
        <w:rPr>
          <w:spacing w:val="-12"/>
        </w:rPr>
        <w:t> </w:t>
      </w:r>
      <w:r>
        <w:rPr/>
        <w:t>fiscal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monetary</w:t>
      </w:r>
      <w:r>
        <w:rPr>
          <w:spacing w:val="-17"/>
        </w:rPr>
        <w:t> </w:t>
      </w:r>
      <w:r>
        <w:rPr/>
        <w:t>policies</w:t>
      </w:r>
      <w:r>
        <w:rPr>
          <w:spacing w:val="-12"/>
        </w:rPr>
        <w:t> </w:t>
      </w:r>
      <w:r>
        <w:rPr/>
        <w:t>paths</w:t>
      </w:r>
      <w:r>
        <w:rPr>
          <w:spacing w:val="-12"/>
        </w:rPr>
        <w:t> </w:t>
      </w:r>
      <w:r>
        <w:rPr/>
        <w:t>under</w:t>
      </w:r>
      <w:r>
        <w:rPr>
          <w:spacing w:val="-13"/>
        </w:rPr>
        <w:t> </w:t>
      </w:r>
      <w:r>
        <w:rPr/>
        <w:t>three</w:t>
      </w:r>
      <w:r>
        <w:rPr>
          <w:spacing w:val="-57"/>
        </w:rPr>
        <w:t> </w:t>
      </w:r>
      <w:r>
        <w:rPr/>
        <w:t>coordination regimes: Nash, Stackelberg and Cooperative. In the dynamic game, both policy</w:t>
      </w:r>
      <w:r>
        <w:rPr>
          <w:spacing w:val="1"/>
        </w:rPr>
        <w:t> </w:t>
      </w:r>
      <w:r>
        <w:rPr/>
        <w:t>authorities seek to minimise their respective quadratic loss function subject to micro-founded</w:t>
      </w:r>
      <w:r>
        <w:rPr>
          <w:spacing w:val="-57"/>
        </w:rPr>
        <w:t> </w:t>
      </w:r>
      <w:r>
        <w:rPr/>
        <w:t>economic</w:t>
      </w:r>
      <w:r>
        <w:rPr>
          <w:spacing w:val="-11"/>
        </w:rPr>
        <w:t> </w:t>
      </w:r>
      <w:r>
        <w:rPr/>
        <w:t>constraints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function,</w:t>
      </w:r>
      <w:r>
        <w:rPr>
          <w:spacing w:val="-9"/>
        </w:rPr>
        <w:t> </w:t>
      </w:r>
      <w:r>
        <w:rPr/>
        <w:t>Aggregate</w:t>
      </w:r>
      <w:r>
        <w:rPr>
          <w:spacing w:val="-10"/>
        </w:rPr>
        <w:t> </w:t>
      </w:r>
      <w:r>
        <w:rPr/>
        <w:t>supply</w:t>
      </w:r>
      <w:r>
        <w:rPr>
          <w:spacing w:val="-13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Government</w:t>
      </w:r>
      <w:r>
        <w:rPr>
          <w:spacing w:val="-6"/>
        </w:rPr>
        <w:t> </w:t>
      </w:r>
      <w:r>
        <w:rPr/>
        <w:t>Budget</w:t>
      </w:r>
      <w:r>
        <w:rPr>
          <w:spacing w:val="-7"/>
        </w:rPr>
        <w:t> </w:t>
      </w:r>
      <w:r>
        <w:rPr/>
        <w:t>constraint.</w:t>
      </w:r>
      <w:r>
        <w:rPr>
          <w:spacing w:val="-58"/>
        </w:rPr>
        <w:t> </w:t>
      </w:r>
      <w:r>
        <w:rPr/>
        <w:t>Thereafter,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authors</w:t>
      </w:r>
      <w:r>
        <w:rPr>
          <w:spacing w:val="-4"/>
        </w:rPr>
        <w:t> </w:t>
      </w:r>
      <w:r>
        <w:rPr/>
        <w:t>employ</w:t>
      </w:r>
      <w:r>
        <w:rPr>
          <w:spacing w:val="-9"/>
        </w:rPr>
        <w:t> </w:t>
      </w:r>
      <w:r>
        <w:rPr/>
        <w:t>numerical</w:t>
      </w:r>
      <w:r>
        <w:rPr>
          <w:spacing w:val="-3"/>
        </w:rPr>
        <w:t> </w:t>
      </w:r>
      <w:r>
        <w:rPr/>
        <w:t>simulation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calculate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loss</w:t>
      </w:r>
      <w:r>
        <w:rPr>
          <w:spacing w:val="-3"/>
        </w:rPr>
        <w:t> </w:t>
      </w:r>
      <w:r>
        <w:rPr/>
        <w:t>associated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each</w:t>
      </w:r>
      <w:r>
        <w:rPr>
          <w:spacing w:val="-58"/>
        </w:rPr>
        <w:t> </w:t>
      </w:r>
      <w:r>
        <w:rPr/>
        <w:t>coordination</w:t>
      </w:r>
      <w:r>
        <w:rPr>
          <w:spacing w:val="-1"/>
        </w:rPr>
        <w:t> </w:t>
      </w:r>
      <w:r>
        <w:rPr/>
        <w:t>regime.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760" w:right="1435"/>
        <w:jc w:val="both"/>
      </w:pPr>
      <w:r>
        <w:rPr/>
        <w:t>Another</w:t>
      </w:r>
      <w:r>
        <w:rPr>
          <w:spacing w:val="-8"/>
        </w:rPr>
        <w:t> </w:t>
      </w:r>
      <w:r>
        <w:rPr/>
        <w:t>aspect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game-theoretic</w:t>
      </w:r>
      <w:r>
        <w:rPr>
          <w:spacing w:val="-7"/>
        </w:rPr>
        <w:t> </w:t>
      </w:r>
      <w:r>
        <w:rPr/>
        <w:t>methods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game</w:t>
      </w:r>
      <w:r>
        <w:rPr>
          <w:spacing w:val="-7"/>
        </w:rPr>
        <w:t> </w:t>
      </w:r>
      <w:r>
        <w:rPr/>
        <w:t>models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micro</w:t>
      </w:r>
      <w:r>
        <w:rPr>
          <w:spacing w:val="-5"/>
        </w:rPr>
        <w:t> </w:t>
      </w:r>
      <w:r>
        <w:rPr/>
        <w:t>foundations.</w:t>
      </w:r>
      <w:r>
        <w:rPr>
          <w:spacing w:val="-6"/>
        </w:rPr>
        <w:t> </w:t>
      </w:r>
      <w:r>
        <w:rPr/>
        <w:t>Micro-</w:t>
      </w:r>
      <w:r>
        <w:rPr>
          <w:spacing w:val="-58"/>
        </w:rPr>
        <w:t> </w:t>
      </w:r>
      <w:r>
        <w:rPr/>
        <w:t>founded objective functions and economic constraints is a relatively recent trend in the</w:t>
      </w:r>
      <w:r>
        <w:rPr>
          <w:spacing w:val="1"/>
        </w:rPr>
        <w:t> </w:t>
      </w:r>
      <w:r>
        <w:rPr>
          <w:spacing w:val="-1"/>
        </w:rPr>
        <w:t>application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/>
        <w:t>game</w:t>
      </w:r>
      <w:r>
        <w:rPr>
          <w:spacing w:val="-13"/>
        </w:rPr>
        <w:t> </w:t>
      </w:r>
      <w:r>
        <w:rPr/>
        <w:t>theoretic</w:t>
      </w:r>
      <w:r>
        <w:rPr>
          <w:spacing w:val="-13"/>
        </w:rPr>
        <w:t> </w:t>
      </w:r>
      <w:r>
        <w:rPr/>
        <w:t>models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issues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fiscal-monetary</w:t>
      </w:r>
      <w:r>
        <w:rPr>
          <w:spacing w:val="-17"/>
        </w:rPr>
        <w:t> </w:t>
      </w:r>
      <w:r>
        <w:rPr/>
        <w:t>policy</w:t>
      </w:r>
      <w:r>
        <w:rPr>
          <w:spacing w:val="-17"/>
        </w:rPr>
        <w:t> </w:t>
      </w:r>
      <w:r>
        <w:rPr/>
        <w:t>interaction.</w:t>
      </w:r>
      <w:r>
        <w:rPr>
          <w:spacing w:val="-10"/>
        </w:rPr>
        <w:t> </w:t>
      </w:r>
      <w:r>
        <w:rPr/>
        <w:t>It</w:t>
      </w:r>
      <w:r>
        <w:rPr>
          <w:spacing w:val="-12"/>
        </w:rPr>
        <w:t> </w:t>
      </w:r>
      <w:r>
        <w:rPr/>
        <w:t>involves</w:t>
      </w:r>
      <w:r>
        <w:rPr>
          <w:spacing w:val="-57"/>
        </w:rPr>
        <w:t> </w:t>
      </w:r>
      <w:r>
        <w:rPr/>
        <w:t>deriving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constraint</w:t>
      </w:r>
      <w:r>
        <w:rPr>
          <w:spacing w:val="1"/>
        </w:rPr>
        <w:t> </w:t>
      </w:r>
      <w:r>
        <w:rPr/>
        <w:t>equations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model</w:t>
      </w:r>
      <w:r>
        <w:rPr>
          <w:spacing w:val="-57"/>
        </w:rPr>
        <w:t> </w:t>
      </w:r>
      <w:r>
        <w:rPr/>
        <w:t>comprising of preferences and technologies of a representative household and firm, alongside</w:t>
      </w:r>
      <w:r>
        <w:rPr>
          <w:spacing w:val="-57"/>
        </w:rPr>
        <w:t> </w:t>
      </w:r>
      <w:r>
        <w:rPr/>
        <w:t>the budget constraint of government. It is noteworthy to emphasise micro-founded game</w:t>
      </w:r>
      <w:r>
        <w:rPr>
          <w:spacing w:val="1"/>
        </w:rPr>
        <w:t> </w:t>
      </w:r>
      <w:r>
        <w:rPr/>
        <w:t>models,</w:t>
      </w:r>
      <w:r>
        <w:rPr>
          <w:spacing w:val="-1"/>
        </w:rPr>
        <w:t> </w:t>
      </w:r>
      <w:r>
        <w:rPr/>
        <w:t>since</w:t>
      </w:r>
      <w:r>
        <w:rPr>
          <w:spacing w:val="-2"/>
        </w:rPr>
        <w:t> </w:t>
      </w:r>
      <w:r>
        <w:rPr/>
        <w:t>this underlying</w:t>
      </w:r>
      <w:r>
        <w:rPr>
          <w:spacing w:val="-4"/>
        </w:rPr>
        <w:t> </w:t>
      </w:r>
      <w:r>
        <w:rPr/>
        <w:t>micro-structure relates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adopted in this</w:t>
      </w:r>
      <w:r>
        <w:rPr>
          <w:spacing w:val="-1"/>
        </w:rPr>
        <w:t> </w:t>
      </w:r>
      <w:r>
        <w:rPr/>
        <w:t>study.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36"/>
        <w:jc w:val="both"/>
      </w:pPr>
      <w:r>
        <w:rPr/>
        <w:t>Adam and Billi (2008) solved a micro founded model from a New Keynesian framework. In</w:t>
      </w:r>
      <w:r>
        <w:rPr>
          <w:spacing w:val="1"/>
        </w:rPr>
        <w:t> </w:t>
      </w:r>
      <w:r>
        <w:rPr/>
        <w:t>the same vein, Dixit and Lambertini (2003b) build a social loss function micro-founded from</w:t>
      </w:r>
      <w:r>
        <w:rPr>
          <w:spacing w:val="1"/>
        </w:rPr>
        <w:t> </w:t>
      </w:r>
      <w:r>
        <w:rPr/>
        <w:t>a</w:t>
      </w:r>
      <w:r>
        <w:rPr>
          <w:spacing w:val="-11"/>
        </w:rPr>
        <w:t> </w:t>
      </w:r>
      <w:r>
        <w:rPr/>
        <w:t>New</w:t>
      </w:r>
      <w:r>
        <w:rPr>
          <w:spacing w:val="-9"/>
        </w:rPr>
        <w:t> </w:t>
      </w:r>
      <w:r>
        <w:rPr/>
        <w:t>Keynesian</w:t>
      </w:r>
      <w:r>
        <w:rPr>
          <w:spacing w:val="-9"/>
        </w:rPr>
        <w:t> </w:t>
      </w:r>
      <w:r>
        <w:rPr/>
        <w:t>framework.</w:t>
      </w:r>
      <w:r>
        <w:rPr>
          <w:spacing w:val="-9"/>
        </w:rPr>
        <w:t> </w:t>
      </w:r>
      <w:r>
        <w:rPr/>
        <w:t>Here,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two</w:t>
      </w:r>
      <w:r>
        <w:rPr>
          <w:spacing w:val="-9"/>
        </w:rPr>
        <w:t> </w:t>
      </w:r>
      <w:r>
        <w:rPr/>
        <w:t>players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dynamic</w:t>
      </w:r>
      <w:r>
        <w:rPr>
          <w:spacing w:val="-11"/>
        </w:rPr>
        <w:t> </w:t>
      </w:r>
      <w:r>
        <w:rPr/>
        <w:t>stochastic</w:t>
      </w:r>
      <w:r>
        <w:rPr>
          <w:spacing w:val="-10"/>
        </w:rPr>
        <w:t> </w:t>
      </w:r>
      <w:r>
        <w:rPr/>
        <w:t>game,</w:t>
      </w:r>
      <w:r>
        <w:rPr>
          <w:spacing w:val="-9"/>
        </w:rPr>
        <w:t> </w:t>
      </w:r>
      <w:r>
        <w:rPr/>
        <w:t>fiscal</w:t>
      </w:r>
      <w:r>
        <w:rPr>
          <w:spacing w:val="-8"/>
        </w:rPr>
        <w:t> </w:t>
      </w:r>
      <w:r>
        <w:rPr/>
        <w:t>and</w:t>
      </w:r>
      <w:r>
        <w:rPr>
          <w:spacing w:val="-58"/>
        </w:rPr>
        <w:t> </w:t>
      </w:r>
      <w:r>
        <w:rPr>
          <w:spacing w:val="-1"/>
        </w:rPr>
        <w:t>monetary</w:t>
      </w:r>
      <w:r>
        <w:rPr>
          <w:spacing w:val="-20"/>
        </w:rPr>
        <w:t> </w:t>
      </w:r>
      <w:r>
        <w:rPr/>
        <w:t>policymakers</w:t>
      </w:r>
      <w:r>
        <w:rPr>
          <w:spacing w:val="-15"/>
        </w:rPr>
        <w:t> </w:t>
      </w:r>
      <w:r>
        <w:rPr/>
        <w:t>are</w:t>
      </w:r>
      <w:r>
        <w:rPr>
          <w:spacing w:val="-17"/>
        </w:rPr>
        <w:t> </w:t>
      </w:r>
      <w:r>
        <w:rPr/>
        <w:t>expected</w:t>
      </w:r>
      <w:r>
        <w:rPr>
          <w:spacing w:val="-12"/>
        </w:rPr>
        <w:t> </w:t>
      </w:r>
      <w:r>
        <w:rPr/>
        <w:t>to</w:t>
      </w:r>
      <w:r>
        <w:rPr>
          <w:spacing w:val="-14"/>
        </w:rPr>
        <w:t> </w:t>
      </w:r>
      <w:r>
        <w:rPr/>
        <w:t>minimise</w:t>
      </w:r>
      <w:r>
        <w:rPr>
          <w:spacing w:val="-15"/>
        </w:rPr>
        <w:t> </w:t>
      </w:r>
      <w:r>
        <w:rPr/>
        <w:t>this</w:t>
      </w:r>
      <w:r>
        <w:rPr>
          <w:spacing w:val="-15"/>
        </w:rPr>
        <w:t> </w:t>
      </w:r>
      <w:r>
        <w:rPr/>
        <w:t>social</w:t>
      </w:r>
      <w:r>
        <w:rPr>
          <w:spacing w:val="-14"/>
        </w:rPr>
        <w:t> </w:t>
      </w:r>
      <w:r>
        <w:rPr/>
        <w:t>loss</w:t>
      </w:r>
      <w:r>
        <w:rPr>
          <w:spacing w:val="-14"/>
        </w:rPr>
        <w:t> </w:t>
      </w:r>
      <w:r>
        <w:rPr/>
        <w:t>function</w:t>
      </w:r>
      <w:r>
        <w:rPr>
          <w:spacing w:val="-15"/>
        </w:rPr>
        <w:t> </w:t>
      </w:r>
      <w:r>
        <w:rPr/>
        <w:t>in</w:t>
      </w:r>
      <w:r>
        <w:rPr>
          <w:spacing w:val="-11"/>
        </w:rPr>
        <w:t> </w:t>
      </w:r>
      <w:r>
        <w:rPr/>
        <w:t>deviation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output</w:t>
      </w:r>
      <w:r>
        <w:rPr>
          <w:spacing w:val="-57"/>
        </w:rPr>
        <w:t> </w:t>
      </w:r>
      <w:r>
        <w:rPr/>
        <w:t>and inflation from target subject to rational expectation constraint. Thereafter the authors</w:t>
      </w:r>
      <w:r>
        <w:rPr>
          <w:spacing w:val="1"/>
        </w:rPr>
        <w:t> </w:t>
      </w:r>
      <w:r>
        <w:rPr/>
        <w:t>derive separate reaction functions for the two authorities and compute Nash and stackelberg</w:t>
      </w:r>
      <w:r>
        <w:rPr>
          <w:spacing w:val="1"/>
        </w:rPr>
        <w:t> </w:t>
      </w:r>
      <w:r>
        <w:rPr/>
        <w:t>equilibria under both discretionary and commitment regimes. Then, the authors conduct a</w:t>
      </w:r>
      <w:r>
        <w:rPr>
          <w:spacing w:val="1"/>
        </w:rPr>
        <w:t> </w:t>
      </w:r>
      <w:r>
        <w:rPr/>
        <w:t>numerical simulation of their model. In the same manner, Hallett, Libich and Stehlik (2011)</w:t>
      </w:r>
      <w:r>
        <w:rPr>
          <w:spacing w:val="1"/>
        </w:rPr>
        <w:t> </w:t>
      </w:r>
      <w:r>
        <w:rPr/>
        <w:t>consider a policy game between fiscal and monetary authority over the medium term. Here</w:t>
      </w:r>
      <w:r>
        <w:rPr>
          <w:spacing w:val="1"/>
        </w:rPr>
        <w:t> </w:t>
      </w:r>
      <w:r>
        <w:rPr/>
        <w:t>both policymakers seek to maximise a quadratic policy preference function in inflation and</w:t>
      </w:r>
      <w:r>
        <w:rPr>
          <w:spacing w:val="1"/>
        </w:rPr>
        <w:t> </w:t>
      </w:r>
      <w:r>
        <w:rPr/>
        <w:t>output, subject to supply-side constraints. The preference functions are micro-founded. From</w:t>
      </w:r>
      <w:r>
        <w:rPr>
          <w:spacing w:val="1"/>
        </w:rPr>
        <w:t> </w:t>
      </w:r>
      <w:r>
        <w:rPr/>
        <w:t>the constrained optimisation, the study derives</w:t>
      </w:r>
      <w:r>
        <w:rPr>
          <w:spacing w:val="1"/>
        </w:rPr>
        <w:t> </w:t>
      </w:r>
      <w:r>
        <w:rPr/>
        <w:t>reaction function for both the fiscal and</w:t>
      </w:r>
      <w:r>
        <w:rPr>
          <w:spacing w:val="1"/>
        </w:rPr>
        <w:t> </w:t>
      </w:r>
      <w:r>
        <w:rPr/>
        <w:t>monetary sides in inflation and budget deficits, respectively. In addition, the authors solve for</w:t>
      </w:r>
      <w:r>
        <w:rPr>
          <w:spacing w:val="-57"/>
        </w:rPr>
        <w:t> </w:t>
      </w:r>
      <w:r>
        <w:rPr/>
        <w:t>optimal (Nash) policy</w:t>
      </w:r>
      <w:r>
        <w:rPr>
          <w:spacing w:val="-5"/>
        </w:rPr>
        <w:t> </w:t>
      </w:r>
      <w:r>
        <w:rPr/>
        <w:t>in both.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760" w:right="1437"/>
        <w:jc w:val="both"/>
      </w:pPr>
      <w:r>
        <w:rPr/>
        <w:t>From the review above, three observable methodological trends in game theory are policy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functions,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computed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Cooperative,</w:t>
      </w:r>
      <w:r>
        <w:rPr>
          <w:spacing w:val="1"/>
        </w:rPr>
        <w:t> </w:t>
      </w:r>
      <w:r>
        <w:rPr/>
        <w:t>Nash,</w:t>
      </w:r>
      <w:r>
        <w:rPr>
          <w:spacing w:val="1"/>
        </w:rPr>
        <w:t> </w:t>
      </w:r>
      <w:r>
        <w:rPr/>
        <w:t>Stackelberg,</w:t>
      </w:r>
      <w:r>
        <w:rPr>
          <w:spacing w:val="-10"/>
        </w:rPr>
        <w:t> </w:t>
      </w:r>
      <w:r>
        <w:rPr/>
        <w:t>Correlated,</w:t>
      </w:r>
      <w:r>
        <w:rPr>
          <w:spacing w:val="-7"/>
        </w:rPr>
        <w:t> </w:t>
      </w:r>
      <w:r>
        <w:rPr/>
        <w:t>Markov-Perfect,</w:t>
      </w:r>
      <w:r>
        <w:rPr>
          <w:spacing w:val="-9"/>
        </w:rPr>
        <w:t> </w:t>
      </w:r>
      <w:r>
        <w:rPr/>
        <w:t>etc;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whether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game</w:t>
      </w:r>
      <w:r>
        <w:rPr>
          <w:spacing w:val="-11"/>
        </w:rPr>
        <w:t> </w:t>
      </w:r>
      <w:r>
        <w:rPr/>
        <w:t>was</w:t>
      </w:r>
      <w:r>
        <w:rPr>
          <w:spacing w:val="-9"/>
        </w:rPr>
        <w:t> </w:t>
      </w:r>
      <w:r>
        <w:rPr/>
        <w:t>micro-derived</w:t>
      </w:r>
      <w:r>
        <w:rPr>
          <w:spacing w:val="-10"/>
        </w:rPr>
        <w:t> </w:t>
      </w:r>
      <w:r>
        <w:rPr/>
        <w:t>or</w:t>
      </w:r>
      <w:r>
        <w:rPr>
          <w:spacing w:val="-10"/>
        </w:rPr>
        <w:t> </w:t>
      </w:r>
      <w:r>
        <w:rPr/>
        <w:t>not.</w:t>
      </w:r>
      <w:r>
        <w:rPr>
          <w:spacing w:val="-57"/>
        </w:rPr>
        <w:t> </w:t>
      </w:r>
      <w:r>
        <w:rPr/>
        <w:t>However, one methodological issue stands out. This borders on the most realistic approach</w:t>
      </w:r>
      <w:r>
        <w:rPr>
          <w:spacing w:val="1"/>
        </w:rPr>
        <w:t> </w:t>
      </w:r>
      <w:r>
        <w:rPr/>
        <w:t>used to model the strategic interaction between the fiscal authority and central bank. Are they</w:t>
      </w:r>
      <w:r>
        <w:rPr>
          <w:spacing w:val="-57"/>
        </w:rPr>
        <w:t> </w:t>
      </w:r>
      <w:r>
        <w:rPr/>
        <w:t>involved in a cooperative game with a consolidated objective function or government budget</w:t>
      </w:r>
      <w:r>
        <w:rPr>
          <w:spacing w:val="1"/>
        </w:rPr>
        <w:t> </w:t>
      </w:r>
      <w:r>
        <w:rPr/>
        <w:t>constraint? or in a non-cooperative game, possessing differing objective functions? Or in a</w:t>
      </w:r>
      <w:r>
        <w:rPr>
          <w:spacing w:val="1"/>
        </w:rPr>
        <w:t> </w:t>
      </w:r>
      <w:r>
        <w:rPr/>
        <w:t>Markov</w:t>
      </w:r>
      <w:r>
        <w:rPr>
          <w:spacing w:val="1"/>
        </w:rPr>
        <w:t> </w:t>
      </w:r>
      <w:r>
        <w:rPr/>
        <w:t>switch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cooperative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non-cooperative</w:t>
      </w:r>
      <w:r>
        <w:rPr>
          <w:spacing w:val="1"/>
        </w:rPr>
        <w:t> </w:t>
      </w:r>
      <w:r>
        <w:rPr/>
        <w:t>regimes.</w:t>
      </w:r>
      <w:r>
        <w:rPr>
          <w:spacing w:val="1"/>
        </w:rPr>
        <w:t> </w:t>
      </w:r>
      <w:r>
        <w:rPr/>
        <w:t>Probably,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institutional setting inherent in the macroeconomic policymaking arena will provide the hint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aid in realistic</w:t>
      </w:r>
      <w:r>
        <w:rPr>
          <w:spacing w:val="-1"/>
        </w:rPr>
        <w:t> </w:t>
      </w:r>
      <w:r>
        <w:rPr/>
        <w:t>modelling</w:t>
      </w:r>
      <w:r>
        <w:rPr>
          <w:spacing w:val="-3"/>
        </w:rPr>
        <w:t> </w:t>
      </w:r>
      <w:r>
        <w:rPr/>
        <w:t>of this policy</w:t>
      </w:r>
      <w:r>
        <w:rPr>
          <w:spacing w:val="-3"/>
        </w:rPr>
        <w:t> </w:t>
      </w:r>
      <w:r>
        <w:rPr/>
        <w:t>game.</w:t>
      </w:r>
    </w:p>
    <w:p>
      <w:pPr>
        <w:pStyle w:val="BodyText"/>
        <w:spacing w:before="8"/>
        <w:rPr>
          <w:sz w:val="36"/>
        </w:rPr>
      </w:pPr>
    </w:p>
    <w:p>
      <w:pPr>
        <w:pStyle w:val="Heading1"/>
        <w:numPr>
          <w:ilvl w:val="2"/>
          <w:numId w:val="11"/>
        </w:numPr>
        <w:tabs>
          <w:tab w:pos="2539" w:val="left" w:leader="none"/>
        </w:tabs>
        <w:spacing w:line="240" w:lineRule="auto" w:before="0" w:after="0"/>
        <w:ind w:left="2538" w:right="0" w:hanging="779"/>
        <w:jc w:val="both"/>
      </w:pPr>
      <w:bookmarkStart w:name="_TOC_250045" w:id="15"/>
      <w:r>
        <w:rPr/>
        <w:t>Dynamic</w:t>
      </w:r>
      <w:r>
        <w:rPr>
          <w:spacing w:val="-1"/>
        </w:rPr>
        <w:t> </w:t>
      </w:r>
      <w:r>
        <w:rPr/>
        <w:t>General</w:t>
      </w:r>
      <w:r>
        <w:rPr>
          <w:spacing w:val="-2"/>
        </w:rPr>
        <w:t> </w:t>
      </w:r>
      <w:r>
        <w:rPr/>
        <w:t>Equilibrium</w:t>
      </w:r>
      <w:r>
        <w:rPr>
          <w:spacing w:val="-3"/>
        </w:rPr>
        <w:t> </w:t>
      </w:r>
      <w:bookmarkEnd w:id="15"/>
      <w:r>
        <w:rPr/>
        <w:t>Methods</w:t>
      </w:r>
    </w:p>
    <w:p>
      <w:pPr>
        <w:pStyle w:val="BodyText"/>
        <w:spacing w:line="360" w:lineRule="auto" w:before="142"/>
        <w:ind w:left="1760" w:right="1443"/>
        <w:jc w:val="both"/>
      </w:pPr>
      <w:r>
        <w:rPr/>
        <w:t>These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couched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equilibrium framework. The framework describes that macroeconomic behaviour hinges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microeconomic</w:t>
      </w:r>
      <w:r>
        <w:rPr>
          <w:spacing w:val="1"/>
        </w:rPr>
        <w:t> </w:t>
      </w:r>
      <w:r>
        <w:rPr/>
        <w:t>units.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assumptions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equilibrium</w:t>
      </w:r>
      <w:r>
        <w:rPr>
          <w:spacing w:val="18"/>
        </w:rPr>
        <w:t> </w:t>
      </w:r>
      <w:r>
        <w:rPr/>
        <w:t>method</w:t>
      </w:r>
      <w:r>
        <w:rPr>
          <w:spacing w:val="18"/>
        </w:rPr>
        <w:t> </w:t>
      </w:r>
      <w:r>
        <w:rPr/>
        <w:t>comprise</w:t>
      </w:r>
      <w:r>
        <w:rPr>
          <w:spacing w:val="18"/>
        </w:rPr>
        <w:t> </w:t>
      </w:r>
      <w:r>
        <w:rPr/>
        <w:t>economic</w:t>
      </w:r>
      <w:r>
        <w:rPr>
          <w:spacing w:val="17"/>
        </w:rPr>
        <w:t> </w:t>
      </w:r>
      <w:r>
        <w:rPr/>
        <w:t>agents</w:t>
      </w:r>
      <w:r>
        <w:rPr>
          <w:spacing w:val="19"/>
        </w:rPr>
        <w:t> </w:t>
      </w:r>
      <w:r>
        <w:rPr/>
        <w:t>such</w:t>
      </w:r>
      <w:r>
        <w:rPr>
          <w:spacing w:val="17"/>
        </w:rPr>
        <w:t> </w:t>
      </w:r>
      <w:r>
        <w:rPr/>
        <w:t>as</w:t>
      </w:r>
      <w:r>
        <w:rPr>
          <w:spacing w:val="21"/>
        </w:rPr>
        <w:t> </w:t>
      </w:r>
      <w:r>
        <w:rPr/>
        <w:t>households,</w:t>
      </w:r>
      <w:r>
        <w:rPr>
          <w:spacing w:val="17"/>
        </w:rPr>
        <w:t> </w:t>
      </w:r>
      <w:r>
        <w:rPr/>
        <w:t>firms,</w:t>
      </w:r>
      <w:r>
        <w:rPr>
          <w:spacing w:val="18"/>
        </w:rPr>
        <w:t> </w:t>
      </w:r>
      <w:r>
        <w:rPr/>
        <w:t>governments</w:t>
      </w:r>
      <w:r>
        <w:rPr>
          <w:spacing w:val="21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38"/>
        <w:jc w:val="both"/>
      </w:pPr>
      <w:r>
        <w:rPr/>
        <w:t>central</w:t>
      </w:r>
      <w:r>
        <w:rPr>
          <w:spacing w:val="-14"/>
        </w:rPr>
        <w:t> </w:t>
      </w:r>
      <w:r>
        <w:rPr/>
        <w:t>banks</w:t>
      </w:r>
      <w:r>
        <w:rPr>
          <w:spacing w:val="-13"/>
        </w:rPr>
        <w:t> </w:t>
      </w:r>
      <w:r>
        <w:rPr/>
        <w:t>are</w:t>
      </w:r>
      <w:r>
        <w:rPr>
          <w:spacing w:val="-13"/>
        </w:rPr>
        <w:t> </w:t>
      </w:r>
      <w:r>
        <w:rPr/>
        <w:t>rational.</w:t>
      </w:r>
      <w:r>
        <w:rPr>
          <w:spacing w:val="-11"/>
        </w:rPr>
        <w:t> </w:t>
      </w:r>
      <w:r>
        <w:rPr/>
        <w:t>These</w:t>
      </w:r>
      <w:r>
        <w:rPr>
          <w:spacing w:val="-12"/>
        </w:rPr>
        <w:t> </w:t>
      </w:r>
      <w:r>
        <w:rPr/>
        <w:t>agents</w:t>
      </w:r>
      <w:r>
        <w:rPr>
          <w:spacing w:val="-10"/>
        </w:rPr>
        <w:t> </w:t>
      </w:r>
      <w:r>
        <w:rPr/>
        <w:t>are</w:t>
      </w:r>
      <w:r>
        <w:rPr>
          <w:spacing w:val="-13"/>
        </w:rPr>
        <w:t> </w:t>
      </w:r>
      <w:r>
        <w:rPr/>
        <w:t>assumed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form</w:t>
      </w:r>
      <w:r>
        <w:rPr>
          <w:spacing w:val="-11"/>
        </w:rPr>
        <w:t> </w:t>
      </w:r>
      <w:r>
        <w:rPr/>
        <w:t>rational</w:t>
      </w:r>
      <w:r>
        <w:rPr>
          <w:spacing w:val="-13"/>
        </w:rPr>
        <w:t> </w:t>
      </w:r>
      <w:r>
        <w:rPr/>
        <w:t>expectations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future.</w:t>
      </w:r>
      <w:r>
        <w:rPr>
          <w:spacing w:val="-58"/>
        </w:rPr>
        <w:t> </w:t>
      </w:r>
      <w:r>
        <w:rPr/>
        <w:t>The households and firms seek to maximise their preferences and technology subject to</w:t>
      </w:r>
      <w:r>
        <w:rPr>
          <w:spacing w:val="1"/>
        </w:rPr>
        <w:t> </w:t>
      </w:r>
      <w:r>
        <w:rPr/>
        <w:t>constraints, while governments and central banks interact by specifying policy rules. These</w:t>
      </w:r>
      <w:r>
        <w:rPr>
          <w:spacing w:val="1"/>
        </w:rPr>
        <w:t> </w:t>
      </w:r>
      <w:r>
        <w:rPr/>
        <w:t>agents live and make their economic decisions in a finite or infinite time horizon, and over a</w:t>
      </w:r>
      <w:r>
        <w:rPr>
          <w:spacing w:val="1"/>
        </w:rPr>
        <w:t> </w:t>
      </w:r>
      <w:r>
        <w:rPr/>
        <w:t>discrete</w:t>
      </w:r>
      <w:r>
        <w:rPr>
          <w:spacing w:val="-12"/>
        </w:rPr>
        <w:t> </w:t>
      </w:r>
      <w:r>
        <w:rPr/>
        <w:t>or</w:t>
      </w:r>
      <w:r>
        <w:rPr>
          <w:spacing w:val="-10"/>
        </w:rPr>
        <w:t> </w:t>
      </w:r>
      <w:r>
        <w:rPr/>
        <w:t>continuous</w:t>
      </w:r>
      <w:r>
        <w:rPr>
          <w:spacing w:val="-11"/>
        </w:rPr>
        <w:t> </w:t>
      </w:r>
      <w:r>
        <w:rPr/>
        <w:t>space.</w:t>
      </w:r>
      <w:r>
        <w:rPr>
          <w:spacing w:val="-9"/>
        </w:rPr>
        <w:t> </w:t>
      </w:r>
      <w:r>
        <w:rPr/>
        <w:t>Dynamic</w:t>
      </w:r>
      <w:r>
        <w:rPr>
          <w:spacing w:val="-10"/>
        </w:rPr>
        <w:t> </w:t>
      </w:r>
      <w:r>
        <w:rPr/>
        <w:t>general</w:t>
      </w:r>
      <w:r>
        <w:rPr>
          <w:spacing w:val="-11"/>
        </w:rPr>
        <w:t> </w:t>
      </w:r>
      <w:r>
        <w:rPr/>
        <w:t>equilibrium</w:t>
      </w:r>
      <w:r>
        <w:rPr>
          <w:spacing w:val="-11"/>
        </w:rPr>
        <w:t> </w:t>
      </w:r>
      <w:r>
        <w:rPr/>
        <w:t>models</w:t>
      </w:r>
      <w:r>
        <w:rPr>
          <w:spacing w:val="-11"/>
        </w:rPr>
        <w:t> </w:t>
      </w:r>
      <w:r>
        <w:rPr/>
        <w:t>fall</w:t>
      </w:r>
      <w:r>
        <w:rPr>
          <w:spacing w:val="-10"/>
        </w:rPr>
        <w:t> </w:t>
      </w:r>
      <w:r>
        <w:rPr/>
        <w:t>into</w:t>
      </w:r>
      <w:r>
        <w:rPr>
          <w:spacing w:val="-13"/>
        </w:rPr>
        <w:t> </w:t>
      </w:r>
      <w:r>
        <w:rPr/>
        <w:t>two</w:t>
      </w:r>
      <w:r>
        <w:rPr>
          <w:spacing w:val="-10"/>
        </w:rPr>
        <w:t> </w:t>
      </w:r>
      <w:r>
        <w:rPr/>
        <w:t>major</w:t>
      </w:r>
      <w:r>
        <w:rPr>
          <w:spacing w:val="-12"/>
        </w:rPr>
        <w:t> </w:t>
      </w:r>
      <w:r>
        <w:rPr/>
        <w:t>schools: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Classical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Cycle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Keynesian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Stochastic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Equilibrium models. In this section, the application of both models in studying economic</w:t>
      </w:r>
      <w:r>
        <w:rPr>
          <w:spacing w:val="1"/>
        </w:rPr>
        <w:t> </w:t>
      </w:r>
      <w:r>
        <w:rPr/>
        <w:t>policy</w:t>
      </w:r>
      <w:r>
        <w:rPr>
          <w:spacing w:val="-6"/>
        </w:rPr>
        <w:t> </w:t>
      </w:r>
      <w:r>
        <w:rPr/>
        <w:t>interactions is outlined.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3"/>
          <w:numId w:val="11"/>
        </w:numPr>
        <w:tabs>
          <w:tab w:pos="2481" w:val="left" w:leader="none"/>
        </w:tabs>
        <w:spacing w:line="240" w:lineRule="auto" w:before="156" w:after="0"/>
        <w:ind w:left="2480" w:right="0" w:hanging="361"/>
        <w:jc w:val="both"/>
      </w:pPr>
      <w:r>
        <w:rPr/>
        <w:t>Real</w:t>
      </w:r>
      <w:r>
        <w:rPr>
          <w:spacing w:val="-3"/>
        </w:rPr>
        <w:t> </w:t>
      </w:r>
      <w:r>
        <w:rPr/>
        <w:t>Business</w:t>
      </w:r>
      <w:r>
        <w:rPr>
          <w:spacing w:val="-3"/>
        </w:rPr>
        <w:t> </w:t>
      </w:r>
      <w:r>
        <w:rPr/>
        <w:t>Cycle Models</w:t>
      </w:r>
    </w:p>
    <w:p>
      <w:pPr>
        <w:pStyle w:val="BodyText"/>
        <w:spacing w:line="360" w:lineRule="auto" w:before="145"/>
        <w:ind w:left="1760" w:right="1436"/>
        <w:jc w:val="both"/>
      </w:pPr>
      <w:r>
        <w:rPr/>
        <w:t>Real Business Cycle (RBC) models, which is a dynamic general equilibrium apparatus, stems</w:t>
      </w:r>
      <w:r>
        <w:rPr>
          <w:spacing w:val="-57"/>
        </w:rPr>
        <w:t> </w:t>
      </w:r>
      <w:r>
        <w:rPr/>
        <w:t>from the contributions of Kydland and Prescott (1982); Long and Plosser (1983) and others.</w:t>
      </w:r>
      <w:r>
        <w:rPr>
          <w:spacing w:val="1"/>
        </w:rPr>
        <w:t> </w:t>
      </w:r>
      <w:r>
        <w:rPr/>
        <w:t>The model underlies a business cycle theory which emphasises real shocks, particularly,</w:t>
      </w:r>
      <w:r>
        <w:rPr>
          <w:spacing w:val="1"/>
        </w:rPr>
        <w:t> </w:t>
      </w:r>
      <w:r>
        <w:rPr/>
        <w:t>unanticipated changes in total factor productivity i.e. technology as the source of economic</w:t>
      </w:r>
      <w:r>
        <w:rPr>
          <w:spacing w:val="1"/>
        </w:rPr>
        <w:t> </w:t>
      </w:r>
      <w:r>
        <w:rPr/>
        <w:t>fluctuations. Other forms of real shocks such as government purchases, preferences and</w:t>
      </w:r>
      <w:r>
        <w:rPr>
          <w:spacing w:val="1"/>
        </w:rPr>
        <w:t> </w:t>
      </w:r>
      <w:r>
        <w:rPr/>
        <w:t>expectations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plausible.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RBC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methodological</w:t>
      </w:r>
      <w:r>
        <w:rPr>
          <w:spacing w:val="1"/>
        </w:rPr>
        <w:t> </w:t>
      </w:r>
      <w:r>
        <w:rPr/>
        <w:t>masterpiece. RBC models, in this respect, are built on the micro foundation of Walrasian</w:t>
      </w:r>
      <w:r>
        <w:rPr>
          <w:spacing w:val="1"/>
        </w:rPr>
        <w:t> </w:t>
      </w:r>
      <w:r>
        <w:rPr/>
        <w:t>general equilibrium, the basic neoclassical growth models of Solow (1956), Cass (1965),</w:t>
      </w:r>
      <w:r>
        <w:rPr>
          <w:spacing w:val="1"/>
        </w:rPr>
        <w:t> </w:t>
      </w:r>
      <w:r>
        <w:rPr/>
        <w:t>Koopman (1965), the Ramsey (1928) inter-temporal model and the stochastic growth 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Mirman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Brock</w:t>
      </w:r>
      <w:r>
        <w:rPr>
          <w:spacing w:val="1"/>
        </w:rPr>
        <w:t> </w:t>
      </w:r>
      <w:r>
        <w:rPr/>
        <w:t>(1972).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models,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assume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representative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framework comprising</w:t>
      </w:r>
      <w:r>
        <w:rPr>
          <w:spacing w:val="1"/>
        </w:rPr>
        <w:t> </w:t>
      </w:r>
      <w:r>
        <w:rPr/>
        <w:t>of rational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identical</w:t>
      </w:r>
      <w:r>
        <w:rPr>
          <w:spacing w:val="1"/>
        </w:rPr>
        <w:t> </w:t>
      </w:r>
      <w:r>
        <w:rPr/>
        <w:t>households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firms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 explicit</w:t>
      </w:r>
      <w:r>
        <w:rPr>
          <w:spacing w:val="1"/>
        </w:rPr>
        <w:t> </w:t>
      </w:r>
      <w:r>
        <w:rPr>
          <w:spacing w:val="-1"/>
        </w:rPr>
        <w:t>objective</w:t>
      </w:r>
      <w:r>
        <w:rPr>
          <w:spacing w:val="-11"/>
        </w:rPr>
        <w:t> </w:t>
      </w:r>
      <w:r>
        <w:rPr/>
        <w:t>functions</w:t>
      </w:r>
      <w:r>
        <w:rPr>
          <w:spacing w:val="-10"/>
        </w:rPr>
        <w:t> </w:t>
      </w:r>
      <w:r>
        <w:rPr/>
        <w:t>which</w:t>
      </w:r>
      <w:r>
        <w:rPr>
          <w:spacing w:val="-9"/>
        </w:rPr>
        <w:t> </w:t>
      </w:r>
      <w:r>
        <w:rPr/>
        <w:t>they</w:t>
      </w:r>
      <w:r>
        <w:rPr>
          <w:spacing w:val="-12"/>
        </w:rPr>
        <w:t> </w:t>
      </w:r>
      <w:r>
        <w:rPr/>
        <w:t>want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maximise</w:t>
      </w:r>
      <w:r>
        <w:rPr>
          <w:spacing w:val="-10"/>
        </w:rPr>
        <w:t> </w:t>
      </w:r>
      <w:r>
        <w:rPr/>
        <w:t>subject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budget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technology</w:t>
      </w:r>
      <w:r>
        <w:rPr>
          <w:spacing w:val="-15"/>
        </w:rPr>
        <w:t> </w:t>
      </w:r>
      <w:r>
        <w:rPr/>
        <w:t>constraints.</w:t>
      </w:r>
      <w:r>
        <w:rPr>
          <w:spacing w:val="-57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perfect</w:t>
      </w:r>
      <w:r>
        <w:rPr>
          <w:spacing w:val="1"/>
        </w:rPr>
        <w:t> </w:t>
      </w:r>
      <w:r>
        <w:rPr/>
        <w:t>frictionless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capital;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prices</w:t>
      </w:r>
      <w:r>
        <w:rPr>
          <w:spacing w:val="1"/>
        </w:rPr>
        <w:t> </w:t>
      </w:r>
      <w:r>
        <w:rPr/>
        <w:t>adjust</w:t>
      </w:r>
      <w:r>
        <w:rPr>
          <w:spacing w:val="1"/>
        </w:rPr>
        <w:t> </w:t>
      </w:r>
      <w:r>
        <w:rPr/>
        <w:t>instantaneously. In addition, there is little role for government regulation since markets are</w:t>
      </w:r>
      <w:r>
        <w:rPr>
          <w:spacing w:val="1"/>
        </w:rPr>
        <w:t> </w:t>
      </w:r>
      <w:r>
        <w:rPr/>
        <w:t>assumed to always clear, furthermore, the model assumes the classical dichotomy where</w:t>
      </w:r>
      <w:r>
        <w:rPr>
          <w:spacing w:val="1"/>
        </w:rPr>
        <w:t> </w:t>
      </w:r>
      <w:r>
        <w:rPr/>
        <w:t>money</w:t>
      </w:r>
      <w:r>
        <w:rPr>
          <w:spacing w:val="-6"/>
        </w:rPr>
        <w:t> </w:t>
      </w:r>
      <w:r>
        <w:rPr/>
        <w:t>is regarded as neutral.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760" w:right="1432"/>
        <w:jc w:val="both"/>
      </w:pPr>
      <w:r>
        <w:rPr/>
        <w:t>Christiano,</w:t>
      </w:r>
      <w:r>
        <w:rPr>
          <w:spacing w:val="-11"/>
        </w:rPr>
        <w:t> </w:t>
      </w:r>
      <w:r>
        <w:rPr/>
        <w:t>Eichenbaum</w:t>
      </w:r>
      <w:r>
        <w:rPr>
          <w:spacing w:val="-8"/>
        </w:rPr>
        <w:t> </w:t>
      </w:r>
      <w:r>
        <w:rPr/>
        <w:t>and</w:t>
      </w:r>
      <w:r>
        <w:rPr>
          <w:spacing w:val="-11"/>
        </w:rPr>
        <w:t> </w:t>
      </w:r>
      <w:r>
        <w:rPr/>
        <w:t>Evans</w:t>
      </w:r>
      <w:r>
        <w:rPr>
          <w:spacing w:val="-9"/>
        </w:rPr>
        <w:t> </w:t>
      </w:r>
      <w:r>
        <w:rPr/>
        <w:t>(2005),</w:t>
      </w:r>
      <w:r>
        <w:rPr>
          <w:spacing w:val="-10"/>
        </w:rPr>
        <w:t> </w:t>
      </w:r>
      <w:r>
        <w:rPr/>
        <w:t>Romer</w:t>
      </w:r>
      <w:r>
        <w:rPr>
          <w:spacing w:val="-10"/>
        </w:rPr>
        <w:t> </w:t>
      </w:r>
      <w:r>
        <w:rPr/>
        <w:t>(2006)</w:t>
      </w:r>
      <w:r>
        <w:rPr>
          <w:spacing w:val="-9"/>
        </w:rPr>
        <w:t> </w:t>
      </w:r>
      <w:r>
        <w:rPr/>
        <w:t>critique</w:t>
      </w:r>
      <w:r>
        <w:rPr>
          <w:spacing w:val="-12"/>
        </w:rPr>
        <w:t> </w:t>
      </w:r>
      <w:r>
        <w:rPr/>
        <w:t>that</w:t>
      </w:r>
      <w:r>
        <w:rPr>
          <w:spacing w:val="-8"/>
        </w:rPr>
        <w:t> </w:t>
      </w:r>
      <w:r>
        <w:rPr/>
        <w:t>RBC</w:t>
      </w:r>
      <w:r>
        <w:rPr>
          <w:spacing w:val="-8"/>
        </w:rPr>
        <w:t> </w:t>
      </w:r>
      <w:r>
        <w:rPr/>
        <w:t>models</w:t>
      </w:r>
      <w:r>
        <w:rPr>
          <w:spacing w:val="-11"/>
        </w:rPr>
        <w:t> </w:t>
      </w:r>
      <w:r>
        <w:rPr/>
        <w:t>are</w:t>
      </w:r>
      <w:r>
        <w:rPr>
          <w:spacing w:val="-12"/>
        </w:rPr>
        <w:t> </w:t>
      </w:r>
      <w:r>
        <w:rPr/>
        <w:t>unable</w:t>
      </w:r>
      <w:r>
        <w:rPr>
          <w:spacing w:val="-58"/>
        </w:rPr>
        <w:t> </w:t>
      </w:r>
      <w:r>
        <w:rPr/>
        <w:t>to prove the neutrality of money, the dominance of technological shocks in explaining the</w:t>
      </w:r>
      <w:r>
        <w:rPr>
          <w:spacing w:val="1"/>
        </w:rPr>
        <w:t> </w:t>
      </w:r>
      <w:r>
        <w:rPr/>
        <w:t>cyclical trends in actual economies like the United States and that prices are taken to be</w:t>
      </w:r>
      <w:r>
        <w:rPr>
          <w:spacing w:val="1"/>
        </w:rPr>
        <w:t> </w:t>
      </w:r>
      <w:r>
        <w:rPr/>
        <w:t>flexible.</w:t>
      </w:r>
      <w:r>
        <w:rPr>
          <w:spacing w:val="25"/>
        </w:rPr>
        <w:t> </w:t>
      </w:r>
      <w:r>
        <w:rPr/>
        <w:t>Furthermore,</w:t>
      </w:r>
      <w:r>
        <w:rPr>
          <w:spacing w:val="25"/>
        </w:rPr>
        <w:t> </w:t>
      </w:r>
      <w:r>
        <w:rPr/>
        <w:t>RBC</w:t>
      </w:r>
      <w:r>
        <w:rPr>
          <w:spacing w:val="25"/>
        </w:rPr>
        <w:t> </w:t>
      </w:r>
      <w:r>
        <w:rPr/>
        <w:t>models</w:t>
      </w:r>
      <w:r>
        <w:rPr>
          <w:spacing w:val="25"/>
        </w:rPr>
        <w:t> </w:t>
      </w:r>
      <w:r>
        <w:rPr/>
        <w:t>assume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rather</w:t>
      </w:r>
      <w:r>
        <w:rPr>
          <w:spacing w:val="23"/>
        </w:rPr>
        <w:t> </w:t>
      </w:r>
      <w:r>
        <w:rPr/>
        <w:t>unrealistic</w:t>
      </w:r>
      <w:r>
        <w:rPr>
          <w:spacing w:val="24"/>
        </w:rPr>
        <w:t> </w:t>
      </w:r>
      <w:r>
        <w:rPr/>
        <w:t>manner</w:t>
      </w:r>
      <w:r>
        <w:rPr>
          <w:spacing w:val="26"/>
        </w:rPr>
        <w:t> </w:t>
      </w:r>
      <w:r>
        <w:rPr/>
        <w:t>that</w:t>
      </w:r>
      <w:r>
        <w:rPr>
          <w:spacing w:val="25"/>
        </w:rPr>
        <w:t> </w:t>
      </w:r>
      <w:r>
        <w:rPr/>
        <w:t>there</w:t>
      </w:r>
      <w:r>
        <w:rPr>
          <w:spacing w:val="24"/>
        </w:rPr>
        <w:t> </w:t>
      </w:r>
      <w:r>
        <w:rPr/>
        <w:t>are</w:t>
      </w:r>
      <w:r>
        <w:rPr>
          <w:spacing w:val="24"/>
        </w:rPr>
        <w:t> </w:t>
      </w:r>
      <w:r>
        <w:rPr/>
        <w:t>no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35"/>
        <w:jc w:val="both"/>
      </w:pPr>
      <w:r>
        <w:rPr>
          <w:spacing w:val="-1"/>
        </w:rPr>
        <w:t>forms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government</w:t>
      </w:r>
      <w:r>
        <w:rPr>
          <w:spacing w:val="-14"/>
        </w:rPr>
        <w:t> </w:t>
      </w:r>
      <w:r>
        <w:rPr/>
        <w:t>regulation.</w:t>
      </w:r>
      <w:r>
        <w:rPr>
          <w:spacing w:val="-13"/>
        </w:rPr>
        <w:t> </w:t>
      </w:r>
      <w:r>
        <w:rPr/>
        <w:t>An</w:t>
      </w:r>
      <w:r>
        <w:rPr>
          <w:spacing w:val="-15"/>
        </w:rPr>
        <w:t> </w:t>
      </w:r>
      <w:r>
        <w:rPr/>
        <w:t>implication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these</w:t>
      </w:r>
      <w:r>
        <w:rPr>
          <w:spacing w:val="-15"/>
        </w:rPr>
        <w:t> </w:t>
      </w:r>
      <w:r>
        <w:rPr/>
        <w:t>assumptions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RBC</w:t>
      </w:r>
      <w:r>
        <w:rPr>
          <w:spacing w:val="-14"/>
        </w:rPr>
        <w:t> </w:t>
      </w:r>
      <w:r>
        <w:rPr/>
        <w:t>models</w:t>
      </w:r>
      <w:r>
        <w:rPr>
          <w:spacing w:val="-15"/>
        </w:rPr>
        <w:t> </w:t>
      </w:r>
      <w:r>
        <w:rPr/>
        <w:t>leave</w:t>
      </w:r>
      <w:r>
        <w:rPr>
          <w:spacing w:val="-57"/>
        </w:rPr>
        <w:t> </w:t>
      </w:r>
      <w:r>
        <w:rPr/>
        <w:t>out money and monetary policy and in general, it is traditionally silent on the application of</w:t>
      </w:r>
      <w:r>
        <w:rPr>
          <w:spacing w:val="1"/>
        </w:rPr>
        <w:t> </w:t>
      </w:r>
      <w:r>
        <w:rPr/>
        <w:t>economic policies. Despite this, Rebelo (2005) notes that RBC models have been useful for</w:t>
      </w:r>
      <w:r>
        <w:rPr>
          <w:spacing w:val="1"/>
        </w:rPr>
        <w:t> </w:t>
      </w:r>
      <w:r>
        <w:rPr/>
        <w:t>policy</w:t>
      </w:r>
      <w:r>
        <w:rPr>
          <w:spacing w:val="-6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it has</w:t>
      </w:r>
      <w:r>
        <w:rPr>
          <w:spacing w:val="-1"/>
        </w:rPr>
        <w:t> </w:t>
      </w:r>
      <w:r>
        <w:rPr/>
        <w:t>been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workhorse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9"/>
        </w:rPr>
        <w:t> </w:t>
      </w:r>
      <w:r>
        <w:rPr/>
        <w:t>of</w:t>
      </w:r>
      <w:r>
        <w:rPr>
          <w:spacing w:val="-1"/>
        </w:rPr>
        <w:t> </w:t>
      </w:r>
      <w:r>
        <w:rPr/>
        <w:t>optimal fiscal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monetary</w:t>
      </w:r>
      <w:r>
        <w:rPr>
          <w:spacing w:val="-6"/>
        </w:rPr>
        <w:t> </w:t>
      </w:r>
      <w:r>
        <w:rPr/>
        <w:t>policy.</w:t>
      </w:r>
      <w:r>
        <w:rPr>
          <w:spacing w:val="-57"/>
        </w:rPr>
        <w:t> </w:t>
      </w:r>
      <w:r>
        <w:rPr/>
        <w:t>Its usefulness in this regard, may be linked to some extensions to the RBC framework. RBC</w:t>
      </w:r>
      <w:r>
        <w:rPr>
          <w:spacing w:val="1"/>
        </w:rPr>
        <w:t> </w:t>
      </w:r>
      <w:r>
        <w:rPr/>
        <w:t>models, in some ad-hoc cases, have been modified to include money, government spending,</w:t>
      </w:r>
      <w:r>
        <w:rPr>
          <w:spacing w:val="1"/>
        </w:rPr>
        <w:t> </w:t>
      </w:r>
      <w:r>
        <w:rPr/>
        <w:t>imperfect</w:t>
      </w:r>
      <w:r>
        <w:rPr>
          <w:spacing w:val="1"/>
        </w:rPr>
        <w:t> </w:t>
      </w:r>
      <w:r>
        <w:rPr/>
        <w:t>competition, among</w:t>
      </w:r>
      <w:r>
        <w:rPr>
          <w:spacing w:val="-3"/>
        </w:rPr>
        <w:t> </w:t>
      </w:r>
      <w:r>
        <w:rPr/>
        <w:t>others</w:t>
      </w:r>
      <w:r>
        <w:rPr>
          <w:spacing w:val="2"/>
        </w:rPr>
        <w:t> </w:t>
      </w:r>
      <w:r>
        <w:rPr/>
        <w:t>(Rebelo, 2005).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3"/>
          <w:numId w:val="11"/>
        </w:numPr>
        <w:tabs>
          <w:tab w:pos="2481" w:val="left" w:leader="none"/>
        </w:tabs>
        <w:spacing w:line="240" w:lineRule="auto" w:before="0" w:after="0"/>
        <w:ind w:left="2480" w:right="0" w:hanging="361"/>
        <w:jc w:val="both"/>
      </w:pPr>
      <w:r>
        <w:rPr/>
        <w:t>Dynamic</w:t>
      </w:r>
      <w:r>
        <w:rPr>
          <w:spacing w:val="-1"/>
        </w:rPr>
        <w:t> </w:t>
      </w:r>
      <w:r>
        <w:rPr/>
        <w:t>Stochastic</w:t>
      </w:r>
      <w:r>
        <w:rPr>
          <w:spacing w:val="-2"/>
        </w:rPr>
        <w:t> </w:t>
      </w:r>
      <w:r>
        <w:rPr/>
        <w:t>General</w:t>
      </w:r>
      <w:r>
        <w:rPr>
          <w:spacing w:val="-2"/>
        </w:rPr>
        <w:t> </w:t>
      </w:r>
      <w:r>
        <w:rPr/>
        <w:t>Equilibrium</w:t>
      </w:r>
      <w:r>
        <w:rPr>
          <w:spacing w:val="-4"/>
        </w:rPr>
        <w:t> </w:t>
      </w:r>
      <w:r>
        <w:rPr/>
        <w:t>(DSGE)</w:t>
      </w:r>
      <w:r>
        <w:rPr>
          <w:spacing w:val="-2"/>
        </w:rPr>
        <w:t> </w:t>
      </w:r>
      <w:r>
        <w:rPr/>
        <w:t>Models</w:t>
      </w:r>
    </w:p>
    <w:p>
      <w:pPr>
        <w:pStyle w:val="BodyText"/>
        <w:spacing w:line="360" w:lineRule="auto" w:before="145"/>
        <w:ind w:left="1760" w:right="1435"/>
        <w:jc w:val="both"/>
      </w:pPr>
      <w:r>
        <w:rPr/>
        <w:t>DSGE Models are built on the micro-foundation and dynamic general equilibrium framework</w:t>
      </w:r>
      <w:r>
        <w:rPr>
          <w:spacing w:val="-58"/>
        </w:rPr>
        <w:t> </w:t>
      </w:r>
      <w:r>
        <w:rPr/>
        <w:t>just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RBC</w:t>
      </w:r>
      <w:r>
        <w:rPr>
          <w:spacing w:val="-7"/>
        </w:rPr>
        <w:t> </w:t>
      </w:r>
      <w:r>
        <w:rPr/>
        <w:t>model.</w:t>
      </w:r>
      <w:r>
        <w:rPr>
          <w:spacing w:val="-8"/>
        </w:rPr>
        <w:t> </w:t>
      </w:r>
      <w:r>
        <w:rPr/>
        <w:t>Their</w:t>
      </w:r>
      <w:r>
        <w:rPr>
          <w:spacing w:val="-9"/>
        </w:rPr>
        <w:t> </w:t>
      </w:r>
      <w:r>
        <w:rPr/>
        <w:t>point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departure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RBC</w:t>
      </w:r>
      <w:r>
        <w:rPr>
          <w:spacing w:val="-7"/>
        </w:rPr>
        <w:t> </w:t>
      </w:r>
      <w:r>
        <w:rPr/>
        <w:t>models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abstract</w:t>
      </w:r>
      <w:r>
        <w:rPr>
          <w:spacing w:val="-8"/>
        </w:rPr>
        <w:t> </w:t>
      </w:r>
      <w:r>
        <w:rPr/>
        <w:t>away</w:t>
      </w:r>
      <w:r>
        <w:rPr>
          <w:spacing w:val="-12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Classical assumptions of frictionless markets, flexible prices and neutrality of money. The</w:t>
      </w:r>
      <w:r>
        <w:rPr>
          <w:spacing w:val="1"/>
        </w:rPr>
        <w:t> </w:t>
      </w:r>
      <w:r>
        <w:rPr/>
        <w:t>DSGE models stems from the contributions of Smets and Wouters (2003); Gali (2003);</w:t>
      </w:r>
      <w:r>
        <w:rPr>
          <w:spacing w:val="1"/>
        </w:rPr>
        <w:t> </w:t>
      </w:r>
      <w:r>
        <w:rPr/>
        <w:t>Christiano,</w:t>
      </w:r>
      <w:r>
        <w:rPr>
          <w:spacing w:val="-5"/>
        </w:rPr>
        <w:t> </w:t>
      </w:r>
      <w:r>
        <w:rPr/>
        <w:t>Eichenbaum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Evans</w:t>
      </w:r>
      <w:r>
        <w:rPr>
          <w:spacing w:val="-4"/>
        </w:rPr>
        <w:t> </w:t>
      </w:r>
      <w:r>
        <w:rPr/>
        <w:t>(2005);</w:t>
      </w:r>
      <w:r>
        <w:rPr>
          <w:spacing w:val="-5"/>
        </w:rPr>
        <w:t> </w:t>
      </w:r>
      <w:r>
        <w:rPr/>
        <w:t>Smets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Wouters</w:t>
      </w:r>
      <w:r>
        <w:rPr>
          <w:spacing w:val="-4"/>
        </w:rPr>
        <w:t> </w:t>
      </w:r>
      <w:r>
        <w:rPr/>
        <w:t>(2007).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variant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DGE</w:t>
      </w:r>
      <w:r>
        <w:rPr>
          <w:spacing w:val="-58"/>
        </w:rPr>
        <w:t> </w:t>
      </w:r>
      <w:r>
        <w:rPr/>
        <w:t>models,</w:t>
      </w:r>
      <w:r>
        <w:rPr>
          <w:spacing w:val="-8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assumed</w:t>
      </w:r>
      <w:r>
        <w:rPr>
          <w:spacing w:val="-9"/>
        </w:rPr>
        <w:t> </w:t>
      </w:r>
      <w:r>
        <w:rPr/>
        <w:t>that</w:t>
      </w:r>
      <w:r>
        <w:rPr>
          <w:spacing w:val="-10"/>
        </w:rPr>
        <w:t> </w:t>
      </w:r>
      <w:r>
        <w:rPr/>
        <w:t>business</w:t>
      </w:r>
      <w:r>
        <w:rPr>
          <w:spacing w:val="-8"/>
        </w:rPr>
        <w:t> </w:t>
      </w:r>
      <w:r>
        <w:rPr/>
        <w:t>cycle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driven</w:t>
      </w:r>
      <w:r>
        <w:rPr>
          <w:spacing w:val="-5"/>
        </w:rPr>
        <w:t> </w:t>
      </w:r>
      <w:r>
        <w:rPr/>
        <w:t>by</w:t>
      </w:r>
      <w:r>
        <w:rPr>
          <w:spacing w:val="-13"/>
        </w:rPr>
        <w:t> </w:t>
      </w:r>
      <w:r>
        <w:rPr/>
        <w:t>both</w:t>
      </w:r>
      <w:r>
        <w:rPr>
          <w:spacing w:val="-7"/>
        </w:rPr>
        <w:t> </w:t>
      </w:r>
      <w:r>
        <w:rPr/>
        <w:t>real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nominal</w:t>
      </w:r>
      <w:r>
        <w:rPr>
          <w:spacing w:val="-7"/>
        </w:rPr>
        <w:t> </w:t>
      </w:r>
      <w:r>
        <w:rPr/>
        <w:t>shocks,</w:t>
      </w:r>
      <w:r>
        <w:rPr>
          <w:spacing w:val="-8"/>
        </w:rPr>
        <w:t> </w:t>
      </w:r>
      <w:r>
        <w:rPr/>
        <w:t>non-trivial</w:t>
      </w:r>
      <w:r>
        <w:rPr>
          <w:spacing w:val="-57"/>
        </w:rPr>
        <w:t> </w:t>
      </w:r>
      <w:r>
        <w:rPr/>
        <w:t>effect of monetary policy, monopolistic competition, nominal rigidity etc. In the standard</w:t>
      </w:r>
      <w:r>
        <w:rPr>
          <w:spacing w:val="1"/>
        </w:rPr>
        <w:t> </w:t>
      </w:r>
      <w:r>
        <w:rPr/>
        <w:t>model,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agents: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household,</w:t>
      </w:r>
      <w:r>
        <w:rPr>
          <w:spacing w:val="1"/>
        </w:rPr>
        <w:t> </w:t>
      </w:r>
      <w:r>
        <w:rPr/>
        <w:t>firms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Banks.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household</w:t>
      </w:r>
      <w:r>
        <w:rPr>
          <w:spacing w:val="-57"/>
        </w:rPr>
        <w:t> </w:t>
      </w:r>
      <w:r>
        <w:rPr/>
        <w:t>purchases goods, holds money and bonds, supplies labour to the firms and maximises its</w:t>
      </w:r>
      <w:r>
        <w:rPr>
          <w:spacing w:val="1"/>
        </w:rPr>
        <w:t> </w:t>
      </w:r>
      <w:r>
        <w:rPr/>
        <w:t>expected present value of utility. There are two types of firms: intermediate and final goods</w:t>
      </w:r>
      <w:r>
        <w:rPr>
          <w:spacing w:val="1"/>
        </w:rPr>
        <w:t> </w:t>
      </w:r>
      <w:r>
        <w:rPr>
          <w:spacing w:val="-1"/>
        </w:rPr>
        <w:t>firms.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firms</w:t>
      </w:r>
      <w:r>
        <w:rPr>
          <w:spacing w:val="-12"/>
        </w:rPr>
        <w:t> </w:t>
      </w:r>
      <w:r>
        <w:rPr>
          <w:spacing w:val="-1"/>
        </w:rPr>
        <w:t>produce</w:t>
      </w:r>
      <w:r>
        <w:rPr>
          <w:spacing w:val="-10"/>
        </w:rPr>
        <w:t> </w:t>
      </w:r>
      <w:r>
        <w:rPr/>
        <w:t>differentiated</w:t>
      </w:r>
      <w:r>
        <w:rPr>
          <w:spacing w:val="-12"/>
        </w:rPr>
        <w:t> </w:t>
      </w:r>
      <w:r>
        <w:rPr/>
        <w:t>products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monopolistic</w:t>
      </w:r>
      <w:r>
        <w:rPr>
          <w:spacing w:val="-12"/>
        </w:rPr>
        <w:t> </w:t>
      </w:r>
      <w:r>
        <w:rPr/>
        <w:t>competition.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central</w:t>
      </w:r>
      <w:r>
        <w:rPr>
          <w:spacing w:val="-12"/>
        </w:rPr>
        <w:t> </w:t>
      </w:r>
      <w:r>
        <w:rPr/>
        <w:t>bank</w:t>
      </w:r>
      <w:r>
        <w:rPr>
          <w:spacing w:val="-57"/>
        </w:rPr>
        <w:t> </w:t>
      </w:r>
      <w:r>
        <w:rPr/>
        <w:t>sets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nominal interest rate in Taylor-type</w:t>
      </w:r>
      <w:r>
        <w:rPr>
          <w:spacing w:val="-1"/>
        </w:rPr>
        <w:t> </w:t>
      </w:r>
      <w:r>
        <w:rPr/>
        <w:t>rules.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760" w:right="1435"/>
        <w:jc w:val="both"/>
      </w:pPr>
      <w:r>
        <w:rPr/>
        <w:t>The DSGE models have been used for economic policy analysis than its RBC counterpart,</w:t>
      </w:r>
      <w:r>
        <w:rPr>
          <w:spacing w:val="1"/>
        </w:rPr>
        <w:t> </w:t>
      </w:r>
      <w:r>
        <w:rPr/>
        <w:t>since it recognises a role for stabilising (fiscal and monetary) policies. It can also account for</w:t>
      </w:r>
      <w:r>
        <w:rPr>
          <w:spacing w:val="1"/>
        </w:rPr>
        <w:t> </w:t>
      </w:r>
      <w:r>
        <w:rPr/>
        <w:t>the effect of both real and nominal shocks on the economy. This study will adopt the DSGE</w:t>
      </w:r>
      <w:r>
        <w:rPr>
          <w:spacing w:val="1"/>
        </w:rPr>
        <w:t> </w:t>
      </w:r>
      <w:r>
        <w:rPr/>
        <w:t>framework</w:t>
      </w:r>
      <w:r>
        <w:rPr>
          <w:spacing w:val="-2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New</w:t>
      </w:r>
      <w:r>
        <w:rPr>
          <w:spacing w:val="-2"/>
        </w:rPr>
        <w:t> </w:t>
      </w:r>
      <w:r>
        <w:rPr/>
        <w:t>Keynesian</w:t>
      </w:r>
      <w:r>
        <w:rPr>
          <w:spacing w:val="-1"/>
        </w:rPr>
        <w:t> </w:t>
      </w:r>
      <w:r>
        <w:rPr/>
        <w:t>school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thought.</w:t>
      </w:r>
      <w:r>
        <w:rPr>
          <w:spacing w:val="-2"/>
        </w:rPr>
        <w:t> </w:t>
      </w:r>
      <w:r>
        <w:rPr/>
        <w:t>Therefore,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extensive</w:t>
      </w:r>
      <w:r>
        <w:rPr>
          <w:spacing w:val="-58"/>
        </w:rPr>
        <w:t> </w:t>
      </w:r>
      <w:r>
        <w:rPr/>
        <w:t>discussion of the NK DSGE framework is presented, with a focus on how NK DSGE models</w:t>
      </w:r>
      <w:r>
        <w:rPr>
          <w:spacing w:val="1"/>
        </w:rPr>
        <w:t> </w:t>
      </w:r>
      <w:r>
        <w:rPr/>
        <w:t>are</w:t>
      </w:r>
      <w:r>
        <w:rPr>
          <w:spacing w:val="-8"/>
        </w:rPr>
        <w:t> </w:t>
      </w:r>
      <w:r>
        <w:rPr/>
        <w:t>solved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estimated.</w:t>
      </w:r>
      <w:r>
        <w:rPr>
          <w:spacing w:val="-3"/>
        </w:rPr>
        <w:t> </w:t>
      </w:r>
      <w:r>
        <w:rPr/>
        <w:t>This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done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context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works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have</w:t>
      </w:r>
      <w:r>
        <w:rPr>
          <w:spacing w:val="-6"/>
        </w:rPr>
        <w:t> </w:t>
      </w:r>
      <w:r>
        <w:rPr/>
        <w:t>applied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NK</w:t>
      </w:r>
      <w:r>
        <w:rPr>
          <w:spacing w:val="-6"/>
        </w:rPr>
        <w:t> </w:t>
      </w:r>
      <w:r>
        <w:rPr/>
        <w:t>DSGE</w:t>
      </w:r>
      <w:r>
        <w:rPr>
          <w:spacing w:val="-57"/>
        </w:rPr>
        <w:t> </w:t>
      </w:r>
      <w:r>
        <w:rPr/>
        <w:t>to fiscal and monetary</w:t>
      </w:r>
      <w:r>
        <w:rPr>
          <w:spacing w:val="-5"/>
        </w:rPr>
        <w:t> </w:t>
      </w:r>
      <w:r>
        <w:rPr/>
        <w:t>policy</w:t>
      </w:r>
      <w:r>
        <w:rPr>
          <w:spacing w:val="-5"/>
        </w:rPr>
        <w:t> </w:t>
      </w:r>
      <w:r>
        <w:rPr/>
        <w:t>interactions.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Heading1"/>
        <w:numPr>
          <w:ilvl w:val="3"/>
          <w:numId w:val="11"/>
        </w:numPr>
        <w:tabs>
          <w:tab w:pos="2481" w:val="left" w:leader="none"/>
        </w:tabs>
        <w:spacing w:line="240" w:lineRule="auto" w:before="60" w:after="0"/>
        <w:ind w:left="2480" w:right="0" w:hanging="361"/>
        <w:jc w:val="both"/>
      </w:pPr>
      <w:r>
        <w:rPr/>
        <w:t>Solving</w:t>
      </w:r>
      <w:r>
        <w:rPr>
          <w:spacing w:val="-5"/>
        </w:rPr>
        <w:t> </w:t>
      </w:r>
      <w:r>
        <w:rPr/>
        <w:t>DSGE</w:t>
      </w:r>
      <w:r>
        <w:rPr>
          <w:spacing w:val="-5"/>
        </w:rPr>
        <w:t> </w:t>
      </w:r>
      <w:r>
        <w:rPr/>
        <w:t>models</w:t>
      </w:r>
    </w:p>
    <w:p>
      <w:pPr>
        <w:pStyle w:val="BodyText"/>
        <w:spacing w:line="360" w:lineRule="auto" w:before="144"/>
        <w:ind w:left="1760" w:right="1434"/>
        <w:jc w:val="both"/>
      </w:pPr>
      <w:r>
        <w:rPr/>
        <w:t>DSGE</w:t>
      </w:r>
      <w:r>
        <w:rPr>
          <w:spacing w:val="-11"/>
        </w:rPr>
        <w:t> </w:t>
      </w:r>
      <w:r>
        <w:rPr/>
        <w:t>models</w:t>
      </w:r>
      <w:r>
        <w:rPr>
          <w:spacing w:val="-10"/>
        </w:rPr>
        <w:t> </w:t>
      </w:r>
      <w:r>
        <w:rPr/>
        <w:t>often</w:t>
      </w:r>
      <w:r>
        <w:rPr>
          <w:spacing w:val="-11"/>
        </w:rPr>
        <w:t> </w:t>
      </w:r>
      <w:r>
        <w:rPr/>
        <w:t>lack</w:t>
      </w:r>
      <w:r>
        <w:rPr>
          <w:spacing w:val="-8"/>
        </w:rPr>
        <w:t> </w:t>
      </w:r>
      <w:r>
        <w:rPr/>
        <w:t>an</w:t>
      </w:r>
      <w:r>
        <w:rPr>
          <w:spacing w:val="-11"/>
        </w:rPr>
        <w:t> </w:t>
      </w:r>
      <w:r>
        <w:rPr/>
        <w:t>exact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closed</w:t>
      </w:r>
      <w:r>
        <w:rPr>
          <w:spacing w:val="-10"/>
        </w:rPr>
        <w:t> </w:t>
      </w:r>
      <w:r>
        <w:rPr/>
        <w:t>form</w:t>
      </w:r>
      <w:r>
        <w:rPr>
          <w:spacing w:val="-9"/>
        </w:rPr>
        <w:t> </w:t>
      </w:r>
      <w:r>
        <w:rPr/>
        <w:t>solution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can</w:t>
      </w:r>
      <w:r>
        <w:rPr>
          <w:spacing w:val="-10"/>
        </w:rPr>
        <w:t> </w:t>
      </w:r>
      <w:r>
        <w:rPr/>
        <w:t>be</w:t>
      </w:r>
      <w:r>
        <w:rPr>
          <w:spacing w:val="-10"/>
        </w:rPr>
        <w:t> </w:t>
      </w:r>
      <w:r>
        <w:rPr/>
        <w:t>cumbersome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messy</w:t>
      </w:r>
      <w:r>
        <w:rPr>
          <w:spacing w:val="-57"/>
        </w:rPr>
        <w:t> </w:t>
      </w:r>
      <w:r>
        <w:rPr/>
        <w:t>with paper and pencil. Their solutions are derived by numerical methods in order to find an</w:t>
      </w:r>
      <w:r>
        <w:rPr>
          <w:spacing w:val="1"/>
        </w:rPr>
        <w:t> </w:t>
      </w:r>
      <w:r>
        <w:rPr/>
        <w:t>approximated path. In this subsection, some solution methods to solving DSGE models are</w:t>
      </w:r>
      <w:r>
        <w:rPr>
          <w:spacing w:val="1"/>
        </w:rPr>
        <w:t> </w:t>
      </w:r>
      <w:r>
        <w:rPr/>
        <w:t>presented. The discussion is due primarily to Flotho (2009); Fernandez-Villaverde, Rubio-</w:t>
      </w:r>
      <w:r>
        <w:rPr>
          <w:spacing w:val="1"/>
        </w:rPr>
        <w:t> </w:t>
      </w:r>
      <w:r>
        <w:rPr/>
        <w:t>Ramirez and Schorfheide (2016). The solution</w:t>
      </w:r>
      <w:r>
        <w:rPr>
          <w:spacing w:val="1"/>
        </w:rPr>
        <w:t> </w:t>
      </w:r>
      <w:r>
        <w:rPr/>
        <w:t>methods are generally classified into the</w:t>
      </w:r>
      <w:r>
        <w:rPr>
          <w:spacing w:val="1"/>
        </w:rPr>
        <w:t> </w:t>
      </w:r>
      <w:r>
        <w:rPr/>
        <w:t>perturbation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projection</w:t>
      </w:r>
      <w:r>
        <w:rPr>
          <w:spacing w:val="-4"/>
        </w:rPr>
        <w:t> </w:t>
      </w:r>
      <w:r>
        <w:rPr/>
        <w:t>Methods.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perturbation</w:t>
      </w:r>
      <w:r>
        <w:rPr>
          <w:spacing w:val="-3"/>
        </w:rPr>
        <w:t> </w:t>
      </w:r>
      <w:r>
        <w:rPr/>
        <w:t>solutions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local</w:t>
      </w:r>
      <w:r>
        <w:rPr>
          <w:spacing w:val="-3"/>
        </w:rPr>
        <w:t> </w:t>
      </w:r>
      <w:r>
        <w:rPr/>
        <w:t>approximations</w:t>
      </w:r>
      <w:r>
        <w:rPr>
          <w:spacing w:val="-3"/>
        </w:rPr>
        <w:t> </w:t>
      </w:r>
      <w:r>
        <w:rPr/>
        <w:t>that</w:t>
      </w:r>
      <w:r>
        <w:rPr>
          <w:spacing w:val="-58"/>
        </w:rPr>
        <w:t> </w:t>
      </w:r>
      <w:r>
        <w:rPr/>
        <w:t>usually involve a Taylor series approximation of equilibrium equations around their non-</w:t>
      </w:r>
      <w:r>
        <w:rPr>
          <w:spacing w:val="1"/>
        </w:rPr>
        <w:t> </w:t>
      </w:r>
      <w:r>
        <w:rPr>
          <w:spacing w:val="-1"/>
        </w:rPr>
        <w:t>stochastic</w:t>
      </w:r>
      <w:r>
        <w:rPr>
          <w:spacing w:val="-11"/>
        </w:rPr>
        <w:t> </w:t>
      </w:r>
      <w:r>
        <w:rPr/>
        <w:t>steady</w:t>
      </w:r>
      <w:r>
        <w:rPr>
          <w:spacing w:val="-15"/>
        </w:rPr>
        <w:t> </w:t>
      </w:r>
      <w:r>
        <w:rPr/>
        <w:t>state.</w:t>
      </w:r>
      <w:r>
        <w:rPr>
          <w:spacing w:val="-8"/>
        </w:rPr>
        <w:t> </w:t>
      </w:r>
      <w:r>
        <w:rPr/>
        <w:t>Fernandez-Villaverde</w:t>
      </w:r>
      <w:r>
        <w:rPr>
          <w:spacing w:val="-10"/>
        </w:rPr>
        <w:t> </w:t>
      </w:r>
      <w:r>
        <w:rPr>
          <w:i/>
        </w:rPr>
        <w:t>et</w:t>
      </w:r>
      <w:r>
        <w:rPr>
          <w:i/>
          <w:spacing w:val="-10"/>
        </w:rPr>
        <w:t> </w:t>
      </w:r>
      <w:r>
        <w:rPr>
          <w:i/>
        </w:rPr>
        <w:t>al</w:t>
      </w:r>
      <w:r>
        <w:rPr/>
        <w:t>.,</w:t>
      </w:r>
      <w:r>
        <w:rPr>
          <w:spacing w:val="-8"/>
        </w:rPr>
        <w:t> </w:t>
      </w:r>
      <w:r>
        <w:rPr/>
        <w:t>(2016)</w:t>
      </w:r>
      <w:r>
        <w:rPr>
          <w:spacing w:val="-10"/>
        </w:rPr>
        <w:t> </w:t>
      </w:r>
      <w:r>
        <w:rPr/>
        <w:t>argue</w:t>
      </w:r>
      <w:r>
        <w:rPr>
          <w:spacing w:val="-11"/>
        </w:rPr>
        <w:t> </w:t>
      </w:r>
      <w:r>
        <w:rPr/>
        <w:t>that</w:t>
      </w:r>
      <w:r>
        <w:rPr>
          <w:spacing w:val="-10"/>
        </w:rPr>
        <w:t> </w:t>
      </w:r>
      <w:r>
        <w:rPr/>
        <w:t>perturbation</w:t>
      </w:r>
      <w:r>
        <w:rPr>
          <w:spacing w:val="-10"/>
        </w:rPr>
        <w:t> </w:t>
      </w:r>
      <w:r>
        <w:rPr/>
        <w:t>methods</w:t>
      </w:r>
      <w:r>
        <w:rPr>
          <w:spacing w:val="-10"/>
        </w:rPr>
        <w:t> </w:t>
      </w:r>
      <w:r>
        <w:rPr/>
        <w:t>are</w:t>
      </w:r>
      <w:r>
        <w:rPr>
          <w:spacing w:val="-57"/>
        </w:rPr>
        <w:t> </w:t>
      </w:r>
      <w:r>
        <w:rPr/>
        <w:t>most suitable for solving a medium-scale NK model since it is sufficiently well-behaved.</w:t>
      </w:r>
      <w:r>
        <w:rPr>
          <w:spacing w:val="1"/>
        </w:rPr>
        <w:t> </w:t>
      </w:r>
      <w:r>
        <w:rPr/>
        <w:t>Linear Quadratic method, linear approximation and second (or higher) order approximation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some</w:t>
      </w:r>
      <w:r>
        <w:rPr>
          <w:spacing w:val="-2"/>
        </w:rPr>
        <w:t> </w:t>
      </w:r>
      <w:r>
        <w:rPr/>
        <w:t>perturbation</w:t>
      </w:r>
      <w:r>
        <w:rPr>
          <w:spacing w:val="-1"/>
        </w:rPr>
        <w:t> </w:t>
      </w:r>
      <w:r>
        <w:rPr/>
        <w:t>methods. Projections</w:t>
      </w:r>
      <w:r>
        <w:rPr>
          <w:spacing w:val="-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 other</w:t>
      </w:r>
      <w:r>
        <w:rPr>
          <w:spacing w:val="-1"/>
        </w:rPr>
        <w:t> </w:t>
      </w:r>
      <w:r>
        <w:rPr/>
        <w:t>hand,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global solutions.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0"/>
          <w:numId w:val="14"/>
        </w:numPr>
        <w:tabs>
          <w:tab w:pos="1962" w:val="left" w:leader="none"/>
        </w:tabs>
        <w:spacing w:line="240" w:lineRule="auto" w:before="1" w:after="0"/>
        <w:ind w:left="1962" w:right="0" w:hanging="202"/>
        <w:jc w:val="both"/>
      </w:pPr>
      <w:r>
        <w:rPr/>
        <w:t>Linear-Quadratic</w:t>
      </w:r>
      <w:r>
        <w:rPr>
          <w:spacing w:val="-5"/>
        </w:rPr>
        <w:t> </w:t>
      </w:r>
      <w:r>
        <w:rPr/>
        <w:t>Technique</w:t>
      </w:r>
    </w:p>
    <w:p>
      <w:pPr>
        <w:pStyle w:val="BodyText"/>
        <w:spacing w:line="360" w:lineRule="auto" w:before="144"/>
        <w:ind w:left="1760" w:right="1435"/>
        <w:jc w:val="both"/>
      </w:pPr>
      <w:r>
        <w:rPr/>
        <w:t>The Linear Quadratic method is a traditional solution to DSGE models, which begins with</w:t>
      </w:r>
      <w:r>
        <w:rPr>
          <w:spacing w:val="1"/>
        </w:rPr>
        <w:t> </w:t>
      </w:r>
      <w:r>
        <w:rPr/>
        <w:t>transforming the DSGE model into a linear-quadratic (LQ) problem such that a quadratic</w:t>
      </w:r>
      <w:r>
        <w:rPr>
          <w:spacing w:val="1"/>
        </w:rPr>
        <w:t> </w:t>
      </w:r>
      <w:r>
        <w:rPr/>
        <w:t>objective function is optimised subject to constraints that are a linear function of the state</w:t>
      </w:r>
      <w:r>
        <w:rPr>
          <w:spacing w:val="1"/>
        </w:rPr>
        <w:t> </w:t>
      </w:r>
      <w:r>
        <w:rPr/>
        <w:t>variable. This approach was used first by Kydland and Prescott (1982) who used it in solving</w:t>
      </w:r>
      <w:r>
        <w:rPr>
          <w:spacing w:val="1"/>
        </w:rPr>
        <w:t> </w:t>
      </w:r>
      <w:r>
        <w:rPr/>
        <w:t>a Real Business Cycle model. However, Judd (1996, 1998) as cited in Pierse (2006) pointed</w:t>
      </w:r>
      <w:r>
        <w:rPr>
          <w:spacing w:val="1"/>
        </w:rPr>
        <w:t> </w:t>
      </w:r>
      <w:r>
        <w:rPr/>
        <w:t>out that the method is invalid in a non-linear model which is typical of the DSGE framework.</w:t>
      </w:r>
      <w:r>
        <w:rPr>
          <w:spacing w:val="-57"/>
        </w:rPr>
        <w:t> </w:t>
      </w:r>
      <w:r>
        <w:rPr/>
        <w:t>The correct approach is therefore to compute a second order approximation to the Lagrangian</w:t>
      </w:r>
      <w:r>
        <w:rPr>
          <w:spacing w:val="-57"/>
        </w:rPr>
        <w:t> </w:t>
      </w:r>
      <w:r>
        <w:rPr/>
        <w:t>function.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760" w:right="1435"/>
        <w:jc w:val="both"/>
      </w:pPr>
      <w:r>
        <w:rPr/>
        <w:t>Beningno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Woodford</w:t>
      </w:r>
      <w:r>
        <w:rPr>
          <w:spacing w:val="-12"/>
        </w:rPr>
        <w:t> </w:t>
      </w:r>
      <w:r>
        <w:rPr/>
        <w:t>(2004)</w:t>
      </w:r>
      <w:r>
        <w:rPr>
          <w:spacing w:val="-14"/>
        </w:rPr>
        <w:t> </w:t>
      </w:r>
      <w:r>
        <w:rPr/>
        <w:t>employed</w:t>
      </w:r>
      <w:r>
        <w:rPr>
          <w:spacing w:val="-13"/>
        </w:rPr>
        <w:t> </w:t>
      </w:r>
      <w:r>
        <w:rPr/>
        <w:t>this</w:t>
      </w:r>
      <w:r>
        <w:rPr>
          <w:spacing w:val="-12"/>
        </w:rPr>
        <w:t> </w:t>
      </w:r>
      <w:r>
        <w:rPr/>
        <w:t>technique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obtain</w:t>
      </w:r>
      <w:r>
        <w:rPr>
          <w:spacing w:val="-13"/>
        </w:rPr>
        <w:t> </w:t>
      </w:r>
      <w:r>
        <w:rPr/>
        <w:t>optimal</w:t>
      </w:r>
      <w:r>
        <w:rPr>
          <w:spacing w:val="-13"/>
        </w:rPr>
        <w:t> </w:t>
      </w:r>
      <w:r>
        <w:rPr/>
        <w:t>fiscal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monetary</w:t>
      </w:r>
      <w:r>
        <w:rPr>
          <w:spacing w:val="-58"/>
        </w:rPr>
        <w:t> </w:t>
      </w:r>
      <w:r>
        <w:rPr/>
        <w:t>policy paths that determines inflation and output. The authors built a New Keynesian DSGE</w:t>
      </w:r>
      <w:r>
        <w:rPr>
          <w:spacing w:val="1"/>
        </w:rPr>
        <w:t> </w:t>
      </w:r>
      <w:r>
        <w:rPr/>
        <w:t>model comprising of household that maximises utility subject to budget constraint, firms that</w:t>
      </w:r>
      <w:r>
        <w:rPr>
          <w:spacing w:val="1"/>
        </w:rPr>
        <w:t> </w:t>
      </w:r>
      <w:r>
        <w:rPr/>
        <w:t>produce</w:t>
      </w:r>
      <w:r>
        <w:rPr>
          <w:spacing w:val="-3"/>
        </w:rPr>
        <w:t> </w:t>
      </w:r>
      <w:r>
        <w:rPr/>
        <w:t>differentiated goods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pricing</w:t>
      </w:r>
      <w:r>
        <w:rPr>
          <w:spacing w:val="-3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specifies</w:t>
      </w:r>
      <w:r>
        <w:rPr>
          <w:spacing w:val="-1"/>
        </w:rPr>
        <w:t> </w:t>
      </w:r>
      <w:r>
        <w:rPr/>
        <w:t>how</w:t>
      </w:r>
      <w:r>
        <w:rPr>
          <w:spacing w:val="-2"/>
        </w:rPr>
        <w:t> </w:t>
      </w:r>
      <w:r>
        <w:rPr/>
        <w:t>price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evolve.</w:t>
      </w:r>
      <w:r>
        <w:rPr>
          <w:spacing w:val="-1"/>
        </w:rPr>
        <w:t> </w:t>
      </w:r>
      <w:r>
        <w:rPr/>
        <w:t>The</w:t>
      </w:r>
      <w:r>
        <w:rPr>
          <w:spacing w:val="-58"/>
        </w:rPr>
        <w:t> </w:t>
      </w:r>
      <w:r>
        <w:rPr/>
        <w:t>authors</w:t>
      </w:r>
      <w:r>
        <w:rPr>
          <w:spacing w:val="1"/>
        </w:rPr>
        <w:t> </w:t>
      </w:r>
      <w:r>
        <w:rPr/>
        <w:t>restate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DSGE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linear-quadratic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by computing</w:t>
      </w:r>
      <w:r>
        <w:rPr>
          <w:spacing w:val="1"/>
        </w:rPr>
        <w:t> </w:t>
      </w:r>
      <w:r>
        <w:rPr/>
        <w:t>log-quadratic</w:t>
      </w:r>
      <w:r>
        <w:rPr>
          <w:spacing w:val="1"/>
        </w:rPr>
        <w:t> </w:t>
      </w:r>
      <w:r>
        <w:rPr/>
        <w:t>approximation of the household objective function around its steady state. The study also</w:t>
      </w:r>
      <w:r>
        <w:rPr>
          <w:spacing w:val="1"/>
        </w:rPr>
        <w:t> </w:t>
      </w:r>
      <w:r>
        <w:rPr/>
        <w:t>derives second-order (log) approximation of constraint equations in Philips curve and the</w:t>
      </w:r>
      <w:r>
        <w:rPr>
          <w:spacing w:val="1"/>
        </w:rPr>
        <w:t> </w:t>
      </w:r>
      <w:r>
        <w:rPr/>
        <w:t>Government</w:t>
      </w:r>
      <w:r>
        <w:rPr>
          <w:spacing w:val="-9"/>
        </w:rPr>
        <w:t> </w:t>
      </w:r>
      <w:r>
        <w:rPr/>
        <w:t>Budget</w:t>
      </w:r>
      <w:r>
        <w:rPr>
          <w:spacing w:val="-8"/>
        </w:rPr>
        <w:t> </w:t>
      </w:r>
      <w:r>
        <w:rPr/>
        <w:t>constraint,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order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eliminate</w:t>
      </w:r>
      <w:r>
        <w:rPr>
          <w:spacing w:val="-10"/>
        </w:rPr>
        <w:t> </w:t>
      </w:r>
      <w:r>
        <w:rPr/>
        <w:t>any</w:t>
      </w:r>
      <w:r>
        <w:rPr>
          <w:spacing w:val="-13"/>
        </w:rPr>
        <w:t> </w:t>
      </w:r>
      <w:r>
        <w:rPr/>
        <w:t>linear</w:t>
      </w:r>
      <w:r>
        <w:rPr>
          <w:spacing w:val="-10"/>
        </w:rPr>
        <w:t> </w:t>
      </w:r>
      <w:r>
        <w:rPr/>
        <w:t>term</w:t>
      </w:r>
      <w:r>
        <w:rPr>
          <w:spacing w:val="-8"/>
        </w:rPr>
        <w:t> </w:t>
      </w:r>
      <w:r>
        <w:rPr/>
        <w:t>appearing</w:t>
      </w:r>
      <w:r>
        <w:rPr>
          <w:spacing w:val="-11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quadratic</w:t>
      </w:r>
    </w:p>
    <w:p>
      <w:pPr>
        <w:spacing w:after="0" w:line="360" w:lineRule="auto"/>
        <w:jc w:val="both"/>
        <w:sectPr>
          <w:pgSz w:w="12240" w:h="15840"/>
          <w:pgMar w:header="0" w:footer="1015" w:top="1380" w:bottom="1200" w:left="40" w:right="0"/>
        </w:sectPr>
      </w:pPr>
    </w:p>
    <w:p>
      <w:pPr>
        <w:pStyle w:val="BodyText"/>
        <w:spacing w:line="360" w:lineRule="auto" w:before="74"/>
        <w:ind w:left="1760" w:right="1438"/>
        <w:jc w:val="both"/>
      </w:pPr>
      <w:r>
        <w:rPr/>
        <w:t>objective function. Beningno and Woodford (2004) do so to arrive at a purely quadratic</w:t>
      </w:r>
      <w:r>
        <w:rPr>
          <w:spacing w:val="1"/>
        </w:rPr>
        <w:t> </w:t>
      </w:r>
      <w:r>
        <w:rPr/>
        <w:t>objective</w:t>
      </w:r>
      <w:r>
        <w:rPr>
          <w:spacing w:val="-3"/>
        </w:rPr>
        <w:t> </w:t>
      </w:r>
      <w:r>
        <w:rPr/>
        <w:t>function.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next</w:t>
      </w:r>
      <w:r>
        <w:rPr>
          <w:spacing w:val="-2"/>
        </w:rPr>
        <w:t> </w:t>
      </w:r>
      <w:r>
        <w:rPr/>
        <w:t>step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minimise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quadratic</w:t>
      </w:r>
      <w:r>
        <w:rPr>
          <w:spacing w:val="-2"/>
        </w:rPr>
        <w:t> </w:t>
      </w:r>
      <w:r>
        <w:rPr/>
        <w:t>loss</w:t>
      </w:r>
      <w:r>
        <w:rPr>
          <w:spacing w:val="-1"/>
        </w:rPr>
        <w:t> </w:t>
      </w:r>
      <w:r>
        <w:rPr/>
        <w:t>function,</w:t>
      </w:r>
      <w:r>
        <w:rPr>
          <w:spacing w:val="-2"/>
        </w:rPr>
        <w:t> </w:t>
      </w:r>
      <w:r>
        <w:rPr/>
        <w:t>resulting</w:t>
      </w:r>
      <w:r>
        <w:rPr>
          <w:spacing w:val="-3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58"/>
        </w:rPr>
        <w:t> </w:t>
      </w:r>
      <w:r>
        <w:rPr/>
        <w:t>previous</w:t>
      </w:r>
      <w:r>
        <w:rPr>
          <w:spacing w:val="-12"/>
        </w:rPr>
        <w:t> </w:t>
      </w:r>
      <w:r>
        <w:rPr/>
        <w:t>step,</w:t>
      </w:r>
      <w:r>
        <w:rPr>
          <w:spacing w:val="-11"/>
        </w:rPr>
        <w:t> </w:t>
      </w:r>
      <w:r>
        <w:rPr/>
        <w:t>subject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log-linearised</w:t>
      </w:r>
      <w:r>
        <w:rPr>
          <w:spacing w:val="-9"/>
        </w:rPr>
        <w:t> </w:t>
      </w:r>
      <w:r>
        <w:rPr/>
        <w:t>constraint</w:t>
      </w:r>
      <w:r>
        <w:rPr>
          <w:spacing w:val="-10"/>
        </w:rPr>
        <w:t> </w:t>
      </w:r>
      <w:r>
        <w:rPr/>
        <w:t>equations.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Lagrange</w:t>
      </w:r>
      <w:r>
        <w:rPr>
          <w:spacing w:val="-10"/>
        </w:rPr>
        <w:t> </w:t>
      </w:r>
      <w:r>
        <w:rPr/>
        <w:t>method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used,</w:t>
      </w:r>
      <w:r>
        <w:rPr>
          <w:spacing w:val="-11"/>
        </w:rPr>
        <w:t> </w:t>
      </w:r>
      <w:r>
        <w:rPr/>
        <w:t>and</w:t>
      </w:r>
      <w:r>
        <w:rPr>
          <w:spacing w:val="-58"/>
        </w:rPr>
        <w:t> </w:t>
      </w:r>
      <w:r>
        <w:rPr/>
        <w:t>a system of first order conditions is derived and solved in terms of inflation, output, tax and</w:t>
      </w:r>
      <w:r>
        <w:rPr>
          <w:spacing w:val="1"/>
        </w:rPr>
        <w:t> </w:t>
      </w:r>
      <w:r>
        <w:rPr/>
        <w:t>debt.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760" w:right="1436"/>
        <w:jc w:val="both"/>
      </w:pPr>
      <w:r>
        <w:rPr/>
        <w:t>Leeper and Zhou (2013) also used the linear-quadratic technique, to solve a New Keynesian</w:t>
      </w:r>
      <w:r>
        <w:rPr>
          <w:spacing w:val="1"/>
        </w:rPr>
        <w:t> </w:t>
      </w:r>
      <w:r>
        <w:rPr/>
        <w:t>DSGE model for optimal fiscal and monetary policy. In a New Keynesian DSGE model, the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assume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maximises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budget</w:t>
      </w:r>
      <w:r>
        <w:rPr>
          <w:spacing w:val="-57"/>
        </w:rPr>
        <w:t> </w:t>
      </w:r>
      <w:r>
        <w:rPr/>
        <w:t>constraint,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firm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monopolistic</w:t>
      </w:r>
      <w:r>
        <w:rPr>
          <w:spacing w:val="1"/>
        </w:rPr>
        <w:t> </w:t>
      </w:r>
      <w:r>
        <w:rPr/>
        <w:t>competition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produces</w:t>
      </w:r>
      <w:r>
        <w:rPr>
          <w:spacing w:val="1"/>
        </w:rPr>
        <w:t> </w:t>
      </w:r>
      <w:r>
        <w:rPr/>
        <w:t>differentiated</w:t>
      </w:r>
      <w:r>
        <w:rPr>
          <w:spacing w:val="1"/>
        </w:rPr>
        <w:t> </w:t>
      </w:r>
      <w:r>
        <w:rPr/>
        <w:t>goods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technology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sets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price.</w:t>
      </w:r>
      <w:r>
        <w:rPr>
          <w:spacing w:val="-5"/>
        </w:rPr>
        <w:t> </w:t>
      </w:r>
      <w:r>
        <w:rPr/>
        <w:t>There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also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government</w:t>
      </w:r>
      <w:r>
        <w:rPr>
          <w:spacing w:val="-5"/>
        </w:rPr>
        <w:t> </w:t>
      </w:r>
      <w:r>
        <w:rPr/>
        <w:t>sector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an</w:t>
      </w:r>
      <w:r>
        <w:rPr>
          <w:spacing w:val="-6"/>
        </w:rPr>
        <w:t> </w:t>
      </w:r>
      <w:r>
        <w:rPr/>
        <w:t>inter-temporal</w:t>
      </w:r>
      <w:r>
        <w:rPr>
          <w:spacing w:val="-5"/>
        </w:rPr>
        <w:t> </w:t>
      </w:r>
      <w:r>
        <w:rPr/>
        <w:t>budget</w:t>
      </w:r>
      <w:r>
        <w:rPr>
          <w:spacing w:val="-58"/>
        </w:rPr>
        <w:t> </w:t>
      </w:r>
      <w:r>
        <w:rPr/>
        <w:t>constraint and an equilibrium condition in aggregate resource constraint. Nonlinear constraint</w:t>
      </w:r>
      <w:r>
        <w:rPr>
          <w:spacing w:val="-57"/>
        </w:rPr>
        <w:t> </w:t>
      </w:r>
      <w:r>
        <w:rPr/>
        <w:t>conditions in Philips curve, consumer Euler equation and government budget constraint are</w:t>
      </w:r>
      <w:r>
        <w:rPr>
          <w:spacing w:val="1"/>
        </w:rPr>
        <w:t> </w:t>
      </w:r>
      <w:r>
        <w:rPr/>
        <w:t>derived from the model. The objective function of the household and constraint equations is</w:t>
      </w:r>
      <w:r>
        <w:rPr>
          <w:spacing w:val="1"/>
        </w:rPr>
        <w:t> </w:t>
      </w:r>
      <w:r>
        <w:rPr/>
        <w:t>then</w:t>
      </w:r>
      <w:r>
        <w:rPr>
          <w:spacing w:val="-7"/>
        </w:rPr>
        <w:t> </w:t>
      </w:r>
      <w:r>
        <w:rPr/>
        <w:t>approximated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second-order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compute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purely</w:t>
      </w:r>
      <w:r>
        <w:rPr>
          <w:spacing w:val="-8"/>
        </w:rPr>
        <w:t> </w:t>
      </w:r>
      <w:r>
        <w:rPr/>
        <w:t>quadratic</w:t>
      </w:r>
      <w:r>
        <w:rPr>
          <w:spacing w:val="-4"/>
        </w:rPr>
        <w:t> </w:t>
      </w:r>
      <w:r>
        <w:rPr/>
        <w:t>loss</w:t>
      </w:r>
      <w:r>
        <w:rPr>
          <w:spacing w:val="-6"/>
        </w:rPr>
        <w:t> </w:t>
      </w:r>
      <w:r>
        <w:rPr/>
        <w:t>function.</w:t>
      </w:r>
      <w:r>
        <w:rPr>
          <w:spacing w:val="-5"/>
        </w:rPr>
        <w:t> </w:t>
      </w:r>
      <w:r>
        <w:rPr/>
        <w:t>Thereafter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loss function is minimised subject to log-linearised constraint equations in order to compute</w:t>
      </w:r>
      <w:r>
        <w:rPr>
          <w:spacing w:val="1"/>
        </w:rPr>
        <w:t> </w:t>
      </w:r>
      <w:r>
        <w:rPr/>
        <w:t>optimal</w:t>
      </w:r>
      <w:r>
        <w:rPr>
          <w:spacing w:val="-1"/>
        </w:rPr>
        <w:t> </w:t>
      </w:r>
      <w:r>
        <w:rPr/>
        <w:t>fiscal and monetary</w:t>
      </w:r>
      <w:r>
        <w:rPr>
          <w:spacing w:val="-5"/>
        </w:rPr>
        <w:t> </w:t>
      </w:r>
      <w:r>
        <w:rPr/>
        <w:t>policy</w:t>
      </w:r>
      <w:r>
        <w:rPr>
          <w:spacing w:val="-5"/>
        </w:rPr>
        <w:t> </w:t>
      </w:r>
      <w:r>
        <w:rPr/>
        <w:t>in tax</w:t>
      </w:r>
      <w:r>
        <w:rPr>
          <w:spacing w:val="2"/>
        </w:rPr>
        <w:t> </w:t>
      </w:r>
      <w:r>
        <w:rPr/>
        <w:t>and nominal interest rate.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0"/>
          <w:numId w:val="14"/>
        </w:numPr>
        <w:tabs>
          <w:tab w:pos="2034" w:val="left" w:leader="none"/>
        </w:tabs>
        <w:spacing w:line="240" w:lineRule="auto" w:before="0" w:after="0"/>
        <w:ind w:left="2034" w:right="0" w:hanging="274"/>
        <w:jc w:val="both"/>
      </w:pPr>
      <w:r>
        <w:rPr/>
        <w:t>First-Order</w:t>
      </w:r>
      <w:r>
        <w:rPr>
          <w:spacing w:val="-5"/>
        </w:rPr>
        <w:t> </w:t>
      </w:r>
      <w:r>
        <w:rPr/>
        <w:t>Approximation</w:t>
      </w:r>
    </w:p>
    <w:p>
      <w:pPr>
        <w:pStyle w:val="BodyText"/>
        <w:spacing w:line="360" w:lineRule="auto" w:before="145"/>
        <w:ind w:left="1760" w:right="1435"/>
        <w:jc w:val="both"/>
      </w:pPr>
      <w:r>
        <w:rPr/>
        <w:t>Another traditional solution is the linear approximation method, also known as the first order</w:t>
      </w:r>
      <w:r>
        <w:rPr>
          <w:spacing w:val="1"/>
        </w:rPr>
        <w:t> </w:t>
      </w:r>
      <w:r>
        <w:rPr/>
        <w:t>approximation, to solving the DSGE model. It involves a Taylor series approximation of the</w:t>
      </w:r>
      <w:r>
        <w:rPr>
          <w:spacing w:val="1"/>
        </w:rPr>
        <w:t> </w:t>
      </w:r>
      <w:r>
        <w:rPr/>
        <w:t>system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first</w:t>
      </w:r>
      <w:r>
        <w:rPr>
          <w:spacing w:val="-12"/>
        </w:rPr>
        <w:t> </w:t>
      </w:r>
      <w:r>
        <w:rPr/>
        <w:t>order</w:t>
      </w:r>
      <w:r>
        <w:rPr>
          <w:spacing w:val="-13"/>
        </w:rPr>
        <w:t> </w:t>
      </w:r>
      <w:r>
        <w:rPr/>
        <w:t>conditions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DSGE</w:t>
      </w:r>
      <w:r>
        <w:rPr>
          <w:spacing w:val="-13"/>
        </w:rPr>
        <w:t> </w:t>
      </w:r>
      <w:r>
        <w:rPr/>
        <w:t>model</w:t>
      </w:r>
      <w:r>
        <w:rPr>
          <w:spacing w:val="-13"/>
        </w:rPr>
        <w:t> </w:t>
      </w:r>
      <w:r>
        <w:rPr/>
        <w:t>around</w:t>
      </w:r>
      <w:r>
        <w:rPr>
          <w:spacing w:val="-13"/>
        </w:rPr>
        <w:t> </w:t>
      </w:r>
      <w:r>
        <w:rPr/>
        <w:t>their</w:t>
      </w:r>
      <w:r>
        <w:rPr>
          <w:spacing w:val="-16"/>
        </w:rPr>
        <w:t> </w:t>
      </w:r>
      <w:r>
        <w:rPr/>
        <w:t>steady</w:t>
      </w:r>
      <w:r>
        <w:rPr>
          <w:spacing w:val="-20"/>
        </w:rPr>
        <w:t> </w:t>
      </w:r>
      <w:r>
        <w:rPr/>
        <w:t>state.</w:t>
      </w:r>
      <w:r>
        <w:rPr>
          <w:spacing w:val="-12"/>
        </w:rPr>
        <w:t> </w:t>
      </w:r>
      <w:r>
        <w:rPr/>
        <w:t>The</w:t>
      </w:r>
      <w:r>
        <w:rPr>
          <w:spacing w:val="-16"/>
        </w:rPr>
        <w:t> </w:t>
      </w:r>
      <w:r>
        <w:rPr/>
        <w:t>DSGE</w:t>
      </w:r>
      <w:r>
        <w:rPr>
          <w:spacing w:val="-13"/>
        </w:rPr>
        <w:t> </w:t>
      </w:r>
      <w:r>
        <w:rPr/>
        <w:t>model</w:t>
      </w:r>
      <w:r>
        <w:rPr>
          <w:spacing w:val="-58"/>
        </w:rPr>
        <w:t> </w:t>
      </w:r>
      <w:r>
        <w:rPr/>
        <w:t>usually has a non-linear system of equilibrium conditions whose solution may be too difficult</w:t>
      </w:r>
      <w:r>
        <w:rPr>
          <w:spacing w:val="-57"/>
        </w:rPr>
        <w:t> </w:t>
      </w:r>
      <w:r>
        <w:rPr/>
        <w:t>to obtain until the system is linearised using the Taylor series approximation. The method is a</w:t>
      </w:r>
      <w:r>
        <w:rPr>
          <w:spacing w:val="-57"/>
        </w:rPr>
        <w:t> </w:t>
      </w:r>
      <w:r>
        <w:rPr/>
        <w:t>local approximant whose procedures are valid in the neighbourhood of the non-stochastic</w:t>
      </w:r>
      <w:r>
        <w:rPr>
          <w:spacing w:val="1"/>
        </w:rPr>
        <w:t> </w:t>
      </w:r>
      <w:r>
        <w:rPr/>
        <w:t>steady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Linearisation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levels.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first-order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approximation is adequate when there are small shocks driving the business cycle and an</w:t>
      </w:r>
      <w:r>
        <w:rPr>
          <w:spacing w:val="1"/>
        </w:rPr>
        <w:t> </w:t>
      </w:r>
      <w:r>
        <w:rPr/>
        <w:t>interior stationary solution exists (Schmitt-Grohe and Uribe, 2004). In general, it is adequate</w:t>
      </w:r>
      <w:r>
        <w:rPr>
          <w:spacing w:val="1"/>
        </w:rPr>
        <w:t> </w:t>
      </w:r>
      <w:r>
        <w:rPr/>
        <w:t>for</w:t>
      </w:r>
      <w:r>
        <w:rPr>
          <w:spacing w:val="-10"/>
        </w:rPr>
        <w:t> </w:t>
      </w:r>
      <w:r>
        <w:rPr/>
        <w:t>several</w:t>
      </w:r>
      <w:r>
        <w:rPr>
          <w:spacing w:val="-8"/>
        </w:rPr>
        <w:t> </w:t>
      </w:r>
      <w:r>
        <w:rPr/>
        <w:t>economic</w:t>
      </w:r>
      <w:r>
        <w:rPr>
          <w:spacing w:val="-10"/>
        </w:rPr>
        <w:t> </w:t>
      </w:r>
      <w:r>
        <w:rPr/>
        <w:t>analyses</w:t>
      </w:r>
      <w:r>
        <w:rPr>
          <w:spacing w:val="-8"/>
        </w:rPr>
        <w:t> </w:t>
      </w:r>
      <w:r>
        <w:rPr/>
        <w:t>since</w:t>
      </w:r>
      <w:r>
        <w:rPr>
          <w:spacing w:val="-10"/>
        </w:rPr>
        <w:t> </w:t>
      </w:r>
      <w:r>
        <w:rPr/>
        <w:t>it</w:t>
      </w:r>
      <w:r>
        <w:rPr>
          <w:spacing w:val="-8"/>
        </w:rPr>
        <w:t> </w:t>
      </w:r>
      <w:r>
        <w:rPr/>
        <w:t>leads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state-space</w:t>
      </w:r>
      <w:r>
        <w:rPr>
          <w:spacing w:val="-10"/>
        </w:rPr>
        <w:t> </w:t>
      </w:r>
      <w:r>
        <w:rPr/>
        <w:t>representation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model,</w:t>
      </w:r>
      <w:r>
        <w:rPr>
          <w:spacing w:val="-9"/>
        </w:rPr>
        <w:t> </w:t>
      </w:r>
      <w:r>
        <w:rPr/>
        <w:t>which</w:t>
      </w:r>
      <w:r>
        <w:rPr>
          <w:spacing w:val="-58"/>
        </w:rPr>
        <w:t> </w:t>
      </w:r>
      <w:r>
        <w:rPr/>
        <w:t>is</w:t>
      </w:r>
      <w:r>
        <w:rPr>
          <w:spacing w:val="5"/>
        </w:rPr>
        <w:t> </w:t>
      </w:r>
      <w:r>
        <w:rPr/>
        <w:t>suitable</w:t>
      </w:r>
      <w:r>
        <w:rPr>
          <w:spacing w:val="5"/>
        </w:rPr>
        <w:t> </w:t>
      </w:r>
      <w:r>
        <w:rPr/>
        <w:t>for</w:t>
      </w:r>
      <w:r>
        <w:rPr>
          <w:spacing w:val="4"/>
        </w:rPr>
        <w:t> </w:t>
      </w:r>
      <w:r>
        <w:rPr/>
        <w:t>empirical</w:t>
      </w:r>
      <w:r>
        <w:rPr>
          <w:spacing w:val="6"/>
        </w:rPr>
        <w:t> </w:t>
      </w:r>
      <w:r>
        <w:rPr/>
        <w:t>estimation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forecasting.</w:t>
      </w:r>
      <w:r>
        <w:rPr>
          <w:spacing w:val="12"/>
        </w:rPr>
        <w:t> </w:t>
      </w:r>
      <w:r>
        <w:rPr/>
        <w:t>There</w:t>
      </w:r>
      <w:r>
        <w:rPr>
          <w:spacing w:val="5"/>
        </w:rPr>
        <w:t> </w:t>
      </w:r>
      <w:r>
        <w:rPr/>
        <w:t>is,</w:t>
      </w:r>
      <w:r>
        <w:rPr>
          <w:spacing w:val="6"/>
        </w:rPr>
        <w:t> </w:t>
      </w:r>
      <w:r>
        <w:rPr/>
        <w:t>however,</w:t>
      </w:r>
      <w:r>
        <w:rPr>
          <w:spacing w:val="5"/>
        </w:rPr>
        <w:t> </w:t>
      </w:r>
      <w:r>
        <w:rPr/>
        <w:t>evidence</w:t>
      </w:r>
      <w:r>
        <w:rPr>
          <w:spacing w:val="5"/>
        </w:rPr>
        <w:t> </w:t>
      </w:r>
      <w:r>
        <w:rPr/>
        <w:t>that</w:t>
      </w:r>
      <w:r>
        <w:rPr>
          <w:spacing w:val="6"/>
        </w:rPr>
        <w:t> </w:t>
      </w:r>
      <w:r>
        <w:rPr/>
        <w:t>higher-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42"/>
        <w:jc w:val="both"/>
      </w:pPr>
      <w:r>
        <w:rPr/>
        <w:t>order</w:t>
      </w:r>
      <w:r>
        <w:rPr>
          <w:spacing w:val="-10"/>
        </w:rPr>
        <w:t> </w:t>
      </w:r>
      <w:r>
        <w:rPr/>
        <w:t>approximation</w:t>
      </w:r>
      <w:r>
        <w:rPr>
          <w:spacing w:val="-9"/>
        </w:rPr>
        <w:t> </w:t>
      </w:r>
      <w:r>
        <w:rPr/>
        <w:t>leads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better</w:t>
      </w:r>
      <w:r>
        <w:rPr>
          <w:spacing w:val="-9"/>
        </w:rPr>
        <w:t> </w:t>
      </w:r>
      <w:r>
        <w:rPr/>
        <w:t>results,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particular</w:t>
      </w:r>
      <w:r>
        <w:rPr>
          <w:spacing w:val="-10"/>
        </w:rPr>
        <w:t> </w:t>
      </w:r>
      <w:r>
        <w:rPr/>
        <w:t>for</w:t>
      </w:r>
      <w:r>
        <w:rPr>
          <w:spacing w:val="-11"/>
        </w:rPr>
        <w:t> </w:t>
      </w:r>
      <w:r>
        <w:rPr/>
        <w:t>cases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economic</w:t>
      </w:r>
      <w:r>
        <w:rPr>
          <w:spacing w:val="-10"/>
        </w:rPr>
        <w:t> </w:t>
      </w:r>
      <w:r>
        <w:rPr/>
        <w:t>welfare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risk</w:t>
      </w:r>
      <w:r>
        <w:rPr>
          <w:spacing w:val="-58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(Flotho, 2009; Fernandez-Villaverde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2016)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760" w:right="1437"/>
        <w:jc w:val="both"/>
      </w:pPr>
      <w:r>
        <w:rPr/>
        <w:t>Leeper (1991) solved a NK DSGE model to find the fiscal and monetary policy paths that</w:t>
      </w:r>
      <w:r>
        <w:rPr>
          <w:spacing w:val="1"/>
        </w:rPr>
        <w:t> </w:t>
      </w:r>
      <w:r>
        <w:rPr/>
        <w:t>uniquely determines inflation and government real debt, using the first-order Taylor method.</w:t>
      </w:r>
      <w:r>
        <w:rPr>
          <w:spacing w:val="1"/>
        </w:rPr>
        <w:t> </w:t>
      </w:r>
      <w:r>
        <w:rPr/>
        <w:t>This method approximates equilibrium equations around the steady state. The model of the</w:t>
      </w:r>
      <w:r>
        <w:rPr>
          <w:spacing w:val="1"/>
        </w:rPr>
        <w:t> </w:t>
      </w:r>
      <w:r>
        <w:rPr/>
        <w:t>study consists of a representative household that maximises a money-in-utility function with</w:t>
      </w:r>
      <w:r>
        <w:rPr>
          <w:spacing w:val="1"/>
        </w:rPr>
        <w:t> </w:t>
      </w:r>
      <w:r>
        <w:rPr/>
        <w:t>respect to its budget constraint, government sector with its budget constraint, and stochastic</w:t>
      </w:r>
      <w:r>
        <w:rPr>
          <w:spacing w:val="1"/>
        </w:rPr>
        <w:t> </w:t>
      </w:r>
      <w:r>
        <w:rPr/>
        <w:t>linear</w:t>
      </w:r>
      <w:r>
        <w:rPr>
          <w:spacing w:val="-7"/>
        </w:rPr>
        <w:t> </w:t>
      </w:r>
      <w:r>
        <w:rPr/>
        <w:t>fiscal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monetary</w:t>
      </w:r>
      <w:r>
        <w:rPr>
          <w:spacing w:val="-8"/>
        </w:rPr>
        <w:t> </w:t>
      </w:r>
      <w:r>
        <w:rPr/>
        <w:t>policy</w:t>
      </w:r>
      <w:r>
        <w:rPr>
          <w:spacing w:val="-8"/>
        </w:rPr>
        <w:t> </w:t>
      </w:r>
      <w:r>
        <w:rPr/>
        <w:t>rules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interest</w:t>
      </w:r>
      <w:r>
        <w:rPr>
          <w:spacing w:val="-5"/>
        </w:rPr>
        <w:t> </w:t>
      </w:r>
      <w:r>
        <w:rPr/>
        <w:t>rate</w:t>
      </w:r>
      <w:r>
        <w:rPr>
          <w:spacing w:val="-7"/>
        </w:rPr>
        <w:t> </w:t>
      </w:r>
      <w:r>
        <w:rPr/>
        <w:t>and</w:t>
      </w:r>
      <w:r>
        <w:rPr>
          <w:spacing w:val="-3"/>
        </w:rPr>
        <w:t> </w:t>
      </w:r>
      <w:r>
        <w:rPr/>
        <w:t>taxes.</w:t>
      </w:r>
      <w:r>
        <w:rPr>
          <w:spacing w:val="-3"/>
        </w:rPr>
        <w:t> </w:t>
      </w:r>
      <w:r>
        <w:rPr/>
        <w:t>Leeper</w:t>
      </w:r>
      <w:r>
        <w:rPr>
          <w:spacing w:val="-5"/>
        </w:rPr>
        <w:t> </w:t>
      </w:r>
      <w:r>
        <w:rPr/>
        <w:t>(1991)</w:t>
      </w:r>
      <w:r>
        <w:rPr>
          <w:spacing w:val="-6"/>
        </w:rPr>
        <w:t> </w:t>
      </w:r>
      <w:r>
        <w:rPr/>
        <w:t>initially</w:t>
      </w:r>
      <w:r>
        <w:rPr>
          <w:spacing w:val="-5"/>
        </w:rPr>
        <w:t> </w:t>
      </w:r>
      <w:r>
        <w:rPr/>
        <w:t>solved</w:t>
      </w:r>
      <w:r>
        <w:rPr>
          <w:spacing w:val="-57"/>
        </w:rPr>
        <w:t> </w:t>
      </w:r>
      <w:r>
        <w:rPr/>
        <w:t>the</w:t>
      </w:r>
      <w:r>
        <w:rPr>
          <w:spacing w:val="-11"/>
        </w:rPr>
        <w:t> </w:t>
      </w:r>
      <w:r>
        <w:rPr/>
        <w:t>model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/>
        <w:t>Euler</w:t>
      </w:r>
      <w:r>
        <w:rPr>
          <w:spacing w:val="-8"/>
        </w:rPr>
        <w:t> </w:t>
      </w:r>
      <w:r>
        <w:rPr/>
        <w:t>equations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equilibrium</w:t>
      </w:r>
      <w:r>
        <w:rPr>
          <w:spacing w:val="-10"/>
        </w:rPr>
        <w:t> </w:t>
      </w:r>
      <w:r>
        <w:rPr/>
        <w:t>conditions</w:t>
      </w:r>
      <w:r>
        <w:rPr>
          <w:spacing w:val="-9"/>
        </w:rPr>
        <w:t> </w:t>
      </w:r>
      <w:r>
        <w:rPr/>
        <w:t>using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recursive</w:t>
      </w:r>
      <w:r>
        <w:rPr>
          <w:spacing w:val="-11"/>
        </w:rPr>
        <w:t> </w:t>
      </w:r>
      <w:r>
        <w:rPr/>
        <w:t>method.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next</w:t>
      </w:r>
      <w:r>
        <w:rPr>
          <w:spacing w:val="-58"/>
        </w:rPr>
        <w:t> </w:t>
      </w:r>
      <w:r>
        <w:rPr/>
        <w:t>procedure is to linearise the equilibrium equations to derive a system of equations in the</w:t>
      </w:r>
      <w:r>
        <w:rPr>
          <w:spacing w:val="1"/>
        </w:rPr>
        <w:t> </w:t>
      </w:r>
      <w:r>
        <w:rPr/>
        <w:t>endogenous</w:t>
      </w:r>
      <w:r>
        <w:rPr>
          <w:spacing w:val="-4"/>
        </w:rPr>
        <w:t> </w:t>
      </w:r>
      <w:r>
        <w:rPr/>
        <w:t>variables.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system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equations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solved</w:t>
      </w:r>
      <w:r>
        <w:rPr>
          <w:spacing w:val="-3"/>
        </w:rPr>
        <w:t> </w:t>
      </w:r>
      <w:r>
        <w:rPr/>
        <w:t>by</w:t>
      </w:r>
      <w:r>
        <w:rPr>
          <w:spacing w:val="-8"/>
        </w:rPr>
        <w:t> </w:t>
      </w:r>
      <w:r>
        <w:rPr/>
        <w:t>iteration for</w:t>
      </w:r>
      <w:r>
        <w:rPr>
          <w:spacing w:val="-4"/>
        </w:rPr>
        <w:t> </w:t>
      </w:r>
      <w:r>
        <w:rPr/>
        <w:t>decision</w:t>
      </w:r>
      <w:r>
        <w:rPr>
          <w:spacing w:val="-3"/>
        </w:rPr>
        <w:t> </w:t>
      </w:r>
      <w:r>
        <w:rPr/>
        <w:t>rules and</w:t>
      </w:r>
      <w:r>
        <w:rPr>
          <w:spacing w:val="-3"/>
        </w:rPr>
        <w:t> </w:t>
      </w:r>
      <w:r>
        <w:rPr/>
        <w:t>its</w:t>
      </w:r>
      <w:r>
        <w:rPr>
          <w:spacing w:val="-57"/>
        </w:rPr>
        <w:t> </w:t>
      </w:r>
      <w:r>
        <w:rPr/>
        <w:t>eigenvalues are checked for unique equilibrium based on the criteria of Blanchard and Khan</w:t>
      </w:r>
      <w:r>
        <w:rPr>
          <w:spacing w:val="1"/>
        </w:rPr>
        <w:t> </w:t>
      </w:r>
      <w:r>
        <w:rPr/>
        <w:t>(1980).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760" w:right="1437"/>
        <w:jc w:val="both"/>
      </w:pPr>
      <w:r>
        <w:rPr/>
        <w:t>In the same way, Woodford (1996) solved a New Keynesian Dynamic General Equilibrium</w:t>
      </w:r>
      <w:r>
        <w:rPr>
          <w:spacing w:val="1"/>
        </w:rPr>
        <w:t> </w:t>
      </w:r>
      <w:r>
        <w:rPr/>
        <w:t>Model using the first-order Taylor approximation of deviation of equilibrium conditions from</w:t>
      </w:r>
      <w:r>
        <w:rPr>
          <w:spacing w:val="-57"/>
        </w:rPr>
        <w:t> </w:t>
      </w:r>
      <w:r>
        <w:rPr/>
        <w:t>their steady state. The equilibrium equations are derived from aggregate demand (AD) and</w:t>
      </w:r>
      <w:r>
        <w:rPr>
          <w:spacing w:val="1"/>
        </w:rPr>
        <w:t> </w:t>
      </w:r>
      <w:r>
        <w:rPr/>
        <w:t>supply (AS) blocs. The (AD) bloc contains the Euler consumption equation of households,</w:t>
      </w:r>
      <w:r>
        <w:rPr>
          <w:spacing w:val="1"/>
        </w:rPr>
        <w:t> </w:t>
      </w:r>
      <w:r>
        <w:rPr/>
        <w:t>aggregate</w:t>
      </w:r>
      <w:r>
        <w:rPr>
          <w:spacing w:val="-11"/>
        </w:rPr>
        <w:t> </w:t>
      </w:r>
      <w:r>
        <w:rPr/>
        <w:t>resource</w:t>
      </w:r>
      <w:r>
        <w:rPr>
          <w:spacing w:val="-10"/>
        </w:rPr>
        <w:t> </w:t>
      </w:r>
      <w:r>
        <w:rPr/>
        <w:t>constraint</w:t>
      </w:r>
      <w:r>
        <w:rPr>
          <w:spacing w:val="-8"/>
        </w:rPr>
        <w:t> </w:t>
      </w:r>
      <w:r>
        <w:rPr/>
        <w:t>equation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rate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returns</w:t>
      </w:r>
      <w:r>
        <w:rPr>
          <w:spacing w:val="-9"/>
        </w:rPr>
        <w:t> </w:t>
      </w:r>
      <w:r>
        <w:rPr/>
        <w:t>on</w:t>
      </w:r>
      <w:r>
        <w:rPr>
          <w:spacing w:val="-10"/>
        </w:rPr>
        <w:t> </w:t>
      </w:r>
      <w:r>
        <w:rPr/>
        <w:t>bonds.</w:t>
      </w:r>
      <w:r>
        <w:rPr>
          <w:spacing w:val="-8"/>
        </w:rPr>
        <w:t> </w:t>
      </w:r>
      <w:r>
        <w:rPr/>
        <w:t>Equations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optimal</w:t>
      </w:r>
      <w:r>
        <w:rPr>
          <w:spacing w:val="-9"/>
        </w:rPr>
        <w:t> </w:t>
      </w:r>
      <w:r>
        <w:rPr/>
        <w:t>price</w:t>
      </w:r>
      <w:r>
        <w:rPr>
          <w:spacing w:val="-58"/>
        </w:rPr>
        <w:t> </w:t>
      </w:r>
      <w:r>
        <w:rPr/>
        <w:t>level and marginal cost make up the supply bloc. In addition, stochastic processes in deficits,</w:t>
      </w:r>
      <w:r>
        <w:rPr>
          <w:spacing w:val="1"/>
        </w:rPr>
        <w:t> </w:t>
      </w:r>
      <w:r>
        <w:rPr/>
        <w:t>money supply and interest rate are also specified. Four stochastic difference equations in</w:t>
      </w:r>
      <w:r>
        <w:rPr>
          <w:spacing w:val="1"/>
        </w:rPr>
        <w:t> </w:t>
      </w:r>
      <w:r>
        <w:rPr/>
        <w:t>endogenous variables of the model are got from the linearisation. The system of difference</w:t>
      </w:r>
      <w:r>
        <w:rPr>
          <w:spacing w:val="1"/>
        </w:rPr>
        <w:t> </w:t>
      </w:r>
      <w:r>
        <w:rPr/>
        <w:t>equation is solved for unique bounded paths. The Blanchard and Khan (1980) condition of</w:t>
      </w:r>
      <w:r>
        <w:rPr>
          <w:spacing w:val="1"/>
        </w:rPr>
        <w:t> </w:t>
      </w:r>
      <w:r>
        <w:rPr/>
        <w:t>stable and unstable roots is employed to determine that at least a locally unique rational</w:t>
      </w:r>
      <w:r>
        <w:rPr>
          <w:spacing w:val="1"/>
        </w:rPr>
        <w:t> </w:t>
      </w:r>
      <w:r>
        <w:rPr/>
        <w:t>expectation</w:t>
      </w:r>
      <w:r>
        <w:rPr>
          <w:spacing w:val="-1"/>
        </w:rPr>
        <w:t> </w:t>
      </w:r>
      <w:r>
        <w:rPr/>
        <w:t>equilibrium path exists.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760" w:right="1435"/>
        <w:jc w:val="both"/>
      </w:pPr>
      <w:r>
        <w:rPr/>
        <w:t>Chadla and Nolan (2003) also linearised equilibrium conditions derived from an Overlapping</w:t>
      </w:r>
      <w:r>
        <w:rPr>
          <w:spacing w:val="-57"/>
        </w:rPr>
        <w:t> </w:t>
      </w:r>
      <w:r>
        <w:rPr/>
        <w:t>Generation (OLG) Model to compute fiscal and monetary policy paths that makes inflation</w:t>
      </w:r>
      <w:r>
        <w:rPr>
          <w:spacing w:val="1"/>
        </w:rPr>
        <w:t> </w:t>
      </w:r>
      <w:r>
        <w:rPr/>
        <w:t>and output determined. The authors build a New-Keynesian type of OLG model with sticky</w:t>
      </w:r>
      <w:r>
        <w:rPr>
          <w:spacing w:val="1"/>
        </w:rPr>
        <w:t> </w:t>
      </w:r>
      <w:r>
        <w:rPr/>
        <w:t>price. The</w:t>
      </w:r>
      <w:r>
        <w:rPr>
          <w:spacing w:val="-1"/>
        </w:rPr>
        <w:t> </w:t>
      </w:r>
      <w:r>
        <w:rPr/>
        <w:t>model</w:t>
      </w:r>
      <w:r>
        <w:rPr>
          <w:spacing w:val="1"/>
        </w:rPr>
        <w:t> </w:t>
      </w:r>
      <w:r>
        <w:rPr/>
        <w:t>comprises</w:t>
      </w:r>
      <w:r>
        <w:rPr>
          <w:spacing w:val="-1"/>
        </w:rPr>
        <w:t> </w:t>
      </w:r>
      <w:r>
        <w:rPr/>
        <w:t>of representative household that</w:t>
      </w:r>
      <w:r>
        <w:rPr>
          <w:spacing w:val="1"/>
        </w:rPr>
        <w:t> </w:t>
      </w:r>
      <w:r>
        <w:rPr/>
        <w:t>maximises</w:t>
      </w:r>
      <w:r>
        <w:rPr>
          <w:spacing w:val="2"/>
        </w:rPr>
        <w:t> </w:t>
      </w:r>
      <w:r>
        <w:rPr/>
        <w:t>its</w:t>
      </w:r>
      <w:r>
        <w:rPr>
          <w:spacing w:val="-1"/>
        </w:rPr>
        <w:t> </w:t>
      </w:r>
      <w:r>
        <w:rPr/>
        <w:t>preference subject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38"/>
        <w:jc w:val="both"/>
      </w:pPr>
      <w:r>
        <w:rPr/>
        <w:t>to its budget constraint; a supply bloc that determines price level; fiscal and monetary policy</w:t>
      </w:r>
      <w:r>
        <w:rPr>
          <w:spacing w:val="1"/>
        </w:rPr>
        <w:t> </w:t>
      </w:r>
      <w:r>
        <w:rPr/>
        <w:t>rules in taxes and interest rate such that they are defined respectively as function of debt and</w:t>
      </w:r>
      <w:r>
        <w:rPr>
          <w:spacing w:val="1"/>
        </w:rPr>
        <w:t> </w:t>
      </w:r>
      <w:r>
        <w:rPr/>
        <w:t>inflation.</w:t>
      </w:r>
      <w:r>
        <w:rPr>
          <w:spacing w:val="-1"/>
        </w:rPr>
        <w:t> </w:t>
      </w:r>
      <w:r>
        <w:rPr/>
        <w:t>Finally,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consists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bloc</w:t>
      </w:r>
      <w:r>
        <w:rPr>
          <w:spacing w:val="-2"/>
        </w:rPr>
        <w:t> </w:t>
      </w:r>
      <w:r>
        <w:rPr/>
        <w:t>specified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its inter-temporal</w:t>
      </w:r>
      <w:r>
        <w:rPr>
          <w:spacing w:val="-58"/>
        </w:rPr>
        <w:t> </w:t>
      </w:r>
      <w:r>
        <w:rPr/>
        <w:t>budget constraint. The equilibrium conditions are derived from these components and then</w:t>
      </w:r>
      <w:r>
        <w:rPr>
          <w:spacing w:val="1"/>
        </w:rPr>
        <w:t> </w:t>
      </w:r>
      <w:r>
        <w:rPr/>
        <w:t>linearised</w:t>
      </w:r>
      <w:r>
        <w:rPr>
          <w:spacing w:val="-11"/>
        </w:rPr>
        <w:t> </w:t>
      </w:r>
      <w:r>
        <w:rPr/>
        <w:t>around</w:t>
      </w:r>
      <w:r>
        <w:rPr>
          <w:spacing w:val="-11"/>
        </w:rPr>
        <w:t> </w:t>
      </w:r>
      <w:r>
        <w:rPr/>
        <w:t>their</w:t>
      </w:r>
      <w:r>
        <w:rPr>
          <w:spacing w:val="-12"/>
        </w:rPr>
        <w:t> </w:t>
      </w:r>
      <w:r>
        <w:rPr/>
        <w:t>deterministic</w:t>
      </w:r>
      <w:r>
        <w:rPr>
          <w:spacing w:val="-11"/>
        </w:rPr>
        <w:t> </w:t>
      </w:r>
      <w:r>
        <w:rPr/>
        <w:t>steady</w:t>
      </w:r>
      <w:r>
        <w:rPr>
          <w:spacing w:val="-13"/>
        </w:rPr>
        <w:t> </w:t>
      </w:r>
      <w:r>
        <w:rPr/>
        <w:t>state.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result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system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difference</w:t>
      </w:r>
      <w:r>
        <w:rPr>
          <w:spacing w:val="-10"/>
        </w:rPr>
        <w:t> </w:t>
      </w:r>
      <w:r>
        <w:rPr/>
        <w:t>equations</w:t>
      </w:r>
      <w:r>
        <w:rPr>
          <w:spacing w:val="-57"/>
        </w:rPr>
        <w:t> </w:t>
      </w:r>
      <w:r>
        <w:rPr/>
        <w:t>representing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endogenous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exogenous</w:t>
      </w:r>
      <w:r>
        <w:rPr>
          <w:spacing w:val="-4"/>
        </w:rPr>
        <w:t> </w:t>
      </w:r>
      <w:r>
        <w:rPr/>
        <w:t>variables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model.</w:t>
      </w:r>
      <w:r>
        <w:rPr>
          <w:spacing w:val="-1"/>
        </w:rPr>
        <w:t> </w:t>
      </w:r>
      <w:r>
        <w:rPr/>
        <w:t>Initial</w:t>
      </w:r>
      <w:r>
        <w:rPr>
          <w:spacing w:val="-4"/>
        </w:rPr>
        <w:t> </w:t>
      </w:r>
      <w:r>
        <w:rPr/>
        <w:t>guesses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numeric</w:t>
      </w:r>
      <w:r>
        <w:rPr>
          <w:spacing w:val="-58"/>
        </w:rPr>
        <w:t> </w:t>
      </w:r>
      <w:r>
        <w:rPr/>
        <w:t>values are imputed into the parameters of the policy functions and the model is then checked</w:t>
      </w:r>
      <w:r>
        <w:rPr>
          <w:spacing w:val="1"/>
        </w:rPr>
        <w:t> </w:t>
      </w:r>
      <w:r>
        <w:rPr/>
        <w:t>for local existence and uniqueness of equilibrium, using the state reduction algorithm of King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Watson (1997).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760" w:right="1434"/>
        <w:jc w:val="both"/>
      </w:pPr>
      <w:r>
        <w:rPr/>
        <w:t>Leeper and Leith (2015) in a slightly different way, log-linearised the equilibrium conditions</w:t>
      </w:r>
      <w:r>
        <w:rPr>
          <w:spacing w:val="1"/>
        </w:rPr>
        <w:t> </w:t>
      </w:r>
      <w:r>
        <w:rPr/>
        <w:t>of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sticky</w:t>
      </w:r>
      <w:r>
        <w:rPr>
          <w:spacing w:val="-15"/>
        </w:rPr>
        <w:t> </w:t>
      </w:r>
      <w:r>
        <w:rPr/>
        <w:t>price</w:t>
      </w:r>
      <w:r>
        <w:rPr>
          <w:spacing w:val="-9"/>
        </w:rPr>
        <w:t> </w:t>
      </w:r>
      <w:r>
        <w:rPr/>
        <w:t>DSGE</w:t>
      </w:r>
      <w:r>
        <w:rPr>
          <w:spacing w:val="-10"/>
        </w:rPr>
        <w:t> </w:t>
      </w:r>
      <w:r>
        <w:rPr/>
        <w:t>model</w:t>
      </w:r>
      <w:r>
        <w:rPr>
          <w:spacing w:val="-10"/>
        </w:rPr>
        <w:t> </w:t>
      </w:r>
      <w:r>
        <w:rPr/>
        <w:t>around</w:t>
      </w:r>
      <w:r>
        <w:rPr>
          <w:spacing w:val="-11"/>
        </w:rPr>
        <w:t> </w:t>
      </w:r>
      <w:r>
        <w:rPr/>
        <w:t>its</w:t>
      </w:r>
      <w:r>
        <w:rPr>
          <w:spacing w:val="-10"/>
        </w:rPr>
        <w:t> </w:t>
      </w:r>
      <w:r>
        <w:rPr/>
        <w:t>stationary</w:t>
      </w:r>
      <w:r>
        <w:rPr>
          <w:spacing w:val="-12"/>
        </w:rPr>
        <w:t> </w:t>
      </w:r>
      <w:r>
        <w:rPr/>
        <w:t>state.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system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equilibrium</w:t>
      </w:r>
      <w:r>
        <w:rPr>
          <w:spacing w:val="-10"/>
        </w:rPr>
        <w:t> </w:t>
      </w:r>
      <w:r>
        <w:rPr/>
        <w:t>conditions</w:t>
      </w:r>
      <w:r>
        <w:rPr>
          <w:spacing w:val="-57"/>
        </w:rPr>
        <w:t> </w:t>
      </w:r>
      <w:r>
        <w:rPr/>
        <w:t>comprises of household Euler equation, Philips curve, aggregate resource constraint, policy</w:t>
      </w:r>
      <w:r>
        <w:rPr>
          <w:spacing w:val="1"/>
        </w:rPr>
        <w:t> </w:t>
      </w:r>
      <w:r>
        <w:rPr/>
        <w:t>rules in interest rates, flow government budget constraint, exogenous fiscal surplus rule and</w:t>
      </w:r>
      <w:r>
        <w:rPr>
          <w:spacing w:val="1"/>
        </w:rPr>
        <w:t> </w:t>
      </w:r>
      <w:r>
        <w:rPr/>
        <w:t>shocks to fiscal and monetary policy. Once the equilibrium equations are log-linearised, it is</w:t>
      </w:r>
      <w:r>
        <w:rPr>
          <w:spacing w:val="1"/>
        </w:rPr>
        <w:t> </w:t>
      </w:r>
      <w:r>
        <w:rPr/>
        <w:t>reduced to a system of second-order difference equation. The Blanchard and Khan (1980)</w:t>
      </w:r>
      <w:r>
        <w:rPr>
          <w:spacing w:val="1"/>
        </w:rPr>
        <w:t> </w:t>
      </w:r>
      <w:r>
        <w:rPr/>
        <w:t>criteria of stable and unstable roots is used to ensure determinacy of equilibria in the study’s</w:t>
      </w:r>
      <w:r>
        <w:rPr>
          <w:spacing w:val="1"/>
        </w:rPr>
        <w:t> </w:t>
      </w:r>
      <w:r>
        <w:rPr/>
        <w:t>model.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0"/>
          <w:numId w:val="14"/>
        </w:numPr>
        <w:tabs>
          <w:tab w:pos="2106" w:val="left" w:leader="none"/>
        </w:tabs>
        <w:spacing w:line="240" w:lineRule="auto" w:before="0" w:after="0"/>
        <w:ind w:left="2106" w:right="0" w:hanging="346"/>
        <w:jc w:val="both"/>
      </w:pPr>
      <w:r>
        <w:rPr/>
        <w:t>Solving</w:t>
      </w:r>
      <w:r>
        <w:rPr>
          <w:spacing w:val="-7"/>
        </w:rPr>
        <w:t> </w:t>
      </w:r>
      <w:r>
        <w:rPr/>
        <w:t>System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Linear</w:t>
      </w:r>
      <w:r>
        <w:rPr>
          <w:spacing w:val="-7"/>
        </w:rPr>
        <w:t> </w:t>
      </w:r>
      <w:r>
        <w:rPr/>
        <w:t>Difference</w:t>
      </w:r>
      <w:r>
        <w:rPr>
          <w:spacing w:val="-3"/>
        </w:rPr>
        <w:t> </w:t>
      </w:r>
      <w:r>
        <w:rPr/>
        <w:t>Equations</w:t>
      </w:r>
    </w:p>
    <w:p>
      <w:pPr>
        <w:pStyle w:val="BodyText"/>
        <w:spacing w:line="360" w:lineRule="auto" w:before="145"/>
        <w:ind w:left="1760" w:right="1438"/>
        <w:jc w:val="both"/>
      </w:pPr>
      <w:r>
        <w:rPr/>
        <w:t>The linear approximation method usually produces a system of linear stochastic difference</w:t>
      </w:r>
      <w:r>
        <w:rPr>
          <w:spacing w:val="1"/>
        </w:rPr>
        <w:t> </w:t>
      </w:r>
      <w:r>
        <w:rPr/>
        <w:t>equations in state-space form. The essence of solving DSGE models comprises in obtaining</w:t>
      </w:r>
      <w:r>
        <w:rPr>
          <w:spacing w:val="1"/>
        </w:rPr>
        <w:t> </w:t>
      </w:r>
      <w:r>
        <w:rPr/>
        <w:t>the solution to this system of equations. This solution is a feedback rule relating the current</w:t>
      </w:r>
      <w:r>
        <w:rPr>
          <w:spacing w:val="1"/>
        </w:rPr>
        <w:t> </w:t>
      </w:r>
      <w:r>
        <w:rPr>
          <w:spacing w:val="-1"/>
        </w:rPr>
        <w:t>endogenous</w:t>
      </w:r>
      <w:r>
        <w:rPr>
          <w:spacing w:val="-13"/>
        </w:rPr>
        <w:t> </w:t>
      </w:r>
      <w:r>
        <w:rPr/>
        <w:t>variables</w:t>
      </w:r>
      <w:r>
        <w:rPr>
          <w:spacing w:val="-14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state</w:t>
      </w:r>
      <w:r>
        <w:rPr>
          <w:spacing w:val="-13"/>
        </w:rPr>
        <w:t> </w:t>
      </w:r>
      <w:r>
        <w:rPr/>
        <w:t>variables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model.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system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equations</w:t>
      </w:r>
      <w:r>
        <w:rPr>
          <w:spacing w:val="-12"/>
        </w:rPr>
        <w:t> </w:t>
      </w:r>
      <w:r>
        <w:rPr/>
        <w:t>can</w:t>
      </w:r>
      <w:r>
        <w:rPr>
          <w:spacing w:val="-13"/>
        </w:rPr>
        <w:t> </w:t>
      </w:r>
      <w:r>
        <w:rPr/>
        <w:t>be</w:t>
      </w:r>
      <w:r>
        <w:rPr>
          <w:spacing w:val="-13"/>
        </w:rPr>
        <w:t> </w:t>
      </w:r>
      <w:r>
        <w:rPr/>
        <w:t>solved</w:t>
      </w:r>
      <w:r>
        <w:rPr>
          <w:spacing w:val="-58"/>
        </w:rPr>
        <w:t> </w:t>
      </w:r>
      <w:r>
        <w:rPr/>
        <w:t>by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methods: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eigenvector-eigenvalue</w:t>
      </w:r>
      <w:r>
        <w:rPr>
          <w:spacing w:val="1"/>
        </w:rPr>
        <w:t> </w:t>
      </w:r>
      <w:r>
        <w:rPr/>
        <w:t>decomposition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undetermined</w:t>
      </w:r>
      <w:r>
        <w:rPr>
          <w:spacing w:val="-57"/>
        </w:rPr>
        <w:t> </w:t>
      </w:r>
      <w:r>
        <w:rPr/>
        <w:t>coefficients.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760" w:right="1439"/>
        <w:jc w:val="both"/>
      </w:pPr>
      <w:r>
        <w:rPr/>
        <w:t>The</w:t>
      </w:r>
      <w:r>
        <w:rPr>
          <w:spacing w:val="-8"/>
        </w:rPr>
        <w:t> </w:t>
      </w:r>
      <w:r>
        <w:rPr/>
        <w:t>eigenvector-eigenvalue</w:t>
      </w:r>
      <w:r>
        <w:rPr>
          <w:spacing w:val="-8"/>
        </w:rPr>
        <w:t> </w:t>
      </w:r>
      <w:r>
        <w:rPr/>
        <w:t>decomposition</w:t>
      </w:r>
      <w:r>
        <w:rPr>
          <w:spacing w:val="-6"/>
        </w:rPr>
        <w:t> </w:t>
      </w:r>
      <w:r>
        <w:rPr/>
        <w:t>was</w:t>
      </w:r>
      <w:r>
        <w:rPr>
          <w:spacing w:val="-7"/>
        </w:rPr>
        <w:t> </w:t>
      </w:r>
      <w:r>
        <w:rPr/>
        <w:t>first</w:t>
      </w:r>
      <w:r>
        <w:rPr>
          <w:spacing w:val="-6"/>
        </w:rPr>
        <w:t> </w:t>
      </w:r>
      <w:r>
        <w:rPr/>
        <w:t>proposed</w:t>
      </w:r>
      <w:r>
        <w:rPr>
          <w:spacing w:val="-7"/>
        </w:rPr>
        <w:t> </w:t>
      </w:r>
      <w:r>
        <w:rPr/>
        <w:t>by</w:t>
      </w:r>
      <w:r>
        <w:rPr>
          <w:spacing w:val="-11"/>
        </w:rPr>
        <w:t> </w:t>
      </w:r>
      <w:r>
        <w:rPr/>
        <w:t>Blanchard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Kahn</w:t>
      </w:r>
      <w:r>
        <w:rPr>
          <w:spacing w:val="-6"/>
        </w:rPr>
        <w:t> </w:t>
      </w:r>
      <w:r>
        <w:rPr/>
        <w:t>(1980).</w:t>
      </w:r>
      <w:r>
        <w:rPr>
          <w:spacing w:val="-58"/>
        </w:rPr>
        <w:t> </w:t>
      </w:r>
      <w:r>
        <w:rPr/>
        <w:t>It</w:t>
      </w:r>
      <w:r>
        <w:rPr>
          <w:spacing w:val="-4"/>
        </w:rPr>
        <w:t> </w:t>
      </w:r>
      <w:r>
        <w:rPr/>
        <w:t>involves</w:t>
      </w:r>
      <w:r>
        <w:rPr>
          <w:spacing w:val="-4"/>
        </w:rPr>
        <w:t> </w:t>
      </w:r>
      <w:r>
        <w:rPr/>
        <w:t>delineating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system</w:t>
      </w:r>
      <w:r>
        <w:rPr>
          <w:spacing w:val="-4"/>
        </w:rPr>
        <w:t> </w:t>
      </w:r>
      <w:r>
        <w:rPr/>
        <w:t>into</w:t>
      </w:r>
      <w:r>
        <w:rPr>
          <w:spacing w:val="-4"/>
        </w:rPr>
        <w:t> </w:t>
      </w:r>
      <w:r>
        <w:rPr/>
        <w:t>stable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unstable</w:t>
      </w:r>
      <w:r>
        <w:rPr>
          <w:spacing w:val="-4"/>
        </w:rPr>
        <w:t> </w:t>
      </w:r>
      <w:r>
        <w:rPr/>
        <w:t>equations.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method</w:t>
      </w:r>
      <w:r>
        <w:rPr>
          <w:spacing w:val="-4"/>
        </w:rPr>
        <w:t> </w:t>
      </w:r>
      <w:r>
        <w:rPr/>
        <w:t>provides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/>
        <w:t>condition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determinacy</w:t>
      </w:r>
      <w:r>
        <w:rPr>
          <w:spacing w:val="-8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unique equilibrium</w:t>
      </w:r>
      <w:r>
        <w:rPr>
          <w:spacing w:val="-2"/>
        </w:rPr>
        <w:t> </w:t>
      </w:r>
      <w:r>
        <w:rPr/>
        <w:t>such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solution</w:t>
      </w:r>
      <w:r>
        <w:rPr>
          <w:spacing w:val="-2"/>
        </w:rPr>
        <w:t> </w:t>
      </w:r>
      <w:r>
        <w:rPr/>
        <w:t>exists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unique</w:t>
      </w:r>
      <w:r>
        <w:rPr>
          <w:spacing w:val="-57"/>
        </w:rPr>
        <w:t> </w:t>
      </w:r>
      <w:r>
        <w:rPr/>
        <w:t>if and only</w:t>
      </w:r>
      <w:r>
        <w:rPr>
          <w:spacing w:val="-5"/>
        </w:rPr>
        <w:t> </w:t>
      </w:r>
      <w:r>
        <w:rPr/>
        <w:t>if the number of unstable</w:t>
      </w:r>
      <w:r>
        <w:rPr>
          <w:spacing w:val="1"/>
        </w:rPr>
        <w:t> </w:t>
      </w:r>
      <w:r>
        <w:rPr/>
        <w:t>eigenvectors</w:t>
      </w:r>
      <w:r>
        <w:rPr>
          <w:spacing w:val="2"/>
        </w:rPr>
        <w:t> </w:t>
      </w:r>
      <w:r>
        <w:rPr/>
        <w:t>(i.e., the</w:t>
      </w:r>
      <w:r>
        <w:rPr>
          <w:spacing w:val="-1"/>
        </w:rPr>
        <w:t> </w:t>
      </w:r>
      <w:r>
        <w:rPr/>
        <w:t>number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eigenvalues outside</w:t>
      </w:r>
      <w:r>
        <w:rPr>
          <w:spacing w:val="-1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37"/>
        <w:jc w:val="both"/>
      </w:pPr>
      <w:r>
        <w:rPr/>
        <w:t>unit</w:t>
      </w:r>
      <w:r>
        <w:rPr>
          <w:spacing w:val="-8"/>
        </w:rPr>
        <w:t> </w:t>
      </w:r>
      <w:r>
        <w:rPr/>
        <w:t>circle)</w:t>
      </w:r>
      <w:r>
        <w:rPr>
          <w:spacing w:val="-10"/>
        </w:rPr>
        <w:t> </w:t>
      </w:r>
      <w:r>
        <w:rPr/>
        <w:t>is</w:t>
      </w:r>
      <w:r>
        <w:rPr>
          <w:spacing w:val="-8"/>
        </w:rPr>
        <w:t> </w:t>
      </w:r>
      <w:r>
        <w:rPr/>
        <w:t>exactly</w:t>
      </w:r>
      <w:r>
        <w:rPr>
          <w:spacing w:val="-12"/>
        </w:rPr>
        <w:t> </w:t>
      </w:r>
      <w:r>
        <w:rPr/>
        <w:t>equal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number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non-predetermined</w:t>
      </w:r>
      <w:r>
        <w:rPr>
          <w:spacing w:val="-9"/>
        </w:rPr>
        <w:t> </w:t>
      </w:r>
      <w:r>
        <w:rPr/>
        <w:t>variables</w:t>
      </w:r>
      <w:r>
        <w:rPr>
          <w:spacing w:val="-7"/>
        </w:rPr>
        <w:t> </w:t>
      </w:r>
      <w:r>
        <w:rPr/>
        <w:t>Blanchard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Kahn</w:t>
      </w:r>
      <w:r>
        <w:rPr>
          <w:spacing w:val="-58"/>
        </w:rPr>
        <w:t> </w:t>
      </w:r>
      <w:r>
        <w:rPr/>
        <w:t>(1980).</w:t>
      </w:r>
      <w:r>
        <w:rPr>
          <w:spacing w:val="-1"/>
        </w:rPr>
        <w:t> </w:t>
      </w:r>
      <w:r>
        <w:rPr/>
        <w:t>The Blanchard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Kahn</w:t>
      </w:r>
      <w:r>
        <w:rPr>
          <w:spacing w:val="-1"/>
        </w:rPr>
        <w:t> </w:t>
      </w:r>
      <w:r>
        <w:rPr/>
        <w:t>(1980)</w:t>
      </w:r>
      <w:r>
        <w:rPr>
          <w:spacing w:val="-2"/>
        </w:rPr>
        <w:t> </w:t>
      </w:r>
      <w:r>
        <w:rPr/>
        <w:t>method</w:t>
      </w:r>
      <w:r>
        <w:rPr>
          <w:spacing w:val="1"/>
        </w:rPr>
        <w:t> </w:t>
      </w:r>
      <w:r>
        <w:rPr/>
        <w:t>has been</w:t>
      </w:r>
      <w:r>
        <w:rPr>
          <w:spacing w:val="-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further</w:t>
      </w:r>
      <w:r>
        <w:rPr>
          <w:spacing w:val="-1"/>
        </w:rPr>
        <w:t> </w:t>
      </w:r>
      <w:r>
        <w:rPr/>
        <w:t>by</w:t>
      </w:r>
      <w:r>
        <w:rPr>
          <w:spacing w:val="-9"/>
        </w:rPr>
        <w:t> </w:t>
      </w:r>
      <w:r>
        <w:rPr/>
        <w:t>others</w:t>
      </w:r>
      <w:r>
        <w:rPr>
          <w:spacing w:val="-1"/>
        </w:rPr>
        <w:t> </w:t>
      </w:r>
      <w:r>
        <w:rPr/>
        <w:t>such as</w:t>
      </w:r>
      <w:r>
        <w:rPr>
          <w:spacing w:val="-58"/>
        </w:rPr>
        <w:t> </w:t>
      </w:r>
      <w:r>
        <w:rPr/>
        <w:t>King and Watson (1998), King and Watson (2002), Anderson (2000), Anderson and Moore</w:t>
      </w:r>
      <w:r>
        <w:rPr>
          <w:spacing w:val="1"/>
        </w:rPr>
        <w:t> </w:t>
      </w:r>
      <w:r>
        <w:rPr/>
        <w:t>(1985), Sims (2002), Klein (2000) as cited in Flotho (2009). The method of undetermined</w:t>
      </w:r>
      <w:r>
        <w:rPr>
          <w:spacing w:val="1"/>
        </w:rPr>
        <w:t> </w:t>
      </w:r>
      <w:r>
        <w:rPr/>
        <w:t>coefficients, on the other hand, involves guessing the solution of the model, (i.e., policy</w:t>
      </w:r>
      <w:r>
        <w:rPr>
          <w:spacing w:val="1"/>
        </w:rPr>
        <w:t> </w:t>
      </w:r>
      <w:r>
        <w:rPr/>
        <w:t>functions), then find the unknown coefficients of the system of equations that matches the</w:t>
      </w:r>
      <w:r>
        <w:rPr>
          <w:spacing w:val="1"/>
        </w:rPr>
        <w:t> </w:t>
      </w:r>
      <w:r>
        <w:rPr/>
        <w:t>guessed</w:t>
      </w:r>
      <w:r>
        <w:rPr>
          <w:spacing w:val="-1"/>
        </w:rPr>
        <w:t> </w:t>
      </w:r>
      <w:r>
        <w:rPr/>
        <w:t>solution.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4"/>
        </w:numPr>
        <w:tabs>
          <w:tab w:pos="2092" w:val="left" w:leader="none"/>
        </w:tabs>
        <w:spacing w:line="240" w:lineRule="auto" w:before="155" w:after="0"/>
        <w:ind w:left="2091" w:right="0" w:hanging="332"/>
        <w:jc w:val="both"/>
      </w:pPr>
      <w:r>
        <w:rPr/>
        <w:t>Second</w:t>
      </w:r>
      <w:r>
        <w:rPr>
          <w:spacing w:val="-3"/>
        </w:rPr>
        <w:t> </w:t>
      </w:r>
      <w:r>
        <w:rPr/>
        <w:t>(or</w:t>
      </w:r>
      <w:r>
        <w:rPr>
          <w:spacing w:val="-2"/>
        </w:rPr>
        <w:t> </w:t>
      </w:r>
      <w:r>
        <w:rPr/>
        <w:t>Higher) Order</w:t>
      </w:r>
      <w:r>
        <w:rPr>
          <w:spacing w:val="-1"/>
        </w:rPr>
        <w:t> </w:t>
      </w:r>
      <w:r>
        <w:rPr/>
        <w:t>Approximation</w:t>
      </w:r>
    </w:p>
    <w:p>
      <w:pPr>
        <w:pStyle w:val="BodyText"/>
        <w:spacing w:line="360" w:lineRule="auto" w:before="145"/>
        <w:ind w:left="1760" w:right="1440"/>
        <w:jc w:val="both"/>
      </w:pPr>
      <w:r>
        <w:rPr/>
        <w:t>The second (or higher) order approximation takes a second or nth-order Taylor expansion of</w:t>
      </w:r>
      <w:r>
        <w:rPr>
          <w:spacing w:val="1"/>
        </w:rPr>
        <w:t> </w:t>
      </w:r>
      <w:r>
        <w:rPr/>
        <w:t>the equilibrium conditions of DSGE models around their steady state. They are useful when</w:t>
      </w:r>
      <w:r>
        <w:rPr>
          <w:spacing w:val="1"/>
        </w:rPr>
        <w:t> </w:t>
      </w:r>
      <w:r>
        <w:rPr/>
        <w:t>considering welfare and risk measures but they often generate explosive sample paths even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corresponding</w:t>
      </w:r>
      <w:r>
        <w:rPr>
          <w:spacing w:val="-3"/>
        </w:rPr>
        <w:t> </w:t>
      </w:r>
      <w:r>
        <w:rPr/>
        <w:t>linear</w:t>
      </w:r>
      <w:r>
        <w:rPr>
          <w:spacing w:val="-1"/>
        </w:rPr>
        <w:t> </w:t>
      </w:r>
      <w:r>
        <w:rPr/>
        <w:t>approximation</w:t>
      </w:r>
      <w:r>
        <w:rPr>
          <w:spacing w:val="-1"/>
        </w:rPr>
        <w:t> </w:t>
      </w:r>
      <w:r>
        <w:rPr/>
        <w:t>is stable</w:t>
      </w:r>
      <w:r>
        <w:rPr>
          <w:spacing w:val="-1"/>
        </w:rPr>
        <w:t> </w:t>
      </w:r>
      <w:r>
        <w:rPr/>
        <w:t>(Fernandez-Villaverde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2016).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760" w:right="1434"/>
        <w:jc w:val="both"/>
      </w:pPr>
      <w:r>
        <w:rPr/>
        <w:t>Schmitt-Grohe and Uribe (2004a, 2007) computed second-order approximation to the policy</w:t>
      </w:r>
      <w:r>
        <w:rPr>
          <w:spacing w:val="1"/>
        </w:rPr>
        <w:t> </w:t>
      </w:r>
      <w:r>
        <w:rPr/>
        <w:t>function to solve for optimal fiscal and monetary policy paths from a New Keynesian type</w:t>
      </w:r>
      <w:r>
        <w:rPr>
          <w:spacing w:val="1"/>
        </w:rPr>
        <w:t> </w:t>
      </w:r>
      <w:r>
        <w:rPr/>
        <w:t>DSGE model. The NK DSGE model comprises of a household bloc that maximises objective</w:t>
      </w:r>
      <w:r>
        <w:rPr>
          <w:spacing w:val="-57"/>
        </w:rPr>
        <w:t> </w:t>
      </w:r>
      <w:r>
        <w:rPr/>
        <w:t>function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inter-temporal</w:t>
      </w:r>
      <w:r>
        <w:rPr>
          <w:spacing w:val="1"/>
        </w:rPr>
        <w:t> </w:t>
      </w:r>
      <w:r>
        <w:rPr/>
        <w:t>budget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borrowing</w:t>
      </w:r>
      <w:r>
        <w:rPr>
          <w:spacing w:val="1"/>
        </w:rPr>
        <w:t> </w:t>
      </w:r>
      <w:r>
        <w:rPr/>
        <w:t>constraints;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firm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monopolistic competition and government bloc with its inter-temporal budget constraints</w:t>
      </w:r>
      <w:r>
        <w:rPr>
          <w:spacing w:val="1"/>
        </w:rPr>
        <w:t> </w:t>
      </w:r>
      <w:r>
        <w:rPr/>
        <w:t>alongside specification of fiscal and monetary policy in taxes and nominal interest rate. The</w:t>
      </w:r>
      <w:r>
        <w:rPr>
          <w:spacing w:val="1"/>
        </w:rPr>
        <w:t> </w:t>
      </w:r>
      <w:r>
        <w:rPr/>
        <w:t>authors derive equilibrium conditions in consumer Euler equation, Philips curve, fiscal and</w:t>
      </w:r>
      <w:r>
        <w:rPr>
          <w:spacing w:val="1"/>
        </w:rPr>
        <w:t> </w:t>
      </w:r>
      <w:r>
        <w:rPr/>
        <w:t>monetary policy rules, exogenous processes, among others. The studies derive decision rules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relevant</w:t>
      </w:r>
      <w:r>
        <w:rPr>
          <w:spacing w:val="-1"/>
        </w:rPr>
        <w:t> </w:t>
      </w:r>
      <w:r>
        <w:rPr/>
        <w:t>endogenous</w:t>
      </w:r>
      <w:r>
        <w:rPr>
          <w:spacing w:val="-1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from</w:t>
      </w:r>
      <w:r>
        <w:rPr>
          <w:spacing w:val="-4"/>
        </w:rPr>
        <w:t> </w:t>
      </w:r>
      <w:r>
        <w:rPr/>
        <w:t>these</w:t>
      </w:r>
      <w:r>
        <w:rPr>
          <w:spacing w:val="-5"/>
        </w:rPr>
        <w:t> </w:t>
      </w:r>
      <w:r>
        <w:rPr/>
        <w:t>equilibrium</w:t>
      </w:r>
      <w:r>
        <w:rPr>
          <w:spacing w:val="-4"/>
        </w:rPr>
        <w:t> </w:t>
      </w:r>
      <w:r>
        <w:rPr/>
        <w:t>equations</w:t>
      </w:r>
      <w:r>
        <w:rPr>
          <w:spacing w:val="-4"/>
        </w:rPr>
        <w:t> </w:t>
      </w:r>
      <w:r>
        <w:rPr/>
        <w:t>that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then</w:t>
      </w:r>
      <w:r>
        <w:rPr>
          <w:spacing w:val="-4"/>
        </w:rPr>
        <w:t> </w:t>
      </w:r>
      <w:r>
        <w:rPr/>
        <w:t>approximated</w:t>
      </w:r>
      <w:r>
        <w:rPr>
          <w:spacing w:val="-58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logarithm</w:t>
      </w:r>
      <w:r>
        <w:rPr>
          <w:spacing w:val="-12"/>
        </w:rPr>
        <w:t> </w:t>
      </w:r>
      <w:r>
        <w:rPr/>
        <w:t>using</w:t>
      </w:r>
      <w:r>
        <w:rPr>
          <w:spacing w:val="-14"/>
        </w:rPr>
        <w:t> </w:t>
      </w:r>
      <w:r>
        <w:rPr/>
        <w:t>second-order</w:t>
      </w:r>
      <w:r>
        <w:rPr>
          <w:spacing w:val="-13"/>
        </w:rPr>
        <w:t> </w:t>
      </w:r>
      <w:r>
        <w:rPr/>
        <w:t>Taylor</w:t>
      </w:r>
      <w:r>
        <w:rPr>
          <w:spacing w:val="-13"/>
        </w:rPr>
        <w:t> </w:t>
      </w:r>
      <w:r>
        <w:rPr/>
        <w:t>expansion</w:t>
      </w:r>
      <w:r>
        <w:rPr>
          <w:spacing w:val="-12"/>
        </w:rPr>
        <w:t> </w:t>
      </w:r>
      <w:r>
        <w:rPr/>
        <w:t>around</w:t>
      </w:r>
      <w:r>
        <w:rPr>
          <w:spacing w:val="-13"/>
        </w:rPr>
        <w:t> </w:t>
      </w:r>
      <w:r>
        <w:rPr/>
        <w:t>their</w:t>
      </w:r>
      <w:r>
        <w:rPr>
          <w:spacing w:val="-13"/>
        </w:rPr>
        <w:t> </w:t>
      </w:r>
      <w:r>
        <w:rPr/>
        <w:t>non-stochastic</w:t>
      </w:r>
      <w:r>
        <w:rPr>
          <w:spacing w:val="-13"/>
        </w:rPr>
        <w:t> </w:t>
      </w:r>
      <w:r>
        <w:rPr/>
        <w:t>steady</w:t>
      </w:r>
      <w:r>
        <w:rPr>
          <w:spacing w:val="-17"/>
        </w:rPr>
        <w:t> </w:t>
      </w:r>
      <w:r>
        <w:rPr/>
        <w:t>state.</w:t>
      </w:r>
      <w:r>
        <w:rPr>
          <w:spacing w:val="-12"/>
        </w:rPr>
        <w:t> </w:t>
      </w:r>
      <w:r>
        <w:rPr/>
        <w:t>The</w:t>
      </w:r>
      <w:r>
        <w:rPr>
          <w:spacing w:val="-57"/>
        </w:rPr>
        <w:t> </w:t>
      </w:r>
      <w:r>
        <w:rPr/>
        <w:t>utility (welfare) function is also log-linearised to second order. The final procedure is to</w:t>
      </w:r>
      <w:r>
        <w:rPr>
          <w:spacing w:val="1"/>
        </w:rPr>
        <w:t> </w:t>
      </w:r>
      <w:r>
        <w:rPr/>
        <w:t>maximise the quadratic welfare function subject to constraints using the Lagrange method, in</w:t>
      </w:r>
      <w:r>
        <w:rPr>
          <w:spacing w:val="-57"/>
        </w:rPr>
        <w:t> </w:t>
      </w:r>
      <w:r>
        <w:rPr/>
        <w:t>order to find the policy parameters of tax and nominal interest rate equations that maximises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household welfare</w:t>
      </w:r>
      <w:r>
        <w:rPr>
          <w:spacing w:val="-2"/>
        </w:rPr>
        <w:t> </w:t>
      </w:r>
      <w:r>
        <w:rPr/>
        <w:t>function.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760" w:right="1435"/>
        <w:jc w:val="both"/>
      </w:pPr>
      <w:r>
        <w:rPr/>
        <w:t>Gnocchi</w:t>
      </w:r>
      <w:r>
        <w:rPr>
          <w:spacing w:val="-14"/>
        </w:rPr>
        <w:t> </w:t>
      </w:r>
      <w:r>
        <w:rPr/>
        <w:t>and</w:t>
      </w:r>
      <w:r>
        <w:rPr>
          <w:spacing w:val="-12"/>
        </w:rPr>
        <w:t> </w:t>
      </w:r>
      <w:r>
        <w:rPr/>
        <w:t>Lambertini</w:t>
      </w:r>
      <w:r>
        <w:rPr>
          <w:spacing w:val="-14"/>
        </w:rPr>
        <w:t> </w:t>
      </w:r>
      <w:r>
        <w:rPr/>
        <w:t>(2016)</w:t>
      </w:r>
      <w:r>
        <w:rPr>
          <w:spacing w:val="-15"/>
        </w:rPr>
        <w:t> </w:t>
      </w:r>
      <w:r>
        <w:rPr/>
        <w:t>adopted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second-order</w:t>
      </w:r>
      <w:r>
        <w:rPr>
          <w:spacing w:val="-15"/>
        </w:rPr>
        <w:t> </w:t>
      </w:r>
      <w:r>
        <w:rPr/>
        <w:t>approximation</w:t>
      </w:r>
      <w:r>
        <w:rPr>
          <w:spacing w:val="-14"/>
        </w:rPr>
        <w:t> </w:t>
      </w:r>
      <w:r>
        <w:rPr/>
        <w:t>algorithm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Schmitt-</w:t>
      </w:r>
      <w:r>
        <w:rPr>
          <w:spacing w:val="-58"/>
        </w:rPr>
        <w:t> </w:t>
      </w:r>
      <w:r>
        <w:rPr/>
        <w:t>Grohe</w:t>
      </w:r>
      <w:r>
        <w:rPr>
          <w:spacing w:val="31"/>
        </w:rPr>
        <w:t> </w:t>
      </w:r>
      <w:r>
        <w:rPr/>
        <w:t>and</w:t>
      </w:r>
      <w:r>
        <w:rPr>
          <w:spacing w:val="33"/>
        </w:rPr>
        <w:t> </w:t>
      </w:r>
      <w:r>
        <w:rPr/>
        <w:t>Uribe</w:t>
      </w:r>
      <w:r>
        <w:rPr>
          <w:spacing w:val="32"/>
        </w:rPr>
        <w:t> </w:t>
      </w:r>
      <w:r>
        <w:rPr/>
        <w:t>(2004a)</w:t>
      </w:r>
      <w:r>
        <w:rPr>
          <w:spacing w:val="31"/>
        </w:rPr>
        <w:t> </w:t>
      </w:r>
      <w:r>
        <w:rPr/>
        <w:t>to</w:t>
      </w:r>
      <w:r>
        <w:rPr>
          <w:spacing w:val="33"/>
        </w:rPr>
        <w:t> </w:t>
      </w:r>
      <w:r>
        <w:rPr/>
        <w:t>solve</w:t>
      </w:r>
      <w:r>
        <w:rPr>
          <w:spacing w:val="33"/>
        </w:rPr>
        <w:t> </w:t>
      </w:r>
      <w:r>
        <w:rPr/>
        <w:t>a</w:t>
      </w:r>
      <w:r>
        <w:rPr>
          <w:spacing w:val="31"/>
        </w:rPr>
        <w:t> </w:t>
      </w:r>
      <w:r>
        <w:rPr/>
        <w:t>NK</w:t>
      </w:r>
      <w:r>
        <w:rPr>
          <w:spacing w:val="32"/>
        </w:rPr>
        <w:t> </w:t>
      </w:r>
      <w:r>
        <w:rPr/>
        <w:t>DSGE</w:t>
      </w:r>
      <w:r>
        <w:rPr>
          <w:spacing w:val="35"/>
        </w:rPr>
        <w:t> </w:t>
      </w:r>
      <w:r>
        <w:rPr/>
        <w:t>model</w:t>
      </w:r>
      <w:r>
        <w:rPr>
          <w:spacing w:val="32"/>
        </w:rPr>
        <w:t> </w:t>
      </w:r>
      <w:r>
        <w:rPr/>
        <w:t>with</w:t>
      </w:r>
      <w:r>
        <w:rPr>
          <w:spacing w:val="33"/>
        </w:rPr>
        <w:t> </w:t>
      </w:r>
      <w:r>
        <w:rPr/>
        <w:t>monopolistic</w:t>
      </w:r>
      <w:r>
        <w:rPr>
          <w:spacing w:val="32"/>
        </w:rPr>
        <w:t> </w:t>
      </w:r>
      <w:r>
        <w:rPr/>
        <w:t>competition</w:t>
      </w:r>
      <w:r>
        <w:rPr>
          <w:spacing w:val="32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37"/>
        <w:jc w:val="both"/>
      </w:pPr>
      <w:r>
        <w:rPr/>
        <w:t>nominal</w:t>
      </w:r>
      <w:r>
        <w:rPr>
          <w:spacing w:val="-3"/>
        </w:rPr>
        <w:t> </w:t>
      </w:r>
      <w:r>
        <w:rPr/>
        <w:t>rigidity.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study’s</w:t>
      </w:r>
      <w:r>
        <w:rPr>
          <w:spacing w:val="-2"/>
        </w:rPr>
        <w:t> </w:t>
      </w:r>
      <w:r>
        <w:rPr/>
        <w:t>model</w:t>
      </w:r>
      <w:r>
        <w:rPr>
          <w:spacing w:val="-2"/>
        </w:rPr>
        <w:t> </w:t>
      </w:r>
      <w:r>
        <w:rPr/>
        <w:t>consists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preferences,</w:t>
      </w:r>
      <w:r>
        <w:rPr>
          <w:spacing w:val="-3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constraints</w:t>
      </w:r>
      <w:r>
        <w:rPr>
          <w:spacing w:val="-3"/>
        </w:rPr>
        <w:t> </w:t>
      </w:r>
      <w:r>
        <w:rPr/>
        <w:t>of</w:t>
      </w:r>
      <w:r>
        <w:rPr>
          <w:spacing w:val="-57"/>
        </w:rPr>
        <w:t> </w:t>
      </w:r>
      <w:r>
        <w:rPr/>
        <w:t>household, firms and government usually specified in a canonical NK DSGE model. In</w:t>
      </w:r>
      <w:r>
        <w:rPr>
          <w:spacing w:val="1"/>
        </w:rPr>
        <w:t> </w:t>
      </w:r>
      <w:r>
        <w:rPr/>
        <w:t>addition, fiscal and monetary policy rules in taxes, public goods and nominal interest rate are</w:t>
      </w:r>
      <w:r>
        <w:rPr>
          <w:spacing w:val="1"/>
        </w:rPr>
        <w:t> </w:t>
      </w:r>
      <w:r>
        <w:rPr/>
        <w:t>specified. The solution to the DSGE model is a set of policy functions that are approximated</w:t>
      </w:r>
      <w:r>
        <w:rPr>
          <w:spacing w:val="1"/>
        </w:rPr>
        <w:t> </w:t>
      </w:r>
      <w:r>
        <w:rPr/>
        <w:t>to second-order. The finishing step is to maximise the household welfare function subject to</w:t>
      </w:r>
      <w:r>
        <w:rPr>
          <w:spacing w:val="1"/>
        </w:rPr>
        <w:t> </w:t>
      </w:r>
      <w:r>
        <w:rPr/>
        <w:t>constraints made of the Euler consumer equation, the technology function, public goods</w:t>
      </w:r>
      <w:r>
        <w:rPr>
          <w:spacing w:val="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and aggregate resource</w:t>
      </w:r>
      <w:r>
        <w:rPr>
          <w:spacing w:val="1"/>
        </w:rPr>
        <w:t> </w:t>
      </w:r>
      <w:r>
        <w:rPr/>
        <w:t>constraint with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Lagrange</w:t>
      </w:r>
      <w:r>
        <w:rPr>
          <w:spacing w:val="-2"/>
        </w:rPr>
        <w:t> </w:t>
      </w:r>
      <w:r>
        <w:rPr/>
        <w:t>method.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760" w:right="1435"/>
        <w:jc w:val="both"/>
      </w:pPr>
      <w:r>
        <w:rPr/>
        <w:t>The preceding solution techniques (linearisation, log-linearisation, linear-quadratic, second-</w:t>
      </w:r>
      <w:r>
        <w:rPr>
          <w:spacing w:val="1"/>
        </w:rPr>
        <w:t> </w:t>
      </w:r>
      <w:r>
        <w:rPr/>
        <w:t>order Taylor approximation) can be termed perturbation methods using the classification of</w:t>
      </w:r>
      <w:r>
        <w:rPr>
          <w:spacing w:val="1"/>
        </w:rPr>
        <w:t> </w:t>
      </w:r>
      <w:r>
        <w:rPr/>
        <w:t>Fernadez-Villaverde,</w:t>
      </w:r>
      <w:r>
        <w:rPr>
          <w:spacing w:val="1"/>
        </w:rPr>
        <w:t> </w:t>
      </w:r>
      <w:r>
        <w:rPr/>
        <w:t>Rubio-Ramirez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Schorfheide</w:t>
      </w:r>
      <w:r>
        <w:rPr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perturbation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require a Taylor or Pides approximation to the equilibrium equations or policy functions. A</w:t>
      </w:r>
      <w:r>
        <w:rPr>
          <w:spacing w:val="1"/>
        </w:rPr>
        <w:t> </w:t>
      </w:r>
      <w:r>
        <w:rPr/>
        <w:t>characteristic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these</w:t>
      </w:r>
      <w:r>
        <w:rPr>
          <w:spacing w:val="-4"/>
        </w:rPr>
        <w:t> </w:t>
      </w:r>
      <w:r>
        <w:rPr/>
        <w:t>solution</w:t>
      </w:r>
      <w:r>
        <w:rPr>
          <w:spacing w:val="-4"/>
        </w:rPr>
        <w:t> </w:t>
      </w:r>
      <w:r>
        <w:rPr/>
        <w:t>methods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they</w:t>
      </w:r>
      <w:r>
        <w:rPr>
          <w:spacing w:val="-7"/>
        </w:rPr>
        <w:t> </w:t>
      </w:r>
      <w:r>
        <w:rPr/>
        <w:t>produce</w:t>
      </w:r>
      <w:r>
        <w:rPr>
          <w:spacing w:val="-1"/>
        </w:rPr>
        <w:t> </w:t>
      </w:r>
      <w:r>
        <w:rPr/>
        <w:t>local</w:t>
      </w:r>
      <w:r>
        <w:rPr>
          <w:spacing w:val="-2"/>
        </w:rPr>
        <w:t> </w:t>
      </w:r>
      <w:r>
        <w:rPr/>
        <w:t>equilibrium</w:t>
      </w:r>
      <w:r>
        <w:rPr>
          <w:spacing w:val="-2"/>
        </w:rPr>
        <w:t> </w:t>
      </w:r>
      <w:r>
        <w:rPr/>
        <w:t>solutions</w:t>
      </w:r>
      <w:r>
        <w:rPr>
          <w:spacing w:val="-3"/>
        </w:rPr>
        <w:t> </w:t>
      </w:r>
      <w:r>
        <w:rPr/>
        <w:t>which</w:t>
      </w:r>
      <w:r>
        <w:rPr>
          <w:spacing w:val="-57"/>
        </w:rPr>
        <w:t> </w:t>
      </w:r>
      <w:r>
        <w:rPr/>
        <w:t>contrast</w:t>
      </w:r>
      <w:r>
        <w:rPr>
          <w:spacing w:val="-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global ones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0"/>
          <w:numId w:val="14"/>
        </w:numPr>
        <w:tabs>
          <w:tab w:pos="2020" w:val="left" w:leader="none"/>
        </w:tabs>
        <w:spacing w:line="240" w:lineRule="auto" w:before="0" w:after="0"/>
        <w:ind w:left="2019" w:right="0" w:hanging="260"/>
        <w:jc w:val="both"/>
      </w:pPr>
      <w:r>
        <w:rPr/>
        <w:t>Projection</w:t>
      </w:r>
      <w:r>
        <w:rPr>
          <w:spacing w:val="-2"/>
        </w:rPr>
        <w:t> </w:t>
      </w:r>
      <w:r>
        <w:rPr/>
        <w:t>Method</w:t>
      </w:r>
    </w:p>
    <w:p>
      <w:pPr>
        <w:pStyle w:val="BodyText"/>
        <w:spacing w:line="360" w:lineRule="auto" w:before="144"/>
        <w:ind w:left="1760" w:right="1433"/>
        <w:jc w:val="both"/>
      </w:pPr>
      <w:r>
        <w:rPr/>
        <w:t>According to Fernadez-Villaverde </w:t>
      </w:r>
      <w:r>
        <w:rPr>
          <w:i/>
        </w:rPr>
        <w:t>et al., </w:t>
      </w:r>
      <w:r>
        <w:rPr/>
        <w:t>(2016), projection methods make up a second group</w:t>
      </w:r>
      <w:r>
        <w:rPr>
          <w:spacing w:val="-57"/>
        </w:rPr>
        <w:t> </w:t>
      </w:r>
      <w:r>
        <w:rPr/>
        <w:t>of solution methods to dynamic general equilibrium models. The projection method finds</w:t>
      </w:r>
      <w:r>
        <w:rPr>
          <w:spacing w:val="1"/>
        </w:rPr>
        <w:t> </w:t>
      </w:r>
      <w:r>
        <w:rPr/>
        <w:t>global</w:t>
      </w:r>
      <w:r>
        <w:rPr>
          <w:spacing w:val="-1"/>
        </w:rPr>
        <w:t> </w:t>
      </w:r>
      <w:r>
        <w:rPr/>
        <w:t>solution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 global properties</w:t>
      </w:r>
      <w:r>
        <w:rPr>
          <w:spacing w:val="-1"/>
        </w:rPr>
        <w:t> </w:t>
      </w:r>
      <w:r>
        <w:rPr/>
        <w:t>of functional</w:t>
      </w:r>
      <w:r>
        <w:rPr>
          <w:spacing w:val="-1"/>
        </w:rPr>
        <w:t> </w:t>
      </w:r>
      <w:r>
        <w:rPr/>
        <w:t>equations</w:t>
      </w:r>
      <w:r>
        <w:rPr>
          <w:spacing w:val="-1"/>
        </w:rPr>
        <w:t> </w:t>
      </w:r>
      <w:r>
        <w:rPr/>
        <w:t>to approximate</w:t>
      </w:r>
      <w:r>
        <w:rPr>
          <w:spacing w:val="-1"/>
        </w:rPr>
        <w:t> </w:t>
      </w:r>
      <w:r>
        <w:rPr/>
        <w:t>solution.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760" w:right="1433"/>
        <w:jc w:val="both"/>
      </w:pPr>
      <w:r>
        <w:rPr/>
        <w:t>Niemann and Pichler (2010) used a projection technique called monomial rule Galerkin to</w:t>
      </w:r>
      <w:r>
        <w:rPr>
          <w:spacing w:val="1"/>
        </w:rPr>
        <w:t> </w:t>
      </w:r>
      <w:r>
        <w:rPr/>
        <w:t>solve for optimal fiscal</w:t>
      </w:r>
      <w:r>
        <w:rPr>
          <w:spacing w:val="1"/>
        </w:rPr>
        <w:t> </w:t>
      </w:r>
      <w:r>
        <w:rPr/>
        <w:t>and monetary policy path in a DSGE model</w:t>
      </w:r>
      <w:r>
        <w:rPr>
          <w:spacing w:val="1"/>
        </w:rPr>
        <w:t> </w:t>
      </w:r>
      <w:r>
        <w:rPr/>
        <w:t>with monopolistic</w:t>
      </w:r>
      <w:r>
        <w:rPr>
          <w:spacing w:val="1"/>
        </w:rPr>
        <w:t> </w:t>
      </w:r>
      <w:r>
        <w:rPr/>
        <w:t>competition and sticky prices. The DSGE model comprises the household and government</w:t>
      </w:r>
      <w:r>
        <w:rPr>
          <w:spacing w:val="1"/>
        </w:rPr>
        <w:t> </w:t>
      </w:r>
      <w:r>
        <w:rPr/>
        <w:t>sectors with their preferences and constraints. The authors derived equilibrium equations in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equation,</w:t>
      </w:r>
      <w:r>
        <w:rPr>
          <w:spacing w:val="1"/>
        </w:rPr>
        <w:t> </w:t>
      </w:r>
      <w:r>
        <w:rPr/>
        <w:t>Euler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equation,</w:t>
      </w:r>
      <w:r>
        <w:rPr>
          <w:spacing w:val="1"/>
        </w:rPr>
        <w:t> </w:t>
      </w:r>
      <w:r>
        <w:rPr/>
        <w:t>forward</w:t>
      </w:r>
      <w:r>
        <w:rPr>
          <w:spacing w:val="1"/>
        </w:rPr>
        <w:t> </w:t>
      </w:r>
      <w:r>
        <w:rPr/>
        <w:t>looking</w:t>
      </w:r>
      <w:r>
        <w:rPr>
          <w:spacing w:val="1"/>
        </w:rPr>
        <w:t> </w:t>
      </w:r>
      <w:r>
        <w:rPr/>
        <w:t>Philips</w:t>
      </w:r>
      <w:r>
        <w:rPr>
          <w:spacing w:val="1"/>
        </w:rPr>
        <w:t> </w:t>
      </w:r>
      <w:r>
        <w:rPr/>
        <w:t>curve,</w:t>
      </w:r>
      <w:r>
        <w:rPr>
          <w:spacing w:val="1"/>
        </w:rPr>
        <w:t> </w:t>
      </w:r>
      <w:r>
        <w:rPr/>
        <w:t>aggregate</w:t>
      </w:r>
      <w:r>
        <w:rPr>
          <w:spacing w:val="1"/>
        </w:rPr>
        <w:t> </w:t>
      </w:r>
      <w:r>
        <w:rPr/>
        <w:t>resource constraint and the government budget constraint. The model is solved for decision</w:t>
      </w:r>
      <w:r>
        <w:rPr>
          <w:spacing w:val="1"/>
        </w:rPr>
        <w:t> </w:t>
      </w:r>
      <w:r>
        <w:rPr/>
        <w:t>rules. The next procedure is to use the Lagrange method to maximise the welfare function of</w:t>
      </w:r>
      <w:r>
        <w:rPr>
          <w:spacing w:val="1"/>
        </w:rPr>
        <w:t> </w:t>
      </w:r>
      <w:r>
        <w:rPr/>
        <w:t>the individual household subject to some constraints and optimal conditions in government</w:t>
      </w:r>
      <w:r>
        <w:rPr>
          <w:spacing w:val="1"/>
        </w:rPr>
        <w:t> </w:t>
      </w:r>
      <w:r>
        <w:rPr/>
        <w:t>budget constraint, forward looking Philips curve, exogenous processes and decision rules in</w:t>
      </w:r>
      <w:r>
        <w:rPr>
          <w:spacing w:val="1"/>
        </w:rPr>
        <w:t> </w:t>
      </w:r>
      <w:r>
        <w:rPr/>
        <w:t>relevant endogenous variables. The monomial rule Galerkin method is used to numerically</w:t>
      </w:r>
      <w:r>
        <w:rPr>
          <w:spacing w:val="1"/>
        </w:rPr>
        <w:t> </w:t>
      </w:r>
      <w:r>
        <w:rPr/>
        <w:t>approximate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model to derive artificial</w:t>
      </w:r>
      <w:r>
        <w:rPr>
          <w:spacing w:val="-1"/>
        </w:rPr>
        <w:t> </w:t>
      </w:r>
      <w:r>
        <w:rPr/>
        <w:t>time series and impulse responses.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 w:before="90"/>
        <w:ind w:left="1760" w:right="1437"/>
        <w:jc w:val="both"/>
      </w:pPr>
      <w:r>
        <w:rPr/>
        <w:t>Ascari, Florio and Gobbi (2016) derived global solutions using the minimal state variable</w:t>
      </w:r>
      <w:r>
        <w:rPr>
          <w:spacing w:val="1"/>
        </w:rPr>
        <w:t> </w:t>
      </w:r>
      <w:r>
        <w:rPr/>
        <w:t>algorithm.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study</w:t>
      </w:r>
      <w:r>
        <w:rPr>
          <w:spacing w:val="-10"/>
        </w:rPr>
        <w:t> </w:t>
      </w:r>
      <w:r>
        <w:rPr/>
        <w:t>solves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NK</w:t>
      </w:r>
      <w:r>
        <w:rPr>
          <w:spacing w:val="-6"/>
        </w:rPr>
        <w:t> </w:t>
      </w:r>
      <w:r>
        <w:rPr/>
        <w:t>DSGE</w:t>
      </w:r>
      <w:r>
        <w:rPr>
          <w:spacing w:val="-3"/>
        </w:rPr>
        <w:t> </w:t>
      </w:r>
      <w:r>
        <w:rPr/>
        <w:t>model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equilibrium</w:t>
      </w:r>
      <w:r>
        <w:rPr>
          <w:spacing w:val="-5"/>
        </w:rPr>
        <w:t> </w:t>
      </w:r>
      <w:r>
        <w:rPr/>
        <w:t>equations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consumer</w:t>
      </w:r>
      <w:r>
        <w:rPr>
          <w:spacing w:val="-6"/>
        </w:rPr>
        <w:t> </w:t>
      </w:r>
      <w:r>
        <w:rPr/>
        <w:t>Euler</w:t>
      </w:r>
      <w:r>
        <w:rPr>
          <w:spacing w:val="-57"/>
        </w:rPr>
        <w:t> </w:t>
      </w:r>
      <w:r>
        <w:rPr/>
        <w:t>equation, law of motion in inflation, flow government budget constraint, fiscal policy rule in</w:t>
      </w:r>
      <w:r>
        <w:rPr>
          <w:spacing w:val="1"/>
        </w:rPr>
        <w:t> </w:t>
      </w:r>
      <w:r>
        <w:rPr>
          <w:spacing w:val="-1"/>
        </w:rPr>
        <w:t>taxes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monetary</w:t>
      </w:r>
      <w:r>
        <w:rPr>
          <w:spacing w:val="-20"/>
        </w:rPr>
        <w:t> </w:t>
      </w:r>
      <w:r>
        <w:rPr/>
        <w:t>policy</w:t>
      </w:r>
      <w:r>
        <w:rPr>
          <w:spacing w:val="-17"/>
        </w:rPr>
        <w:t> </w:t>
      </w:r>
      <w:r>
        <w:rPr/>
        <w:t>Taylor</w:t>
      </w:r>
      <w:r>
        <w:rPr>
          <w:spacing w:val="-16"/>
        </w:rPr>
        <w:t> </w:t>
      </w:r>
      <w:r>
        <w:rPr/>
        <w:t>rule</w:t>
      </w:r>
      <w:r>
        <w:rPr>
          <w:spacing w:val="-16"/>
        </w:rPr>
        <w:t> </w:t>
      </w:r>
      <w:r>
        <w:rPr/>
        <w:t>in</w:t>
      </w:r>
      <w:r>
        <w:rPr>
          <w:spacing w:val="-14"/>
        </w:rPr>
        <w:t> </w:t>
      </w:r>
      <w:r>
        <w:rPr/>
        <w:t>nominal</w:t>
      </w:r>
      <w:r>
        <w:rPr>
          <w:spacing w:val="-14"/>
        </w:rPr>
        <w:t> </w:t>
      </w:r>
      <w:r>
        <w:rPr/>
        <w:t>interest</w:t>
      </w:r>
      <w:r>
        <w:rPr>
          <w:spacing w:val="-13"/>
        </w:rPr>
        <w:t> </w:t>
      </w:r>
      <w:r>
        <w:rPr/>
        <w:t>rate.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solution</w:t>
      </w:r>
      <w:r>
        <w:rPr>
          <w:spacing w:val="-12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DSGE</w:t>
      </w:r>
      <w:r>
        <w:rPr>
          <w:spacing w:val="-15"/>
        </w:rPr>
        <w:t> </w:t>
      </w:r>
      <w:r>
        <w:rPr/>
        <w:t>model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partitioned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pre-determined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debt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predetermined variables. These policy functions are log-linearised and a system of quadratic</w:t>
      </w:r>
      <w:r>
        <w:rPr>
          <w:spacing w:val="1"/>
        </w:rPr>
        <w:t> </w:t>
      </w:r>
      <w:r>
        <w:rPr/>
        <w:t>equations in debt and the non-predetermined variables are derived. The mean square stability</w:t>
      </w:r>
      <w:r>
        <w:rPr>
          <w:spacing w:val="1"/>
        </w:rPr>
        <w:t> </w:t>
      </w:r>
      <w:r>
        <w:rPr/>
        <w:t>algorithm is used</w:t>
      </w:r>
      <w:r>
        <w:rPr>
          <w:spacing w:val="-1"/>
        </w:rPr>
        <w:t> </w:t>
      </w:r>
      <w:r>
        <w:rPr/>
        <w:t>to verify</w:t>
      </w:r>
      <w:r>
        <w:rPr>
          <w:spacing w:val="-3"/>
        </w:rPr>
        <w:t> </w:t>
      </w:r>
      <w:r>
        <w:rPr/>
        <w:t>the uniqueness and stability</w:t>
      </w:r>
      <w:r>
        <w:rPr>
          <w:spacing w:val="-8"/>
        </w:rPr>
        <w:t> </w:t>
      </w:r>
      <w:r>
        <w:rPr/>
        <w:t>of the</w:t>
      </w:r>
      <w:r>
        <w:rPr>
          <w:spacing w:val="-1"/>
        </w:rPr>
        <w:t> </w:t>
      </w:r>
      <w:r>
        <w:rPr/>
        <w:t>solution.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760" w:right="1435"/>
        <w:jc w:val="both"/>
      </w:pPr>
      <w:r>
        <w:rPr/>
        <w:t>Davig, Leeper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Walker</w:t>
      </w:r>
      <w:r>
        <w:rPr>
          <w:spacing w:val="-3"/>
        </w:rPr>
        <w:t> </w:t>
      </w:r>
      <w:r>
        <w:rPr/>
        <w:t>(2010)</w:t>
      </w:r>
      <w:r>
        <w:rPr>
          <w:spacing w:val="-1"/>
        </w:rPr>
        <w:t> </w:t>
      </w:r>
      <w:r>
        <w:rPr/>
        <w:t>employed</w:t>
      </w:r>
      <w:r>
        <w:rPr>
          <w:spacing w:val="-2"/>
        </w:rPr>
        <w:t> </w:t>
      </w:r>
      <w:r>
        <w:rPr/>
        <w:t>the monotone</w:t>
      </w:r>
      <w:r>
        <w:rPr>
          <w:spacing w:val="-2"/>
        </w:rPr>
        <w:t> </w:t>
      </w:r>
      <w:r>
        <w:rPr/>
        <w:t>map</w:t>
      </w:r>
      <w:r>
        <w:rPr>
          <w:spacing w:val="-2"/>
        </w:rPr>
        <w:t> </w:t>
      </w:r>
      <w:r>
        <w:rPr/>
        <w:t>method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Coleman</w:t>
      </w:r>
      <w:r>
        <w:rPr>
          <w:spacing w:val="-1"/>
        </w:rPr>
        <w:t> </w:t>
      </w:r>
      <w:r>
        <w:rPr/>
        <w:t>(1991)</w:t>
      </w:r>
      <w:r>
        <w:rPr>
          <w:spacing w:val="-2"/>
        </w:rPr>
        <w:t> </w:t>
      </w:r>
      <w:r>
        <w:rPr/>
        <w:t>to</w:t>
      </w:r>
      <w:r>
        <w:rPr>
          <w:spacing w:val="-58"/>
        </w:rPr>
        <w:t> </w:t>
      </w:r>
      <w:r>
        <w:rPr/>
        <w:t>solve a DSGE model with sticky prices and distortions, to show how uncertainty in fiscal and</w:t>
      </w:r>
      <w:r>
        <w:rPr>
          <w:spacing w:val="-57"/>
        </w:rPr>
        <w:t> </w:t>
      </w:r>
      <w:r>
        <w:rPr/>
        <w:t>monetary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outcome.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RBC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representative household that maximises expected utility subject to budget constraint, a firm</w:t>
      </w:r>
      <w:r>
        <w:rPr>
          <w:spacing w:val="1"/>
        </w:rPr>
        <w:t> </w:t>
      </w:r>
      <w:r>
        <w:rPr/>
        <w:t>sector</w:t>
      </w:r>
      <w:r>
        <w:rPr>
          <w:spacing w:val="-10"/>
        </w:rPr>
        <w:t> </w:t>
      </w:r>
      <w:r>
        <w:rPr/>
        <w:t>made</w:t>
      </w:r>
      <w:r>
        <w:rPr>
          <w:spacing w:val="-10"/>
        </w:rPr>
        <w:t> </w:t>
      </w:r>
      <w:r>
        <w:rPr/>
        <w:t>up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intermediate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final</w:t>
      </w:r>
      <w:r>
        <w:rPr>
          <w:spacing w:val="-8"/>
        </w:rPr>
        <w:t> </w:t>
      </w:r>
      <w:r>
        <w:rPr/>
        <w:t>good</w:t>
      </w:r>
      <w:r>
        <w:rPr>
          <w:spacing w:val="-9"/>
        </w:rPr>
        <w:t> </w:t>
      </w:r>
      <w:r>
        <w:rPr/>
        <w:t>producers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specific</w:t>
      </w:r>
      <w:r>
        <w:rPr>
          <w:spacing w:val="-10"/>
        </w:rPr>
        <w:t> </w:t>
      </w:r>
      <w:r>
        <w:rPr/>
        <w:t>rule</w:t>
      </w:r>
      <w:r>
        <w:rPr>
          <w:spacing w:val="-11"/>
        </w:rPr>
        <w:t> </w:t>
      </w:r>
      <w:r>
        <w:rPr/>
        <w:t>in</w:t>
      </w:r>
      <w:r>
        <w:rPr>
          <w:spacing w:val="-8"/>
        </w:rPr>
        <w:t> </w:t>
      </w:r>
      <w:r>
        <w:rPr/>
        <w:t>taxes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nominal</w:t>
      </w:r>
      <w:r>
        <w:rPr>
          <w:spacing w:val="-58"/>
        </w:rPr>
        <w:t> </w:t>
      </w:r>
      <w:r>
        <w:rPr/>
        <w:t>interest rates. The monotone map method is used to solve the nonlinear system of equilibrium</w:t>
      </w:r>
      <w:r>
        <w:rPr>
          <w:spacing w:val="-58"/>
        </w:rPr>
        <w:t> </w:t>
      </w:r>
      <w:r>
        <w:rPr/>
        <w:t>equations through the following procedures: discretise the state space around the steady state</w:t>
      </w:r>
      <w:r>
        <w:rPr>
          <w:spacing w:val="1"/>
        </w:rPr>
        <w:t> </w:t>
      </w:r>
      <w:r>
        <w:rPr/>
        <w:t>for each state variable; specify initial set of decision rules for the exogenous variables; then</w:t>
      </w:r>
      <w:r>
        <w:rPr>
          <w:spacing w:val="1"/>
        </w:rPr>
        <w:t> </w:t>
      </w:r>
      <w:r>
        <w:rPr/>
        <w:t>substitute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household’s</w:t>
      </w:r>
      <w:r>
        <w:rPr>
          <w:spacing w:val="1"/>
        </w:rPr>
        <w:t> </w:t>
      </w:r>
      <w:r>
        <w:rPr/>
        <w:t>first-order</w:t>
      </w:r>
      <w:r>
        <w:rPr>
          <w:spacing w:val="1"/>
        </w:rPr>
        <w:t> </w:t>
      </w:r>
      <w:r>
        <w:rPr/>
        <w:t>conditions.</w:t>
      </w:r>
      <w:r>
        <w:rPr>
          <w:spacing w:val="1"/>
        </w:rPr>
        <w:t> </w:t>
      </w:r>
      <w:r>
        <w:rPr/>
        <w:t>Numerically</w:t>
      </w:r>
      <w:r>
        <w:rPr>
          <w:spacing w:val="1"/>
        </w:rPr>
        <w:t> </w:t>
      </w:r>
      <w:r>
        <w:rPr/>
        <w:t>integrate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exogenous</w:t>
      </w:r>
      <w:r>
        <w:rPr>
          <w:spacing w:val="2"/>
        </w:rPr>
        <w:t> </w:t>
      </w:r>
      <w:r>
        <w:rPr/>
        <w:t>variables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1"/>
          <w:numId w:val="11"/>
        </w:numPr>
        <w:tabs>
          <w:tab w:pos="2241" w:val="left" w:leader="none"/>
        </w:tabs>
        <w:spacing w:line="240" w:lineRule="auto" w:before="0" w:after="0"/>
        <w:ind w:left="2240" w:right="0" w:hanging="481"/>
        <w:jc w:val="both"/>
        <w:rPr>
          <w:sz w:val="24"/>
        </w:rPr>
      </w:pPr>
      <w:r>
        <w:rPr/>
        <w:t>Estimation</w:t>
      </w:r>
      <w:r>
        <w:rPr>
          <w:spacing w:val="-3"/>
        </w:rPr>
        <w:t> </w:t>
      </w:r>
      <w:r>
        <w:rPr/>
        <w:t>Techniques</w:t>
      </w:r>
      <w:r>
        <w:rPr>
          <w:spacing w:val="-2"/>
        </w:rPr>
        <w:t> </w:t>
      </w:r>
      <w:r>
        <w:rPr/>
        <w:t>for DSGE</w:t>
      </w:r>
      <w:r>
        <w:rPr>
          <w:spacing w:val="-1"/>
        </w:rPr>
        <w:t> </w:t>
      </w:r>
      <w:r>
        <w:rPr/>
        <w:t>models</w:t>
      </w:r>
    </w:p>
    <w:p>
      <w:pPr>
        <w:pStyle w:val="BodyText"/>
        <w:spacing w:line="360" w:lineRule="auto" w:before="145"/>
        <w:ind w:left="1760" w:right="1437"/>
        <w:jc w:val="both"/>
      </w:pPr>
      <w:r>
        <w:rPr/>
        <w:t>The</w:t>
      </w:r>
      <w:r>
        <w:rPr>
          <w:spacing w:val="-12"/>
        </w:rPr>
        <w:t> </w:t>
      </w:r>
      <w:r>
        <w:rPr/>
        <w:t>estimation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DSGE</w:t>
      </w:r>
      <w:r>
        <w:rPr>
          <w:spacing w:val="-8"/>
        </w:rPr>
        <w:t> </w:t>
      </w:r>
      <w:r>
        <w:rPr/>
        <w:t>models</w:t>
      </w:r>
      <w:r>
        <w:rPr>
          <w:spacing w:val="-10"/>
        </w:rPr>
        <w:t> </w:t>
      </w:r>
      <w:r>
        <w:rPr/>
        <w:t>entails</w:t>
      </w:r>
      <w:r>
        <w:rPr>
          <w:spacing w:val="-10"/>
        </w:rPr>
        <w:t> </w:t>
      </w:r>
      <w:r>
        <w:rPr/>
        <w:t>confronting</w:t>
      </w:r>
      <w:r>
        <w:rPr>
          <w:spacing w:val="-12"/>
        </w:rPr>
        <w:t> </w:t>
      </w:r>
      <w:r>
        <w:rPr/>
        <w:t>DSGE</w:t>
      </w:r>
      <w:r>
        <w:rPr>
          <w:spacing w:val="-11"/>
        </w:rPr>
        <w:t> </w:t>
      </w:r>
      <w:r>
        <w:rPr/>
        <w:t>models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observed</w:t>
      </w:r>
      <w:r>
        <w:rPr>
          <w:spacing w:val="-11"/>
        </w:rPr>
        <w:t> </w:t>
      </w:r>
      <w:r>
        <w:rPr/>
        <w:t>data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order</w:t>
      </w:r>
      <w:r>
        <w:rPr>
          <w:spacing w:val="-57"/>
        </w:rPr>
        <w:t> </w:t>
      </w:r>
      <w:r>
        <w:rPr/>
        <w:t>to</w:t>
      </w:r>
      <w:r>
        <w:rPr>
          <w:spacing w:val="-10"/>
        </w:rPr>
        <w:t> </w:t>
      </w:r>
      <w:r>
        <w:rPr/>
        <w:t>(1)</w:t>
      </w:r>
      <w:r>
        <w:rPr>
          <w:spacing w:val="-12"/>
        </w:rPr>
        <w:t> </w:t>
      </w:r>
      <w:r>
        <w:rPr/>
        <w:t>derive</w:t>
      </w:r>
      <w:r>
        <w:rPr>
          <w:spacing w:val="-11"/>
        </w:rPr>
        <w:t> </w:t>
      </w:r>
      <w:r>
        <w:rPr/>
        <w:t>numerical</w:t>
      </w:r>
      <w:r>
        <w:rPr>
          <w:spacing w:val="-10"/>
        </w:rPr>
        <w:t> </w:t>
      </w:r>
      <w:r>
        <w:rPr/>
        <w:t>values</w:t>
      </w:r>
      <w:r>
        <w:rPr>
          <w:spacing w:val="-10"/>
        </w:rPr>
        <w:t> </w:t>
      </w:r>
      <w:r>
        <w:rPr/>
        <w:t>for</w:t>
      </w:r>
      <w:r>
        <w:rPr>
          <w:spacing w:val="-12"/>
        </w:rPr>
        <w:t> </w:t>
      </w:r>
      <w:r>
        <w:rPr/>
        <w:t>parameters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model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(2)</w:t>
      </w:r>
      <w:r>
        <w:rPr>
          <w:spacing w:val="-9"/>
        </w:rPr>
        <w:t> </w:t>
      </w:r>
      <w:r>
        <w:rPr/>
        <w:t>evaluate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fit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model.</w:t>
      </w:r>
      <w:r>
        <w:rPr>
          <w:spacing w:val="-57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earliest</w:t>
      </w:r>
      <w:r>
        <w:rPr>
          <w:spacing w:val="-14"/>
        </w:rPr>
        <w:t> </w:t>
      </w:r>
      <w:r>
        <w:rPr/>
        <w:t>attempt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estimate</w:t>
      </w:r>
      <w:r>
        <w:rPr>
          <w:spacing w:val="-14"/>
        </w:rPr>
        <w:t> </w:t>
      </w:r>
      <w:r>
        <w:rPr/>
        <w:t>these</w:t>
      </w:r>
      <w:r>
        <w:rPr>
          <w:spacing w:val="-16"/>
        </w:rPr>
        <w:t> </w:t>
      </w:r>
      <w:r>
        <w:rPr/>
        <w:t>models</w:t>
      </w:r>
      <w:r>
        <w:rPr>
          <w:spacing w:val="-14"/>
        </w:rPr>
        <w:t> </w:t>
      </w:r>
      <w:r>
        <w:rPr/>
        <w:t>was</w:t>
      </w:r>
      <w:r>
        <w:rPr>
          <w:spacing w:val="-12"/>
        </w:rPr>
        <w:t> </w:t>
      </w:r>
      <w:r>
        <w:rPr/>
        <w:t>done</w:t>
      </w:r>
      <w:r>
        <w:rPr>
          <w:spacing w:val="-16"/>
        </w:rPr>
        <w:t> </w:t>
      </w:r>
      <w:r>
        <w:rPr/>
        <w:t>by</w:t>
      </w:r>
      <w:r>
        <w:rPr>
          <w:spacing w:val="-19"/>
        </w:rPr>
        <w:t> </w:t>
      </w:r>
      <w:r>
        <w:rPr/>
        <w:t>calibration.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calibration</w:t>
      </w:r>
      <w:r>
        <w:rPr>
          <w:spacing w:val="-15"/>
        </w:rPr>
        <w:t> </w:t>
      </w:r>
      <w:r>
        <w:rPr/>
        <w:t>approach</w:t>
      </w:r>
      <w:r>
        <w:rPr>
          <w:spacing w:val="-57"/>
        </w:rPr>
        <w:t> </w:t>
      </w:r>
      <w:r>
        <w:rPr/>
        <w:t>was popularized by Kydland and Prescott (1982). It is an informal econometric approach that</w:t>
      </w:r>
      <w:r>
        <w:rPr>
          <w:spacing w:val="-57"/>
        </w:rPr>
        <w:t> </w:t>
      </w:r>
      <w:r>
        <w:rPr/>
        <w:t>involves fixing parameter values of a DSGE model based on evidence from existing micro-</w:t>
      </w:r>
      <w:r>
        <w:rPr>
          <w:spacing w:val="1"/>
        </w:rPr>
        <w:t> </w:t>
      </w:r>
      <w:r>
        <w:rPr/>
        <w:t>econometric studies and long-run data properties. The model is then simulated to obtain</w:t>
      </w:r>
      <w:r>
        <w:rPr>
          <w:spacing w:val="1"/>
        </w:rPr>
        <w:t> </w:t>
      </w:r>
      <w:r>
        <w:rPr/>
        <w:t>unconditional theoretical moments that are thereafter compared with those of actual data.</w:t>
      </w:r>
      <w:r>
        <w:rPr>
          <w:spacing w:val="1"/>
        </w:rPr>
        <w:t> </w:t>
      </w:r>
      <w:r>
        <w:rPr/>
        <w:t>Although calibration exercises are easy to conduct, the choice of parameters can be arbitrary</w:t>
      </w:r>
      <w:r>
        <w:rPr>
          <w:spacing w:val="1"/>
        </w:rPr>
        <w:t> </w:t>
      </w:r>
      <w:r>
        <w:rPr/>
        <w:t>and</w:t>
      </w:r>
      <w:r>
        <w:rPr>
          <w:spacing w:val="33"/>
        </w:rPr>
        <w:t> </w:t>
      </w:r>
      <w:r>
        <w:rPr/>
        <w:t>subjective.</w:t>
      </w:r>
      <w:r>
        <w:rPr>
          <w:spacing w:val="33"/>
        </w:rPr>
        <w:t> </w:t>
      </w:r>
      <w:r>
        <w:rPr/>
        <w:t>Furthermore,</w:t>
      </w:r>
      <w:r>
        <w:rPr>
          <w:spacing w:val="33"/>
        </w:rPr>
        <w:t> </w:t>
      </w:r>
      <w:r>
        <w:rPr/>
        <w:t>advances</w:t>
      </w:r>
      <w:r>
        <w:rPr>
          <w:spacing w:val="34"/>
        </w:rPr>
        <w:t> </w:t>
      </w:r>
      <w:r>
        <w:rPr/>
        <w:t>in</w:t>
      </w:r>
      <w:r>
        <w:rPr>
          <w:spacing w:val="34"/>
        </w:rPr>
        <w:t> </w:t>
      </w:r>
      <w:r>
        <w:rPr/>
        <w:t>computational</w:t>
      </w:r>
      <w:r>
        <w:rPr>
          <w:spacing w:val="33"/>
        </w:rPr>
        <w:t> </w:t>
      </w:r>
      <w:r>
        <w:rPr/>
        <w:t>power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emergence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/>
        <w:t>new</w:t>
      </w:r>
    </w:p>
    <w:p>
      <w:pPr>
        <w:spacing w:after="0" w:line="360" w:lineRule="auto"/>
        <w:jc w:val="both"/>
        <w:sectPr>
          <w:pgSz w:w="12240" w:h="15840"/>
          <w:pgMar w:header="0" w:footer="1015" w:top="1500" w:bottom="1200" w:left="40" w:right="0"/>
        </w:sectPr>
      </w:pPr>
    </w:p>
    <w:p>
      <w:pPr>
        <w:pStyle w:val="BodyText"/>
        <w:spacing w:line="360" w:lineRule="auto" w:before="74"/>
        <w:ind w:left="1760" w:right="1439"/>
        <w:jc w:val="both"/>
      </w:pPr>
      <w:r>
        <w:rPr/>
        <w:t>econometric methods have spawned a shift from calibration to more formal econometric</w:t>
      </w:r>
      <w:r>
        <w:rPr>
          <w:spacing w:val="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(Ruge-Murcia,</w:t>
      </w:r>
      <w:r>
        <w:rPr>
          <w:spacing w:val="1"/>
        </w:rPr>
        <w:t> </w:t>
      </w:r>
      <w:r>
        <w:rPr/>
        <w:t>2005).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760" w:right="1437"/>
        <w:jc w:val="both"/>
      </w:pPr>
      <w:r>
        <w:rPr/>
        <w:t>The formal econometric methods of estimation include the Generalized Method of Moments</w:t>
      </w:r>
      <w:r>
        <w:rPr>
          <w:spacing w:val="1"/>
        </w:rPr>
        <w:t> </w:t>
      </w:r>
      <w:r>
        <w:rPr/>
        <w:t>(GMM), Minimum Distance Estimation based on the discrepancy between VAR and DSGE</w:t>
      </w:r>
      <w:r>
        <w:rPr>
          <w:spacing w:val="1"/>
        </w:rPr>
        <w:t> </w:t>
      </w:r>
      <w:r>
        <w:rPr/>
        <w:t>impulse response functions, Maximum Information Likelihood (ML) and Bayesian methods.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classical</w:t>
      </w:r>
      <w:r>
        <w:rPr>
          <w:spacing w:val="1"/>
        </w:rPr>
        <w:t> </w:t>
      </w:r>
      <w:r>
        <w:rPr/>
        <w:t>frequentist (GMM, ML) or Bayesian. The classical econometricians make inferences using</w:t>
      </w:r>
      <w:r>
        <w:rPr>
          <w:spacing w:val="1"/>
        </w:rPr>
        <w:t> </w:t>
      </w:r>
      <w:r>
        <w:rPr/>
        <w:t>available data while their Bayesian counterparts base their inference on prior knowledge 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assumptions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misspecification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parameters.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classical</w:t>
      </w:r>
      <w:r>
        <w:rPr>
          <w:spacing w:val="1"/>
        </w:rPr>
        <w:t> </w:t>
      </w:r>
      <w:r>
        <w:rPr/>
        <w:t>opines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challenges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misspecification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identification</w:t>
      </w:r>
      <w:r>
        <w:rPr>
          <w:spacing w:val="-1"/>
        </w:rPr>
        <w:t> </w:t>
      </w:r>
      <w:r>
        <w:rPr/>
        <w:t>cannot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overcome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matter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amount</w:t>
      </w:r>
      <w:r>
        <w:rPr>
          <w:spacing w:val="-1"/>
        </w:rPr>
        <w:t> </w:t>
      </w:r>
      <w:r>
        <w:rPr/>
        <w:t>of</w:t>
      </w:r>
      <w:r>
        <w:rPr>
          <w:spacing w:val="-58"/>
        </w:rPr>
        <w:t> </w:t>
      </w:r>
      <w:r>
        <w:rPr/>
        <w:t>data or computing power. The Bayesians believe otherwise. (2) Another line of difference</w:t>
      </w:r>
      <w:r>
        <w:rPr>
          <w:spacing w:val="1"/>
        </w:rPr>
        <w:t> </w:t>
      </w:r>
      <w:r>
        <w:rPr/>
        <w:t>centres on techniques</w:t>
      </w:r>
      <w:r>
        <w:rPr>
          <w:spacing w:val="1"/>
        </w:rPr>
        <w:t> </w:t>
      </w:r>
      <w:r>
        <w:rPr/>
        <w:t>with limited information (GMM, MDE) or</w:t>
      </w:r>
      <w:r>
        <w:rPr>
          <w:spacing w:val="1"/>
        </w:rPr>
        <w:t> </w:t>
      </w:r>
      <w:r>
        <w:rPr/>
        <w:t>full information (ML,</w:t>
      </w:r>
      <w:r>
        <w:rPr>
          <w:spacing w:val="1"/>
        </w:rPr>
        <w:t> </w:t>
      </w:r>
      <w:r>
        <w:rPr/>
        <w:t>Bayesian techniques). Limited information methods use a portion of the information in the</w:t>
      </w:r>
      <w:r>
        <w:rPr>
          <w:spacing w:val="1"/>
        </w:rPr>
        <w:t> </w:t>
      </w:r>
      <w:r>
        <w:rPr/>
        <w:t>DSGE</w:t>
      </w:r>
      <w:r>
        <w:rPr>
          <w:spacing w:val="-8"/>
        </w:rPr>
        <w:t> </w:t>
      </w:r>
      <w:r>
        <w:rPr/>
        <w:t>model.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researcher</w:t>
      </w:r>
      <w:r>
        <w:rPr>
          <w:spacing w:val="-8"/>
        </w:rPr>
        <w:t> </w:t>
      </w:r>
      <w:r>
        <w:rPr/>
        <w:t>applying</w:t>
      </w:r>
      <w:r>
        <w:rPr>
          <w:spacing w:val="-9"/>
        </w:rPr>
        <w:t> </w:t>
      </w:r>
      <w:r>
        <w:rPr/>
        <w:t>this</w:t>
      </w:r>
      <w:r>
        <w:rPr>
          <w:spacing w:val="-6"/>
        </w:rPr>
        <w:t> </w:t>
      </w:r>
      <w:r>
        <w:rPr/>
        <w:t>method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concerned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deriving</w:t>
      </w:r>
      <w:r>
        <w:rPr>
          <w:spacing w:val="-8"/>
        </w:rPr>
        <w:t> </w:t>
      </w:r>
      <w:r>
        <w:rPr/>
        <w:t>specific</w:t>
      </w:r>
      <w:r>
        <w:rPr>
          <w:spacing w:val="-7"/>
        </w:rPr>
        <w:t> </w:t>
      </w:r>
      <w:r>
        <w:rPr/>
        <w:t>moments</w:t>
      </w:r>
      <w:r>
        <w:rPr>
          <w:spacing w:val="-58"/>
        </w:rPr>
        <w:t> </w:t>
      </w:r>
      <w:r>
        <w:rPr/>
        <w:t>that can be matched with data. The full Information methods on the other hand, use all the</w:t>
      </w:r>
      <w:r>
        <w:rPr>
          <w:spacing w:val="1"/>
        </w:rPr>
        <w:t> </w:t>
      </w:r>
      <w:r>
        <w:rPr/>
        <w:t>information</w:t>
      </w:r>
      <w:r>
        <w:rPr>
          <w:spacing w:val="-9"/>
        </w:rPr>
        <w:t> </w:t>
      </w:r>
      <w:r>
        <w:rPr/>
        <w:t>implied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model.</w:t>
      </w:r>
      <w:r>
        <w:rPr>
          <w:spacing w:val="-7"/>
        </w:rPr>
        <w:t> </w:t>
      </w:r>
      <w:r>
        <w:rPr/>
        <w:t>It</w:t>
      </w:r>
      <w:r>
        <w:rPr>
          <w:spacing w:val="-8"/>
        </w:rPr>
        <w:t> </w:t>
      </w:r>
      <w:r>
        <w:rPr/>
        <w:t>involves</w:t>
      </w:r>
      <w:r>
        <w:rPr>
          <w:spacing w:val="-9"/>
        </w:rPr>
        <w:t> </w:t>
      </w:r>
      <w:r>
        <w:rPr/>
        <w:t>estimating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evaluating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likelihood</w:t>
      </w:r>
      <w:r>
        <w:rPr>
          <w:spacing w:val="-10"/>
        </w:rPr>
        <w:t> </w:t>
      </w:r>
      <w:r>
        <w:rPr/>
        <w:t>function</w:t>
      </w:r>
      <w:r>
        <w:rPr>
          <w:spacing w:val="-57"/>
        </w:rPr>
        <w:t> </w:t>
      </w:r>
      <w:r>
        <w:rPr/>
        <w:t>(Tovar,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 w:before="1"/>
        <w:ind w:left="1760" w:right="1433"/>
        <w:jc w:val="both"/>
      </w:pPr>
      <w:r>
        <w:rPr/>
        <w:t>The GMM estimator is computed by minimising the distance between the sample moments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/>
        <w:t>theoretical</w:t>
      </w:r>
      <w:r>
        <w:rPr>
          <w:spacing w:val="-12"/>
        </w:rPr>
        <w:t> </w:t>
      </w:r>
      <w:r>
        <w:rPr/>
        <w:t>moments</w:t>
      </w:r>
      <w:r>
        <w:rPr>
          <w:spacing w:val="-9"/>
        </w:rPr>
        <w:t> </w:t>
      </w:r>
      <w:r>
        <w:rPr/>
        <w:t>predicted</w:t>
      </w:r>
      <w:r>
        <w:rPr>
          <w:spacing w:val="-12"/>
        </w:rPr>
        <w:t> </w:t>
      </w:r>
      <w:r>
        <w:rPr/>
        <w:t>by</w:t>
      </w:r>
      <w:r>
        <w:rPr>
          <w:spacing w:val="-16"/>
        </w:rPr>
        <w:t> </w:t>
      </w:r>
      <w:r>
        <w:rPr/>
        <w:t>the</w:t>
      </w:r>
      <w:r>
        <w:rPr>
          <w:spacing w:val="-11"/>
        </w:rPr>
        <w:t> </w:t>
      </w:r>
      <w:r>
        <w:rPr/>
        <w:t>model.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GMM</w:t>
      </w:r>
      <w:r>
        <w:rPr>
          <w:spacing w:val="-12"/>
        </w:rPr>
        <w:t> </w:t>
      </w:r>
      <w:r>
        <w:rPr/>
        <w:t>involves</w:t>
      </w:r>
      <w:r>
        <w:rPr>
          <w:spacing w:val="-9"/>
        </w:rPr>
        <w:t> </w:t>
      </w:r>
      <w:r>
        <w:rPr/>
        <w:t>estimation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subset</w:t>
      </w:r>
      <w:r>
        <w:rPr>
          <w:spacing w:val="-57"/>
        </w:rPr>
        <w:t> </w:t>
      </w:r>
      <w:r>
        <w:rPr/>
        <w:t>of equilibrium relationships such as the consumption Euler equation, NK Philips curve from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DSGE</w:t>
      </w:r>
      <w:r>
        <w:rPr>
          <w:spacing w:val="-6"/>
        </w:rPr>
        <w:t> </w:t>
      </w:r>
      <w:r>
        <w:rPr/>
        <w:t>model.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method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computationally</w:t>
      </w:r>
      <w:r>
        <w:rPr>
          <w:spacing w:val="-5"/>
        </w:rPr>
        <w:t> </w:t>
      </w:r>
      <w:r>
        <w:rPr/>
        <w:t>less</w:t>
      </w:r>
      <w:r>
        <w:rPr>
          <w:spacing w:val="-5"/>
        </w:rPr>
        <w:t> </w:t>
      </w:r>
      <w:r>
        <w:rPr/>
        <w:t>tedious</w:t>
      </w:r>
      <w:r>
        <w:rPr>
          <w:spacing w:val="-6"/>
        </w:rPr>
        <w:t> </w:t>
      </w:r>
      <w:r>
        <w:rPr/>
        <w:t>since</w:t>
      </w:r>
      <w:r>
        <w:rPr>
          <w:spacing w:val="-6"/>
        </w:rPr>
        <w:t> </w:t>
      </w:r>
      <w:r>
        <w:rPr/>
        <w:t>it</w:t>
      </w:r>
      <w:r>
        <w:rPr>
          <w:spacing w:val="-5"/>
        </w:rPr>
        <w:t> </w:t>
      </w:r>
      <w:r>
        <w:rPr/>
        <w:t>does not</w:t>
      </w:r>
      <w:r>
        <w:rPr>
          <w:spacing w:val="-5"/>
        </w:rPr>
        <w:t> </w:t>
      </w:r>
      <w:r>
        <w:rPr/>
        <w:t>require</w:t>
      </w:r>
      <w:r>
        <w:rPr>
          <w:spacing w:val="-5"/>
        </w:rPr>
        <w:t> </w:t>
      </w:r>
      <w:r>
        <w:rPr/>
        <w:t>explicit</w:t>
      </w:r>
      <w:r>
        <w:rPr>
          <w:spacing w:val="-57"/>
        </w:rPr>
        <w:t> </w:t>
      </w:r>
      <w:r>
        <w:rPr/>
        <w:t>solution of the model. GMM estimators are reliable, but as limited information methods, they</w:t>
      </w:r>
      <w:r>
        <w:rPr>
          <w:spacing w:val="-57"/>
        </w:rPr>
        <w:t> </w:t>
      </w:r>
      <w:r>
        <w:rPr/>
        <w:t>are</w:t>
      </w:r>
      <w:r>
        <w:rPr>
          <w:spacing w:val="-3"/>
        </w:rPr>
        <w:t> </w:t>
      </w:r>
      <w:r>
        <w:rPr/>
        <w:t>less efficient than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estimators</w:t>
      </w:r>
      <w:r>
        <w:rPr>
          <w:spacing w:val="2"/>
        </w:rPr>
        <w:t> </w:t>
      </w:r>
      <w:r>
        <w:rPr/>
        <w:t>you obtain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methods of full</w:t>
      </w:r>
      <w:r>
        <w:rPr>
          <w:spacing w:val="-1"/>
        </w:rPr>
        <w:t> </w:t>
      </w:r>
      <w:r>
        <w:rPr/>
        <w:t>information.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760" w:right="1435"/>
        <w:jc w:val="both"/>
      </w:pPr>
      <w:r>
        <w:rPr/>
        <w:t>The Minimum Distance Estimation (MDE) based on the difference between VAR and DSGE</w:t>
      </w:r>
      <w:r>
        <w:rPr>
          <w:spacing w:val="-57"/>
        </w:rPr>
        <w:t> </w:t>
      </w:r>
      <w:r>
        <w:rPr/>
        <w:t>models, or in other words, Impulse Response Function Matching Estimation. This estimator</w:t>
      </w:r>
      <w:r>
        <w:rPr>
          <w:spacing w:val="1"/>
        </w:rPr>
        <w:t> </w:t>
      </w:r>
      <w:r>
        <w:rPr/>
        <w:t>basically minimises the weighted distance between the empirical IRFs derived from a VAR</w:t>
      </w:r>
      <w:r>
        <w:rPr>
          <w:spacing w:val="1"/>
        </w:rPr>
        <w:t> </w:t>
      </w:r>
      <w:r>
        <w:rPr/>
        <w:t>and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theoretical</w:t>
      </w:r>
      <w:r>
        <w:rPr>
          <w:spacing w:val="26"/>
        </w:rPr>
        <w:t> </w:t>
      </w:r>
      <w:r>
        <w:rPr/>
        <w:t>IRFs</w:t>
      </w:r>
      <w:r>
        <w:rPr>
          <w:spacing w:val="25"/>
        </w:rPr>
        <w:t> </w:t>
      </w:r>
      <w:r>
        <w:rPr/>
        <w:t>obtained</w:t>
      </w:r>
      <w:r>
        <w:rPr>
          <w:spacing w:val="22"/>
        </w:rPr>
        <w:t> </w:t>
      </w:r>
      <w:r>
        <w:rPr/>
        <w:t>from</w:t>
      </w:r>
      <w:r>
        <w:rPr>
          <w:spacing w:val="24"/>
        </w:rPr>
        <w:t> </w:t>
      </w:r>
      <w:r>
        <w:rPr/>
        <w:t>the</w:t>
      </w:r>
      <w:r>
        <w:rPr>
          <w:spacing w:val="21"/>
        </w:rPr>
        <w:t> </w:t>
      </w:r>
      <w:r>
        <w:rPr/>
        <w:t>DSGE</w:t>
      </w:r>
      <w:r>
        <w:rPr>
          <w:spacing w:val="22"/>
        </w:rPr>
        <w:t> </w:t>
      </w:r>
      <w:r>
        <w:rPr/>
        <w:t>Model.</w:t>
      </w:r>
      <w:r>
        <w:rPr>
          <w:spacing w:val="47"/>
        </w:rPr>
        <w:t> </w:t>
      </w:r>
      <w:r>
        <w:rPr/>
        <w:t>One</w:t>
      </w:r>
      <w:r>
        <w:rPr>
          <w:spacing w:val="24"/>
        </w:rPr>
        <w:t> </w:t>
      </w:r>
      <w:r>
        <w:rPr/>
        <w:t>advantage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this</w:t>
      </w:r>
      <w:r>
        <w:rPr>
          <w:spacing w:val="24"/>
        </w:rPr>
        <w:t> </w:t>
      </w:r>
      <w:r>
        <w:rPr/>
        <w:t>approach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38"/>
        <w:jc w:val="both"/>
      </w:pPr>
      <w:r>
        <w:rPr>
          <w:spacing w:val="-1"/>
        </w:rPr>
        <w:t>compared</w:t>
      </w:r>
      <w:r>
        <w:rPr>
          <w:spacing w:val="-12"/>
        </w:rPr>
        <w:t> </w:t>
      </w:r>
      <w:r>
        <w:rPr>
          <w:spacing w:val="-1"/>
        </w:rPr>
        <w:t>with</w:t>
      </w:r>
      <w:r>
        <w:rPr>
          <w:spacing w:val="-12"/>
        </w:rPr>
        <w:t> </w:t>
      </w:r>
      <w:r>
        <w:rPr/>
        <w:t>full</w:t>
      </w:r>
      <w:r>
        <w:rPr>
          <w:spacing w:val="-12"/>
        </w:rPr>
        <w:t> </w:t>
      </w:r>
      <w:r>
        <w:rPr/>
        <w:t>information</w:t>
      </w:r>
      <w:r>
        <w:rPr>
          <w:spacing w:val="-12"/>
        </w:rPr>
        <w:t> </w:t>
      </w:r>
      <w:r>
        <w:rPr/>
        <w:t>maximum</w:t>
      </w:r>
      <w:r>
        <w:rPr>
          <w:spacing w:val="-14"/>
        </w:rPr>
        <w:t> </w:t>
      </w:r>
      <w:r>
        <w:rPr/>
        <w:t>likelihood</w:t>
      </w:r>
      <w:r>
        <w:rPr>
          <w:spacing w:val="-12"/>
        </w:rPr>
        <w:t> </w:t>
      </w:r>
      <w:r>
        <w:rPr/>
        <w:t>estimators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DSGE</w:t>
      </w:r>
      <w:r>
        <w:rPr>
          <w:spacing w:val="-15"/>
        </w:rPr>
        <w:t> </w:t>
      </w:r>
      <w:r>
        <w:rPr/>
        <w:t>models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that</w:t>
      </w:r>
      <w:r>
        <w:rPr>
          <w:spacing w:val="-15"/>
        </w:rPr>
        <w:t> </w:t>
      </w:r>
      <w:r>
        <w:rPr/>
        <w:t>it</w:t>
      </w:r>
      <w:r>
        <w:rPr>
          <w:spacing w:val="-12"/>
        </w:rPr>
        <w:t> </w:t>
      </w:r>
      <w:r>
        <w:rPr/>
        <w:t>does</w:t>
      </w:r>
      <w:r>
        <w:rPr>
          <w:spacing w:val="-57"/>
        </w:rPr>
        <w:t> </w:t>
      </w:r>
      <w:r>
        <w:rPr/>
        <w:t>not</w:t>
      </w:r>
      <w:r>
        <w:rPr>
          <w:spacing w:val="-11"/>
        </w:rPr>
        <w:t> </w:t>
      </w:r>
      <w:r>
        <w:rPr/>
        <w:t>require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model</w:t>
      </w:r>
      <w:r>
        <w:rPr>
          <w:spacing w:val="-10"/>
        </w:rPr>
        <w:t> </w:t>
      </w:r>
      <w:r>
        <w:rPr/>
        <w:t>to</w:t>
      </w:r>
      <w:r>
        <w:rPr>
          <w:spacing w:val="-7"/>
        </w:rPr>
        <w:t> </w:t>
      </w:r>
      <w:r>
        <w:rPr/>
        <w:t>fit</w:t>
      </w:r>
      <w:r>
        <w:rPr>
          <w:spacing w:val="-9"/>
        </w:rPr>
        <w:t> </w:t>
      </w:r>
      <w:r>
        <w:rPr/>
        <w:t>well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all</w:t>
      </w:r>
      <w:r>
        <w:rPr>
          <w:spacing w:val="-10"/>
        </w:rPr>
        <w:t> </w:t>
      </w:r>
      <w:r>
        <w:rPr/>
        <w:t>dimensions</w:t>
      </w:r>
      <w:r>
        <w:rPr>
          <w:spacing w:val="-10"/>
        </w:rPr>
        <w:t> </w:t>
      </w:r>
      <w:r>
        <w:rPr/>
        <w:t>but</w:t>
      </w:r>
      <w:r>
        <w:rPr>
          <w:spacing w:val="-10"/>
        </w:rPr>
        <w:t> </w:t>
      </w:r>
      <w:r>
        <w:rPr/>
        <w:t>allows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user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focus</w:t>
      </w:r>
      <w:r>
        <w:rPr>
          <w:spacing w:val="-10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dimension</w:t>
      </w:r>
      <w:r>
        <w:rPr>
          <w:spacing w:val="-57"/>
        </w:rPr>
        <w:t> </w:t>
      </w:r>
      <w:r>
        <w:rPr/>
        <w:t>of the model that matters most to macroeconomists. However, the method can be vulnerable</w:t>
      </w:r>
      <w:r>
        <w:rPr>
          <w:spacing w:val="1"/>
        </w:rPr>
        <w:t> </w:t>
      </w:r>
      <w:r>
        <w:rPr/>
        <w:t>to stochastic singularity, that makes the asymptotic behaviour of the estimator nonstandard</w:t>
      </w:r>
      <w:r>
        <w:rPr>
          <w:spacing w:val="1"/>
        </w:rPr>
        <w:t> </w:t>
      </w:r>
      <w:r>
        <w:rPr/>
        <w:t>(Guerron-Quintana,</w:t>
      </w:r>
      <w:r>
        <w:rPr>
          <w:spacing w:val="3"/>
        </w:rPr>
        <w:t> </w:t>
      </w:r>
      <w:r>
        <w:rPr/>
        <w:t>Inouey</w:t>
      </w:r>
      <w:r>
        <w:rPr>
          <w:spacing w:val="-3"/>
        </w:rPr>
        <w:t> </w:t>
      </w:r>
      <w:r>
        <w:rPr/>
        <w:t>and Kilian, 2016).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760" w:right="1440"/>
        <w:jc w:val="both"/>
      </w:pPr>
      <w:r>
        <w:rPr/>
        <w:t>Estimating DSGE models with the Maximum Likelihood method requires the derivation and</w:t>
      </w:r>
      <w:r>
        <w:rPr>
          <w:spacing w:val="1"/>
        </w:rPr>
        <w:t> </w:t>
      </w:r>
      <w:r>
        <w:rPr/>
        <w:t>evaluation of the likelihood function of the data. ML is a full information estimator and from</w:t>
      </w:r>
      <w:r>
        <w:rPr>
          <w:spacing w:val="1"/>
        </w:rPr>
        <w:t> </w:t>
      </w:r>
      <w:r>
        <w:rPr/>
        <w:t>the moment-matching of limited information methods. Altug (1989) and Bencivenga (1992)</w:t>
      </w:r>
      <w:r>
        <w:rPr>
          <w:spacing w:val="1"/>
        </w:rPr>
        <w:t> </w:t>
      </w:r>
      <w:r>
        <w:rPr/>
        <w:t>as cited in An and Schorfiede (2006) are some early applications of this method to DSGE. A</w:t>
      </w:r>
      <w:r>
        <w:rPr>
          <w:spacing w:val="1"/>
        </w:rPr>
        <w:t> </w:t>
      </w:r>
      <w:r>
        <w:rPr/>
        <w:t>problem with ML is that the likelihood function may be very irregular and the solution</w:t>
      </w:r>
      <w:r>
        <w:rPr>
          <w:spacing w:val="1"/>
        </w:rPr>
        <w:t> </w:t>
      </w:r>
      <w:r>
        <w:rPr/>
        <w:t>algorithm</w:t>
      </w:r>
      <w:r>
        <w:rPr>
          <w:spacing w:val="-12"/>
        </w:rPr>
        <w:t> </w:t>
      </w:r>
      <w:r>
        <w:rPr/>
        <w:t>might</w:t>
      </w:r>
      <w:r>
        <w:rPr>
          <w:spacing w:val="-8"/>
        </w:rPr>
        <w:t> </w:t>
      </w:r>
      <w:r>
        <w:rPr/>
        <w:t>converge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local</w:t>
      </w:r>
      <w:r>
        <w:rPr>
          <w:spacing w:val="-11"/>
        </w:rPr>
        <w:t> </w:t>
      </w:r>
      <w:r>
        <w:rPr/>
        <w:t>instead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a</w:t>
      </w:r>
      <w:r>
        <w:rPr>
          <w:spacing w:val="-10"/>
        </w:rPr>
        <w:t> </w:t>
      </w:r>
      <w:r>
        <w:rPr/>
        <w:t>global</w:t>
      </w:r>
      <w:r>
        <w:rPr>
          <w:spacing w:val="-12"/>
        </w:rPr>
        <w:t> </w:t>
      </w:r>
      <w:r>
        <w:rPr/>
        <w:t>maximum</w:t>
      </w:r>
      <w:r>
        <w:rPr>
          <w:spacing w:val="-11"/>
        </w:rPr>
        <w:t> </w:t>
      </w:r>
      <w:r>
        <w:rPr/>
        <w:t>(Mickelsson,</w:t>
      </w:r>
      <w:r>
        <w:rPr>
          <w:spacing w:val="-11"/>
        </w:rPr>
        <w:t> </w:t>
      </w:r>
      <w:r>
        <w:rPr/>
        <w:t>2015).</w:t>
      </w:r>
      <w:r>
        <w:rPr>
          <w:spacing w:val="-11"/>
        </w:rPr>
        <w:t> </w:t>
      </w:r>
      <w:r>
        <w:rPr/>
        <w:t>Another</w:t>
      </w:r>
      <w:r>
        <w:rPr>
          <w:spacing w:val="-58"/>
        </w:rPr>
        <w:t> </w:t>
      </w:r>
      <w:r>
        <w:rPr/>
        <w:t>is that as a frequentist method, ML is tedious to estimate and subjected to the identification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misspecification problems in DSGE models.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760" w:right="1434"/>
        <w:jc w:val="both"/>
      </w:pPr>
      <w:r>
        <w:rPr/>
        <w:t>The</w:t>
      </w:r>
      <w:r>
        <w:rPr>
          <w:spacing w:val="-15"/>
        </w:rPr>
        <w:t> </w:t>
      </w:r>
      <w:r>
        <w:rPr/>
        <w:t>Bayesian</w:t>
      </w:r>
      <w:r>
        <w:rPr>
          <w:spacing w:val="-14"/>
        </w:rPr>
        <w:t> </w:t>
      </w:r>
      <w:r>
        <w:rPr/>
        <w:t>method</w:t>
      </w:r>
      <w:r>
        <w:rPr>
          <w:spacing w:val="-13"/>
        </w:rPr>
        <w:t> </w:t>
      </w:r>
      <w:r>
        <w:rPr/>
        <w:t>computes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likelihood</w:t>
      </w:r>
      <w:r>
        <w:rPr>
          <w:spacing w:val="-13"/>
        </w:rPr>
        <w:t> </w:t>
      </w:r>
      <w:r>
        <w:rPr/>
        <w:t>function</w:t>
      </w:r>
      <w:r>
        <w:rPr>
          <w:spacing w:val="-13"/>
        </w:rPr>
        <w:t> </w:t>
      </w:r>
      <w:r>
        <w:rPr/>
        <w:t>just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Classical</w:t>
      </w:r>
      <w:r>
        <w:rPr>
          <w:spacing w:val="-13"/>
        </w:rPr>
        <w:t> </w:t>
      </w:r>
      <w:r>
        <w:rPr/>
        <w:t>maximum</w:t>
      </w:r>
      <w:r>
        <w:rPr>
          <w:spacing w:val="-13"/>
        </w:rPr>
        <w:t> </w:t>
      </w:r>
      <w:r>
        <w:rPr/>
        <w:t>likelihood</w:t>
      </w:r>
      <w:r>
        <w:rPr>
          <w:spacing w:val="-58"/>
        </w:rPr>
        <w:t> </w:t>
      </w:r>
      <w:r>
        <w:rPr/>
        <w:t>technique but combines the likelihood function with the specification of priors. These prior</w:t>
      </w:r>
      <w:r>
        <w:rPr>
          <w:spacing w:val="1"/>
        </w:rPr>
        <w:t> </w:t>
      </w:r>
      <w:r>
        <w:rPr/>
        <w:t>distributions can be used to impute extra information into the parameter estimation. In recent</w:t>
      </w:r>
      <w:r>
        <w:rPr>
          <w:spacing w:val="1"/>
        </w:rPr>
        <w:t> </w:t>
      </w:r>
      <w:r>
        <w:rPr/>
        <w:t>times, macroeconomists have come to prefer the Bayesian tools. The primary reason is that</w:t>
      </w:r>
      <w:r>
        <w:rPr>
          <w:spacing w:val="1"/>
        </w:rPr>
        <w:t> </w:t>
      </w:r>
      <w:r>
        <w:rPr/>
        <w:t>Bayesian techniques are able to overcome the identification and misspecification issues that</w:t>
      </w:r>
      <w:r>
        <w:rPr>
          <w:spacing w:val="1"/>
        </w:rPr>
        <w:t> </w:t>
      </w:r>
      <w:r>
        <w:rPr/>
        <w:t>frequentists have identified in DSGE models.</w:t>
      </w:r>
      <w:r>
        <w:rPr>
          <w:spacing w:val="1"/>
        </w:rPr>
        <w:t> </w:t>
      </w:r>
      <w:r>
        <w:rPr/>
        <w:t>Another reason centres on the fact that the</w:t>
      </w:r>
      <w:r>
        <w:rPr>
          <w:spacing w:val="1"/>
        </w:rPr>
        <w:t> </w:t>
      </w:r>
      <w:r>
        <w:rPr/>
        <w:t>method is a full- information estimation that analyses the complete system of equation rather</w:t>
      </w:r>
      <w:r>
        <w:rPr>
          <w:spacing w:val="1"/>
        </w:rPr>
        <w:t> </w:t>
      </w:r>
      <w:r>
        <w:rPr/>
        <w:t>than focus on a partial set of equations.</w:t>
      </w:r>
      <w:r>
        <w:rPr>
          <w:spacing w:val="1"/>
        </w:rPr>
        <w:t> </w:t>
      </w:r>
      <w:r>
        <w:rPr/>
        <w:t>A third reason is the computational advances,</w:t>
      </w:r>
      <w:r>
        <w:rPr>
          <w:spacing w:val="1"/>
        </w:rPr>
        <w:t> </w:t>
      </w:r>
      <w:r>
        <w:rPr/>
        <w:t>especially</w:t>
      </w:r>
      <w:r>
        <w:rPr>
          <w:spacing w:val="-13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construction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algorithms</w:t>
      </w:r>
      <w:r>
        <w:rPr>
          <w:spacing w:val="-8"/>
        </w:rPr>
        <w:t> </w:t>
      </w:r>
      <w:r>
        <w:rPr/>
        <w:t>such</w:t>
      </w:r>
      <w:r>
        <w:rPr>
          <w:spacing w:val="-9"/>
        </w:rPr>
        <w:t> </w:t>
      </w:r>
      <w:r>
        <w:rPr/>
        <w:t>as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Monte-Carlo</w:t>
      </w:r>
      <w:r>
        <w:rPr>
          <w:spacing w:val="-9"/>
        </w:rPr>
        <w:t> </w:t>
      </w:r>
      <w:r>
        <w:rPr/>
        <w:t>Markov</w:t>
      </w:r>
      <w:r>
        <w:rPr>
          <w:spacing w:val="-9"/>
        </w:rPr>
        <w:t> </w:t>
      </w:r>
      <w:r>
        <w:rPr/>
        <w:t>Chain</w:t>
      </w:r>
      <w:r>
        <w:rPr>
          <w:spacing w:val="-7"/>
        </w:rPr>
        <w:t> </w:t>
      </w:r>
      <w:r>
        <w:rPr/>
        <w:t>method.</w:t>
      </w:r>
      <w:r>
        <w:rPr>
          <w:spacing w:val="-58"/>
        </w:rPr>
        <w:t> </w:t>
      </w:r>
      <w:r>
        <w:rPr/>
        <w:t>This study, therefore, has applied the Bayesian method. The procedure involves (1) use the</w:t>
      </w:r>
      <w:r>
        <w:rPr>
          <w:spacing w:val="1"/>
        </w:rPr>
        <w:t> </w:t>
      </w:r>
      <w:r>
        <w:rPr/>
        <w:t>Kalman filter to calculate the log-likelihood (2) specify priors (3) apply the Monte-Carlo</w:t>
      </w:r>
      <w:r>
        <w:rPr>
          <w:spacing w:val="1"/>
        </w:rPr>
        <w:t> </w:t>
      </w:r>
      <w:r>
        <w:rPr>
          <w:spacing w:val="-1"/>
        </w:rPr>
        <w:t>Markov</w:t>
      </w:r>
      <w:r>
        <w:rPr>
          <w:spacing w:val="-16"/>
        </w:rPr>
        <w:t> </w:t>
      </w:r>
      <w:r>
        <w:rPr>
          <w:spacing w:val="-1"/>
        </w:rPr>
        <w:t>Chain</w:t>
      </w:r>
      <w:r>
        <w:rPr>
          <w:spacing w:val="-14"/>
        </w:rPr>
        <w:t> </w:t>
      </w:r>
      <w:r>
        <w:rPr/>
        <w:t>methods</w:t>
      </w:r>
      <w:r>
        <w:rPr>
          <w:spacing w:val="-15"/>
        </w:rPr>
        <w:t> </w:t>
      </w:r>
      <w:r>
        <w:rPr/>
        <w:t>especially</w:t>
      </w:r>
      <w:r>
        <w:rPr>
          <w:spacing w:val="-19"/>
        </w:rPr>
        <w:t> </w:t>
      </w:r>
      <w:r>
        <w:rPr/>
        <w:t>the</w:t>
      </w:r>
      <w:r>
        <w:rPr>
          <w:spacing w:val="-16"/>
        </w:rPr>
        <w:t> </w:t>
      </w:r>
      <w:r>
        <w:rPr/>
        <w:t>Metropolis-Hastings-algorithm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simulate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posterior.</w:t>
      </w:r>
    </w:p>
    <w:p>
      <w:pPr>
        <w:pStyle w:val="BodyText"/>
        <w:spacing w:before="1"/>
        <w:ind w:left="1760"/>
        <w:jc w:val="both"/>
      </w:pPr>
      <w:r>
        <w:rPr/>
        <w:t>(4)</w:t>
      </w:r>
      <w:r>
        <w:rPr>
          <w:spacing w:val="-1"/>
        </w:rPr>
        <w:t> </w:t>
      </w:r>
      <w:r>
        <w:rPr/>
        <w:t>Inspect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posterior-distribution.</w:t>
      </w:r>
    </w:p>
    <w:p>
      <w:pPr>
        <w:spacing w:after="0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Heading1"/>
        <w:numPr>
          <w:ilvl w:val="1"/>
          <w:numId w:val="11"/>
        </w:numPr>
        <w:tabs>
          <w:tab w:pos="2150" w:val="left" w:leader="none"/>
        </w:tabs>
        <w:spacing w:line="240" w:lineRule="auto" w:before="60" w:after="0"/>
        <w:ind w:left="2149" w:right="0" w:hanging="390"/>
        <w:jc w:val="both"/>
      </w:pPr>
      <w:bookmarkStart w:name="_TOC_250044" w:id="16"/>
      <w:r>
        <w:rPr/>
        <w:t>Empirical</w:t>
      </w:r>
      <w:r>
        <w:rPr>
          <w:spacing w:val="-3"/>
        </w:rPr>
        <w:t> </w:t>
      </w:r>
      <w:bookmarkEnd w:id="16"/>
      <w:r>
        <w:rPr/>
        <w:t>Review</w:t>
      </w:r>
    </w:p>
    <w:p>
      <w:pPr>
        <w:pStyle w:val="BodyText"/>
        <w:spacing w:line="360" w:lineRule="auto" w:before="144"/>
        <w:ind w:left="1760" w:right="1436"/>
        <w:jc w:val="both"/>
      </w:pPr>
      <w:r>
        <w:rPr/>
        <w:t>The empirical review in this section centres on studies characterising fiscal and monetary</w:t>
      </w:r>
      <w:r>
        <w:rPr>
          <w:spacing w:val="1"/>
        </w:rPr>
        <w:t> </w:t>
      </w:r>
      <w:r>
        <w:rPr/>
        <w:t>policy interactions. The inherent empirical issues are discussed within the context of spatial</w:t>
      </w:r>
      <w:r>
        <w:rPr>
          <w:spacing w:val="1"/>
        </w:rPr>
        <w:t> </w:t>
      </w:r>
      <w:r>
        <w:rPr/>
        <w:t>evidence and using relevant topical issues. Some of the issues to be enumerated include the</w:t>
      </w:r>
      <w:r>
        <w:rPr>
          <w:spacing w:val="1"/>
        </w:rPr>
        <w:t> </w:t>
      </w:r>
      <w:r>
        <w:rPr/>
        <w:t>manner of specifying the fiscal and monetary policy rules, the methods used in estimating the</w:t>
      </w:r>
      <w:r>
        <w:rPr>
          <w:spacing w:val="-57"/>
        </w:rPr>
        <w:t> </w:t>
      </w:r>
      <w:r>
        <w:rPr/>
        <w:t>parameters,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effect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policy</w:t>
      </w:r>
      <w:r>
        <w:rPr>
          <w:spacing w:val="-13"/>
        </w:rPr>
        <w:t> </w:t>
      </w:r>
      <w:r>
        <w:rPr/>
        <w:t>interactions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some</w:t>
      </w:r>
      <w:r>
        <w:rPr>
          <w:spacing w:val="-9"/>
        </w:rPr>
        <w:t> </w:t>
      </w:r>
      <w:r>
        <w:rPr/>
        <w:t>macroeconomic</w:t>
      </w:r>
      <w:r>
        <w:rPr>
          <w:spacing w:val="-6"/>
        </w:rPr>
        <w:t> </w:t>
      </w:r>
      <w:r>
        <w:rPr/>
        <w:t>variables</w:t>
      </w:r>
      <w:r>
        <w:rPr>
          <w:spacing w:val="-7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58"/>
        </w:rPr>
        <w:t> </w:t>
      </w:r>
      <w:r>
        <w:rPr/>
        <w:t>output, inflation and debt. The section concludes with a table summarising the studies and a</w:t>
      </w:r>
      <w:r>
        <w:rPr>
          <w:spacing w:val="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empirical concerns.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1"/>
        </w:numPr>
        <w:tabs>
          <w:tab w:pos="2539" w:val="left" w:leader="none"/>
        </w:tabs>
        <w:spacing w:line="240" w:lineRule="auto" w:before="155" w:after="0"/>
        <w:ind w:left="2538" w:right="0" w:hanging="779"/>
        <w:jc w:val="both"/>
      </w:pPr>
      <w:bookmarkStart w:name="_TOC_250043" w:id="17"/>
      <w:r>
        <w:rPr/>
        <w:t>Empirical Evidence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United</w:t>
      </w:r>
      <w:r>
        <w:rPr>
          <w:spacing w:val="-2"/>
        </w:rPr>
        <w:t> </w:t>
      </w:r>
      <w:r>
        <w:rPr/>
        <w:t>States</w:t>
      </w:r>
      <w:r>
        <w:rPr>
          <w:spacing w:val="-2"/>
        </w:rPr>
        <w:t> </w:t>
      </w:r>
      <w:bookmarkEnd w:id="17"/>
      <w:r>
        <w:rPr/>
        <w:t>and Europe</w:t>
      </w:r>
    </w:p>
    <w:p>
      <w:pPr>
        <w:pStyle w:val="BodyText"/>
        <w:spacing w:line="360" w:lineRule="auto" w:before="145"/>
        <w:ind w:left="1760" w:right="1436"/>
        <w:jc w:val="both"/>
      </w:pPr>
      <w:r>
        <w:rPr/>
        <w:t>Muscatelli, Tirelli and Trecroci (2005) built and estimated a NK DSGE model with rule-of-</w:t>
      </w:r>
      <w:r>
        <w:rPr>
          <w:spacing w:val="1"/>
        </w:rPr>
        <w:t> </w:t>
      </w:r>
      <w:r>
        <w:rPr/>
        <w:t>thumb consumers that assume a non-neutral fiscal policy. The authors examined fiscal and</w:t>
      </w:r>
      <w:r>
        <w:rPr>
          <w:spacing w:val="1"/>
        </w:rPr>
        <w:t> </w:t>
      </w:r>
      <w:r>
        <w:rPr/>
        <w:t>monetary policy interactions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 States,</w:t>
      </w:r>
      <w:r>
        <w:rPr>
          <w:spacing w:val="1"/>
        </w:rPr>
        <w:t> </w:t>
      </w:r>
      <w:r>
        <w:rPr/>
        <w:t>specifically,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stabilisers</w:t>
      </w:r>
      <w:r>
        <w:rPr>
          <w:spacing w:val="1"/>
        </w:rPr>
        <w:t> </w:t>
      </w:r>
      <w:r>
        <w:rPr>
          <w:spacing w:val="-1"/>
        </w:rPr>
        <w:t>impede</w:t>
      </w:r>
      <w:r>
        <w:rPr>
          <w:spacing w:val="-11"/>
        </w:rPr>
        <w:t> </w:t>
      </w:r>
      <w:r>
        <w:rPr>
          <w:spacing w:val="-1"/>
        </w:rPr>
        <w:t>or</w:t>
      </w:r>
      <w:r>
        <w:rPr>
          <w:spacing w:val="-11"/>
        </w:rPr>
        <w:t> </w:t>
      </w:r>
      <w:r>
        <w:rPr>
          <w:spacing w:val="-1"/>
        </w:rPr>
        <w:t>enhance</w:t>
      </w:r>
      <w:r>
        <w:rPr>
          <w:spacing w:val="-11"/>
        </w:rPr>
        <w:t> </w:t>
      </w:r>
      <w:r>
        <w:rPr/>
        <w:t>an</w:t>
      </w:r>
      <w:r>
        <w:rPr>
          <w:spacing w:val="-10"/>
        </w:rPr>
        <w:t> </w:t>
      </w:r>
      <w:r>
        <w:rPr/>
        <w:t>independent</w:t>
      </w:r>
      <w:r>
        <w:rPr>
          <w:spacing w:val="-10"/>
        </w:rPr>
        <w:t> </w:t>
      </w:r>
      <w:r>
        <w:rPr/>
        <w:t>Central</w:t>
      </w:r>
      <w:r>
        <w:rPr>
          <w:spacing w:val="-10"/>
        </w:rPr>
        <w:t> </w:t>
      </w:r>
      <w:r>
        <w:rPr/>
        <w:t>Bank.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study</w:t>
      </w:r>
      <w:r>
        <w:rPr>
          <w:spacing w:val="-15"/>
        </w:rPr>
        <w:t> </w:t>
      </w:r>
      <w:r>
        <w:rPr/>
        <w:t>employed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Generalized</w:t>
      </w:r>
      <w:r>
        <w:rPr>
          <w:spacing w:val="-10"/>
        </w:rPr>
        <w:t> </w:t>
      </w:r>
      <w:r>
        <w:rPr/>
        <w:t>Method</w:t>
      </w:r>
      <w:r>
        <w:rPr>
          <w:spacing w:val="-57"/>
        </w:rPr>
        <w:t> </w:t>
      </w:r>
      <w:r>
        <w:rPr/>
        <w:t>of Moment (GMM) to estimate equilibrium equations derived from log-linearising the DSGE</w:t>
      </w:r>
      <w:r>
        <w:rPr>
          <w:spacing w:val="-57"/>
        </w:rPr>
        <w:t> </w:t>
      </w:r>
      <w:r>
        <w:rPr/>
        <w:t>model</w:t>
      </w:r>
      <w:r>
        <w:rPr>
          <w:spacing w:val="-8"/>
        </w:rPr>
        <w:t> </w:t>
      </w:r>
      <w:r>
        <w:rPr/>
        <w:t>using</w:t>
      </w:r>
      <w:r>
        <w:rPr>
          <w:spacing w:val="-6"/>
        </w:rPr>
        <w:t> </w:t>
      </w:r>
      <w:r>
        <w:rPr/>
        <w:t>quarterly</w:t>
      </w:r>
      <w:r>
        <w:rPr>
          <w:spacing w:val="-11"/>
        </w:rPr>
        <w:t> </w:t>
      </w:r>
      <w:r>
        <w:rPr/>
        <w:t>data</w:t>
      </w:r>
      <w:r>
        <w:rPr>
          <w:spacing w:val="-7"/>
        </w:rPr>
        <w:t> </w:t>
      </w:r>
      <w:r>
        <w:rPr/>
        <w:t>over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period</w:t>
      </w:r>
      <w:r>
        <w:rPr>
          <w:spacing w:val="-5"/>
        </w:rPr>
        <w:t> </w:t>
      </w:r>
      <w:r>
        <w:rPr/>
        <w:t>1970Q1-2001Q2.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study</w:t>
      </w:r>
      <w:r>
        <w:rPr>
          <w:spacing w:val="-12"/>
        </w:rPr>
        <w:t> </w:t>
      </w:r>
      <w:r>
        <w:rPr/>
        <w:t>then</w:t>
      </w:r>
      <w:r>
        <w:rPr>
          <w:spacing w:val="-3"/>
        </w:rPr>
        <w:t> </w:t>
      </w:r>
      <w:r>
        <w:rPr/>
        <w:t>simulated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using</w:t>
      </w:r>
      <w:r>
        <w:rPr>
          <w:spacing w:val="-57"/>
        </w:rPr>
        <w:t> </w:t>
      </w:r>
      <w:r>
        <w:rPr/>
        <w:t>the</w:t>
      </w:r>
      <w:r>
        <w:rPr>
          <w:spacing w:val="-7"/>
        </w:rPr>
        <w:t> </w:t>
      </w:r>
      <w:r>
        <w:rPr/>
        <w:t>Impulse</w:t>
      </w:r>
      <w:r>
        <w:rPr>
          <w:spacing w:val="-9"/>
        </w:rPr>
        <w:t> </w:t>
      </w:r>
      <w:r>
        <w:rPr/>
        <w:t>Response</w:t>
      </w:r>
      <w:r>
        <w:rPr>
          <w:spacing w:val="-6"/>
        </w:rPr>
        <w:t> </w:t>
      </w:r>
      <w:r>
        <w:rPr/>
        <w:t>Function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investigate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response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output,</w:t>
      </w:r>
      <w:r>
        <w:rPr>
          <w:spacing w:val="-9"/>
        </w:rPr>
        <w:t> </w:t>
      </w:r>
      <w:r>
        <w:rPr/>
        <w:t>inflation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real</w:t>
      </w:r>
      <w:r>
        <w:rPr>
          <w:spacing w:val="-5"/>
        </w:rPr>
        <w:t> </w:t>
      </w:r>
      <w:r>
        <w:rPr/>
        <w:t>interest</w:t>
      </w:r>
      <w:r>
        <w:rPr>
          <w:spacing w:val="-58"/>
        </w:rPr>
        <w:t> </w:t>
      </w:r>
      <w:r>
        <w:rPr/>
        <w:t>rate to shocks in the fiscal policy instruments of government spending and taxes. The study</w:t>
      </w:r>
      <w:r>
        <w:rPr>
          <w:spacing w:val="1"/>
        </w:rPr>
        <w:t> </w:t>
      </w:r>
      <w:r>
        <w:rPr/>
        <w:t>found that government spending shocks impacts positively on output while a shock to taxes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negative</w:t>
      </w:r>
      <w:r>
        <w:rPr>
          <w:spacing w:val="-1"/>
        </w:rPr>
        <w:t> </w:t>
      </w:r>
      <w:r>
        <w:rPr/>
        <w:t>impact on</w:t>
      </w:r>
      <w:r>
        <w:rPr>
          <w:spacing w:val="2"/>
        </w:rPr>
        <w:t> </w:t>
      </w:r>
      <w:r>
        <w:rPr/>
        <w:t>output</w:t>
      </w:r>
      <w:r>
        <w:rPr>
          <w:spacing w:val="-1"/>
        </w:rPr>
        <w:t> </w:t>
      </w:r>
      <w:r>
        <w:rPr/>
        <w:t>and a</w:t>
      </w:r>
      <w:r>
        <w:rPr>
          <w:spacing w:val="-1"/>
        </w:rPr>
        <w:t> </w:t>
      </w:r>
      <w:r>
        <w:rPr/>
        <w:t>positive</w:t>
      </w:r>
      <w:r>
        <w:rPr>
          <w:spacing w:val="-1"/>
        </w:rPr>
        <w:t> </w:t>
      </w:r>
      <w:r>
        <w:rPr/>
        <w:t>effect on inflation.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1760" w:right="1436"/>
        <w:jc w:val="both"/>
      </w:pPr>
      <w:r>
        <w:rPr/>
        <w:t>Muscatelli, Tirelli and Trecroci (2005) also estimated a forward-looking Taylor rule as a</w:t>
      </w:r>
      <w:r>
        <w:rPr>
          <w:spacing w:val="1"/>
        </w:rPr>
        <w:t> </w:t>
      </w:r>
      <w:r>
        <w:rPr/>
        <w:t>function of inflation, output and lagged interest rate, over the period 1982Q1-2001Q2 and</w:t>
      </w:r>
      <w:r>
        <w:rPr>
          <w:spacing w:val="1"/>
        </w:rPr>
        <w:t> </w:t>
      </w:r>
      <w:r>
        <w:rPr/>
        <w:t>found a significant effect of both output gap and inflation on the nominal interest rate. The</w:t>
      </w:r>
      <w:r>
        <w:rPr>
          <w:spacing w:val="1"/>
        </w:rPr>
        <w:t> </w:t>
      </w:r>
      <w:r>
        <w:rPr/>
        <w:t>authors then calibrated the fiscal rules in spending and taxes both as functions of their lag and</w:t>
      </w:r>
      <w:r>
        <w:rPr>
          <w:spacing w:val="-57"/>
        </w:rPr>
        <w:t> </w:t>
      </w:r>
      <w:r>
        <w:rPr/>
        <w:t>lagged</w:t>
      </w:r>
      <w:r>
        <w:rPr>
          <w:spacing w:val="-2"/>
        </w:rPr>
        <w:t> </w:t>
      </w:r>
      <w:r>
        <w:rPr/>
        <w:t>output,</w:t>
      </w:r>
      <w:r>
        <w:rPr>
          <w:spacing w:val="-2"/>
        </w:rPr>
        <w:t> </w:t>
      </w:r>
      <w:r>
        <w:rPr/>
        <w:t>using</w:t>
      </w:r>
      <w:r>
        <w:rPr>
          <w:spacing w:val="-5"/>
        </w:rPr>
        <w:t> </w:t>
      </w:r>
      <w:r>
        <w:rPr/>
        <w:t>parameter</w:t>
      </w:r>
      <w:r>
        <w:rPr>
          <w:spacing w:val="-2"/>
        </w:rPr>
        <w:t> </w:t>
      </w:r>
      <w:r>
        <w:rPr/>
        <w:t>values</w:t>
      </w:r>
      <w:r>
        <w:rPr>
          <w:spacing w:val="-2"/>
        </w:rPr>
        <w:t> </w:t>
      </w:r>
      <w:r>
        <w:rPr/>
        <w:t>found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previous</w:t>
      </w:r>
      <w:r>
        <w:rPr>
          <w:spacing w:val="-2"/>
        </w:rPr>
        <w:t> </w:t>
      </w:r>
      <w:r>
        <w:rPr/>
        <w:t>studies.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authors</w:t>
      </w:r>
      <w:r>
        <w:rPr>
          <w:spacing w:val="-2"/>
        </w:rPr>
        <w:t> </w:t>
      </w:r>
      <w:r>
        <w:rPr/>
        <w:t>simulated</w:t>
      </w:r>
      <w:r>
        <w:rPr>
          <w:spacing w:val="-2"/>
        </w:rPr>
        <w:t> </w:t>
      </w:r>
      <w:r>
        <w:rPr/>
        <w:t>the</w:t>
      </w:r>
      <w:r>
        <w:rPr>
          <w:spacing w:val="-58"/>
        </w:rPr>
        <w:t> </w:t>
      </w:r>
      <w:r>
        <w:rPr/>
        <w:t>model with the estimated fiscal and monetary policy rules, computing the variance frontier.</w:t>
      </w:r>
      <w:r>
        <w:rPr>
          <w:spacing w:val="1"/>
        </w:rPr>
        <w:t> </w:t>
      </w:r>
      <w:r>
        <w:rPr/>
        <w:t>The result of the study indicated that tax rules complements a forward-looking Taylor rules</w:t>
      </w:r>
      <w:r>
        <w:rPr>
          <w:spacing w:val="1"/>
        </w:rPr>
        <w:t> </w:t>
      </w:r>
      <w:r>
        <w:rPr>
          <w:spacing w:val="-1"/>
        </w:rPr>
        <w:t>than</w:t>
      </w:r>
      <w:r>
        <w:rPr>
          <w:spacing w:val="-13"/>
        </w:rPr>
        <w:t> </w:t>
      </w:r>
      <w:r>
        <w:rPr>
          <w:spacing w:val="-1"/>
        </w:rPr>
        <w:t>spending</w:t>
      </w:r>
      <w:r>
        <w:rPr>
          <w:spacing w:val="-14"/>
        </w:rPr>
        <w:t> </w:t>
      </w:r>
      <w:r>
        <w:rPr/>
        <w:t>rules.</w:t>
      </w:r>
      <w:r>
        <w:rPr>
          <w:spacing w:val="-11"/>
        </w:rPr>
        <w:t> </w:t>
      </w:r>
      <w:r>
        <w:rPr/>
        <w:t>However,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GMM</w:t>
      </w:r>
      <w:r>
        <w:rPr>
          <w:spacing w:val="-11"/>
        </w:rPr>
        <w:t> </w:t>
      </w:r>
      <w:r>
        <w:rPr/>
        <w:t>Method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estimation</w:t>
      </w:r>
      <w:r>
        <w:rPr>
          <w:spacing w:val="-11"/>
        </w:rPr>
        <w:t> </w:t>
      </w:r>
      <w:r>
        <w:rPr/>
        <w:t>used</w:t>
      </w:r>
      <w:r>
        <w:rPr>
          <w:spacing w:val="-12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study</w:t>
      </w:r>
      <w:r>
        <w:rPr>
          <w:spacing w:val="-17"/>
        </w:rPr>
        <w:t> </w:t>
      </w:r>
      <w:r>
        <w:rPr/>
        <w:t>is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Maximum</w:t>
      </w:r>
      <w:r>
        <w:rPr>
          <w:spacing w:val="-58"/>
        </w:rPr>
        <w:t> </w:t>
      </w:r>
      <w:r>
        <w:rPr/>
        <w:t>Likelihood</w:t>
      </w:r>
      <w:r>
        <w:rPr>
          <w:spacing w:val="29"/>
        </w:rPr>
        <w:t> </w:t>
      </w:r>
      <w:r>
        <w:rPr/>
        <w:t>estimation</w:t>
      </w:r>
      <w:r>
        <w:rPr>
          <w:spacing w:val="30"/>
        </w:rPr>
        <w:t> </w:t>
      </w:r>
      <w:r>
        <w:rPr/>
        <w:t>method</w:t>
      </w:r>
      <w:r>
        <w:rPr>
          <w:spacing w:val="30"/>
        </w:rPr>
        <w:t> </w:t>
      </w:r>
      <w:r>
        <w:rPr/>
        <w:t>which</w:t>
      </w:r>
      <w:r>
        <w:rPr>
          <w:spacing w:val="29"/>
        </w:rPr>
        <w:t> </w:t>
      </w:r>
      <w:r>
        <w:rPr/>
        <w:t>is</w:t>
      </w:r>
      <w:r>
        <w:rPr>
          <w:spacing w:val="30"/>
        </w:rPr>
        <w:t> </w:t>
      </w:r>
      <w:r>
        <w:rPr/>
        <w:t>susceptible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identification</w:t>
      </w:r>
      <w:r>
        <w:rPr>
          <w:spacing w:val="29"/>
        </w:rPr>
        <w:t> </w:t>
      </w:r>
      <w:r>
        <w:rPr/>
        <w:t>issues</w:t>
      </w:r>
      <w:r>
        <w:rPr>
          <w:spacing w:val="29"/>
        </w:rPr>
        <w:t> </w:t>
      </w:r>
      <w:r>
        <w:rPr/>
        <w:t>encountered</w:t>
      </w:r>
    </w:p>
    <w:p>
      <w:pPr>
        <w:spacing w:after="0" w:line="360" w:lineRule="auto"/>
        <w:jc w:val="both"/>
        <w:sectPr>
          <w:pgSz w:w="12240" w:h="15840"/>
          <w:pgMar w:header="0" w:footer="1015" w:top="1380" w:bottom="1200" w:left="40" w:right="0"/>
        </w:sectPr>
      </w:pPr>
    </w:p>
    <w:p>
      <w:pPr>
        <w:pStyle w:val="BodyText"/>
        <w:spacing w:line="360" w:lineRule="auto" w:before="74"/>
        <w:ind w:left="1760" w:right="1446"/>
        <w:jc w:val="both"/>
      </w:pPr>
      <w:r>
        <w:rPr/>
        <w:t>while estimating the parameters of the DSGE models. The Bayesian estimation technique, on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other hand, is able to</w:t>
      </w:r>
      <w:r>
        <w:rPr>
          <w:spacing w:val="2"/>
        </w:rPr>
        <w:t> </w:t>
      </w:r>
      <w:r>
        <w:rPr/>
        <w:t>overcome this problem.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760" w:right="1438"/>
        <w:jc w:val="both"/>
      </w:pPr>
      <w:r>
        <w:rPr/>
        <w:t>Schmitt-Grohe and Uribe (2007) obtained the optimal fiscal and monetary policy mix that</w:t>
      </w:r>
      <w:r>
        <w:rPr>
          <w:spacing w:val="1"/>
        </w:rPr>
        <w:t> </w:t>
      </w:r>
      <w:r>
        <w:rPr/>
        <w:t>maximises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welfare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calibrated</w:t>
      </w:r>
      <w:r>
        <w:rPr>
          <w:spacing w:val="1"/>
        </w:rPr>
        <w:t> </w:t>
      </w:r>
      <w:r>
        <w:rPr/>
        <w:t>RBC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augmented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accumulation,</w:t>
      </w:r>
      <w:r>
        <w:rPr>
          <w:spacing w:val="1"/>
        </w:rPr>
        <w:t> </w:t>
      </w:r>
      <w:r>
        <w:rPr/>
        <w:t>endogenous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spending</w:t>
      </w:r>
      <w:r>
        <w:rPr>
          <w:spacing w:val="1"/>
        </w:rPr>
        <w:t> </w:t>
      </w:r>
      <w:r>
        <w:rPr/>
        <w:t>shocks.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authors</w:t>
      </w:r>
      <w:r>
        <w:rPr>
          <w:spacing w:val="-57"/>
        </w:rPr>
        <w:t> </w:t>
      </w:r>
      <w:r>
        <w:rPr>
          <w:spacing w:val="-1"/>
        </w:rPr>
        <w:t>specified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fiscal</w:t>
      </w:r>
      <w:r>
        <w:rPr>
          <w:spacing w:val="-10"/>
        </w:rPr>
        <w:t> </w:t>
      </w:r>
      <w:r>
        <w:rPr/>
        <w:t>rule</w:t>
      </w:r>
      <w:r>
        <w:rPr>
          <w:spacing w:val="-14"/>
        </w:rPr>
        <w:t> </w:t>
      </w:r>
      <w:r>
        <w:rPr/>
        <w:t>where</w:t>
      </w:r>
      <w:r>
        <w:rPr>
          <w:spacing w:val="-14"/>
        </w:rPr>
        <w:t> </w:t>
      </w:r>
      <w:r>
        <w:rPr/>
        <w:t>tax</w:t>
      </w:r>
      <w:r>
        <w:rPr>
          <w:spacing w:val="-11"/>
        </w:rPr>
        <w:t> </w:t>
      </w:r>
      <w:r>
        <w:rPr/>
        <w:t>revenue</w:t>
      </w:r>
      <w:r>
        <w:rPr>
          <w:spacing w:val="-13"/>
        </w:rPr>
        <w:t> </w:t>
      </w:r>
      <w:r>
        <w:rPr/>
        <w:t>correlates</w:t>
      </w:r>
      <w:r>
        <w:rPr>
          <w:spacing w:val="-11"/>
        </w:rPr>
        <w:t> </w:t>
      </w:r>
      <w:r>
        <w:rPr/>
        <w:t>with</w:t>
      </w:r>
      <w:r>
        <w:rPr>
          <w:spacing w:val="-12"/>
        </w:rPr>
        <w:t> </w:t>
      </w:r>
      <w:r>
        <w:rPr/>
        <w:t>debt</w:t>
      </w:r>
      <w:r>
        <w:rPr>
          <w:spacing w:val="-12"/>
        </w:rPr>
        <w:t> </w:t>
      </w:r>
      <w:r>
        <w:rPr/>
        <w:t>while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monetary</w:t>
      </w:r>
      <w:r>
        <w:rPr>
          <w:spacing w:val="-15"/>
        </w:rPr>
        <w:t> </w:t>
      </w:r>
      <w:r>
        <w:rPr/>
        <w:t>rule</w:t>
      </w:r>
      <w:r>
        <w:rPr>
          <w:spacing w:val="-14"/>
        </w:rPr>
        <w:t> </w:t>
      </w:r>
      <w:r>
        <w:rPr/>
        <w:t>in</w:t>
      </w:r>
      <w:r>
        <w:rPr>
          <w:spacing w:val="-12"/>
        </w:rPr>
        <w:t> </w:t>
      </w:r>
      <w:r>
        <w:rPr/>
        <w:t>interest</w:t>
      </w:r>
      <w:r>
        <w:rPr>
          <w:spacing w:val="-57"/>
        </w:rPr>
        <w:t> </w:t>
      </w:r>
      <w:r>
        <w:rPr/>
        <w:t>rate</w:t>
      </w:r>
      <w:r>
        <w:rPr>
          <w:spacing w:val="-5"/>
        </w:rPr>
        <w:t> </w:t>
      </w:r>
      <w:r>
        <w:rPr/>
        <w:t>responds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its</w:t>
      </w:r>
      <w:r>
        <w:rPr>
          <w:spacing w:val="-4"/>
        </w:rPr>
        <w:t> </w:t>
      </w:r>
      <w:r>
        <w:rPr/>
        <w:t>lagged</w:t>
      </w:r>
      <w:r>
        <w:rPr>
          <w:spacing w:val="-4"/>
        </w:rPr>
        <w:t> </w:t>
      </w:r>
      <w:r>
        <w:rPr/>
        <w:t>term,</w:t>
      </w:r>
      <w:r>
        <w:rPr>
          <w:spacing w:val="-3"/>
        </w:rPr>
        <w:t> </w:t>
      </w:r>
      <w:r>
        <w:rPr/>
        <w:t>inflation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output.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authors</w:t>
      </w:r>
      <w:r>
        <w:rPr>
          <w:spacing w:val="-4"/>
        </w:rPr>
        <w:t> </w:t>
      </w:r>
      <w:r>
        <w:rPr/>
        <w:t>calibrated</w:t>
      </w:r>
      <w:r>
        <w:rPr>
          <w:spacing w:val="-2"/>
        </w:rPr>
        <w:t> </w:t>
      </w:r>
      <w:r>
        <w:rPr/>
        <w:t>their</w:t>
      </w:r>
      <w:r>
        <w:rPr>
          <w:spacing w:val="-5"/>
        </w:rPr>
        <w:t> </w:t>
      </w:r>
      <w:r>
        <w:rPr/>
        <w:t>model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United States data and numerically simulate the policy parameters in both rules. The result of</w:t>
      </w:r>
      <w:r>
        <w:rPr>
          <w:spacing w:val="-57"/>
        </w:rPr>
        <w:t> </w:t>
      </w:r>
      <w:r>
        <w:rPr/>
        <w:t>the study revealed that in optimised interest rate rule, interest rate responded significantly to</w:t>
      </w:r>
      <w:r>
        <w:rPr>
          <w:spacing w:val="1"/>
        </w:rPr>
        <w:t> </w:t>
      </w:r>
      <w:r>
        <w:rPr/>
        <w:t>inflation and insignificantly to output while the optimised fiscal rule shows that tax revenue</w:t>
      </w:r>
      <w:r>
        <w:rPr>
          <w:spacing w:val="1"/>
        </w:rPr>
        <w:t> </w:t>
      </w:r>
      <w:r>
        <w:rPr/>
        <w:t>increases slowly to increase in debt. The study also calculated the welfare cost and found that</w:t>
      </w:r>
      <w:r>
        <w:rPr>
          <w:spacing w:val="-57"/>
        </w:rPr>
        <w:t> </w:t>
      </w:r>
      <w:r>
        <w:rPr/>
        <w:t>the optimised rules yield negligible welfare gains. The rules obtained are called optimised</w:t>
      </w:r>
      <w:r>
        <w:rPr>
          <w:spacing w:val="1"/>
        </w:rPr>
        <w:t> </w:t>
      </w:r>
      <w:r>
        <w:rPr/>
        <w:t>simple rules which are expected to guarantee equilibrium determinacy in a model where the</w:t>
      </w:r>
      <w:r>
        <w:rPr>
          <w:spacing w:val="1"/>
        </w:rPr>
        <w:t> </w:t>
      </w:r>
      <w:r>
        <w:rPr>
          <w:spacing w:val="-1"/>
        </w:rPr>
        <w:t>household</w:t>
      </w:r>
      <w:r>
        <w:rPr>
          <w:spacing w:val="-7"/>
        </w:rPr>
        <w:t> </w:t>
      </w:r>
      <w:r>
        <w:rPr>
          <w:spacing w:val="-1"/>
        </w:rPr>
        <w:t>utility</w:t>
      </w:r>
      <w:r>
        <w:rPr>
          <w:spacing w:val="-14"/>
        </w:rPr>
        <w:t> </w:t>
      </w:r>
      <w:r>
        <w:rPr>
          <w:spacing w:val="-1"/>
        </w:rPr>
        <w:t>function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equilibrium</w:t>
      </w:r>
      <w:r>
        <w:rPr>
          <w:spacing w:val="-7"/>
        </w:rPr>
        <w:t> </w:t>
      </w:r>
      <w:r>
        <w:rPr/>
        <w:t>conditions</w:t>
      </w:r>
      <w:r>
        <w:rPr>
          <w:spacing w:val="-6"/>
        </w:rPr>
        <w:t> </w:t>
      </w:r>
      <w:r>
        <w:rPr/>
        <w:t>are</w:t>
      </w:r>
      <w:r>
        <w:rPr>
          <w:spacing w:val="-8"/>
        </w:rPr>
        <w:t> </w:t>
      </w:r>
      <w:r>
        <w:rPr/>
        <w:t>approximated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second</w:t>
      </w:r>
      <w:r>
        <w:rPr>
          <w:spacing w:val="-7"/>
        </w:rPr>
        <w:t> </w:t>
      </w:r>
      <w:r>
        <w:rPr/>
        <w:t>order.</w:t>
      </w:r>
      <w:r>
        <w:rPr>
          <w:spacing w:val="-8"/>
        </w:rPr>
        <w:t> </w:t>
      </w:r>
      <w:r>
        <w:rPr/>
        <w:t>These</w:t>
      </w:r>
      <w:r>
        <w:rPr>
          <w:spacing w:val="-57"/>
        </w:rPr>
        <w:t> </w:t>
      </w:r>
      <w:r>
        <w:rPr/>
        <w:t>optimised simple rules are useful in conducting welfare-based analysis in order to obtain</w:t>
      </w:r>
      <w:r>
        <w:rPr>
          <w:spacing w:val="1"/>
        </w:rPr>
        <w:t> </w:t>
      </w:r>
      <w:r>
        <w:rPr/>
        <w:t>optimal fiscal and monetary</w:t>
      </w:r>
      <w:r>
        <w:rPr>
          <w:spacing w:val="-5"/>
        </w:rPr>
        <w:t> </w:t>
      </w:r>
      <w:r>
        <w:rPr/>
        <w:t>policy</w:t>
      </w:r>
      <w:r>
        <w:rPr>
          <w:spacing w:val="-5"/>
        </w:rPr>
        <w:t> </w:t>
      </w:r>
      <w:r>
        <w:rPr/>
        <w:t>mix.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 w:before="1"/>
        <w:ind w:left="1760" w:right="1434"/>
        <w:jc w:val="both"/>
      </w:pPr>
      <w:r>
        <w:rPr/>
        <w:t>Davig and Leeper (2009) estimated Markov-switching policy rules and also investigated the</w:t>
      </w:r>
      <w:r>
        <w:rPr>
          <w:spacing w:val="1"/>
        </w:rPr>
        <w:t> </w:t>
      </w:r>
      <w:r>
        <w:rPr/>
        <w:t>impact of government spending on the aggregate economy via the channel of fiscal-monetary</w:t>
      </w:r>
      <w:r>
        <w:rPr>
          <w:spacing w:val="-57"/>
        </w:rPr>
        <w:t> </w:t>
      </w:r>
      <w:r>
        <w:rPr/>
        <w:t>policy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calibrated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NK</w:t>
      </w:r>
      <w:r>
        <w:rPr>
          <w:spacing w:val="1"/>
        </w:rPr>
        <w:t> </w:t>
      </w:r>
      <w:r>
        <w:rPr/>
        <w:t>DSGE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parameters in the equations on preference, technology, price adjustment, real balances, fiscal</w:t>
      </w:r>
      <w:r>
        <w:rPr>
          <w:spacing w:val="1"/>
        </w:rPr>
        <w:t> </w:t>
      </w:r>
      <w:r>
        <w:rPr/>
        <w:t>and monetary policy rules, and government spending. All parameters except those for fiscal</w:t>
      </w:r>
      <w:r>
        <w:rPr>
          <w:spacing w:val="1"/>
        </w:rPr>
        <w:t> </w:t>
      </w:r>
      <w:r>
        <w:rPr/>
        <w:t>and</w:t>
      </w:r>
      <w:r>
        <w:rPr>
          <w:spacing w:val="-8"/>
        </w:rPr>
        <w:t> </w:t>
      </w:r>
      <w:r>
        <w:rPr/>
        <w:t>monetary</w:t>
      </w:r>
      <w:r>
        <w:rPr>
          <w:spacing w:val="-12"/>
        </w:rPr>
        <w:t> </w:t>
      </w:r>
      <w:r>
        <w:rPr/>
        <w:t>policy</w:t>
      </w:r>
      <w:r>
        <w:rPr>
          <w:spacing w:val="-10"/>
        </w:rPr>
        <w:t> </w:t>
      </w:r>
      <w:r>
        <w:rPr/>
        <w:t>rules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government</w:t>
      </w:r>
      <w:r>
        <w:rPr>
          <w:spacing w:val="-7"/>
        </w:rPr>
        <w:t> </w:t>
      </w:r>
      <w:r>
        <w:rPr/>
        <w:t>spending</w:t>
      </w:r>
      <w:r>
        <w:rPr>
          <w:spacing w:val="-10"/>
        </w:rPr>
        <w:t> </w:t>
      </w:r>
      <w:r>
        <w:rPr/>
        <w:t>were</w:t>
      </w:r>
      <w:r>
        <w:rPr>
          <w:spacing w:val="-9"/>
        </w:rPr>
        <w:t> </w:t>
      </w:r>
      <w:r>
        <w:rPr/>
        <w:t>obtained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previous</w:t>
      </w:r>
      <w:r>
        <w:rPr>
          <w:spacing w:val="-7"/>
        </w:rPr>
        <w:t> </w:t>
      </w:r>
      <w:r>
        <w:rPr/>
        <w:t>studies.</w:t>
      </w:r>
      <w:r>
        <w:rPr>
          <w:spacing w:val="-7"/>
        </w:rPr>
        <w:t> </w:t>
      </w:r>
      <w:r>
        <w:rPr/>
        <w:t>The</w:t>
      </w:r>
      <w:r>
        <w:rPr>
          <w:spacing w:val="-57"/>
        </w:rPr>
        <w:t> </w:t>
      </w:r>
      <w:r>
        <w:rPr/>
        <w:t>authors estimated fiscal and monetary policy rules in taxes and interest rate using quarterly</w:t>
      </w:r>
      <w:r>
        <w:rPr>
          <w:spacing w:val="1"/>
        </w:rPr>
        <w:t> </w:t>
      </w:r>
      <w:r>
        <w:rPr/>
        <w:t>United States data over the period 1949:1 to 2008:4. The fiscal policy rule in tax depends on</w:t>
      </w:r>
      <w:r>
        <w:rPr>
          <w:spacing w:val="1"/>
        </w:rPr>
        <w:t> </w:t>
      </w:r>
      <w:r>
        <w:rPr/>
        <w:t>lagged</w:t>
      </w:r>
      <w:r>
        <w:rPr>
          <w:spacing w:val="-5"/>
        </w:rPr>
        <w:t> </w:t>
      </w:r>
      <w:r>
        <w:rPr/>
        <w:t>debt-to-output</w:t>
      </w:r>
      <w:r>
        <w:rPr>
          <w:spacing w:val="-4"/>
        </w:rPr>
        <w:t> </w:t>
      </w:r>
      <w:r>
        <w:rPr/>
        <w:t>ratio,</w:t>
      </w:r>
      <w:r>
        <w:rPr>
          <w:spacing w:val="-5"/>
        </w:rPr>
        <w:t> </w:t>
      </w:r>
      <w:r>
        <w:rPr/>
        <w:t>output</w:t>
      </w:r>
      <w:r>
        <w:rPr>
          <w:spacing w:val="-4"/>
        </w:rPr>
        <w:t> </w:t>
      </w:r>
      <w:r>
        <w:rPr/>
        <w:t>gap,</w:t>
      </w:r>
      <w:r>
        <w:rPr>
          <w:spacing w:val="-5"/>
        </w:rPr>
        <w:t> </w:t>
      </w:r>
      <w:r>
        <w:rPr/>
        <w:t>government</w:t>
      </w:r>
      <w:r>
        <w:rPr>
          <w:spacing w:val="-4"/>
        </w:rPr>
        <w:t> </w:t>
      </w:r>
      <w:r>
        <w:rPr/>
        <w:t>purchases-to-output</w:t>
      </w:r>
      <w:r>
        <w:rPr>
          <w:spacing w:val="-4"/>
        </w:rPr>
        <w:t> </w:t>
      </w:r>
      <w:r>
        <w:rPr/>
        <w:t>ratio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shock</w:t>
      </w:r>
      <w:r>
        <w:rPr>
          <w:spacing w:val="-5"/>
        </w:rPr>
        <w:t> </w:t>
      </w:r>
      <w:r>
        <w:rPr/>
        <w:t>term.</w:t>
      </w:r>
      <w:r>
        <w:rPr>
          <w:spacing w:val="-58"/>
        </w:rPr>
        <w:t> </w:t>
      </w:r>
      <w:r>
        <w:rPr/>
        <w:t>The</w:t>
      </w:r>
      <w:r>
        <w:rPr>
          <w:spacing w:val="-10"/>
        </w:rPr>
        <w:t> </w:t>
      </w:r>
      <w:r>
        <w:rPr/>
        <w:t>monetary</w:t>
      </w:r>
      <w:r>
        <w:rPr>
          <w:spacing w:val="-12"/>
        </w:rPr>
        <w:t> </w:t>
      </w:r>
      <w:r>
        <w:rPr/>
        <w:t>policy</w:t>
      </w:r>
      <w:r>
        <w:rPr>
          <w:spacing w:val="-12"/>
        </w:rPr>
        <w:t> </w:t>
      </w:r>
      <w:r>
        <w:rPr/>
        <w:t>rule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interest</w:t>
      </w:r>
      <w:r>
        <w:rPr>
          <w:spacing w:val="-7"/>
        </w:rPr>
        <w:t> </w:t>
      </w:r>
      <w:r>
        <w:rPr/>
        <w:t>rate</w:t>
      </w:r>
      <w:r>
        <w:rPr>
          <w:spacing w:val="-9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simple</w:t>
      </w:r>
      <w:r>
        <w:rPr>
          <w:spacing w:val="-8"/>
        </w:rPr>
        <w:t> </w:t>
      </w:r>
      <w:r>
        <w:rPr/>
        <w:t>Taylor</w:t>
      </w:r>
      <w:r>
        <w:rPr>
          <w:spacing w:val="-9"/>
        </w:rPr>
        <w:t> </w:t>
      </w:r>
      <w:r>
        <w:rPr/>
        <w:t>rule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function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inflation,</w:t>
      </w:r>
      <w:r>
        <w:rPr>
          <w:spacing w:val="-57"/>
        </w:rPr>
        <w:t> </w:t>
      </w:r>
      <w:r>
        <w:rPr/>
        <w:t>output and shock term. Both policy rules are assumed to follow a Markov process, switching</w:t>
      </w:r>
      <w:r>
        <w:rPr>
          <w:spacing w:val="1"/>
        </w:rPr>
        <w:t> </w:t>
      </w:r>
      <w:r>
        <w:rPr/>
        <w:t>between active and passive states. The estimated fiscal and monetary policy rules are then</w:t>
      </w:r>
      <w:r>
        <w:rPr>
          <w:spacing w:val="1"/>
        </w:rPr>
        <w:t> </w:t>
      </w:r>
      <w:r>
        <w:rPr/>
        <w:t>embedded</w:t>
      </w:r>
      <w:r>
        <w:rPr>
          <w:spacing w:val="-4"/>
        </w:rPr>
        <w:t> </w:t>
      </w:r>
      <w:r>
        <w:rPr/>
        <w:t>into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DSGE</w:t>
      </w:r>
      <w:r>
        <w:rPr>
          <w:spacing w:val="-4"/>
        </w:rPr>
        <w:t> </w:t>
      </w:r>
      <w:r>
        <w:rPr/>
        <w:t>model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4"/>
        </w:rPr>
        <w:t> </w:t>
      </w:r>
      <w:r>
        <w:rPr/>
        <w:t>solved.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</w:t>
      </w:r>
      <w:r>
        <w:rPr>
          <w:spacing w:val="-8"/>
        </w:rPr>
        <w:t> </w:t>
      </w:r>
      <w:r>
        <w:rPr/>
        <w:t>indicated</w:t>
      </w:r>
      <w:r>
        <w:rPr>
          <w:spacing w:val="-3"/>
        </w:rPr>
        <w:t> </w:t>
      </w:r>
      <w:r>
        <w:rPr/>
        <w:t>switches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40"/>
        <w:jc w:val="both"/>
      </w:pPr>
      <w:r>
        <w:rPr/>
        <w:t>fiscal</w:t>
      </w:r>
      <w:r>
        <w:rPr>
          <w:spacing w:val="-11"/>
        </w:rPr>
        <w:t> </w:t>
      </w:r>
      <w:r>
        <w:rPr/>
        <w:t>and</w:t>
      </w:r>
      <w:r>
        <w:rPr>
          <w:spacing w:val="-8"/>
        </w:rPr>
        <w:t> </w:t>
      </w:r>
      <w:r>
        <w:rPr/>
        <w:t>monetary</w:t>
      </w:r>
      <w:r>
        <w:rPr>
          <w:spacing w:val="-12"/>
        </w:rPr>
        <w:t> </w:t>
      </w:r>
      <w:r>
        <w:rPr/>
        <w:t>policy</w:t>
      </w:r>
      <w:r>
        <w:rPr>
          <w:spacing w:val="-12"/>
        </w:rPr>
        <w:t> </w:t>
      </w:r>
      <w:r>
        <w:rPr/>
        <w:t>rules</w:t>
      </w:r>
      <w:r>
        <w:rPr>
          <w:spacing w:val="-10"/>
        </w:rPr>
        <w:t> </w:t>
      </w:r>
      <w:r>
        <w:rPr/>
        <w:t>between</w:t>
      </w:r>
      <w:r>
        <w:rPr>
          <w:spacing w:val="-8"/>
        </w:rPr>
        <w:t> </w:t>
      </w:r>
      <w:r>
        <w:rPr/>
        <w:t>active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passive</w:t>
      </w:r>
      <w:r>
        <w:rPr>
          <w:spacing w:val="-11"/>
        </w:rPr>
        <w:t> </w:t>
      </w:r>
      <w:r>
        <w:rPr/>
        <w:t>regimes.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study</w:t>
      </w:r>
      <w:r>
        <w:rPr>
          <w:spacing w:val="-12"/>
        </w:rPr>
        <w:t> </w:t>
      </w:r>
      <w:r>
        <w:rPr/>
        <w:t>also</w:t>
      </w:r>
      <w:r>
        <w:rPr>
          <w:spacing w:val="-10"/>
        </w:rPr>
        <w:t> </w:t>
      </w:r>
      <w:r>
        <w:rPr/>
        <w:t>found</w:t>
      </w:r>
      <w:r>
        <w:rPr>
          <w:spacing w:val="-11"/>
        </w:rPr>
        <w:t> </w:t>
      </w:r>
      <w:r>
        <w:rPr/>
        <w:t>that</w:t>
      </w:r>
      <w:r>
        <w:rPr>
          <w:spacing w:val="-57"/>
        </w:rPr>
        <w:t> </w:t>
      </w:r>
      <w:r>
        <w:rPr/>
        <w:t>the policy rule switches are an important determinant of government spending multipliers on</w:t>
      </w:r>
      <w:r>
        <w:rPr>
          <w:spacing w:val="1"/>
        </w:rPr>
        <w:t> </w:t>
      </w:r>
      <w:r>
        <w:rPr/>
        <w:t>the economy. The Markov-switching policy rules assumed in this study is essential to capture</w:t>
      </w:r>
      <w:r>
        <w:rPr>
          <w:spacing w:val="-57"/>
        </w:rPr>
        <w:t> </w:t>
      </w:r>
      <w:r>
        <w:rPr/>
        <w:t>the dynamic and transitional nature of both fiscal and monetary policy across states and time,</w:t>
      </w:r>
      <w:r>
        <w:rPr>
          <w:spacing w:val="-57"/>
        </w:rPr>
        <w:t> </w:t>
      </w:r>
      <w:r>
        <w:rPr/>
        <w:t>since</w:t>
      </w:r>
      <w:r>
        <w:rPr>
          <w:spacing w:val="-3"/>
        </w:rPr>
        <w:t> </w:t>
      </w:r>
      <w:r>
        <w:rPr/>
        <w:t>both</w:t>
      </w:r>
      <w:r>
        <w:rPr>
          <w:spacing w:val="-1"/>
        </w:rPr>
        <w:t> </w:t>
      </w:r>
      <w:r>
        <w:rPr/>
        <w:t>policies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reality,</w:t>
      </w:r>
      <w:r>
        <w:rPr>
          <w:spacing w:val="-1"/>
        </w:rPr>
        <w:t> </w:t>
      </w:r>
      <w:r>
        <w:rPr/>
        <w:t>transiting</w:t>
      </w:r>
      <w:r>
        <w:rPr>
          <w:spacing w:val="-3"/>
        </w:rPr>
        <w:t> </w:t>
      </w:r>
      <w:r>
        <w:rPr/>
        <w:t>over time,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passive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active</w:t>
      </w:r>
      <w:r>
        <w:rPr>
          <w:spacing w:val="-2"/>
        </w:rPr>
        <w:t> </w:t>
      </w:r>
      <w:r>
        <w:rPr/>
        <w:t>state.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760" w:right="1434"/>
        <w:jc w:val="both"/>
      </w:pPr>
      <w:r>
        <w:rPr/>
        <w:t>Yemba</w:t>
      </w:r>
      <w:r>
        <w:rPr>
          <w:spacing w:val="-7"/>
        </w:rPr>
        <w:t> </w:t>
      </w:r>
      <w:r>
        <w:rPr/>
        <w:t>(2014)</w:t>
      </w:r>
      <w:r>
        <w:rPr>
          <w:spacing w:val="-6"/>
        </w:rPr>
        <w:t> </w:t>
      </w:r>
      <w:r>
        <w:rPr/>
        <w:t>calibrated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simulated</w:t>
      </w:r>
      <w:r>
        <w:rPr>
          <w:spacing w:val="-5"/>
        </w:rPr>
        <w:t> </w:t>
      </w:r>
      <w:r>
        <w:rPr/>
        <w:t>an</w:t>
      </w:r>
      <w:r>
        <w:rPr>
          <w:spacing w:val="-6"/>
        </w:rPr>
        <w:t> </w:t>
      </w:r>
      <w:r>
        <w:rPr/>
        <w:t>open</w:t>
      </w:r>
      <w:r>
        <w:rPr>
          <w:spacing w:val="-3"/>
        </w:rPr>
        <w:t> </w:t>
      </w:r>
      <w:r>
        <w:rPr/>
        <w:t>economy</w:t>
      </w:r>
      <w:r>
        <w:rPr>
          <w:spacing w:val="-11"/>
        </w:rPr>
        <w:t> </w:t>
      </w:r>
      <w:r>
        <w:rPr/>
        <w:t>NK</w:t>
      </w:r>
      <w:r>
        <w:rPr>
          <w:spacing w:val="-4"/>
        </w:rPr>
        <w:t> </w:t>
      </w:r>
      <w:r>
        <w:rPr/>
        <w:t>DSGE</w:t>
      </w:r>
      <w:r>
        <w:rPr>
          <w:spacing w:val="-7"/>
        </w:rPr>
        <w:t> </w:t>
      </w:r>
      <w:r>
        <w:rPr/>
        <w:t>model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find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impact</w:t>
      </w:r>
      <w:r>
        <w:rPr>
          <w:spacing w:val="-57"/>
        </w:rPr>
        <w:t> </w:t>
      </w:r>
      <w:r>
        <w:rPr/>
        <w:t>of optimised fiscal and monetary policy rules with government spending on welfare, real</w:t>
      </w:r>
      <w:r>
        <w:rPr>
          <w:spacing w:val="1"/>
        </w:rPr>
        <w:t> </w:t>
      </w:r>
      <w:r>
        <w:rPr/>
        <w:t>exchange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business</w:t>
      </w:r>
      <w:r>
        <w:rPr>
          <w:spacing w:val="-13"/>
        </w:rPr>
        <w:t> </w:t>
      </w:r>
      <w:r>
        <w:rPr/>
        <w:t>cycle</w:t>
      </w:r>
      <w:r>
        <w:rPr>
          <w:spacing w:val="-13"/>
        </w:rPr>
        <w:t> </w:t>
      </w:r>
      <w:r>
        <w:rPr/>
        <w:t>dynamics.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author</w:t>
      </w:r>
      <w:r>
        <w:rPr>
          <w:spacing w:val="-11"/>
        </w:rPr>
        <w:t> </w:t>
      </w:r>
      <w:r>
        <w:rPr/>
        <w:t>solved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system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equations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model</w:t>
      </w:r>
      <w:r>
        <w:rPr>
          <w:spacing w:val="-58"/>
        </w:rPr>
        <w:t> </w:t>
      </w:r>
      <w:r>
        <w:rPr>
          <w:spacing w:val="-1"/>
        </w:rPr>
        <w:t>using</w:t>
      </w:r>
      <w:r>
        <w:rPr>
          <w:spacing w:val="-17"/>
        </w:rPr>
        <w:t> </w:t>
      </w:r>
      <w:r>
        <w:rPr>
          <w:spacing w:val="-1"/>
        </w:rPr>
        <w:t>Sims'</w:t>
      </w:r>
      <w:r>
        <w:rPr>
          <w:spacing w:val="-17"/>
        </w:rPr>
        <w:t> </w:t>
      </w:r>
      <w:r>
        <w:rPr>
          <w:spacing w:val="-1"/>
        </w:rPr>
        <w:t>(2000)</w:t>
      </w:r>
      <w:r>
        <w:rPr>
          <w:spacing w:val="-16"/>
        </w:rPr>
        <w:t> </w:t>
      </w:r>
      <w:r>
        <w:rPr/>
        <w:t>second-order</w:t>
      </w:r>
      <w:r>
        <w:rPr>
          <w:spacing w:val="-13"/>
        </w:rPr>
        <w:t> </w:t>
      </w:r>
      <w:r>
        <w:rPr/>
        <w:t>accurate</w:t>
      </w:r>
      <w:r>
        <w:rPr>
          <w:spacing w:val="-15"/>
        </w:rPr>
        <w:t> </w:t>
      </w:r>
      <w:r>
        <w:rPr/>
        <w:t>method.</w:t>
      </w:r>
      <w:r>
        <w:rPr>
          <w:spacing w:val="-12"/>
        </w:rPr>
        <w:t> </w:t>
      </w:r>
      <w:r>
        <w:rPr/>
        <w:t>The</w:t>
      </w:r>
      <w:r>
        <w:rPr>
          <w:spacing w:val="-16"/>
        </w:rPr>
        <w:t> </w:t>
      </w:r>
      <w:r>
        <w:rPr/>
        <w:t>study</w:t>
      </w:r>
      <w:r>
        <w:rPr>
          <w:spacing w:val="-20"/>
        </w:rPr>
        <w:t> </w:t>
      </w:r>
      <w:r>
        <w:rPr/>
        <w:t>assumed</w:t>
      </w:r>
      <w:r>
        <w:rPr>
          <w:spacing w:val="-11"/>
        </w:rPr>
        <w:t> </w:t>
      </w:r>
      <w:r>
        <w:rPr/>
        <w:t>a</w:t>
      </w:r>
      <w:r>
        <w:rPr>
          <w:spacing w:val="-16"/>
        </w:rPr>
        <w:t> </w:t>
      </w:r>
      <w:r>
        <w:rPr/>
        <w:t>rich</w:t>
      </w:r>
      <w:r>
        <w:rPr>
          <w:spacing w:val="-12"/>
        </w:rPr>
        <w:t> </w:t>
      </w:r>
      <w:r>
        <w:rPr/>
        <w:t>tax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rich</w:t>
      </w:r>
      <w:r>
        <w:rPr>
          <w:spacing w:val="-15"/>
        </w:rPr>
        <w:t> </w:t>
      </w:r>
      <w:r>
        <w:rPr/>
        <w:t>Taylor</w:t>
      </w:r>
      <w:r>
        <w:rPr>
          <w:spacing w:val="-57"/>
        </w:rPr>
        <w:t> </w:t>
      </w:r>
      <w:r>
        <w:rPr/>
        <w:t>rules.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rule</w:t>
      </w:r>
      <w:r>
        <w:rPr>
          <w:spacing w:val="1"/>
        </w:rPr>
        <w:t> </w:t>
      </w:r>
      <w:r>
        <w:rPr/>
        <w:t>responds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debt,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consumption,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investment, productivity shock and inflation, while the interest rate rule is specified as a</w:t>
      </w:r>
      <w:r>
        <w:rPr>
          <w:spacing w:val="1"/>
        </w:rPr>
        <w:t> </w:t>
      </w:r>
      <w:r>
        <w:rPr/>
        <w:t>function of inflation, output gap and nominal exchange rate gap. The study further assumed</w:t>
      </w:r>
      <w:r>
        <w:rPr>
          <w:spacing w:val="1"/>
        </w:rPr>
        <w:t> </w:t>
      </w:r>
      <w:r>
        <w:rPr/>
        <w:t>that government is concerned with optimised rules. The government sets policy parameters</w:t>
      </w:r>
      <w:r>
        <w:rPr>
          <w:spacing w:val="1"/>
        </w:rPr>
        <w:t> </w:t>
      </w:r>
      <w:r>
        <w:rPr/>
        <w:t>that maximise individual’s utility. The authors of the study then calibrated the model using</w:t>
      </w:r>
      <w:r>
        <w:rPr>
          <w:spacing w:val="1"/>
        </w:rPr>
        <w:t> </w:t>
      </w:r>
      <w:r>
        <w:rPr/>
        <w:t>quarterly data for France, Germany, United Kingdom and Netherlands over the period 1977-</w:t>
      </w:r>
      <w:r>
        <w:rPr>
          <w:spacing w:val="1"/>
        </w:rPr>
        <w:t> </w:t>
      </w:r>
      <w:r>
        <w:rPr/>
        <w:t>2007. Some parameter values are also acquired from past studies while others are arbitrarily</w:t>
      </w:r>
      <w:r>
        <w:rPr>
          <w:spacing w:val="1"/>
        </w:rPr>
        <w:t> </w:t>
      </w:r>
      <w:r>
        <w:rPr/>
        <w:t>fixed.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optimised</w:t>
      </w:r>
      <w:r>
        <w:rPr>
          <w:spacing w:val="-8"/>
        </w:rPr>
        <w:t> </w:t>
      </w:r>
      <w:r>
        <w:rPr/>
        <w:t>rules</w:t>
      </w:r>
      <w:r>
        <w:rPr>
          <w:spacing w:val="-6"/>
        </w:rPr>
        <w:t> </w:t>
      </w:r>
      <w:r>
        <w:rPr/>
        <w:t>were</w:t>
      </w:r>
      <w:r>
        <w:rPr>
          <w:spacing w:val="-9"/>
        </w:rPr>
        <w:t> </w:t>
      </w:r>
      <w:r>
        <w:rPr/>
        <w:t>simulated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obtain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policy</w:t>
      </w:r>
      <w:r>
        <w:rPr>
          <w:spacing w:val="-12"/>
        </w:rPr>
        <w:t> </w:t>
      </w:r>
      <w:r>
        <w:rPr/>
        <w:t>coefficients.</w:t>
      </w:r>
      <w:r>
        <w:rPr>
          <w:spacing w:val="-4"/>
        </w:rPr>
        <w:t> </w:t>
      </w:r>
      <w:r>
        <w:rPr/>
        <w:t>The</w:t>
      </w:r>
      <w:r>
        <w:rPr>
          <w:spacing w:val="-9"/>
        </w:rPr>
        <w:t> </w:t>
      </w:r>
      <w:r>
        <w:rPr/>
        <w:t>study</w:t>
      </w:r>
      <w:r>
        <w:rPr>
          <w:spacing w:val="-12"/>
        </w:rPr>
        <w:t> </w:t>
      </w:r>
      <w:r>
        <w:rPr/>
        <w:t>revealed</w:t>
      </w:r>
      <w:r>
        <w:rPr>
          <w:spacing w:val="-57"/>
        </w:rPr>
        <w:t> </w:t>
      </w:r>
      <w:r>
        <w:rPr/>
        <w:t>that both fiscal and monetary policy significantly responds to inflation; the optimal fiscal</w:t>
      </w:r>
      <w:r>
        <w:rPr>
          <w:spacing w:val="1"/>
        </w:rPr>
        <w:t> </w:t>
      </w:r>
      <w:r>
        <w:rPr/>
        <w:t>policy</w:t>
      </w:r>
      <w:r>
        <w:rPr>
          <w:spacing w:val="-5"/>
        </w:rPr>
        <w:t> </w:t>
      </w:r>
      <w:r>
        <w:rPr/>
        <w:t>stabilises debt.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760" w:right="1436"/>
        <w:jc w:val="both"/>
      </w:pPr>
      <w:r>
        <w:rPr/>
        <w:t>Gonzalez-Astudillo (2013) used the Bayesian technique to estimate the coefficients of fiscal</w:t>
      </w:r>
      <w:r>
        <w:rPr>
          <w:spacing w:val="1"/>
        </w:rPr>
        <w:t> </w:t>
      </w:r>
      <w:r>
        <w:rPr/>
        <w:t>and monetary policy rules within a NK DSGE model. The fiscal rule is specified as following</w:t>
      </w:r>
      <w:r>
        <w:rPr>
          <w:spacing w:val="-57"/>
        </w:rPr>
        <w:t> </w:t>
      </w:r>
      <w:r>
        <w:rPr/>
        <w:t>a tax path while the monetary rule is specified in interest rate. The coefficients of the policy</w:t>
      </w:r>
      <w:r>
        <w:rPr>
          <w:spacing w:val="1"/>
        </w:rPr>
        <w:t> </w:t>
      </w:r>
      <w:r>
        <w:rPr/>
        <w:t>rules are assumed to follow a time-varying process. This is a more realistic assumption</w:t>
      </w:r>
      <w:r>
        <w:rPr>
          <w:spacing w:val="1"/>
        </w:rPr>
        <w:t> </w:t>
      </w:r>
      <w:r>
        <w:rPr/>
        <w:t>compared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constant</w:t>
      </w:r>
      <w:r>
        <w:rPr>
          <w:spacing w:val="-6"/>
        </w:rPr>
        <w:t> </w:t>
      </w:r>
      <w:r>
        <w:rPr/>
        <w:t>coefficients</w:t>
      </w:r>
      <w:r>
        <w:rPr>
          <w:spacing w:val="-6"/>
        </w:rPr>
        <w:t> </w:t>
      </w:r>
      <w:r>
        <w:rPr/>
        <w:t>since</w:t>
      </w:r>
      <w:r>
        <w:rPr>
          <w:spacing w:val="-8"/>
        </w:rPr>
        <w:t> </w:t>
      </w:r>
      <w:r>
        <w:rPr/>
        <w:t>parameter</w:t>
      </w:r>
      <w:r>
        <w:rPr>
          <w:spacing w:val="-5"/>
        </w:rPr>
        <w:t> </w:t>
      </w:r>
      <w:r>
        <w:rPr/>
        <w:t>values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expected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evolve</w:t>
      </w:r>
      <w:r>
        <w:rPr>
          <w:spacing w:val="-7"/>
        </w:rPr>
        <w:t> </w:t>
      </w:r>
      <w:r>
        <w:rPr/>
        <w:t>over</w:t>
      </w:r>
      <w:r>
        <w:rPr>
          <w:spacing w:val="-7"/>
        </w:rPr>
        <w:t> </w:t>
      </w:r>
      <w:r>
        <w:rPr/>
        <w:t>time</w:t>
      </w:r>
      <w:r>
        <w:rPr>
          <w:spacing w:val="-7"/>
        </w:rPr>
        <w:t> </w:t>
      </w:r>
      <w:r>
        <w:rPr/>
        <w:t>due</w:t>
      </w:r>
      <w:r>
        <w:rPr>
          <w:spacing w:val="-58"/>
        </w:rPr>
        <w:t> </w:t>
      </w:r>
      <w:r>
        <w:rPr/>
        <w:t>to</w:t>
      </w:r>
      <w:r>
        <w:rPr>
          <w:spacing w:val="-6"/>
        </w:rPr>
        <w:t> </w:t>
      </w:r>
      <w:r>
        <w:rPr/>
        <w:t>shifts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structural</w:t>
      </w:r>
      <w:r>
        <w:rPr>
          <w:spacing w:val="-6"/>
        </w:rPr>
        <w:t> </w:t>
      </w:r>
      <w:r>
        <w:rPr/>
        <w:t>breaks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time</w:t>
      </w:r>
      <w:r>
        <w:rPr>
          <w:spacing w:val="-7"/>
        </w:rPr>
        <w:t> </w:t>
      </w:r>
      <w:r>
        <w:rPr/>
        <w:t>series.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time-varying</w:t>
      </w:r>
      <w:r>
        <w:rPr>
          <w:spacing w:val="-6"/>
        </w:rPr>
        <w:t> </w:t>
      </w:r>
      <w:r>
        <w:rPr/>
        <w:t>coefficients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functions</w:t>
      </w:r>
      <w:r>
        <w:rPr>
          <w:spacing w:val="-5"/>
        </w:rPr>
        <w:t> </w:t>
      </w:r>
      <w:r>
        <w:rPr/>
        <w:t>of</w:t>
      </w:r>
      <w:r>
        <w:rPr>
          <w:spacing w:val="-58"/>
        </w:rPr>
        <w:t> </w:t>
      </w:r>
      <w:r>
        <w:rPr/>
        <w:t>exogenous</w:t>
      </w:r>
      <w:r>
        <w:rPr>
          <w:spacing w:val="-11"/>
        </w:rPr>
        <w:t> </w:t>
      </w:r>
      <w:r>
        <w:rPr/>
        <w:t>latent</w:t>
      </w:r>
      <w:r>
        <w:rPr>
          <w:spacing w:val="-8"/>
        </w:rPr>
        <w:t> </w:t>
      </w:r>
      <w:r>
        <w:rPr/>
        <w:t>factors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drive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evolution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policy</w:t>
      </w:r>
      <w:r>
        <w:rPr>
          <w:spacing w:val="-13"/>
        </w:rPr>
        <w:t> </w:t>
      </w:r>
      <w:r>
        <w:rPr/>
        <w:t>rules.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author</w:t>
      </w:r>
      <w:r>
        <w:rPr>
          <w:spacing w:val="-11"/>
        </w:rPr>
        <w:t> </w:t>
      </w:r>
      <w:r>
        <w:rPr/>
        <w:t>also</w:t>
      </w:r>
      <w:r>
        <w:rPr>
          <w:spacing w:val="-9"/>
        </w:rPr>
        <w:t> </w:t>
      </w:r>
      <w:r>
        <w:rPr/>
        <w:t>introduced</w:t>
      </w:r>
      <w:r>
        <w:rPr>
          <w:spacing w:val="-58"/>
        </w:rPr>
        <w:t> </w:t>
      </w:r>
      <w:r>
        <w:rPr>
          <w:spacing w:val="-1"/>
        </w:rPr>
        <w:t>interdependence</w:t>
      </w:r>
      <w:r>
        <w:rPr>
          <w:spacing w:val="-9"/>
        </w:rPr>
        <w:t> </w:t>
      </w:r>
      <w:r>
        <w:rPr/>
        <w:t>between</w:t>
      </w:r>
      <w:r>
        <w:rPr>
          <w:spacing w:val="-6"/>
        </w:rPr>
        <w:t> </w:t>
      </w:r>
      <w:r>
        <w:rPr/>
        <w:t>both</w:t>
      </w:r>
      <w:r>
        <w:rPr>
          <w:spacing w:val="-6"/>
        </w:rPr>
        <w:t> </w:t>
      </w:r>
      <w:r>
        <w:rPr/>
        <w:t>policies</w:t>
      </w:r>
      <w:r>
        <w:rPr>
          <w:spacing w:val="-8"/>
        </w:rPr>
        <w:t> </w:t>
      </w:r>
      <w:r>
        <w:rPr/>
        <w:t>by</w:t>
      </w:r>
      <w:r>
        <w:rPr>
          <w:spacing w:val="-14"/>
        </w:rPr>
        <w:t> </w:t>
      </w:r>
      <w:r>
        <w:rPr/>
        <w:t>modelling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latent</w:t>
      </w:r>
      <w:r>
        <w:rPr>
          <w:spacing w:val="-7"/>
        </w:rPr>
        <w:t> </w:t>
      </w:r>
      <w:r>
        <w:rPr/>
        <w:t>factors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8"/>
        </w:rPr>
        <w:t> </w:t>
      </w:r>
      <w:r>
        <w:rPr/>
        <w:t>serially</w:t>
      </w:r>
      <w:r>
        <w:rPr>
          <w:spacing w:val="-12"/>
        </w:rPr>
        <w:t> </w:t>
      </w:r>
      <w:r>
        <w:rPr/>
        <w:t>correlated.</w:t>
      </w:r>
      <w:r>
        <w:rPr>
          <w:spacing w:val="-57"/>
        </w:rPr>
        <w:t> </w:t>
      </w:r>
      <w:r>
        <w:rPr/>
        <w:t>The NK DSGE model is then log-linearised and solved using the minimum state variable</w:t>
      </w:r>
      <w:r>
        <w:rPr>
          <w:spacing w:val="1"/>
        </w:rPr>
        <w:t> </w:t>
      </w:r>
      <w:r>
        <w:rPr/>
        <w:t>approach.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author</w:t>
      </w:r>
      <w:r>
        <w:rPr>
          <w:spacing w:val="4"/>
        </w:rPr>
        <w:t> </w:t>
      </w:r>
      <w:r>
        <w:rPr/>
        <w:t>estimates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policy</w:t>
      </w:r>
      <w:r>
        <w:rPr>
          <w:spacing w:val="-1"/>
        </w:rPr>
        <w:t> </w:t>
      </w:r>
      <w:r>
        <w:rPr/>
        <w:t>rules</w:t>
      </w:r>
      <w:r>
        <w:rPr>
          <w:spacing w:val="4"/>
        </w:rPr>
        <w:t> </w:t>
      </w:r>
      <w:r>
        <w:rPr/>
        <w:t>using</w:t>
      </w:r>
      <w:r>
        <w:rPr>
          <w:spacing w:val="2"/>
        </w:rPr>
        <w:t> </w:t>
      </w:r>
      <w:r>
        <w:rPr/>
        <w:t>quarterly</w:t>
      </w:r>
      <w:r>
        <w:rPr>
          <w:spacing w:val="-3"/>
        </w:rPr>
        <w:t> </w:t>
      </w:r>
      <w:r>
        <w:rPr/>
        <w:t>data</w:t>
      </w:r>
      <w:r>
        <w:rPr>
          <w:spacing w:val="4"/>
        </w:rPr>
        <w:t> </w:t>
      </w:r>
      <w:r>
        <w:rPr/>
        <w:t>on</w:t>
      </w:r>
      <w:r>
        <w:rPr>
          <w:spacing w:val="4"/>
        </w:rPr>
        <w:t> </w:t>
      </w:r>
      <w:r>
        <w:rPr/>
        <w:t>inflation,</w:t>
      </w:r>
      <w:r>
        <w:rPr>
          <w:spacing w:val="4"/>
        </w:rPr>
        <w:t> </w:t>
      </w:r>
      <w:r>
        <w:rPr/>
        <w:t>debt,</w:t>
      </w:r>
      <w:r>
        <w:rPr>
          <w:spacing w:val="5"/>
        </w:rPr>
        <w:t> </w:t>
      </w:r>
      <w:r>
        <w:rPr/>
        <w:t>output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34"/>
        <w:jc w:val="both"/>
      </w:pPr>
      <w:r>
        <w:rPr/>
        <w:t>gap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United</w:t>
      </w:r>
      <w:r>
        <w:rPr>
          <w:spacing w:val="-8"/>
        </w:rPr>
        <w:t> </w:t>
      </w:r>
      <w:r>
        <w:rPr/>
        <w:t>States</w:t>
      </w:r>
      <w:r>
        <w:rPr>
          <w:spacing w:val="-11"/>
        </w:rPr>
        <w:t> </w:t>
      </w:r>
      <w:r>
        <w:rPr/>
        <w:t>from</w:t>
      </w:r>
      <w:r>
        <w:rPr>
          <w:spacing w:val="-8"/>
        </w:rPr>
        <w:t> </w:t>
      </w:r>
      <w:r>
        <w:rPr/>
        <w:t>1960Q1-2008Q3.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author</w:t>
      </w:r>
      <w:r>
        <w:rPr>
          <w:spacing w:val="-9"/>
        </w:rPr>
        <w:t> </w:t>
      </w:r>
      <w:r>
        <w:rPr/>
        <w:t>found</w:t>
      </w:r>
      <w:r>
        <w:rPr>
          <w:spacing w:val="-8"/>
        </w:rPr>
        <w:t> </w:t>
      </w:r>
      <w:r>
        <w:rPr/>
        <w:t>switches</w:t>
      </w:r>
      <w:r>
        <w:rPr>
          <w:spacing w:val="-8"/>
        </w:rPr>
        <w:t> </w:t>
      </w:r>
      <w:r>
        <w:rPr/>
        <w:t>between</w:t>
      </w:r>
      <w:r>
        <w:rPr>
          <w:spacing w:val="-9"/>
        </w:rPr>
        <w:t> </w:t>
      </w:r>
      <w:r>
        <w:rPr/>
        <w:t>monetary</w:t>
      </w:r>
      <w:r>
        <w:rPr>
          <w:spacing w:val="-57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fiscal</w:t>
      </w:r>
      <w:r>
        <w:rPr>
          <w:spacing w:val="-10"/>
        </w:rPr>
        <w:t> </w:t>
      </w:r>
      <w:r>
        <w:rPr/>
        <w:t>regimes,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both</w:t>
      </w:r>
      <w:r>
        <w:rPr>
          <w:spacing w:val="-10"/>
        </w:rPr>
        <w:t> </w:t>
      </w:r>
      <w:r>
        <w:rPr/>
        <w:t>policy</w:t>
      </w:r>
      <w:r>
        <w:rPr>
          <w:spacing w:val="-14"/>
        </w:rPr>
        <w:t> </w:t>
      </w:r>
      <w:r>
        <w:rPr/>
        <w:t>rules.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coefficients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monetary</w:t>
      </w:r>
      <w:r>
        <w:rPr>
          <w:spacing w:val="-15"/>
        </w:rPr>
        <w:t> </w:t>
      </w:r>
      <w:r>
        <w:rPr/>
        <w:t>rule</w:t>
      </w:r>
      <w:r>
        <w:rPr>
          <w:spacing w:val="-8"/>
        </w:rPr>
        <w:t> </w:t>
      </w:r>
      <w:r>
        <w:rPr/>
        <w:t>switch</w:t>
      </w:r>
      <w:r>
        <w:rPr>
          <w:spacing w:val="-10"/>
        </w:rPr>
        <w:t> </w:t>
      </w:r>
      <w:r>
        <w:rPr/>
        <w:t>frequently</w:t>
      </w:r>
      <w:r>
        <w:rPr>
          <w:spacing w:val="-57"/>
        </w:rPr>
        <w:t> </w:t>
      </w:r>
      <w:r>
        <w:rPr/>
        <w:t>than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fiscal</w:t>
      </w:r>
      <w:r>
        <w:rPr>
          <w:spacing w:val="-1"/>
        </w:rPr>
        <w:t> </w:t>
      </w:r>
      <w:r>
        <w:rPr/>
        <w:t>rule.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impulse</w:t>
      </w:r>
      <w:r>
        <w:rPr>
          <w:spacing w:val="-1"/>
        </w:rPr>
        <w:t> </w:t>
      </w:r>
      <w:r>
        <w:rPr/>
        <w:t>response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inflation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output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shock</w:t>
      </w:r>
      <w:r>
        <w:rPr>
          <w:spacing w:val="-1"/>
        </w:rPr>
        <w:t> </w:t>
      </w:r>
      <w:r>
        <w:rPr/>
        <w:t>in tax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interest</w:t>
      </w:r>
      <w:r>
        <w:rPr>
          <w:spacing w:val="-58"/>
        </w:rPr>
        <w:t> </w:t>
      </w:r>
      <w:r>
        <w:rPr>
          <w:spacing w:val="-1"/>
        </w:rPr>
        <w:t>rate</w:t>
      </w:r>
      <w:r>
        <w:rPr>
          <w:spacing w:val="-15"/>
        </w:rPr>
        <w:t> </w:t>
      </w:r>
      <w:r>
        <w:rPr>
          <w:spacing w:val="-1"/>
        </w:rPr>
        <w:t>was</w:t>
      </w:r>
      <w:r>
        <w:rPr>
          <w:spacing w:val="-15"/>
        </w:rPr>
        <w:t> </w:t>
      </w:r>
      <w:r>
        <w:rPr/>
        <w:t>presented</w:t>
      </w:r>
      <w:r>
        <w:rPr>
          <w:spacing w:val="-15"/>
        </w:rPr>
        <w:t> </w:t>
      </w:r>
      <w:r>
        <w:rPr/>
        <w:t>and</w:t>
      </w:r>
      <w:r>
        <w:rPr>
          <w:spacing w:val="-13"/>
        </w:rPr>
        <w:t> </w:t>
      </w:r>
      <w:r>
        <w:rPr/>
        <w:t>showed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the</w:t>
      </w:r>
      <w:r>
        <w:rPr>
          <w:spacing w:val="-12"/>
        </w:rPr>
        <w:t> </w:t>
      </w:r>
      <w:r>
        <w:rPr/>
        <w:t>response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inflation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output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a</w:t>
      </w:r>
      <w:r>
        <w:rPr>
          <w:spacing w:val="-16"/>
        </w:rPr>
        <w:t> </w:t>
      </w:r>
      <w:r>
        <w:rPr/>
        <w:t>fiscal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monetary</w:t>
      </w:r>
      <w:r>
        <w:rPr>
          <w:spacing w:val="-58"/>
        </w:rPr>
        <w:t> </w:t>
      </w:r>
      <w:r>
        <w:rPr/>
        <w:t>shock</w:t>
      </w:r>
      <w:r>
        <w:rPr>
          <w:spacing w:val="-1"/>
        </w:rPr>
        <w:t> </w:t>
      </w:r>
      <w:r>
        <w:rPr/>
        <w:t>depends on the</w:t>
      </w:r>
      <w:r>
        <w:rPr>
          <w:spacing w:val="1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regime</w:t>
      </w:r>
      <w:r>
        <w:rPr>
          <w:spacing w:val="-1"/>
        </w:rPr>
        <w:t> </w:t>
      </w:r>
      <w:r>
        <w:rPr/>
        <w:t>whether monetary</w:t>
      </w:r>
      <w:r>
        <w:rPr>
          <w:spacing w:val="-5"/>
        </w:rPr>
        <w:t> </w:t>
      </w:r>
      <w:r>
        <w:rPr/>
        <w:t>or fiscal.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760" w:right="1436"/>
        <w:jc w:val="both"/>
      </w:pPr>
      <w:r>
        <w:rPr/>
        <w:t>Algozhina (2012) considered the joint interaction of fiscal and monetary policy on inflation,</w:t>
      </w:r>
      <w:r>
        <w:rPr>
          <w:spacing w:val="1"/>
        </w:rPr>
        <w:t> </w:t>
      </w:r>
      <w:r>
        <w:rPr/>
        <w:t>exchange rate, and output in Hungary, within a NK DSGE model. The model assumes two</w:t>
      </w:r>
      <w:r>
        <w:rPr>
          <w:spacing w:val="1"/>
        </w:rPr>
        <w:t> </w:t>
      </w:r>
      <w:r>
        <w:rPr/>
        <w:t>types of households, optimisers and rule-of thumb individuals. a foreign debt and specifies</w:t>
      </w:r>
      <w:r>
        <w:rPr>
          <w:spacing w:val="1"/>
        </w:rPr>
        <w:t> </w:t>
      </w:r>
      <w:r>
        <w:rPr/>
        <w:t>monetary policy rules in interest rate and foreign exchange and fiscal policy rules in public</w:t>
      </w:r>
      <w:r>
        <w:rPr>
          <w:spacing w:val="1"/>
        </w:rPr>
        <w:t> </w:t>
      </w:r>
      <w:r>
        <w:rPr>
          <w:spacing w:val="-1"/>
        </w:rPr>
        <w:t>investment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public</w:t>
      </w:r>
      <w:r>
        <w:rPr>
          <w:spacing w:val="-15"/>
        </w:rPr>
        <w:t> </w:t>
      </w:r>
      <w:r>
        <w:rPr/>
        <w:t>consumption.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Taylor</w:t>
      </w:r>
      <w:r>
        <w:rPr>
          <w:spacing w:val="-14"/>
        </w:rPr>
        <w:t> </w:t>
      </w:r>
      <w:r>
        <w:rPr/>
        <w:t>rule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specified</w:t>
      </w:r>
      <w:r>
        <w:rPr>
          <w:spacing w:val="-14"/>
        </w:rPr>
        <w:t> </w:t>
      </w:r>
      <w:r>
        <w:rPr/>
        <w:t>as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function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lagged</w:t>
      </w:r>
      <w:r>
        <w:rPr>
          <w:spacing w:val="-15"/>
        </w:rPr>
        <w:t> </w:t>
      </w:r>
      <w:r>
        <w:rPr/>
        <w:t>interest</w:t>
      </w:r>
      <w:r>
        <w:rPr>
          <w:spacing w:val="-57"/>
        </w:rPr>
        <w:t> </w:t>
      </w:r>
      <w:r>
        <w:rPr/>
        <w:t>rate, inflation, output, and the nominal exchange rate, while the rule for the foreign exchange</w:t>
      </w:r>
      <w:r>
        <w:rPr>
          <w:spacing w:val="1"/>
        </w:rPr>
        <w:t> </w:t>
      </w:r>
      <w:r>
        <w:rPr/>
        <w:t>intervention is that it responds to the nominal exchange rate and the rate of depreciation. The</w:t>
      </w:r>
      <w:r>
        <w:rPr>
          <w:spacing w:val="1"/>
        </w:rPr>
        <w:t> </w:t>
      </w:r>
      <w:r>
        <w:rPr/>
        <w:t>fiscal</w:t>
      </w:r>
      <w:r>
        <w:rPr>
          <w:spacing w:val="-1"/>
        </w:rPr>
        <w:t> </w:t>
      </w:r>
      <w:r>
        <w:rPr/>
        <w:t>rules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defined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public</w:t>
      </w:r>
      <w:r>
        <w:rPr>
          <w:spacing w:val="-2"/>
        </w:rPr>
        <w:t> </w:t>
      </w:r>
      <w:r>
        <w:rPr/>
        <w:t>consumption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public</w:t>
      </w:r>
      <w:r>
        <w:rPr>
          <w:spacing w:val="-2"/>
        </w:rPr>
        <w:t> </w:t>
      </w:r>
      <w:r>
        <w:rPr/>
        <w:t>investment</w:t>
      </w:r>
      <w:r>
        <w:rPr>
          <w:spacing w:val="-1"/>
        </w:rPr>
        <w:t> </w:t>
      </w:r>
      <w:r>
        <w:rPr/>
        <w:t>being</w:t>
      </w:r>
      <w:r>
        <w:rPr>
          <w:spacing w:val="-4"/>
        </w:rPr>
        <w:t> </w:t>
      </w:r>
      <w:r>
        <w:rPr/>
        <w:t>related</w:t>
      </w:r>
      <w:r>
        <w:rPr>
          <w:spacing w:val="-1"/>
        </w:rPr>
        <w:t> </w:t>
      </w:r>
      <w:r>
        <w:rPr/>
        <w:t>to debt</w:t>
      </w:r>
      <w:r>
        <w:rPr>
          <w:spacing w:val="3"/>
        </w:rPr>
        <w:t> </w:t>
      </w:r>
      <w:r>
        <w:rPr/>
        <w:t>and</w:t>
      </w:r>
      <w:r>
        <w:rPr>
          <w:spacing w:val="-58"/>
        </w:rPr>
        <w:t> </w:t>
      </w:r>
      <w:r>
        <w:rPr/>
        <w:t>output.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solved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log-linearising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equations. The parameters are calibrated using data over 1995Q1-2011Q3 for the Hungarian</w:t>
      </w:r>
      <w:r>
        <w:rPr>
          <w:spacing w:val="1"/>
        </w:rPr>
        <w:t> </w:t>
      </w:r>
      <w:r>
        <w:rPr/>
        <w:t>economy. The author obtained some parameters by estimating the relevant equations in the</w:t>
      </w:r>
      <w:r>
        <w:rPr>
          <w:spacing w:val="1"/>
        </w:rPr>
        <w:t> </w:t>
      </w:r>
      <w:r>
        <w:rPr/>
        <w:t>model.</w:t>
      </w:r>
      <w:r>
        <w:rPr>
          <w:spacing w:val="-4"/>
        </w:rPr>
        <w:t> </w:t>
      </w:r>
      <w:r>
        <w:rPr/>
        <w:t>After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model</w:t>
      </w:r>
      <w:r>
        <w:rPr>
          <w:spacing w:val="-4"/>
        </w:rPr>
        <w:t> </w:t>
      </w:r>
      <w:r>
        <w:rPr/>
        <w:t>had</w:t>
      </w:r>
      <w:r>
        <w:rPr>
          <w:spacing w:val="-3"/>
        </w:rPr>
        <w:t> </w:t>
      </w:r>
      <w:r>
        <w:rPr/>
        <w:t>been</w:t>
      </w:r>
      <w:r>
        <w:rPr>
          <w:spacing w:val="-4"/>
        </w:rPr>
        <w:t> </w:t>
      </w:r>
      <w:r>
        <w:rPr/>
        <w:t>calibrated,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impulse</w:t>
      </w:r>
      <w:r>
        <w:rPr>
          <w:spacing w:val="-5"/>
        </w:rPr>
        <w:t> </w:t>
      </w:r>
      <w:r>
        <w:rPr/>
        <w:t>response</w:t>
      </w:r>
      <w:r>
        <w:rPr>
          <w:spacing w:val="-3"/>
        </w:rPr>
        <w:t> </w:t>
      </w:r>
      <w:r>
        <w:rPr/>
        <w:t>functions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shocks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fiscal</w:t>
      </w:r>
      <w:r>
        <w:rPr>
          <w:spacing w:val="-57"/>
        </w:rPr>
        <w:t> </w:t>
      </w:r>
      <w:r>
        <w:rPr/>
        <w:t>and monetary policy that is, public investment, public consumption and interest rate were</w:t>
      </w:r>
      <w:r>
        <w:rPr>
          <w:spacing w:val="1"/>
        </w:rPr>
        <w:t> </w:t>
      </w:r>
      <w:r>
        <w:rPr/>
        <w:t>derived.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findings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</w:t>
      </w:r>
      <w:r>
        <w:rPr>
          <w:spacing w:val="-10"/>
        </w:rPr>
        <w:t> </w:t>
      </w:r>
      <w:r>
        <w:rPr/>
        <w:t>showed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public</w:t>
      </w:r>
      <w:r>
        <w:rPr>
          <w:spacing w:val="-4"/>
        </w:rPr>
        <w:t> </w:t>
      </w:r>
      <w:r>
        <w:rPr/>
        <w:t>investment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not</w:t>
      </w:r>
      <w:r>
        <w:rPr>
          <w:spacing w:val="-3"/>
        </w:rPr>
        <w:t> </w:t>
      </w:r>
      <w:r>
        <w:rPr/>
        <w:t>inflationary</w:t>
      </w:r>
      <w:r>
        <w:rPr>
          <w:spacing w:val="-8"/>
        </w:rPr>
        <w:t> </w:t>
      </w:r>
      <w:r>
        <w:rPr/>
        <w:t>but</w:t>
      </w:r>
      <w:r>
        <w:rPr>
          <w:spacing w:val="-3"/>
        </w:rPr>
        <w:t> </w:t>
      </w:r>
      <w:r>
        <w:rPr/>
        <w:t>boosts</w:t>
      </w:r>
      <w:r>
        <w:rPr>
          <w:spacing w:val="-57"/>
        </w:rPr>
        <w:t> </w:t>
      </w:r>
      <w:r>
        <w:rPr>
          <w:spacing w:val="-1"/>
        </w:rPr>
        <w:t>output</w:t>
      </w:r>
      <w:r>
        <w:rPr>
          <w:spacing w:val="-9"/>
        </w:rPr>
        <w:t> </w:t>
      </w:r>
      <w:r>
        <w:rPr>
          <w:spacing w:val="-1"/>
        </w:rPr>
        <w:t>while</w:t>
      </w:r>
      <w:r>
        <w:rPr>
          <w:spacing w:val="-11"/>
        </w:rPr>
        <w:t> </w:t>
      </w:r>
      <w:r>
        <w:rPr/>
        <w:t>public</w:t>
      </w:r>
      <w:r>
        <w:rPr>
          <w:spacing w:val="-11"/>
        </w:rPr>
        <w:t> </w:t>
      </w:r>
      <w:r>
        <w:rPr/>
        <w:t>consumption</w:t>
      </w:r>
      <w:r>
        <w:rPr>
          <w:spacing w:val="-10"/>
        </w:rPr>
        <w:t> </w:t>
      </w:r>
      <w:r>
        <w:rPr/>
        <w:t>is</w:t>
      </w:r>
      <w:r>
        <w:rPr>
          <w:spacing w:val="-12"/>
        </w:rPr>
        <w:t> </w:t>
      </w:r>
      <w:r>
        <w:rPr/>
        <w:t>inflationary</w:t>
      </w:r>
      <w:r>
        <w:rPr>
          <w:spacing w:val="-15"/>
        </w:rPr>
        <w:t> </w:t>
      </w:r>
      <w:r>
        <w:rPr/>
        <w:t>and</w:t>
      </w:r>
      <w:r>
        <w:rPr>
          <w:spacing w:val="-8"/>
        </w:rPr>
        <w:t> </w:t>
      </w:r>
      <w:r>
        <w:rPr/>
        <w:t>impacts</w:t>
      </w:r>
      <w:r>
        <w:rPr>
          <w:spacing w:val="-9"/>
        </w:rPr>
        <w:t> </w:t>
      </w:r>
      <w:r>
        <w:rPr/>
        <w:t>negatively</w:t>
      </w:r>
      <w:r>
        <w:rPr>
          <w:spacing w:val="-15"/>
        </w:rPr>
        <w:t> </w:t>
      </w:r>
      <w:r>
        <w:rPr/>
        <w:t>on</w:t>
      </w:r>
      <w:r>
        <w:rPr>
          <w:spacing w:val="-10"/>
        </w:rPr>
        <w:t> </w:t>
      </w:r>
      <w:r>
        <w:rPr/>
        <w:t>output.</w:t>
      </w:r>
      <w:r>
        <w:rPr>
          <w:spacing w:val="-10"/>
        </w:rPr>
        <w:t> </w:t>
      </w:r>
      <w:r>
        <w:rPr/>
        <w:t>This</w:t>
      </w:r>
      <w:r>
        <w:rPr>
          <w:spacing w:val="-12"/>
        </w:rPr>
        <w:t> </w:t>
      </w:r>
      <w:r>
        <w:rPr/>
        <w:t>implies</w:t>
      </w:r>
      <w:r>
        <w:rPr>
          <w:spacing w:val="-57"/>
        </w:rPr>
        <w:t> </w:t>
      </w:r>
      <w:r>
        <w:rPr/>
        <w:t>that</w:t>
      </w:r>
      <w:r>
        <w:rPr>
          <w:spacing w:val="-7"/>
        </w:rPr>
        <w:t> </w:t>
      </w:r>
      <w:r>
        <w:rPr/>
        <w:t>public</w:t>
      </w:r>
      <w:r>
        <w:rPr>
          <w:spacing w:val="-7"/>
        </w:rPr>
        <w:t> </w:t>
      </w:r>
      <w:r>
        <w:rPr/>
        <w:t>investment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welfare-enhancing</w:t>
      </w:r>
      <w:r>
        <w:rPr>
          <w:spacing w:val="-10"/>
        </w:rPr>
        <w:t> </w:t>
      </w:r>
      <w:r>
        <w:rPr/>
        <w:t>while</w:t>
      </w:r>
      <w:r>
        <w:rPr>
          <w:spacing w:val="-7"/>
        </w:rPr>
        <w:t> </w:t>
      </w:r>
      <w:r>
        <w:rPr/>
        <w:t>public</w:t>
      </w:r>
      <w:r>
        <w:rPr>
          <w:spacing w:val="-7"/>
        </w:rPr>
        <w:t> </w:t>
      </w:r>
      <w:r>
        <w:rPr/>
        <w:t>consumption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not.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relevance</w:t>
      </w:r>
      <w:r>
        <w:rPr>
          <w:spacing w:val="-7"/>
        </w:rPr>
        <w:t> </w:t>
      </w:r>
      <w:r>
        <w:rPr/>
        <w:t>of</w:t>
      </w:r>
      <w:r>
        <w:rPr>
          <w:spacing w:val="-58"/>
        </w:rPr>
        <w:t> </w:t>
      </w:r>
      <w:r>
        <w:rPr/>
        <w:t>this study lies in its assumption of the existence of non-Ricardian agents which enables fiscal</w:t>
      </w:r>
      <w:r>
        <w:rPr>
          <w:spacing w:val="-57"/>
        </w:rPr>
        <w:t> </w:t>
      </w:r>
      <w:r>
        <w:rPr>
          <w:spacing w:val="-1"/>
        </w:rPr>
        <w:t>policy</w:t>
      </w:r>
      <w:r>
        <w:rPr>
          <w:spacing w:val="-15"/>
        </w:rPr>
        <w:t> </w:t>
      </w:r>
      <w:r>
        <w:rPr>
          <w:spacing w:val="-1"/>
        </w:rPr>
        <w:t>to</w:t>
      </w:r>
      <w:r>
        <w:rPr>
          <w:spacing w:val="-9"/>
        </w:rPr>
        <w:t> </w:t>
      </w:r>
      <w:r>
        <w:rPr>
          <w:spacing w:val="-1"/>
        </w:rPr>
        <w:t>have</w:t>
      </w:r>
      <w:r>
        <w:rPr>
          <w:spacing w:val="-11"/>
        </w:rPr>
        <w:t> </w:t>
      </w:r>
      <w:r>
        <w:rPr>
          <w:spacing w:val="-1"/>
        </w:rPr>
        <w:t>non-neutral</w:t>
      </w:r>
      <w:r>
        <w:rPr>
          <w:spacing w:val="-9"/>
        </w:rPr>
        <w:t> </w:t>
      </w:r>
      <w:r>
        <w:rPr/>
        <w:t>effects</w:t>
      </w:r>
      <w:r>
        <w:rPr>
          <w:spacing w:val="-8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economy.</w:t>
      </w:r>
      <w:r>
        <w:rPr>
          <w:spacing w:val="-8"/>
        </w:rPr>
        <w:t> </w:t>
      </w:r>
      <w:r>
        <w:rPr/>
        <w:t>This</w:t>
      </w:r>
      <w:r>
        <w:rPr>
          <w:spacing w:val="-9"/>
        </w:rPr>
        <w:t> </w:t>
      </w:r>
      <w:r>
        <w:rPr/>
        <w:t>current</w:t>
      </w:r>
      <w:r>
        <w:rPr>
          <w:spacing w:val="-9"/>
        </w:rPr>
        <w:t> </w:t>
      </w:r>
      <w:r>
        <w:rPr/>
        <w:t>study,</w:t>
      </w:r>
      <w:r>
        <w:rPr>
          <w:spacing w:val="-10"/>
        </w:rPr>
        <w:t> </w:t>
      </w:r>
      <w:r>
        <w:rPr/>
        <w:t>therefore,</w:t>
      </w:r>
      <w:r>
        <w:rPr>
          <w:spacing w:val="-9"/>
        </w:rPr>
        <w:t> </w:t>
      </w:r>
      <w:r>
        <w:rPr/>
        <w:t>borrows</w:t>
      </w:r>
      <w:r>
        <w:rPr>
          <w:spacing w:val="-7"/>
        </w:rPr>
        <w:t> </w:t>
      </w:r>
      <w:r>
        <w:rPr/>
        <w:t>a</w:t>
      </w:r>
      <w:r>
        <w:rPr>
          <w:spacing w:val="-11"/>
        </w:rPr>
        <w:t> </w:t>
      </w:r>
      <w:r>
        <w:rPr/>
        <w:t>cue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Algozhina (2012) by</w:t>
      </w:r>
      <w:r>
        <w:rPr>
          <w:spacing w:val="-3"/>
        </w:rPr>
        <w:t> </w:t>
      </w:r>
      <w:r>
        <w:rPr/>
        <w:t>also assuming</w:t>
      </w:r>
      <w:r>
        <w:rPr>
          <w:spacing w:val="-3"/>
        </w:rPr>
        <w:t> </w:t>
      </w:r>
      <w:r>
        <w:rPr/>
        <w:t>the existence</w:t>
      </w:r>
      <w:r>
        <w:rPr>
          <w:spacing w:val="-1"/>
        </w:rPr>
        <w:t> </w:t>
      </w:r>
      <w:r>
        <w:rPr/>
        <w:t>of non-Ricardian agents.</w:t>
      </w:r>
    </w:p>
    <w:p>
      <w:pPr>
        <w:pStyle w:val="BodyText"/>
        <w:spacing w:before="7"/>
        <w:rPr>
          <w:sz w:val="36"/>
        </w:rPr>
      </w:pPr>
    </w:p>
    <w:p>
      <w:pPr>
        <w:pStyle w:val="Heading1"/>
        <w:numPr>
          <w:ilvl w:val="2"/>
          <w:numId w:val="11"/>
        </w:numPr>
        <w:tabs>
          <w:tab w:pos="2603" w:val="left" w:leader="none"/>
        </w:tabs>
        <w:spacing w:line="240" w:lineRule="auto" w:before="0" w:after="0"/>
        <w:ind w:left="2602" w:right="0" w:hanging="843"/>
        <w:jc w:val="both"/>
      </w:pPr>
      <w:bookmarkStart w:name="_TOC_250042" w:id="18"/>
      <w:r>
        <w:rPr/>
        <w:t>Empirical</w:t>
      </w:r>
      <w:r>
        <w:rPr>
          <w:spacing w:val="-2"/>
        </w:rPr>
        <w:t> </w:t>
      </w:r>
      <w:r>
        <w:rPr/>
        <w:t>Evidence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bookmarkEnd w:id="18"/>
      <w:r>
        <w:rPr/>
        <w:t>Asia</w:t>
      </w:r>
    </w:p>
    <w:p>
      <w:pPr>
        <w:pStyle w:val="BodyText"/>
        <w:spacing w:line="360" w:lineRule="auto" w:before="142"/>
        <w:ind w:left="1760" w:right="1437"/>
        <w:jc w:val="both"/>
      </w:pPr>
      <w:r>
        <w:rPr/>
        <w:t>Cekin (2013) characterised whether fiscal and monetary policy follows an active or passive</w:t>
      </w:r>
      <w:r>
        <w:rPr>
          <w:spacing w:val="1"/>
        </w:rPr>
        <w:t> </w:t>
      </w:r>
      <w:r>
        <w:rPr/>
        <w:t>regime. The study investigated the effect of fiscal-monetary policy interaction on the price</w:t>
      </w:r>
      <w:r>
        <w:rPr>
          <w:spacing w:val="1"/>
        </w:rPr>
        <w:t> </w:t>
      </w:r>
      <w:r>
        <w:rPr/>
        <w:t>level in Turkey within a DSGE model. The fiscal-monetary policy interactions are explained</w:t>
      </w:r>
      <w:r>
        <w:rPr>
          <w:spacing w:val="1"/>
        </w:rPr>
        <w:t> </w:t>
      </w:r>
      <w:r>
        <w:rPr/>
        <w:t>by</w:t>
      </w:r>
      <w:r>
        <w:rPr>
          <w:spacing w:val="51"/>
        </w:rPr>
        <w:t> </w:t>
      </w:r>
      <w:r>
        <w:rPr/>
        <w:t>rules</w:t>
      </w:r>
      <w:r>
        <w:rPr>
          <w:spacing w:val="55"/>
        </w:rPr>
        <w:t> </w:t>
      </w:r>
      <w:r>
        <w:rPr/>
        <w:t>that</w:t>
      </w:r>
      <w:r>
        <w:rPr>
          <w:spacing w:val="57"/>
        </w:rPr>
        <w:t> </w:t>
      </w:r>
      <w:r>
        <w:rPr/>
        <w:t>are</w:t>
      </w:r>
      <w:r>
        <w:rPr>
          <w:spacing w:val="55"/>
        </w:rPr>
        <w:t> </w:t>
      </w:r>
      <w:r>
        <w:rPr/>
        <w:t>assumed</w:t>
      </w:r>
      <w:r>
        <w:rPr>
          <w:spacing w:val="54"/>
        </w:rPr>
        <w:t> </w:t>
      </w:r>
      <w:r>
        <w:rPr/>
        <w:t>to</w:t>
      </w:r>
      <w:r>
        <w:rPr>
          <w:spacing w:val="55"/>
        </w:rPr>
        <w:t> </w:t>
      </w:r>
      <w:r>
        <w:rPr/>
        <w:t>follow</w:t>
      </w:r>
      <w:r>
        <w:rPr>
          <w:spacing w:val="56"/>
        </w:rPr>
        <w:t> </w:t>
      </w:r>
      <w:r>
        <w:rPr/>
        <w:t>a</w:t>
      </w:r>
      <w:r>
        <w:rPr>
          <w:spacing w:val="54"/>
        </w:rPr>
        <w:t> </w:t>
      </w:r>
      <w:r>
        <w:rPr/>
        <w:t>Markov</w:t>
      </w:r>
      <w:r>
        <w:rPr>
          <w:spacing w:val="56"/>
        </w:rPr>
        <w:t> </w:t>
      </w:r>
      <w:r>
        <w:rPr/>
        <w:t>switch</w:t>
      </w:r>
      <w:r>
        <w:rPr>
          <w:spacing w:val="54"/>
        </w:rPr>
        <w:t> </w:t>
      </w:r>
      <w:r>
        <w:rPr/>
        <w:t>process.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study</w:t>
      </w:r>
      <w:r>
        <w:rPr>
          <w:spacing w:val="51"/>
        </w:rPr>
        <w:t> </w:t>
      </w:r>
      <w:r>
        <w:rPr/>
        <w:t>estimated</w:t>
      </w:r>
      <w:r>
        <w:rPr>
          <w:spacing w:val="54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38"/>
        <w:jc w:val="both"/>
      </w:pPr>
      <w:r>
        <w:rPr/>
        <w:t>coefficients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fiscal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monetary</w:t>
      </w:r>
      <w:r>
        <w:rPr>
          <w:spacing w:val="-13"/>
        </w:rPr>
        <w:t> </w:t>
      </w:r>
      <w:r>
        <w:rPr/>
        <w:t>rules.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study</w:t>
      </w:r>
      <w:r>
        <w:rPr>
          <w:spacing w:val="-13"/>
        </w:rPr>
        <w:t> </w:t>
      </w:r>
      <w:r>
        <w:rPr/>
        <w:t>also</w:t>
      </w:r>
      <w:r>
        <w:rPr>
          <w:spacing w:val="-8"/>
        </w:rPr>
        <w:t> </w:t>
      </w:r>
      <w:r>
        <w:rPr/>
        <w:t>estimated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Taylor</w:t>
      </w:r>
      <w:r>
        <w:rPr>
          <w:spacing w:val="-9"/>
        </w:rPr>
        <w:t> </w:t>
      </w:r>
      <w:r>
        <w:rPr/>
        <w:t>rule</w:t>
      </w:r>
      <w:r>
        <w:rPr>
          <w:spacing w:val="-9"/>
        </w:rPr>
        <w:t> </w:t>
      </w:r>
      <w:r>
        <w:rPr/>
        <w:t>augmented</w:t>
      </w:r>
      <w:r>
        <w:rPr>
          <w:spacing w:val="-58"/>
        </w:rPr>
        <w:t> </w:t>
      </w:r>
      <w:r>
        <w:rPr/>
        <w:t>with</w:t>
      </w:r>
      <w:r>
        <w:rPr>
          <w:spacing w:val="-2"/>
        </w:rPr>
        <w:t> </w:t>
      </w:r>
      <w:r>
        <w:rPr/>
        <w:t>exchange</w:t>
      </w:r>
      <w:r>
        <w:rPr>
          <w:spacing w:val="-2"/>
        </w:rPr>
        <w:t> </w:t>
      </w:r>
      <w:r>
        <w:rPr/>
        <w:t>rate</w:t>
      </w:r>
      <w:r>
        <w:rPr>
          <w:spacing w:val="-2"/>
        </w:rPr>
        <w:t> </w:t>
      </w:r>
      <w:r>
        <w:rPr/>
        <w:t>over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period</w:t>
      </w:r>
      <w:r>
        <w:rPr>
          <w:spacing w:val="-2"/>
        </w:rPr>
        <w:t> </w:t>
      </w:r>
      <w:r>
        <w:rPr/>
        <w:t>1988Q2-2012Q1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fiscal</w:t>
      </w:r>
      <w:r>
        <w:rPr>
          <w:spacing w:val="-1"/>
        </w:rPr>
        <w:t> </w:t>
      </w:r>
      <w:r>
        <w:rPr/>
        <w:t>rules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tax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budget</w:t>
      </w:r>
      <w:r>
        <w:rPr>
          <w:spacing w:val="-1"/>
        </w:rPr>
        <w:t> </w:t>
      </w:r>
      <w:r>
        <w:rPr/>
        <w:t>deficits</w:t>
      </w:r>
      <w:r>
        <w:rPr>
          <w:spacing w:val="-58"/>
        </w:rPr>
        <w:t> </w:t>
      </w:r>
      <w:r>
        <w:rPr/>
        <w:t>over</w:t>
      </w:r>
      <w:r>
        <w:rPr>
          <w:spacing w:val="-6"/>
        </w:rPr>
        <w:t> </w:t>
      </w:r>
      <w:r>
        <w:rPr/>
        <w:t>1994Q1-2012Q1.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author</w:t>
      </w:r>
      <w:r>
        <w:rPr>
          <w:spacing w:val="-3"/>
        </w:rPr>
        <w:t> </w:t>
      </w:r>
      <w:r>
        <w:rPr/>
        <w:t>found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coefficient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response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monetary</w:t>
      </w:r>
      <w:r>
        <w:rPr>
          <w:spacing w:val="-10"/>
        </w:rPr>
        <w:t> </w:t>
      </w:r>
      <w:r>
        <w:rPr/>
        <w:t>policy</w:t>
      </w:r>
      <w:r>
        <w:rPr>
          <w:spacing w:val="-10"/>
        </w:rPr>
        <w:t> </w:t>
      </w:r>
      <w:r>
        <w:rPr/>
        <w:t>to</w:t>
      </w:r>
      <w:r>
        <w:rPr>
          <w:spacing w:val="-57"/>
        </w:rPr>
        <w:t> </w:t>
      </w:r>
      <w:r>
        <w:rPr/>
        <w:t>inflation was less than unity in one era and greater than unity in another. This means that</w:t>
      </w:r>
      <w:r>
        <w:rPr>
          <w:spacing w:val="1"/>
        </w:rPr>
        <w:t> </w:t>
      </w:r>
      <w:r>
        <w:rPr/>
        <w:t>monetary</w:t>
      </w:r>
      <w:r>
        <w:rPr>
          <w:spacing w:val="-20"/>
        </w:rPr>
        <w:t> </w:t>
      </w:r>
      <w:r>
        <w:rPr/>
        <w:t>policy</w:t>
      </w:r>
      <w:r>
        <w:rPr>
          <w:spacing w:val="-20"/>
        </w:rPr>
        <w:t> </w:t>
      </w:r>
      <w:r>
        <w:rPr/>
        <w:t>was</w:t>
      </w:r>
      <w:r>
        <w:rPr>
          <w:spacing w:val="-15"/>
        </w:rPr>
        <w:t> </w:t>
      </w:r>
      <w:r>
        <w:rPr/>
        <w:t>passive</w:t>
      </w:r>
      <w:r>
        <w:rPr>
          <w:spacing w:val="-15"/>
        </w:rPr>
        <w:t> </w:t>
      </w:r>
      <w:r>
        <w:rPr/>
        <w:t>over</w:t>
      </w:r>
      <w:r>
        <w:rPr>
          <w:spacing w:val="-12"/>
        </w:rPr>
        <w:t> </w:t>
      </w:r>
      <w:r>
        <w:rPr/>
        <w:t>a</w:t>
      </w:r>
      <w:r>
        <w:rPr>
          <w:spacing w:val="-16"/>
        </w:rPr>
        <w:t> </w:t>
      </w:r>
      <w:r>
        <w:rPr/>
        <w:t>period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active</w:t>
      </w:r>
      <w:r>
        <w:rPr>
          <w:spacing w:val="-15"/>
        </w:rPr>
        <w:t> </w:t>
      </w:r>
      <w:r>
        <w:rPr/>
        <w:t>over</w:t>
      </w:r>
      <w:r>
        <w:rPr>
          <w:spacing w:val="-13"/>
        </w:rPr>
        <w:t> </w:t>
      </w:r>
      <w:r>
        <w:rPr/>
        <w:t>another</w:t>
      </w:r>
      <w:r>
        <w:rPr>
          <w:spacing w:val="-16"/>
        </w:rPr>
        <w:t> </w:t>
      </w:r>
      <w:r>
        <w:rPr/>
        <w:t>period.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study</w:t>
      </w:r>
      <w:r>
        <w:rPr>
          <w:spacing w:val="-17"/>
        </w:rPr>
        <w:t> </w:t>
      </w:r>
      <w:r>
        <w:rPr/>
        <w:t>also</w:t>
      </w:r>
      <w:r>
        <w:rPr>
          <w:spacing w:val="-14"/>
        </w:rPr>
        <w:t> </w:t>
      </w:r>
      <w:r>
        <w:rPr/>
        <w:t>found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fiscal policy</w:t>
      </w:r>
      <w:r>
        <w:rPr>
          <w:spacing w:val="-5"/>
        </w:rPr>
        <w:t> </w:t>
      </w:r>
      <w:r>
        <w:rPr/>
        <w:t>switched from active</w:t>
      </w:r>
      <w:r>
        <w:rPr>
          <w:spacing w:val="-1"/>
        </w:rPr>
        <w:t> </w:t>
      </w:r>
      <w:r>
        <w:rPr/>
        <w:t>to passive.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760" w:right="1435"/>
        <w:jc w:val="both"/>
      </w:pPr>
      <w:r>
        <w:rPr/>
        <w:t>The next step is to impute the policy rules into the DSGE model that is linearised and solved</w:t>
      </w:r>
      <w:r>
        <w:rPr>
          <w:spacing w:val="1"/>
        </w:rPr>
        <w:t> </w:t>
      </w:r>
      <w:r>
        <w:rPr/>
        <w:t>using</w:t>
      </w:r>
      <w:r>
        <w:rPr>
          <w:spacing w:val="-6"/>
        </w:rPr>
        <w:t> </w:t>
      </w:r>
      <w:r>
        <w:rPr/>
        <w:t>Sims’</w:t>
      </w:r>
      <w:r>
        <w:rPr>
          <w:spacing w:val="-3"/>
        </w:rPr>
        <w:t> </w:t>
      </w:r>
      <w:r>
        <w:rPr/>
        <w:t>condition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uniqueness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stability</w:t>
      </w:r>
      <w:r>
        <w:rPr>
          <w:spacing w:val="-9"/>
        </w:rPr>
        <w:t> </w:t>
      </w:r>
      <w:r>
        <w:rPr/>
        <w:t>of</w:t>
      </w:r>
      <w:r>
        <w:rPr>
          <w:spacing w:val="-4"/>
        </w:rPr>
        <w:t> </w:t>
      </w:r>
      <w:r>
        <w:rPr/>
        <w:t>equilibrium.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author</w:t>
      </w:r>
      <w:r>
        <w:rPr>
          <w:spacing w:val="-4"/>
        </w:rPr>
        <w:t> </w:t>
      </w:r>
      <w:r>
        <w:rPr/>
        <w:t>also</w:t>
      </w:r>
      <w:r>
        <w:rPr>
          <w:spacing w:val="-2"/>
        </w:rPr>
        <w:t> </w:t>
      </w:r>
      <w:r>
        <w:rPr/>
        <w:t>imputes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estimated parameters of the policy rules into the DGE model and numerically simulate to</w:t>
      </w:r>
      <w:r>
        <w:rPr>
          <w:spacing w:val="1"/>
        </w:rPr>
        <w:t> </w:t>
      </w:r>
      <w:r>
        <w:rPr/>
        <w:t>unearth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inflation</w:t>
      </w:r>
      <w:r>
        <w:rPr>
          <w:spacing w:val="-8"/>
        </w:rPr>
        <w:t> </w:t>
      </w:r>
      <w:r>
        <w:rPr/>
        <w:t>was</w:t>
      </w:r>
      <w:r>
        <w:rPr>
          <w:spacing w:val="-5"/>
        </w:rPr>
        <w:t> </w:t>
      </w:r>
      <w:r>
        <w:rPr/>
        <w:t>stable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Turkey</w:t>
      </w:r>
      <w:r>
        <w:rPr>
          <w:spacing w:val="-12"/>
        </w:rPr>
        <w:t> </w:t>
      </w:r>
      <w:r>
        <w:rPr/>
        <w:t>over</w:t>
      </w:r>
      <w:r>
        <w:rPr>
          <w:spacing w:val="-5"/>
        </w:rPr>
        <w:t> </w:t>
      </w:r>
      <w:r>
        <w:rPr/>
        <w:t>a</w:t>
      </w:r>
      <w:r>
        <w:rPr>
          <w:spacing w:val="-9"/>
        </w:rPr>
        <w:t> </w:t>
      </w:r>
      <w:r>
        <w:rPr/>
        <w:t>specified</w:t>
      </w:r>
      <w:r>
        <w:rPr>
          <w:spacing w:val="-8"/>
        </w:rPr>
        <w:t> </w:t>
      </w:r>
      <w:r>
        <w:rPr/>
        <w:t>period</w:t>
      </w:r>
      <w:r>
        <w:rPr>
          <w:spacing w:val="-8"/>
        </w:rPr>
        <w:t> </w:t>
      </w:r>
      <w:r>
        <w:rPr/>
        <w:t>because</w:t>
      </w:r>
      <w:r>
        <w:rPr>
          <w:spacing w:val="-9"/>
        </w:rPr>
        <w:t> </w:t>
      </w:r>
      <w:r>
        <w:rPr/>
        <w:t>fiscal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monetary</w:t>
      </w:r>
      <w:r>
        <w:rPr>
          <w:spacing w:val="-57"/>
        </w:rPr>
        <w:t> </w:t>
      </w:r>
      <w:r>
        <w:rPr/>
        <w:t>authorities interacted such that an active independent central bank was complemented by a</w:t>
      </w:r>
      <w:r>
        <w:rPr>
          <w:spacing w:val="1"/>
        </w:rPr>
        <w:t> </w:t>
      </w:r>
      <w:r>
        <w:rPr>
          <w:spacing w:val="-1"/>
        </w:rPr>
        <w:t>passive</w:t>
      </w:r>
      <w:r>
        <w:rPr>
          <w:spacing w:val="-13"/>
        </w:rPr>
        <w:t> </w:t>
      </w:r>
      <w:r>
        <w:rPr>
          <w:spacing w:val="-1"/>
        </w:rPr>
        <w:t>but</w:t>
      </w:r>
      <w:r>
        <w:rPr>
          <w:spacing w:val="-11"/>
        </w:rPr>
        <w:t> </w:t>
      </w:r>
      <w:r>
        <w:rPr>
          <w:spacing w:val="-1"/>
        </w:rPr>
        <w:t>disciplined</w:t>
      </w:r>
      <w:r>
        <w:rPr>
          <w:spacing w:val="-13"/>
        </w:rPr>
        <w:t> </w:t>
      </w:r>
      <w:r>
        <w:rPr/>
        <w:t>fiscal</w:t>
      </w:r>
      <w:r>
        <w:rPr>
          <w:spacing w:val="-11"/>
        </w:rPr>
        <w:t> </w:t>
      </w:r>
      <w:r>
        <w:rPr/>
        <w:t>sector.</w:t>
      </w:r>
      <w:r>
        <w:rPr>
          <w:spacing w:val="-7"/>
        </w:rPr>
        <w:t> </w:t>
      </w:r>
      <w:r>
        <w:rPr/>
        <w:t>In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similar</w:t>
      </w:r>
      <w:r>
        <w:rPr>
          <w:spacing w:val="-12"/>
        </w:rPr>
        <w:t> </w:t>
      </w:r>
      <w:r>
        <w:rPr/>
        <w:t>manner</w:t>
      </w:r>
      <w:r>
        <w:rPr>
          <w:spacing w:val="-13"/>
        </w:rPr>
        <w:t> </w:t>
      </w:r>
      <w:r>
        <w:rPr/>
        <w:t>as</w:t>
      </w:r>
      <w:r>
        <w:rPr>
          <w:spacing w:val="-11"/>
        </w:rPr>
        <w:t> </w:t>
      </w:r>
      <w:r>
        <w:rPr/>
        <w:t>Davig</w:t>
      </w:r>
      <w:r>
        <w:rPr>
          <w:spacing w:val="-15"/>
        </w:rPr>
        <w:t> </w:t>
      </w:r>
      <w:r>
        <w:rPr/>
        <w:t>and</w:t>
      </w:r>
      <w:r>
        <w:rPr>
          <w:spacing w:val="-9"/>
        </w:rPr>
        <w:t> </w:t>
      </w:r>
      <w:r>
        <w:rPr/>
        <w:t>Leeper</w:t>
      </w:r>
      <w:r>
        <w:rPr>
          <w:spacing w:val="-10"/>
        </w:rPr>
        <w:t> </w:t>
      </w:r>
      <w:r>
        <w:rPr/>
        <w:t>(2009),</w:t>
      </w:r>
      <w:r>
        <w:rPr>
          <w:spacing w:val="-13"/>
        </w:rPr>
        <w:t> </w:t>
      </w:r>
      <w:r>
        <w:rPr/>
        <w:t>this</w:t>
      </w:r>
      <w:r>
        <w:rPr>
          <w:spacing w:val="-11"/>
        </w:rPr>
        <w:t> </w:t>
      </w:r>
      <w:r>
        <w:rPr/>
        <w:t>study</w:t>
      </w:r>
      <w:r>
        <w:rPr>
          <w:spacing w:val="-58"/>
        </w:rPr>
        <w:t> </w:t>
      </w:r>
      <w:r>
        <w:rPr/>
        <w:t>proposed Markov switching policy rules in order to account for transitions in fiscal and</w:t>
      </w:r>
      <w:r>
        <w:rPr>
          <w:spacing w:val="1"/>
        </w:rPr>
        <w:t> </w:t>
      </w:r>
      <w:r>
        <w:rPr/>
        <w:t>monetary</w:t>
      </w:r>
      <w:r>
        <w:rPr>
          <w:spacing w:val="-5"/>
        </w:rPr>
        <w:t> </w:t>
      </w:r>
      <w:r>
        <w:rPr/>
        <w:t>policy</w:t>
      </w:r>
      <w:r>
        <w:rPr>
          <w:spacing w:val="-5"/>
        </w:rPr>
        <w:t> </w:t>
      </w:r>
      <w:r>
        <w:rPr/>
        <w:t>between</w:t>
      </w:r>
      <w:r>
        <w:rPr>
          <w:spacing w:val="2"/>
        </w:rPr>
        <w:t> </w:t>
      </w:r>
      <w:r>
        <w:rPr/>
        <w:t>the passive</w:t>
      </w:r>
      <w:r>
        <w:rPr>
          <w:spacing w:val="-2"/>
        </w:rPr>
        <w:t> </w:t>
      </w:r>
      <w:r>
        <w:rPr/>
        <w:t>and active</w:t>
      </w:r>
      <w:r>
        <w:rPr>
          <w:spacing w:val="-1"/>
        </w:rPr>
        <w:t> </w:t>
      </w:r>
      <w:r>
        <w:rPr/>
        <w:t>states.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760" w:right="1437"/>
        <w:jc w:val="both"/>
      </w:pPr>
      <w:r>
        <w:rPr/>
        <w:t>Ehelepola (2014) solved for optimal simple fiscal and monetary policy rules that maximises</w:t>
      </w:r>
      <w:r>
        <w:rPr>
          <w:spacing w:val="1"/>
        </w:rPr>
        <w:t> </w:t>
      </w:r>
      <w:r>
        <w:rPr/>
        <w:t>household welfare in Sri-Lanka within a NK DSGE model. The monetary policy rule is a</w:t>
      </w:r>
      <w:r>
        <w:rPr>
          <w:spacing w:val="1"/>
        </w:rPr>
        <w:t> </w:t>
      </w:r>
      <w:r>
        <w:rPr/>
        <w:t>Taylor rule specified as nominal interest rate being a function of deviation of inflation rate</w:t>
      </w:r>
      <w:r>
        <w:rPr>
          <w:spacing w:val="1"/>
        </w:rPr>
        <w:t> </w:t>
      </w:r>
      <w:r>
        <w:rPr/>
        <w:t>from its steady state and output gap. The fiscal rule is in tax revenue as a function of</w:t>
      </w:r>
      <w:r>
        <w:rPr>
          <w:spacing w:val="1"/>
        </w:rPr>
        <w:t> </w:t>
      </w:r>
      <w:r>
        <w:rPr/>
        <w:t>government debt. The study derived a second-order approximation to the policy function of</w:t>
      </w:r>
      <w:r>
        <w:rPr>
          <w:spacing w:val="1"/>
        </w:rPr>
        <w:t> </w:t>
      </w:r>
      <w:r>
        <w:rPr/>
        <w:t>the</w:t>
      </w:r>
      <w:r>
        <w:rPr>
          <w:spacing w:val="-12"/>
        </w:rPr>
        <w:t> </w:t>
      </w:r>
      <w:r>
        <w:rPr/>
        <w:t>DSGE</w:t>
      </w:r>
      <w:r>
        <w:rPr>
          <w:spacing w:val="-10"/>
        </w:rPr>
        <w:t> </w:t>
      </w:r>
      <w:r>
        <w:rPr/>
        <w:t>model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also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expected</w:t>
      </w:r>
      <w:r>
        <w:rPr>
          <w:spacing w:val="-12"/>
        </w:rPr>
        <w:t> </w:t>
      </w:r>
      <w:r>
        <w:rPr/>
        <w:t>utility</w:t>
      </w:r>
      <w:r>
        <w:rPr>
          <w:spacing w:val="-12"/>
        </w:rPr>
        <w:t> </w:t>
      </w:r>
      <w:r>
        <w:rPr/>
        <w:t>function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individual</w:t>
      </w:r>
      <w:r>
        <w:rPr>
          <w:spacing w:val="-8"/>
        </w:rPr>
        <w:t> </w:t>
      </w:r>
      <w:r>
        <w:rPr/>
        <w:t>agent.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next</w:t>
      </w:r>
      <w:r>
        <w:rPr>
          <w:spacing w:val="-11"/>
        </w:rPr>
        <w:t> </w:t>
      </w:r>
      <w:r>
        <w:rPr/>
        <w:t>step</w:t>
      </w:r>
      <w:r>
        <w:rPr>
          <w:spacing w:val="-57"/>
        </w:rPr>
        <w:t> </w:t>
      </w:r>
      <w:r>
        <w:rPr/>
        <w:t>is to calibrate the model with the economy of Sri-Lanka using parameter values from some</w:t>
      </w:r>
      <w:r>
        <w:rPr>
          <w:spacing w:val="1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studies. 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then</w:t>
      </w:r>
      <w:r>
        <w:rPr>
          <w:spacing w:val="-1"/>
        </w:rPr>
        <w:t> </w:t>
      </w:r>
      <w:r>
        <w:rPr/>
        <w:t>conducted welfare</w:t>
      </w:r>
      <w:r>
        <w:rPr>
          <w:spacing w:val="-1"/>
        </w:rPr>
        <w:t> </w:t>
      </w:r>
      <w:r>
        <w:rPr/>
        <w:t>analysis by</w:t>
      </w:r>
      <w:r>
        <w:rPr>
          <w:spacing w:val="-7"/>
        </w:rPr>
        <w:t> </w:t>
      </w:r>
      <w:r>
        <w:rPr/>
        <w:t>comparing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welfare</w:t>
      </w:r>
      <w:r>
        <w:rPr>
          <w:spacing w:val="-1"/>
        </w:rPr>
        <w:t> </w:t>
      </w:r>
      <w:r>
        <w:rPr/>
        <w:t>costs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the simple policy rules with Ramsey policies under different economic assumptions. The</w:t>
      </w:r>
      <w:r>
        <w:rPr>
          <w:spacing w:val="1"/>
        </w:rPr>
        <w:t> </w:t>
      </w:r>
      <w:r>
        <w:rPr/>
        <w:t>findings from the study indicated that optimal monetary policy responds significantly to</w:t>
      </w:r>
      <w:r>
        <w:rPr>
          <w:spacing w:val="1"/>
        </w:rPr>
        <w:t> </w:t>
      </w:r>
      <w:r>
        <w:rPr/>
        <w:t>inflation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weakly</w:t>
      </w:r>
      <w:r>
        <w:rPr>
          <w:spacing w:val="-11"/>
        </w:rPr>
        <w:t> </w:t>
      </w:r>
      <w:r>
        <w:rPr/>
        <w:t>to</w:t>
      </w:r>
      <w:r>
        <w:rPr>
          <w:spacing w:val="-6"/>
        </w:rPr>
        <w:t> </w:t>
      </w:r>
      <w:r>
        <w:rPr/>
        <w:t>output</w:t>
      </w:r>
      <w:r>
        <w:rPr>
          <w:spacing w:val="-6"/>
        </w:rPr>
        <w:t> </w:t>
      </w:r>
      <w:r>
        <w:rPr/>
        <w:t>while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optimal</w:t>
      </w:r>
      <w:r>
        <w:rPr>
          <w:spacing w:val="-6"/>
        </w:rPr>
        <w:t> </w:t>
      </w:r>
      <w:r>
        <w:rPr/>
        <w:t>fiscal</w:t>
      </w:r>
      <w:r>
        <w:rPr>
          <w:spacing w:val="-6"/>
        </w:rPr>
        <w:t> </w:t>
      </w:r>
      <w:r>
        <w:rPr/>
        <w:t>policy</w:t>
      </w:r>
      <w:r>
        <w:rPr>
          <w:spacing w:val="-11"/>
        </w:rPr>
        <w:t> </w:t>
      </w:r>
      <w:r>
        <w:rPr/>
        <w:t>is</w:t>
      </w:r>
      <w:r>
        <w:rPr>
          <w:spacing w:val="-6"/>
        </w:rPr>
        <w:t> </w:t>
      </w:r>
      <w:r>
        <w:rPr/>
        <w:t>passive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nature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responds</w:t>
      </w:r>
      <w:r>
        <w:rPr>
          <w:spacing w:val="-58"/>
        </w:rPr>
        <w:t> </w:t>
      </w:r>
      <w:r>
        <w:rPr/>
        <w:t>moderately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changes in</w:t>
      </w:r>
      <w:r>
        <w:rPr>
          <w:spacing w:val="2"/>
        </w:rPr>
        <w:t> </w:t>
      </w:r>
      <w:r>
        <w:rPr/>
        <w:t>debt.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760" w:right="1437"/>
        <w:jc w:val="both"/>
      </w:pPr>
      <w:r>
        <w:rPr/>
        <w:t>Cebi</w:t>
      </w:r>
      <w:r>
        <w:rPr>
          <w:spacing w:val="-6"/>
        </w:rPr>
        <w:t> </w:t>
      </w:r>
      <w:r>
        <w:rPr/>
        <w:t>(2011)</w:t>
      </w:r>
      <w:r>
        <w:rPr>
          <w:spacing w:val="-6"/>
        </w:rPr>
        <w:t> </w:t>
      </w:r>
      <w:r>
        <w:rPr/>
        <w:t>assessed</w:t>
      </w:r>
      <w:r>
        <w:rPr>
          <w:spacing w:val="-4"/>
        </w:rPr>
        <w:t> </w:t>
      </w:r>
      <w:r>
        <w:rPr/>
        <w:t>fiscal-monetary</w:t>
      </w:r>
      <w:r>
        <w:rPr>
          <w:spacing w:val="-10"/>
        </w:rPr>
        <w:t> </w:t>
      </w:r>
      <w:r>
        <w:rPr/>
        <w:t>policy</w:t>
      </w:r>
      <w:r>
        <w:rPr>
          <w:spacing w:val="-10"/>
        </w:rPr>
        <w:t> </w:t>
      </w:r>
      <w:r>
        <w:rPr/>
        <w:t>interaction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its</w:t>
      </w:r>
      <w:r>
        <w:rPr>
          <w:spacing w:val="-5"/>
        </w:rPr>
        <w:t> </w:t>
      </w:r>
      <w:r>
        <w:rPr/>
        <w:t>stabilising</w:t>
      </w:r>
      <w:r>
        <w:rPr>
          <w:spacing w:val="-8"/>
        </w:rPr>
        <w:t> </w:t>
      </w:r>
      <w:r>
        <w:rPr/>
        <w:t>role.</w:t>
      </w:r>
      <w:r>
        <w:rPr>
          <w:spacing w:val="-5"/>
        </w:rPr>
        <w:t> </w:t>
      </w:r>
      <w:r>
        <w:rPr/>
        <w:t>He</w:t>
      </w:r>
      <w:r>
        <w:rPr>
          <w:spacing w:val="-7"/>
        </w:rPr>
        <w:t> </w:t>
      </w:r>
      <w:r>
        <w:rPr/>
        <w:t>estimated</w:t>
      </w:r>
      <w:r>
        <w:rPr>
          <w:spacing w:val="-6"/>
        </w:rPr>
        <w:t> </w:t>
      </w:r>
      <w:r>
        <w:rPr/>
        <w:t>a</w:t>
      </w:r>
      <w:r>
        <w:rPr>
          <w:spacing w:val="-57"/>
        </w:rPr>
        <w:t> </w:t>
      </w:r>
      <w:r>
        <w:rPr/>
        <w:t>small</w:t>
      </w:r>
      <w:r>
        <w:rPr>
          <w:spacing w:val="30"/>
        </w:rPr>
        <w:t> </w:t>
      </w:r>
      <w:r>
        <w:rPr/>
        <w:t>scale</w:t>
      </w:r>
      <w:r>
        <w:rPr>
          <w:spacing w:val="30"/>
        </w:rPr>
        <w:t> </w:t>
      </w:r>
      <w:r>
        <w:rPr/>
        <w:t>open</w:t>
      </w:r>
      <w:r>
        <w:rPr>
          <w:spacing w:val="30"/>
        </w:rPr>
        <w:t> </w:t>
      </w:r>
      <w:r>
        <w:rPr/>
        <w:t>economy</w:t>
      </w:r>
      <w:r>
        <w:rPr>
          <w:spacing w:val="25"/>
        </w:rPr>
        <w:t> </w:t>
      </w:r>
      <w:r>
        <w:rPr/>
        <w:t>NK</w:t>
      </w:r>
      <w:r>
        <w:rPr>
          <w:spacing w:val="30"/>
        </w:rPr>
        <w:t> </w:t>
      </w:r>
      <w:r>
        <w:rPr/>
        <w:t>DSGE</w:t>
      </w:r>
      <w:r>
        <w:rPr>
          <w:spacing w:val="30"/>
        </w:rPr>
        <w:t> </w:t>
      </w:r>
      <w:r>
        <w:rPr/>
        <w:t>model</w:t>
      </w:r>
      <w:r>
        <w:rPr>
          <w:spacing w:val="31"/>
        </w:rPr>
        <w:t> </w:t>
      </w:r>
      <w:r>
        <w:rPr/>
        <w:t>which</w:t>
      </w:r>
      <w:r>
        <w:rPr>
          <w:spacing w:val="29"/>
        </w:rPr>
        <w:t> </w:t>
      </w:r>
      <w:r>
        <w:rPr/>
        <w:t>comprise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forward</w:t>
      </w:r>
      <w:r>
        <w:rPr>
          <w:spacing w:val="33"/>
        </w:rPr>
        <w:t> </w:t>
      </w:r>
      <w:r>
        <w:rPr/>
        <w:t>IS</w:t>
      </w:r>
      <w:r>
        <w:rPr>
          <w:spacing w:val="30"/>
        </w:rPr>
        <w:t> </w:t>
      </w:r>
      <w:r>
        <w:rPr/>
        <w:t>curve,</w:t>
      </w:r>
      <w:r>
        <w:rPr>
          <w:spacing w:val="30"/>
        </w:rPr>
        <w:t> </w:t>
      </w:r>
      <w:r>
        <w:rPr/>
        <w:t>Philips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37"/>
        <w:jc w:val="both"/>
      </w:pPr>
      <w:r>
        <w:rPr/>
        <w:t>curve, fiscal and monetary policy rules and government budget constraint. The monetary rule</w:t>
      </w:r>
      <w:r>
        <w:rPr>
          <w:spacing w:val="-57"/>
        </w:rPr>
        <w:t> </w:t>
      </w:r>
      <w:r>
        <w:rPr/>
        <w:t>is the Taylor’s rule and the fiscal rules are specified in government spending and tax in their</w:t>
      </w:r>
      <w:r>
        <w:rPr>
          <w:spacing w:val="1"/>
        </w:rPr>
        <w:t> </w:t>
      </w:r>
      <w:r>
        <w:rPr/>
        <w:t>lagged</w:t>
      </w:r>
      <w:r>
        <w:rPr>
          <w:spacing w:val="1"/>
        </w:rPr>
        <w:t> </w:t>
      </w:r>
      <w:r>
        <w:rPr/>
        <w:t>form,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debt.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Bayesian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estimate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deep</w:t>
      </w:r>
      <w:r>
        <w:rPr>
          <w:spacing w:val="1"/>
        </w:rPr>
        <w:t> </w:t>
      </w:r>
      <w:r>
        <w:rPr>
          <w:spacing w:val="-1"/>
        </w:rPr>
        <w:t>parameters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model</w:t>
      </w:r>
      <w:r>
        <w:rPr>
          <w:spacing w:val="-7"/>
        </w:rPr>
        <w:t> </w:t>
      </w:r>
      <w:r>
        <w:rPr/>
        <w:t>with</w:t>
      </w:r>
      <w:r>
        <w:rPr>
          <w:spacing w:val="-9"/>
        </w:rPr>
        <w:t> </w:t>
      </w:r>
      <w:r>
        <w:rPr/>
        <w:t>data</w:t>
      </w:r>
      <w:r>
        <w:rPr>
          <w:spacing w:val="-11"/>
        </w:rPr>
        <w:t> </w:t>
      </w:r>
      <w:r>
        <w:rPr/>
        <w:t>on</w:t>
      </w:r>
      <w:r>
        <w:rPr>
          <w:spacing w:val="-9"/>
        </w:rPr>
        <w:t> </w:t>
      </w:r>
      <w:r>
        <w:rPr/>
        <w:t>Turkey</w:t>
      </w:r>
      <w:r>
        <w:rPr>
          <w:spacing w:val="-15"/>
        </w:rPr>
        <w:t> </w:t>
      </w:r>
      <w:r>
        <w:rPr/>
        <w:t>over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sample</w:t>
      </w:r>
      <w:r>
        <w:rPr>
          <w:spacing w:val="-11"/>
        </w:rPr>
        <w:t> </w:t>
      </w:r>
      <w:r>
        <w:rPr/>
        <w:t>period</w:t>
      </w:r>
      <w:r>
        <w:rPr>
          <w:spacing w:val="-9"/>
        </w:rPr>
        <w:t> </w:t>
      </w:r>
      <w:r>
        <w:rPr/>
        <w:t>2002Q1-2009Q3,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order</w:t>
      </w:r>
      <w:r>
        <w:rPr>
          <w:spacing w:val="-57"/>
        </w:rPr>
        <w:t> </w:t>
      </w:r>
      <w:r>
        <w:rPr/>
        <w:t>to find the effect of fiscal and monetary policy interaction on inflation, debt and output</w:t>
      </w:r>
      <w:r>
        <w:rPr>
          <w:spacing w:val="1"/>
        </w:rPr>
        <w:t> </w:t>
      </w:r>
      <w:r>
        <w:rPr/>
        <w:t>stabilisation. The result showed that monetary policy reacted significantly to inflation but</w:t>
      </w:r>
      <w:r>
        <w:rPr>
          <w:spacing w:val="1"/>
        </w:rPr>
        <w:t> </w:t>
      </w:r>
      <w:r>
        <w:rPr/>
        <w:t>mildly reacted to the output gap. Fiscal policy also reacted actively to debt but in a passive</w:t>
      </w:r>
      <w:r>
        <w:rPr>
          <w:spacing w:val="1"/>
        </w:rPr>
        <w:t> </w:t>
      </w:r>
      <w:r>
        <w:rPr/>
        <w:t>manner to the output gap. This implies that monetary authorities stabilised inflation while the</w:t>
      </w:r>
      <w:r>
        <w:rPr>
          <w:spacing w:val="-57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able to stabilise debt.</w:t>
      </w:r>
    </w:p>
    <w:p>
      <w:pPr>
        <w:pStyle w:val="BodyText"/>
        <w:spacing w:before="7"/>
        <w:rPr>
          <w:sz w:val="36"/>
        </w:rPr>
      </w:pPr>
    </w:p>
    <w:p>
      <w:pPr>
        <w:pStyle w:val="Heading1"/>
        <w:numPr>
          <w:ilvl w:val="2"/>
          <w:numId w:val="11"/>
        </w:numPr>
        <w:tabs>
          <w:tab w:pos="2539" w:val="left" w:leader="none"/>
        </w:tabs>
        <w:spacing w:line="240" w:lineRule="auto" w:before="0" w:after="0"/>
        <w:ind w:left="2538" w:right="0" w:hanging="779"/>
        <w:jc w:val="both"/>
      </w:pPr>
      <w:bookmarkStart w:name="_TOC_250041" w:id="19"/>
      <w:r>
        <w:rPr/>
        <w:t>Empirical Evidence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bookmarkEnd w:id="19"/>
      <w:r>
        <w:rPr/>
        <w:t>Latin America</w:t>
      </w:r>
    </w:p>
    <w:p>
      <w:pPr>
        <w:pStyle w:val="BodyText"/>
        <w:spacing w:line="360" w:lineRule="auto" w:before="144"/>
        <w:ind w:left="1760" w:right="1437"/>
        <w:jc w:val="both"/>
      </w:pPr>
      <w:r>
        <w:rPr/>
        <w:t>Nunes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Portugal</w:t>
      </w:r>
      <w:r>
        <w:rPr>
          <w:spacing w:val="-1"/>
        </w:rPr>
        <w:t> </w:t>
      </w:r>
      <w:r>
        <w:rPr/>
        <w:t>(2010) used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Bayesian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to estimate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NK</w:t>
      </w:r>
      <w:r>
        <w:rPr>
          <w:spacing w:val="-1"/>
        </w:rPr>
        <w:t> </w:t>
      </w:r>
      <w:r>
        <w:rPr/>
        <w:t>DSGE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order</w:t>
      </w:r>
      <w:r>
        <w:rPr>
          <w:spacing w:val="-57"/>
        </w:rPr>
        <w:t> </w:t>
      </w:r>
      <w:r>
        <w:rPr/>
        <w:t>to characterise whether fiscal and monetary policy had a passive or active stance in the</w:t>
      </w:r>
      <w:r>
        <w:rPr>
          <w:spacing w:val="1"/>
        </w:rPr>
        <w:t> </w:t>
      </w:r>
      <w:r>
        <w:rPr/>
        <w:t>aftermath of the inflation targeting regime in Brazil. The equilibrium equations of the study’s</w:t>
      </w:r>
      <w:r>
        <w:rPr>
          <w:spacing w:val="-57"/>
        </w:rPr>
        <w:t> </w:t>
      </w:r>
      <w:r>
        <w:rPr/>
        <w:t>NK DSGE model consist of the IS curve, the Government budget constraint, the NK Philips</w:t>
      </w:r>
      <w:r>
        <w:rPr>
          <w:spacing w:val="1"/>
        </w:rPr>
        <w:t> </w:t>
      </w:r>
      <w:r>
        <w:rPr>
          <w:spacing w:val="-1"/>
        </w:rPr>
        <w:t>curve,</w:t>
      </w:r>
      <w:r>
        <w:rPr>
          <w:spacing w:val="-15"/>
        </w:rPr>
        <w:t> </w:t>
      </w:r>
      <w:r>
        <w:rPr>
          <w:spacing w:val="-1"/>
        </w:rPr>
        <w:t>monetary</w:t>
      </w:r>
      <w:r>
        <w:rPr>
          <w:spacing w:val="-20"/>
        </w:rPr>
        <w:t> </w:t>
      </w:r>
      <w:r>
        <w:rPr/>
        <w:t>rule</w:t>
      </w:r>
      <w:r>
        <w:rPr>
          <w:spacing w:val="-16"/>
        </w:rPr>
        <w:t> </w:t>
      </w:r>
      <w:r>
        <w:rPr/>
        <w:t>in</w:t>
      </w:r>
      <w:r>
        <w:rPr>
          <w:spacing w:val="-14"/>
        </w:rPr>
        <w:t> </w:t>
      </w:r>
      <w:r>
        <w:rPr/>
        <w:t>interest</w:t>
      </w:r>
      <w:r>
        <w:rPr>
          <w:spacing w:val="-14"/>
        </w:rPr>
        <w:t> </w:t>
      </w:r>
      <w:r>
        <w:rPr/>
        <w:t>rate,</w:t>
      </w:r>
      <w:r>
        <w:rPr>
          <w:spacing w:val="-12"/>
        </w:rPr>
        <w:t> </w:t>
      </w:r>
      <w:r>
        <w:rPr/>
        <w:t>fiscal</w:t>
      </w:r>
      <w:r>
        <w:rPr>
          <w:spacing w:val="-14"/>
        </w:rPr>
        <w:t> </w:t>
      </w:r>
      <w:r>
        <w:rPr/>
        <w:t>rules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taxes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equation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motion</w:t>
      </w:r>
      <w:r>
        <w:rPr>
          <w:spacing w:val="-11"/>
        </w:rPr>
        <w:t> </w:t>
      </w:r>
      <w:r>
        <w:rPr/>
        <w:t>in</w:t>
      </w:r>
      <w:r>
        <w:rPr>
          <w:spacing w:val="-14"/>
        </w:rPr>
        <w:t> </w:t>
      </w:r>
      <w:r>
        <w:rPr/>
        <w:t>debt,</w:t>
      </w:r>
      <w:r>
        <w:rPr>
          <w:spacing w:val="-14"/>
        </w:rPr>
        <w:t> </w:t>
      </w:r>
      <w:r>
        <w:rPr/>
        <w:t>interest</w:t>
      </w:r>
      <w:r>
        <w:rPr>
          <w:spacing w:val="-57"/>
        </w:rPr>
        <w:t> </w:t>
      </w:r>
      <w:r>
        <w:rPr/>
        <w:t>rate, supply shock, demand shock and tax revenue. The model was solved by second-order</w:t>
      </w:r>
      <w:r>
        <w:rPr>
          <w:spacing w:val="1"/>
        </w:rPr>
        <w:t> </w:t>
      </w:r>
      <w:r>
        <w:rPr/>
        <w:t>approximation to the policy function. The study then estimated the model by employing the</w:t>
      </w:r>
      <w:r>
        <w:rPr>
          <w:spacing w:val="1"/>
        </w:rPr>
        <w:t> </w:t>
      </w:r>
      <w:r>
        <w:rPr/>
        <w:t>Bayesian technique using quarterly data on output gap, inflation rate, interest rate, budget</w:t>
      </w:r>
      <w:r>
        <w:rPr>
          <w:spacing w:val="1"/>
        </w:rPr>
        <w:t> </w:t>
      </w:r>
      <w:r>
        <w:rPr/>
        <w:t>deficits</w:t>
      </w:r>
      <w:r>
        <w:rPr>
          <w:spacing w:val="-1"/>
        </w:rPr>
        <w:t> </w:t>
      </w:r>
      <w:r>
        <w:rPr/>
        <w:t>and tax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over the</w:t>
      </w:r>
      <w:r>
        <w:rPr>
          <w:spacing w:val="-2"/>
        </w:rPr>
        <w:t> </w:t>
      </w:r>
      <w:r>
        <w:rPr/>
        <w:t>period 2000Q1-2008Q4.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760" w:right="1436"/>
        <w:jc w:val="both"/>
      </w:pPr>
      <w:r>
        <w:rPr/>
        <w:t>The</w:t>
      </w:r>
      <w:r>
        <w:rPr>
          <w:spacing w:val="-5"/>
        </w:rPr>
        <w:t> </w:t>
      </w:r>
      <w:r>
        <w:rPr/>
        <w:t>results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estimated</w:t>
      </w:r>
      <w:r>
        <w:rPr>
          <w:spacing w:val="-4"/>
        </w:rPr>
        <w:t> </w:t>
      </w:r>
      <w:r>
        <w:rPr/>
        <w:t>parameters</w:t>
      </w:r>
      <w:r>
        <w:rPr>
          <w:spacing w:val="-4"/>
        </w:rPr>
        <w:t> </w:t>
      </w:r>
      <w:r>
        <w:rPr/>
        <w:t>showed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coefficient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inflation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output</w:t>
      </w:r>
      <w:r>
        <w:rPr>
          <w:spacing w:val="-3"/>
        </w:rPr>
        <w:t> </w:t>
      </w:r>
      <w:r>
        <w:rPr/>
        <w:t>gap</w:t>
      </w:r>
      <w:r>
        <w:rPr>
          <w:spacing w:val="-58"/>
        </w:rPr>
        <w:t> </w:t>
      </w:r>
      <w:r>
        <w:rPr/>
        <w:t>in the Taylor rule was greater than one. This means that monetary policy was active over the</w:t>
      </w:r>
      <w:r>
        <w:rPr>
          <w:spacing w:val="1"/>
        </w:rPr>
        <w:t> </w:t>
      </w:r>
      <w:r>
        <w:rPr/>
        <w:t>estimated</w:t>
      </w:r>
      <w:r>
        <w:rPr>
          <w:spacing w:val="-10"/>
        </w:rPr>
        <w:t> </w:t>
      </w:r>
      <w:r>
        <w:rPr/>
        <w:t>period.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result</w:t>
      </w:r>
      <w:r>
        <w:rPr>
          <w:spacing w:val="-9"/>
        </w:rPr>
        <w:t> </w:t>
      </w:r>
      <w:r>
        <w:rPr/>
        <w:t>also</w:t>
      </w:r>
      <w:r>
        <w:rPr>
          <w:spacing w:val="-8"/>
        </w:rPr>
        <w:t> </w:t>
      </w:r>
      <w:r>
        <w:rPr/>
        <w:t>revealed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tax</w:t>
      </w:r>
      <w:r>
        <w:rPr>
          <w:spacing w:val="-8"/>
        </w:rPr>
        <w:t> </w:t>
      </w:r>
      <w:r>
        <w:rPr/>
        <w:t>responded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debt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an</w:t>
      </w:r>
      <w:r>
        <w:rPr>
          <w:spacing w:val="-9"/>
        </w:rPr>
        <w:t> </w:t>
      </w:r>
      <w:r>
        <w:rPr/>
        <w:t>insignificant</w:t>
      </w:r>
      <w:r>
        <w:rPr>
          <w:spacing w:val="-9"/>
        </w:rPr>
        <w:t> </w:t>
      </w:r>
      <w:r>
        <w:rPr/>
        <w:t>manner</w:t>
      </w:r>
      <w:r>
        <w:rPr>
          <w:spacing w:val="-58"/>
        </w:rPr>
        <w:t> </w:t>
      </w:r>
      <w:r>
        <w:rPr/>
        <w:t>while inflation and output gap had greater effect on it. It can then be concluded that fiscal</w:t>
      </w:r>
      <w:r>
        <w:rPr>
          <w:spacing w:val="1"/>
        </w:rPr>
        <w:t> </w:t>
      </w:r>
      <w:r>
        <w:rPr/>
        <w:t>policy was passive. The result implies the existence of monetary dominance in Brazil, in the</w:t>
      </w:r>
      <w:r>
        <w:rPr>
          <w:spacing w:val="1"/>
        </w:rPr>
        <w:t> </w:t>
      </w:r>
      <w:r>
        <w:rPr/>
        <w:t>post-inflation</w:t>
      </w:r>
      <w:r>
        <w:rPr>
          <w:spacing w:val="1"/>
        </w:rPr>
        <w:t> </w:t>
      </w:r>
      <w:r>
        <w:rPr/>
        <w:t>targeting</w:t>
      </w:r>
      <w:r>
        <w:rPr>
          <w:spacing w:val="1"/>
        </w:rPr>
        <w:t> </w:t>
      </w:r>
      <w:r>
        <w:rPr/>
        <w:t>period.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require</w:t>
      </w:r>
      <w:r>
        <w:rPr>
          <w:spacing w:val="-57"/>
        </w:rPr>
        <w:t> </w:t>
      </w:r>
      <w:r>
        <w:rPr/>
        <w:t>reconsideration due to the adoption of the second-order approximation method that does not</w:t>
      </w:r>
      <w:r>
        <w:rPr>
          <w:spacing w:val="1"/>
        </w:rPr>
        <w:t> </w:t>
      </w:r>
      <w:r>
        <w:rPr/>
        <w:t>suit the stated objective of the study. The second-order approximation is most appropriate for</w:t>
      </w:r>
      <w:r>
        <w:rPr>
          <w:spacing w:val="-57"/>
        </w:rPr>
        <w:t> </w:t>
      </w:r>
      <w:r>
        <w:rPr/>
        <w:t>optimal</w:t>
      </w:r>
      <w:r>
        <w:rPr>
          <w:spacing w:val="-1"/>
        </w:rPr>
        <w:t> </w:t>
      </w:r>
      <w:r>
        <w:rPr/>
        <w:t>policy</w:t>
      </w:r>
      <w:r>
        <w:rPr>
          <w:spacing w:val="-5"/>
        </w:rPr>
        <w:t> </w:t>
      </w:r>
      <w:r>
        <w:rPr/>
        <w:t>analysis</w:t>
      </w:r>
      <w:r>
        <w:rPr>
          <w:spacing w:val="2"/>
        </w:rPr>
        <w:t> </w:t>
      </w:r>
      <w:r>
        <w:rPr/>
        <w:t>which was not</w:t>
      </w:r>
      <w:r>
        <w:rPr>
          <w:spacing w:val="-1"/>
        </w:rPr>
        <w:t> </w:t>
      </w:r>
      <w:r>
        <w:rPr/>
        <w:t>considered in this study.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37"/>
        <w:jc w:val="both"/>
      </w:pPr>
      <w:r>
        <w:rPr/>
        <w:t>Valdivia and Perez (2013) evaluated the effect of fiscal-monetary policy interaction on price</w:t>
      </w:r>
      <w:r>
        <w:rPr>
          <w:spacing w:val="1"/>
        </w:rPr>
        <w:t> </w:t>
      </w:r>
      <w:r>
        <w:rPr/>
        <w:t>level and economic growth during the periods 2007 – 2008 and 2009 – 2010 in seven Latin</w:t>
      </w:r>
      <w:r>
        <w:rPr>
          <w:spacing w:val="1"/>
        </w:rPr>
        <w:t> </w:t>
      </w:r>
      <w:r>
        <w:rPr/>
        <w:t>American countries: Bolivia, Brazil, Chile, Colombia, Peru, Uruguay and Venezuela. The</w:t>
      </w:r>
      <w:r>
        <w:rPr>
          <w:spacing w:val="1"/>
        </w:rPr>
        <w:t> </w:t>
      </w:r>
      <w:r>
        <w:rPr/>
        <w:t>authors specified a NK DSGE model that comprised of equations in consumption Euler</w:t>
      </w:r>
      <w:r>
        <w:rPr>
          <w:spacing w:val="1"/>
        </w:rPr>
        <w:t> </w:t>
      </w:r>
      <w:r>
        <w:rPr/>
        <w:t>equation, IS curve, Philips curve, fiscal policy rule in taxes, monetary policy rule in nominal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money</w:t>
      </w:r>
      <w:r>
        <w:rPr>
          <w:spacing w:val="1"/>
        </w:rPr>
        <w:t> </w:t>
      </w:r>
      <w:r>
        <w:rPr/>
        <w:t>supply,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equation,</w:t>
      </w:r>
      <w:r>
        <w:rPr>
          <w:spacing w:val="1"/>
        </w:rPr>
        <w:t> </w:t>
      </w:r>
      <w:r>
        <w:rPr/>
        <w:t>fisher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aggregate</w:t>
      </w:r>
      <w:r>
        <w:rPr>
          <w:spacing w:val="-57"/>
        </w:rPr>
        <w:t> </w:t>
      </w:r>
      <w:r>
        <w:rPr>
          <w:spacing w:val="-1"/>
        </w:rPr>
        <w:t>demand.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fiscal</w:t>
      </w:r>
      <w:r>
        <w:rPr>
          <w:spacing w:val="-12"/>
        </w:rPr>
        <w:t> </w:t>
      </w:r>
      <w:r>
        <w:rPr/>
        <w:t>policy</w:t>
      </w:r>
      <w:r>
        <w:rPr>
          <w:spacing w:val="-15"/>
        </w:rPr>
        <w:t> </w:t>
      </w:r>
      <w:r>
        <w:rPr/>
        <w:t>rule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taxes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defined</w:t>
      </w:r>
      <w:r>
        <w:rPr>
          <w:spacing w:val="-11"/>
        </w:rPr>
        <w:t> </w:t>
      </w:r>
      <w:r>
        <w:rPr/>
        <w:t>as</w:t>
      </w:r>
      <w:r>
        <w:rPr>
          <w:spacing w:val="-12"/>
        </w:rPr>
        <w:t> </w:t>
      </w:r>
      <w:r>
        <w:rPr/>
        <w:t>function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inflation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economic</w:t>
      </w:r>
      <w:r>
        <w:rPr>
          <w:spacing w:val="-11"/>
        </w:rPr>
        <w:t> </w:t>
      </w:r>
      <w:r>
        <w:rPr/>
        <w:t>growth,</w:t>
      </w:r>
      <w:r>
        <w:rPr>
          <w:spacing w:val="-57"/>
        </w:rPr>
        <w:t> </w:t>
      </w:r>
      <w:r>
        <w:rPr/>
        <w:t>the monetary policy rule in interest rate is specified as related to its lagged term, inflation and</w:t>
      </w:r>
      <w:r>
        <w:rPr>
          <w:spacing w:val="-57"/>
        </w:rPr>
        <w:t> </w:t>
      </w:r>
      <w:r>
        <w:rPr/>
        <w:t>output, while the monetary policy rule in money supply is specified as being a function of</w:t>
      </w:r>
      <w:r>
        <w:rPr>
          <w:spacing w:val="1"/>
        </w:rPr>
        <w:t> </w:t>
      </w:r>
      <w:r>
        <w:rPr/>
        <w:t>lagged money</w:t>
      </w:r>
      <w:r>
        <w:rPr>
          <w:spacing w:val="-5"/>
        </w:rPr>
        <w:t> </w:t>
      </w:r>
      <w:r>
        <w:rPr/>
        <w:t>supply, inflation and output.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760" w:right="1435"/>
        <w:jc w:val="both"/>
      </w:pPr>
      <w:r>
        <w:rPr/>
        <w:t>The</w:t>
      </w:r>
      <w:r>
        <w:rPr>
          <w:spacing w:val="-6"/>
        </w:rPr>
        <w:t> </w:t>
      </w:r>
      <w:r>
        <w:rPr/>
        <w:t>parameters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equations</w:t>
      </w:r>
      <w:r>
        <w:rPr>
          <w:spacing w:val="-5"/>
        </w:rPr>
        <w:t> </w:t>
      </w:r>
      <w:r>
        <w:rPr/>
        <w:t>were</w:t>
      </w:r>
      <w:r>
        <w:rPr>
          <w:spacing w:val="-6"/>
        </w:rPr>
        <w:t> </w:t>
      </w:r>
      <w:r>
        <w:rPr/>
        <w:t>calibrated</w:t>
      </w:r>
      <w:r>
        <w:rPr>
          <w:spacing w:val="-6"/>
        </w:rPr>
        <w:t> </w:t>
      </w:r>
      <w:r>
        <w:rPr/>
        <w:t>based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series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consumption,</w:t>
      </w:r>
      <w:r>
        <w:rPr>
          <w:spacing w:val="-57"/>
        </w:rPr>
        <w:t> </w:t>
      </w:r>
      <w:r>
        <w:rPr/>
        <w:t>gross fixed capital formation, consumer price index, monetary policy rates, trade balance,</w:t>
      </w:r>
      <w:r>
        <w:rPr>
          <w:spacing w:val="1"/>
        </w:rPr>
        <w:t> </w:t>
      </w:r>
      <w:r>
        <w:rPr/>
        <w:t>exchange rate, monetary aggregate, government spending, estimated working population, per</w:t>
      </w:r>
      <w:r>
        <w:rPr>
          <w:spacing w:val="-57"/>
        </w:rPr>
        <w:t> </w:t>
      </w:r>
      <w:r>
        <w:rPr/>
        <w:t>capita GPD and GDP growth over the period 2000-2012. Some other parameter values were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impulse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presented. The findings of the study highlighted the importance of coordinating fiscal and</w:t>
      </w:r>
      <w:r>
        <w:rPr>
          <w:spacing w:val="1"/>
        </w:rPr>
        <w:t> </w:t>
      </w:r>
      <w:r>
        <w:rPr/>
        <w:t>monetary policy for better economic outcomes across these countries. An evaluation of the</w:t>
      </w:r>
      <w:r>
        <w:rPr>
          <w:spacing w:val="1"/>
        </w:rPr>
        <w:t> </w:t>
      </w:r>
      <w:r>
        <w:rPr/>
        <w:t>study revealed that the study did not consider conducting any normative policy analysis that</w:t>
      </w:r>
      <w:r>
        <w:rPr>
          <w:spacing w:val="1"/>
        </w:rPr>
        <w:t> </w:t>
      </w:r>
      <w:r>
        <w:rPr/>
        <w:t>borders on optimal policy design, which is relevant in the case of developing and emerging</w:t>
      </w:r>
      <w:r>
        <w:rPr>
          <w:spacing w:val="1"/>
        </w:rPr>
        <w:t> </w:t>
      </w:r>
      <w:r>
        <w:rPr/>
        <w:t>economies.</w:t>
      </w:r>
    </w:p>
    <w:p>
      <w:pPr>
        <w:pStyle w:val="BodyText"/>
        <w:spacing w:before="7"/>
        <w:rPr>
          <w:sz w:val="36"/>
        </w:rPr>
      </w:pPr>
    </w:p>
    <w:p>
      <w:pPr>
        <w:pStyle w:val="Heading1"/>
        <w:numPr>
          <w:ilvl w:val="2"/>
          <w:numId w:val="11"/>
        </w:numPr>
        <w:tabs>
          <w:tab w:pos="2602" w:val="left" w:leader="none"/>
          <w:tab w:pos="2603" w:val="left" w:leader="none"/>
        </w:tabs>
        <w:spacing w:line="240" w:lineRule="auto" w:before="1" w:after="0"/>
        <w:ind w:left="2602" w:right="0" w:hanging="843"/>
        <w:jc w:val="left"/>
      </w:pPr>
      <w:bookmarkStart w:name="_TOC_250040" w:id="20"/>
      <w:r>
        <w:rPr/>
        <w:t>Empirical</w:t>
      </w:r>
      <w:r>
        <w:rPr>
          <w:spacing w:val="-2"/>
        </w:rPr>
        <w:t> </w:t>
      </w:r>
      <w:r>
        <w:rPr/>
        <w:t>Evidence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bookmarkEnd w:id="20"/>
      <w:r>
        <w:rPr/>
        <w:t>Africa</w:t>
      </w:r>
    </w:p>
    <w:p>
      <w:pPr>
        <w:pStyle w:val="BodyText"/>
        <w:spacing w:line="360" w:lineRule="auto" w:before="144"/>
        <w:ind w:left="1760" w:right="1442"/>
        <w:jc w:val="both"/>
      </w:pPr>
      <w:r>
        <w:rPr/>
        <w:t>Empirical</w:t>
      </w:r>
      <w:r>
        <w:rPr>
          <w:spacing w:val="-8"/>
        </w:rPr>
        <w:t> </w:t>
      </w:r>
      <w:r>
        <w:rPr/>
        <w:t>studies</w:t>
      </w:r>
      <w:r>
        <w:rPr>
          <w:spacing w:val="-7"/>
        </w:rPr>
        <w:t> </w:t>
      </w:r>
      <w:r>
        <w:rPr/>
        <w:t>on</w:t>
      </w:r>
      <w:r>
        <w:rPr>
          <w:spacing w:val="-9"/>
        </w:rPr>
        <w:t> </w:t>
      </w:r>
      <w:r>
        <w:rPr/>
        <w:t>monetary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fiscal</w:t>
      </w:r>
      <w:r>
        <w:rPr>
          <w:spacing w:val="-8"/>
        </w:rPr>
        <w:t> </w:t>
      </w:r>
      <w:r>
        <w:rPr/>
        <w:t>policy</w:t>
      </w:r>
      <w:r>
        <w:rPr>
          <w:spacing w:val="-12"/>
        </w:rPr>
        <w:t> </w:t>
      </w:r>
      <w:r>
        <w:rPr/>
        <w:t>interaction</w:t>
      </w:r>
      <w:r>
        <w:rPr>
          <w:spacing w:val="-9"/>
        </w:rPr>
        <w:t> </w:t>
      </w:r>
      <w:r>
        <w:rPr/>
        <w:t>in</w:t>
      </w:r>
      <w:r>
        <w:rPr>
          <w:spacing w:val="-5"/>
        </w:rPr>
        <w:t> </w:t>
      </w:r>
      <w:r>
        <w:rPr/>
        <w:t>Africa</w:t>
      </w:r>
      <w:r>
        <w:rPr>
          <w:spacing w:val="-9"/>
        </w:rPr>
        <w:t> </w:t>
      </w:r>
      <w:r>
        <w:rPr/>
        <w:t>within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dynamic</w:t>
      </w:r>
      <w:r>
        <w:rPr>
          <w:spacing w:val="-6"/>
        </w:rPr>
        <w:t> </w:t>
      </w:r>
      <w:r>
        <w:rPr/>
        <w:t>general</w:t>
      </w:r>
      <w:r>
        <w:rPr>
          <w:spacing w:val="-58"/>
        </w:rPr>
        <w:t> </w:t>
      </w:r>
      <w:r>
        <w:rPr/>
        <w:t>equilibrium</w:t>
      </w:r>
      <w:r>
        <w:rPr>
          <w:spacing w:val="-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sparse.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few</w:t>
      </w:r>
      <w:r>
        <w:rPr>
          <w:spacing w:val="1"/>
        </w:rPr>
        <w:t> </w:t>
      </w:r>
      <w:r>
        <w:rPr/>
        <w:t>studies in</w:t>
      </w:r>
      <w:r>
        <w:rPr>
          <w:spacing w:val="-1"/>
        </w:rPr>
        <w:t> </w:t>
      </w:r>
      <w:r>
        <w:rPr/>
        <w:t>that respect is</w:t>
      </w:r>
      <w:r>
        <w:rPr>
          <w:spacing w:val="-1"/>
        </w:rPr>
        <w:t> </w:t>
      </w:r>
      <w:r>
        <w:rPr/>
        <w:t>Anas (2013).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760" w:right="1439"/>
        <w:jc w:val="both"/>
      </w:pPr>
      <w:r>
        <w:rPr/>
        <w:t>Anas (2013) employed the Bayesian technique to estimate the effect of monetary and fiscal</w:t>
      </w:r>
      <w:r>
        <w:rPr>
          <w:spacing w:val="1"/>
        </w:rPr>
        <w:t> </w:t>
      </w:r>
      <w:r>
        <w:rPr/>
        <w:t>policy on inflation and output in Morocco within a DSGE model augmented with price and</w:t>
      </w:r>
      <w:r>
        <w:rPr>
          <w:spacing w:val="1"/>
        </w:rPr>
        <w:t> </w:t>
      </w:r>
      <w:r>
        <w:rPr/>
        <w:t>wage</w:t>
      </w:r>
      <w:r>
        <w:rPr>
          <w:spacing w:val="-10"/>
        </w:rPr>
        <w:t> </w:t>
      </w:r>
      <w:r>
        <w:rPr/>
        <w:t>rigidity,</w:t>
      </w:r>
      <w:r>
        <w:rPr>
          <w:spacing w:val="-5"/>
        </w:rPr>
        <w:t> </w:t>
      </w:r>
      <w:r>
        <w:rPr/>
        <w:t>and</w:t>
      </w:r>
      <w:r>
        <w:rPr>
          <w:spacing w:val="-9"/>
        </w:rPr>
        <w:t> </w:t>
      </w:r>
      <w:r>
        <w:rPr/>
        <w:t>monetary</w:t>
      </w:r>
      <w:r>
        <w:rPr>
          <w:spacing w:val="-12"/>
        </w:rPr>
        <w:t> </w:t>
      </w:r>
      <w:r>
        <w:rPr/>
        <w:t>and</w:t>
      </w:r>
      <w:r>
        <w:rPr>
          <w:spacing w:val="-8"/>
        </w:rPr>
        <w:t> </w:t>
      </w:r>
      <w:r>
        <w:rPr/>
        <w:t>fiscal</w:t>
      </w:r>
      <w:r>
        <w:rPr>
          <w:spacing w:val="-8"/>
        </w:rPr>
        <w:t> </w:t>
      </w:r>
      <w:r>
        <w:rPr/>
        <w:t>rules.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monetary</w:t>
      </w:r>
      <w:r>
        <w:rPr>
          <w:spacing w:val="-13"/>
        </w:rPr>
        <w:t> </w:t>
      </w:r>
      <w:r>
        <w:rPr/>
        <w:t>rule</w:t>
      </w:r>
      <w:r>
        <w:rPr>
          <w:spacing w:val="-9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simple</w:t>
      </w:r>
      <w:r>
        <w:rPr>
          <w:spacing w:val="-8"/>
        </w:rPr>
        <w:t> </w:t>
      </w:r>
      <w:r>
        <w:rPr/>
        <w:t>Taylor</w:t>
      </w:r>
      <w:r>
        <w:rPr>
          <w:spacing w:val="-8"/>
        </w:rPr>
        <w:t> </w:t>
      </w:r>
      <w:r>
        <w:rPr/>
        <w:t>rule</w:t>
      </w:r>
      <w:r>
        <w:rPr>
          <w:spacing w:val="-10"/>
        </w:rPr>
        <w:t> </w:t>
      </w:r>
      <w:r>
        <w:rPr/>
        <w:t>while</w:t>
      </w:r>
      <w:r>
        <w:rPr>
          <w:spacing w:val="-57"/>
        </w:rPr>
        <w:t> </w:t>
      </w:r>
      <w:r>
        <w:rPr/>
        <w:t>the fiscal rules are specified in government spending and taxes. The author solved the DSGE</w:t>
      </w:r>
      <w:r>
        <w:rPr>
          <w:spacing w:val="1"/>
        </w:rPr>
        <w:t> </w:t>
      </w:r>
      <w:r>
        <w:rPr/>
        <w:t>model</w:t>
      </w:r>
      <w:r>
        <w:rPr>
          <w:spacing w:val="33"/>
        </w:rPr>
        <w:t> </w:t>
      </w:r>
      <w:r>
        <w:rPr/>
        <w:t>by</w:t>
      </w:r>
      <w:r>
        <w:rPr>
          <w:spacing w:val="30"/>
        </w:rPr>
        <w:t> </w:t>
      </w:r>
      <w:r>
        <w:rPr/>
        <w:t>log-linearising</w:t>
      </w:r>
      <w:r>
        <w:rPr>
          <w:spacing w:val="33"/>
        </w:rPr>
        <w:t> </w:t>
      </w:r>
      <w:r>
        <w:rPr/>
        <w:t>its</w:t>
      </w:r>
      <w:r>
        <w:rPr>
          <w:spacing w:val="33"/>
        </w:rPr>
        <w:t> </w:t>
      </w:r>
      <w:r>
        <w:rPr/>
        <w:t>equilibrium</w:t>
      </w:r>
      <w:r>
        <w:rPr>
          <w:spacing w:val="33"/>
        </w:rPr>
        <w:t> </w:t>
      </w:r>
      <w:r>
        <w:rPr/>
        <w:t>equations</w:t>
      </w:r>
      <w:r>
        <w:rPr>
          <w:spacing w:val="33"/>
        </w:rPr>
        <w:t> </w:t>
      </w:r>
      <w:r>
        <w:rPr/>
        <w:t>which</w:t>
      </w:r>
      <w:r>
        <w:rPr>
          <w:spacing w:val="33"/>
        </w:rPr>
        <w:t> </w:t>
      </w:r>
      <w:r>
        <w:rPr/>
        <w:t>includes</w:t>
      </w:r>
      <w:r>
        <w:rPr>
          <w:spacing w:val="33"/>
        </w:rPr>
        <w:t> </w:t>
      </w:r>
      <w:r>
        <w:rPr/>
        <w:t>the</w:t>
      </w:r>
      <w:r>
        <w:rPr>
          <w:spacing w:val="37"/>
        </w:rPr>
        <w:t> </w:t>
      </w:r>
      <w:r>
        <w:rPr/>
        <w:t>monetary</w:t>
      </w:r>
      <w:r>
        <w:rPr>
          <w:spacing w:val="30"/>
        </w:rPr>
        <w:t> </w:t>
      </w:r>
      <w:r>
        <w:rPr/>
        <w:t>and</w:t>
      </w:r>
      <w:r>
        <w:rPr>
          <w:spacing w:val="33"/>
        </w:rPr>
        <w:t> </w:t>
      </w:r>
      <w:r>
        <w:rPr/>
        <w:t>fiscal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35"/>
        <w:jc w:val="both"/>
      </w:pPr>
      <w:r>
        <w:rPr/>
        <w:t>rules. The model was then estimated using the Bayesian technique with data on interest rate,</w:t>
      </w:r>
      <w:r>
        <w:rPr>
          <w:spacing w:val="1"/>
        </w:rPr>
        <w:t> </w:t>
      </w:r>
      <w:r>
        <w:rPr/>
        <w:t>real GDP, inflation and government spending over the period 1997Q1-2012Q2. The study</w:t>
      </w:r>
      <w:r>
        <w:rPr>
          <w:spacing w:val="1"/>
        </w:rPr>
        <w:t> </w:t>
      </w:r>
      <w:r>
        <w:rPr/>
        <w:t>computed</w:t>
      </w:r>
      <w:r>
        <w:rPr>
          <w:spacing w:val="-7"/>
        </w:rPr>
        <w:t> </w:t>
      </w:r>
      <w:r>
        <w:rPr/>
        <w:t>impulse</w:t>
      </w:r>
      <w:r>
        <w:rPr>
          <w:spacing w:val="-7"/>
        </w:rPr>
        <w:t> </w:t>
      </w:r>
      <w:r>
        <w:rPr/>
        <w:t>responses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inflation,</w:t>
      </w:r>
      <w:r>
        <w:rPr>
          <w:spacing w:val="-6"/>
        </w:rPr>
        <w:t> </w:t>
      </w:r>
      <w:r>
        <w:rPr/>
        <w:t>output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other</w:t>
      </w:r>
      <w:r>
        <w:rPr>
          <w:spacing w:val="-7"/>
        </w:rPr>
        <w:t> </w:t>
      </w:r>
      <w:r>
        <w:rPr/>
        <w:t>macroeconomic</w:t>
      </w:r>
      <w:r>
        <w:rPr>
          <w:spacing w:val="-7"/>
        </w:rPr>
        <w:t> </w:t>
      </w:r>
      <w:r>
        <w:rPr/>
        <w:t>variables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shocks</w:t>
      </w:r>
      <w:r>
        <w:rPr>
          <w:spacing w:val="-58"/>
        </w:rPr>
        <w:t> </w:t>
      </w:r>
      <w:r>
        <w:rPr/>
        <w:t>in interest rate, taxes and government spending. The result of the study revealed that a shock</w:t>
      </w:r>
      <w:r>
        <w:rPr>
          <w:spacing w:val="1"/>
        </w:rPr>
        <w:t> </w:t>
      </w:r>
      <w:r>
        <w:rPr/>
        <w:t>to interest rate lowers output and inflation, a shock to capital taxes lowers investment and</w:t>
      </w:r>
      <w:r>
        <w:rPr>
          <w:spacing w:val="1"/>
        </w:rPr>
        <w:t> </w:t>
      </w:r>
      <w:r>
        <w:rPr/>
        <w:t>output while a shock to government spending raises output. This study represents one of the</w:t>
      </w:r>
      <w:r>
        <w:rPr>
          <w:spacing w:val="1"/>
        </w:rPr>
        <w:t> </w:t>
      </w:r>
      <w:r>
        <w:rPr/>
        <w:t>few existing works on fiscal and monetary policy interaction within a DSGE model for an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economy.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2"/>
          <w:numId w:val="11"/>
        </w:numPr>
        <w:tabs>
          <w:tab w:pos="2603" w:val="left" w:leader="none"/>
        </w:tabs>
        <w:spacing w:line="240" w:lineRule="auto" w:before="0" w:after="0"/>
        <w:ind w:left="2602" w:right="0" w:hanging="843"/>
        <w:jc w:val="both"/>
      </w:pPr>
      <w:bookmarkStart w:name="_TOC_250039" w:id="21"/>
      <w:r>
        <w:rPr/>
        <w:t>Empirical</w:t>
      </w:r>
      <w:r>
        <w:rPr>
          <w:spacing w:val="-2"/>
        </w:rPr>
        <w:t> </w:t>
      </w:r>
      <w:r>
        <w:rPr/>
        <w:t>Evidence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bookmarkEnd w:id="21"/>
      <w:r>
        <w:rPr/>
        <w:t>Nigeria</w:t>
      </w:r>
    </w:p>
    <w:p>
      <w:pPr>
        <w:pStyle w:val="BodyText"/>
        <w:spacing w:line="360" w:lineRule="auto" w:before="145"/>
        <w:ind w:left="1760" w:right="1433"/>
        <w:jc w:val="both"/>
      </w:pPr>
      <w:r>
        <w:rPr>
          <w:spacing w:val="-1"/>
        </w:rPr>
        <w:t>Empirical</w:t>
      </w:r>
      <w:r>
        <w:rPr>
          <w:spacing w:val="-14"/>
        </w:rPr>
        <w:t> </w:t>
      </w:r>
      <w:r>
        <w:rPr/>
        <w:t>studies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monetary</w:t>
      </w:r>
      <w:r>
        <w:rPr>
          <w:spacing w:val="-20"/>
        </w:rPr>
        <w:t> </w:t>
      </w:r>
      <w:r>
        <w:rPr/>
        <w:t>and</w:t>
      </w:r>
      <w:r>
        <w:rPr>
          <w:spacing w:val="-15"/>
        </w:rPr>
        <w:t> </w:t>
      </w:r>
      <w:r>
        <w:rPr/>
        <w:t>fiscal</w:t>
      </w:r>
      <w:r>
        <w:rPr>
          <w:spacing w:val="-14"/>
        </w:rPr>
        <w:t> </w:t>
      </w:r>
      <w:r>
        <w:rPr/>
        <w:t>policy</w:t>
      </w:r>
      <w:r>
        <w:rPr>
          <w:spacing w:val="-20"/>
        </w:rPr>
        <w:t> </w:t>
      </w:r>
      <w:r>
        <w:rPr/>
        <w:t>interaction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Nigeria</w:t>
      </w:r>
      <w:r>
        <w:rPr>
          <w:spacing w:val="-16"/>
        </w:rPr>
        <w:t> </w:t>
      </w:r>
      <w:r>
        <w:rPr/>
        <w:t>within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dynamic</w:t>
      </w:r>
      <w:r>
        <w:rPr>
          <w:spacing w:val="-16"/>
        </w:rPr>
        <w:t> </w:t>
      </w:r>
      <w:r>
        <w:rPr/>
        <w:t>general</w:t>
      </w:r>
      <w:r>
        <w:rPr>
          <w:spacing w:val="-57"/>
        </w:rPr>
        <w:t> </w:t>
      </w:r>
      <w:r>
        <w:rPr/>
        <w:t>equilibrium framework are also sparse. Adegboye (2015) is one of the few studies known to</w:t>
      </w:r>
      <w:r>
        <w:rPr>
          <w:spacing w:val="1"/>
        </w:rPr>
        <w:t> </w:t>
      </w:r>
      <w:r>
        <w:rPr/>
        <w:t>the author. The study first investigated the effect of fiscal and monetary policy interaction on</w:t>
      </w:r>
      <w:r>
        <w:rPr>
          <w:spacing w:val="1"/>
        </w:rPr>
        <w:t> </w:t>
      </w:r>
      <w:r>
        <w:rPr>
          <w:spacing w:val="-1"/>
        </w:rPr>
        <w:t>inflation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output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Nigeria</w:t>
      </w:r>
      <w:r>
        <w:rPr>
          <w:spacing w:val="-13"/>
        </w:rPr>
        <w:t> </w:t>
      </w:r>
      <w:r>
        <w:rPr/>
        <w:t>using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Bayesian</w:t>
      </w:r>
      <w:r>
        <w:rPr>
          <w:spacing w:val="-13"/>
        </w:rPr>
        <w:t> </w:t>
      </w:r>
      <w:r>
        <w:rPr/>
        <w:t>method</w:t>
      </w:r>
      <w:r>
        <w:rPr>
          <w:spacing w:val="-11"/>
        </w:rPr>
        <w:t> </w:t>
      </w:r>
      <w:r>
        <w:rPr/>
        <w:t>over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quarterly</w:t>
      </w:r>
      <w:r>
        <w:rPr>
          <w:spacing w:val="-14"/>
        </w:rPr>
        <w:t> </w:t>
      </w:r>
      <w:r>
        <w:rPr/>
        <w:t>period</w:t>
      </w:r>
      <w:r>
        <w:rPr>
          <w:spacing w:val="-13"/>
        </w:rPr>
        <w:t> </w:t>
      </w:r>
      <w:r>
        <w:rPr/>
        <w:t>1960-2012.</w:t>
      </w:r>
      <w:r>
        <w:rPr>
          <w:spacing w:val="-57"/>
        </w:rPr>
        <w:t> </w:t>
      </w:r>
      <w:r>
        <w:rPr/>
        <w:t>The author built and solved by log-linearising an open economy NK DSGE model with two</w:t>
      </w:r>
      <w:r>
        <w:rPr>
          <w:spacing w:val="1"/>
        </w:rPr>
        <w:t> </w:t>
      </w:r>
      <w:r>
        <w:rPr/>
        <w:t>types of households (Ricardian and Non-Ricardian), firm, external sector, government, with</w:t>
      </w:r>
      <w:r>
        <w:rPr>
          <w:spacing w:val="1"/>
        </w:rPr>
        <w:t> </w:t>
      </w:r>
      <w:r>
        <w:rPr/>
        <w:t>fiscal</w:t>
      </w:r>
      <w:r>
        <w:rPr>
          <w:spacing w:val="-3"/>
        </w:rPr>
        <w:t> </w:t>
      </w:r>
      <w:r>
        <w:rPr/>
        <w:t>rule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spending</w:t>
      </w:r>
      <w:r>
        <w:rPr>
          <w:spacing w:val="-4"/>
        </w:rPr>
        <w:t> </w:t>
      </w:r>
      <w:r>
        <w:rPr/>
        <w:t>as</w:t>
      </w:r>
      <w:r>
        <w:rPr>
          <w:spacing w:val="-1"/>
        </w:rPr>
        <w:t> </w:t>
      </w:r>
      <w:r>
        <w:rPr/>
        <w:t>function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lagged</w:t>
      </w:r>
      <w:r>
        <w:rPr>
          <w:spacing w:val="-4"/>
        </w:rPr>
        <w:t> </w:t>
      </w:r>
      <w:r>
        <w:rPr/>
        <w:t>spending,</w:t>
      </w:r>
      <w:r>
        <w:rPr>
          <w:spacing w:val="-3"/>
        </w:rPr>
        <w:t> </w:t>
      </w:r>
      <w:r>
        <w:rPr/>
        <w:t>lagged</w:t>
      </w:r>
      <w:r>
        <w:rPr>
          <w:spacing w:val="-4"/>
        </w:rPr>
        <w:t> </w:t>
      </w:r>
      <w:r>
        <w:rPr/>
        <w:t>output</w:t>
      </w:r>
      <w:r>
        <w:rPr>
          <w:spacing w:val="-1"/>
        </w:rPr>
        <w:t> </w:t>
      </w:r>
      <w:r>
        <w:rPr/>
        <w:t>gap</w:t>
      </w:r>
      <w:r>
        <w:rPr>
          <w:spacing w:val="-3"/>
        </w:rPr>
        <w:t> </w:t>
      </w:r>
      <w:r>
        <w:rPr/>
        <w:t>and debt;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Taylor</w:t>
      </w:r>
      <w:r>
        <w:rPr>
          <w:spacing w:val="-58"/>
        </w:rPr>
        <w:t> </w:t>
      </w:r>
      <w:r>
        <w:rPr/>
        <w:t>rule augmented with lagged interest rate and exchange rate. The author also estimated for</w:t>
      </w:r>
      <w:r>
        <w:rPr>
          <w:spacing w:val="1"/>
        </w:rPr>
        <w:t> </w:t>
      </w:r>
      <w:r>
        <w:rPr>
          <w:spacing w:val="-1"/>
        </w:rPr>
        <w:t>policy</w:t>
      </w:r>
      <w:r>
        <w:rPr>
          <w:spacing w:val="-15"/>
        </w:rPr>
        <w:t> </w:t>
      </w:r>
      <w:r>
        <w:rPr>
          <w:spacing w:val="-1"/>
        </w:rPr>
        <w:t>parameters</w:t>
      </w:r>
      <w:r>
        <w:rPr>
          <w:spacing w:val="-10"/>
        </w:rPr>
        <w:t> </w:t>
      </w:r>
      <w:r>
        <w:rPr/>
        <w:t>using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Bayesian</w:t>
      </w:r>
      <w:r>
        <w:rPr>
          <w:spacing w:val="-9"/>
        </w:rPr>
        <w:t> </w:t>
      </w:r>
      <w:r>
        <w:rPr/>
        <w:t>method.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impulse</w:t>
      </w:r>
      <w:r>
        <w:rPr>
          <w:spacing w:val="-9"/>
        </w:rPr>
        <w:t> </w:t>
      </w:r>
      <w:r>
        <w:rPr/>
        <w:t>response</w:t>
      </w:r>
      <w:r>
        <w:rPr>
          <w:spacing w:val="-11"/>
        </w:rPr>
        <w:t> </w:t>
      </w:r>
      <w:r>
        <w:rPr/>
        <w:t>functions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fiscal</w:t>
      </w:r>
      <w:r>
        <w:rPr>
          <w:spacing w:val="-9"/>
        </w:rPr>
        <w:t> </w:t>
      </w:r>
      <w:r>
        <w:rPr/>
        <w:t>and</w:t>
      </w:r>
      <w:r>
        <w:rPr>
          <w:spacing w:val="-58"/>
        </w:rPr>
        <w:t> </w:t>
      </w:r>
      <w:r>
        <w:rPr/>
        <w:t>monetary</w:t>
      </w:r>
      <w:r>
        <w:rPr>
          <w:spacing w:val="-9"/>
        </w:rPr>
        <w:t> </w:t>
      </w:r>
      <w:r>
        <w:rPr/>
        <w:t>instruments to</w:t>
      </w:r>
      <w:r>
        <w:rPr>
          <w:spacing w:val="-1"/>
        </w:rPr>
        <w:t> </w:t>
      </w:r>
      <w:r>
        <w:rPr/>
        <w:t>shocks in</w:t>
      </w:r>
      <w:r>
        <w:rPr>
          <w:spacing w:val="-1"/>
        </w:rPr>
        <w:t> </w:t>
      </w:r>
      <w:r>
        <w:rPr/>
        <w:t>output and</w:t>
      </w:r>
      <w:r>
        <w:rPr>
          <w:spacing w:val="-4"/>
        </w:rPr>
        <w:t> </w:t>
      </w:r>
      <w:r>
        <w:rPr/>
        <w:t>inflation, were</w:t>
      </w:r>
      <w:r>
        <w:rPr>
          <w:spacing w:val="-2"/>
        </w:rPr>
        <w:t> </w:t>
      </w:r>
      <w:r>
        <w:rPr/>
        <w:t>then</w:t>
      </w:r>
      <w:r>
        <w:rPr>
          <w:spacing w:val="-1"/>
        </w:rPr>
        <w:t> </w:t>
      </w:r>
      <w:r>
        <w:rPr/>
        <w:t>computed. The</w:t>
      </w:r>
      <w:r>
        <w:rPr>
          <w:spacing w:val="-3"/>
        </w:rPr>
        <w:t> </w:t>
      </w:r>
      <w:r>
        <w:rPr/>
        <w:t>result of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study showed that monetary policy responds marginally to inflation while the fiscal policy</w:t>
      </w:r>
      <w:r>
        <w:rPr>
          <w:spacing w:val="1"/>
        </w:rPr>
        <w:t> </w:t>
      </w:r>
      <w:r>
        <w:rPr>
          <w:spacing w:val="-1"/>
        </w:rPr>
        <w:t>responds</w:t>
      </w:r>
      <w:r>
        <w:rPr>
          <w:spacing w:val="-14"/>
        </w:rPr>
        <w:t> </w:t>
      </w:r>
      <w:r>
        <w:rPr/>
        <w:t>positively</w:t>
      </w:r>
      <w:r>
        <w:rPr>
          <w:spacing w:val="-20"/>
        </w:rPr>
        <w:t> </w:t>
      </w:r>
      <w:r>
        <w:rPr/>
        <w:t>to</w:t>
      </w:r>
      <w:r>
        <w:rPr>
          <w:spacing w:val="-14"/>
        </w:rPr>
        <w:t> </w:t>
      </w:r>
      <w:r>
        <w:rPr/>
        <w:t>output</w:t>
      </w:r>
      <w:r>
        <w:rPr>
          <w:spacing w:val="-14"/>
        </w:rPr>
        <w:t> </w:t>
      </w:r>
      <w:r>
        <w:rPr/>
        <w:t>gap</w:t>
      </w:r>
      <w:r>
        <w:rPr>
          <w:spacing w:val="-15"/>
        </w:rPr>
        <w:t> </w:t>
      </w:r>
      <w:r>
        <w:rPr/>
        <w:t>shock</w:t>
      </w:r>
      <w:r>
        <w:rPr>
          <w:spacing w:val="-15"/>
        </w:rPr>
        <w:t> </w:t>
      </w:r>
      <w:r>
        <w:rPr/>
        <w:t>but</w:t>
      </w:r>
      <w:r>
        <w:rPr>
          <w:spacing w:val="-14"/>
        </w:rPr>
        <w:t> </w:t>
      </w:r>
      <w:r>
        <w:rPr/>
        <w:t>responds</w:t>
      </w:r>
      <w:r>
        <w:rPr>
          <w:spacing w:val="-15"/>
        </w:rPr>
        <w:t> </w:t>
      </w:r>
      <w:r>
        <w:rPr/>
        <w:t>negatively</w:t>
      </w:r>
      <w:r>
        <w:rPr>
          <w:spacing w:val="-20"/>
        </w:rPr>
        <w:t> </w:t>
      </w:r>
      <w:r>
        <w:rPr/>
        <w:t>and</w:t>
      </w:r>
      <w:r>
        <w:rPr>
          <w:spacing w:val="-15"/>
        </w:rPr>
        <w:t> </w:t>
      </w:r>
      <w:r>
        <w:rPr/>
        <w:t>insignificantly</w:t>
      </w:r>
      <w:r>
        <w:rPr>
          <w:spacing w:val="-20"/>
        </w:rPr>
        <w:t> </w:t>
      </w:r>
      <w:r>
        <w:rPr/>
        <w:t>to</w:t>
      </w:r>
      <w:r>
        <w:rPr>
          <w:spacing w:val="-14"/>
        </w:rPr>
        <w:t> </w:t>
      </w:r>
      <w:r>
        <w:rPr/>
        <w:t>inflation.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760" w:right="1431"/>
        <w:jc w:val="both"/>
      </w:pPr>
      <w:r>
        <w:rPr/>
        <w:t>Conversely, the impulse response function of output and inflation to positive shocks in fiscal</w:t>
      </w:r>
      <w:r>
        <w:rPr>
          <w:spacing w:val="1"/>
        </w:rPr>
        <w:t> </w:t>
      </w:r>
      <w:r>
        <w:rPr/>
        <w:t>and monetary were presented and the results showed that a shock to government spending</w:t>
      </w:r>
      <w:r>
        <w:rPr>
          <w:spacing w:val="1"/>
        </w:rPr>
        <w:t> </w:t>
      </w:r>
      <w:r>
        <w:rPr/>
        <w:t>lowers</w:t>
      </w:r>
      <w:r>
        <w:rPr>
          <w:spacing w:val="-4"/>
        </w:rPr>
        <w:t> </w:t>
      </w:r>
      <w:r>
        <w:rPr/>
        <w:t>output</w:t>
      </w:r>
      <w:r>
        <w:rPr>
          <w:spacing w:val="-3"/>
        </w:rPr>
        <w:t> </w:t>
      </w:r>
      <w:r>
        <w:rPr/>
        <w:t>but</w:t>
      </w:r>
      <w:r>
        <w:rPr>
          <w:spacing w:val="-3"/>
        </w:rPr>
        <w:t> </w:t>
      </w:r>
      <w:r>
        <w:rPr/>
        <w:t>has</w:t>
      </w:r>
      <w:r>
        <w:rPr>
          <w:spacing w:val="-4"/>
        </w:rPr>
        <w:t> </w:t>
      </w:r>
      <w:r>
        <w:rPr/>
        <w:t>no</w:t>
      </w:r>
      <w:r>
        <w:rPr>
          <w:spacing w:val="-6"/>
        </w:rPr>
        <w:t> </w:t>
      </w:r>
      <w:r>
        <w:rPr/>
        <w:t>systematic</w:t>
      </w:r>
      <w:r>
        <w:rPr>
          <w:spacing w:val="-5"/>
        </w:rPr>
        <w:t> </w:t>
      </w:r>
      <w:r>
        <w:rPr/>
        <w:t>impact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inflation.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positive</w:t>
      </w:r>
      <w:r>
        <w:rPr>
          <w:spacing w:val="-5"/>
        </w:rPr>
        <w:t> </w:t>
      </w:r>
      <w:r>
        <w:rPr/>
        <w:t>shock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interest</w:t>
      </w:r>
      <w:r>
        <w:rPr>
          <w:spacing w:val="-3"/>
        </w:rPr>
        <w:t> </w:t>
      </w:r>
      <w:r>
        <w:rPr/>
        <w:t>rate,</w:t>
      </w:r>
      <w:r>
        <w:rPr>
          <w:spacing w:val="-4"/>
        </w:rPr>
        <w:t> </w:t>
      </w:r>
      <w:r>
        <w:rPr/>
        <w:t>on</w:t>
      </w:r>
      <w:r>
        <w:rPr>
          <w:spacing w:val="-58"/>
        </w:rPr>
        <w:t> </w:t>
      </w:r>
      <w:r>
        <w:rPr/>
        <w:t>the other hand, lowers inflation and increases output. The next objective of the study was to</w:t>
      </w:r>
      <w:r>
        <w:rPr>
          <w:spacing w:val="1"/>
        </w:rPr>
        <w:t> </w:t>
      </w:r>
      <w:r>
        <w:rPr/>
        <w:t>solve</w:t>
      </w:r>
      <w:r>
        <w:rPr>
          <w:spacing w:val="1"/>
        </w:rPr>
        <w:t> </w:t>
      </w:r>
      <w:r>
        <w:rPr/>
        <w:t>for optimal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monetary policy rules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maximise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welfare by</w:t>
      </w:r>
      <w:r>
        <w:rPr>
          <w:spacing w:val="1"/>
        </w:rPr>
        <w:t> </w:t>
      </w:r>
      <w:r>
        <w:rPr/>
        <w:t>maximising expected utility subject to interest rate and government spending rules. The study</w:t>
      </w:r>
      <w:r>
        <w:rPr>
          <w:spacing w:val="-57"/>
        </w:rPr>
        <w:t> </w:t>
      </w:r>
      <w:r>
        <w:rPr/>
        <w:t>simulated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found</w:t>
      </w:r>
      <w:r>
        <w:rPr>
          <w:spacing w:val="2"/>
        </w:rPr>
        <w:t> </w:t>
      </w:r>
      <w:r>
        <w:rPr/>
        <w:t>that</w:t>
      </w:r>
      <w:r>
        <w:rPr>
          <w:spacing w:val="3"/>
        </w:rPr>
        <w:t> </w:t>
      </w:r>
      <w:r>
        <w:rPr/>
        <w:t>fiscal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monetary</w:t>
      </w:r>
      <w:r>
        <w:rPr>
          <w:spacing w:val="-2"/>
        </w:rPr>
        <w:t> </w:t>
      </w:r>
      <w:r>
        <w:rPr/>
        <w:t>policy</w:t>
      </w:r>
      <w:r>
        <w:rPr>
          <w:spacing w:val="-2"/>
        </w:rPr>
        <w:t> </w:t>
      </w:r>
      <w:r>
        <w:rPr/>
        <w:t>had</w:t>
      </w:r>
      <w:r>
        <w:rPr>
          <w:spacing w:val="4"/>
        </w:rPr>
        <w:t> </w:t>
      </w:r>
      <w:r>
        <w:rPr/>
        <w:t>significant</w:t>
      </w:r>
      <w:r>
        <w:rPr>
          <w:spacing w:val="4"/>
        </w:rPr>
        <w:t> </w:t>
      </w:r>
      <w:r>
        <w:rPr/>
        <w:t>impact</w:t>
      </w:r>
      <w:r>
        <w:rPr>
          <w:spacing w:val="4"/>
        </w:rPr>
        <w:t> </w:t>
      </w:r>
      <w:r>
        <w:rPr/>
        <w:t>on</w:t>
      </w:r>
      <w:r>
        <w:rPr>
          <w:spacing w:val="3"/>
        </w:rPr>
        <w:t> </w:t>
      </w:r>
      <w:r>
        <w:rPr/>
        <w:t>social</w:t>
      </w:r>
      <w:r>
        <w:rPr>
          <w:spacing w:val="3"/>
        </w:rPr>
        <w:t> </w:t>
      </w:r>
      <w:r>
        <w:rPr/>
        <w:t>welfare.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46"/>
        <w:jc w:val="both"/>
      </w:pPr>
      <w:r>
        <w:rPr/>
        <w:t>One assumption made in this study that may be unrelated to reality is that the Federal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Central Bank of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can</w:t>
      </w:r>
      <w:r>
        <w:rPr>
          <w:spacing w:val="2"/>
        </w:rPr>
        <w:t> </w:t>
      </w:r>
      <w:r>
        <w:rPr/>
        <w:t>commit to policy</w:t>
      </w:r>
      <w:r>
        <w:rPr>
          <w:spacing w:val="-6"/>
        </w:rPr>
        <w:t> </w:t>
      </w:r>
      <w:r>
        <w:rPr/>
        <w:t>rules.</w:t>
      </w:r>
    </w:p>
    <w:p>
      <w:pPr>
        <w:pStyle w:val="BodyText"/>
        <w:spacing w:before="7"/>
        <w:rPr>
          <w:sz w:val="36"/>
        </w:rPr>
      </w:pPr>
    </w:p>
    <w:p>
      <w:pPr>
        <w:pStyle w:val="Heading1"/>
        <w:numPr>
          <w:ilvl w:val="2"/>
          <w:numId w:val="11"/>
        </w:numPr>
        <w:tabs>
          <w:tab w:pos="2344" w:val="left" w:leader="none"/>
        </w:tabs>
        <w:spacing w:line="240" w:lineRule="auto" w:before="0" w:after="0"/>
        <w:ind w:left="2343" w:right="0" w:hanging="584"/>
        <w:jc w:val="left"/>
      </w:pPr>
      <w:bookmarkStart w:name="_TOC_250038" w:id="22"/>
      <w:r>
        <w:rPr/>
        <w:t>Empirical</w:t>
      </w:r>
      <w:r>
        <w:rPr>
          <w:spacing w:val="-1"/>
        </w:rPr>
        <w:t> </w:t>
      </w:r>
      <w:r>
        <w:rPr/>
        <w:t>Nature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Fiscal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bookmarkEnd w:id="22"/>
      <w:r>
        <w:rPr/>
        <w:t>Monetary Policy Interactions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360" w:lineRule="auto"/>
        <w:ind w:left="1760" w:right="1435"/>
        <w:jc w:val="both"/>
      </w:pPr>
      <w:r>
        <w:rPr/>
        <w:t>The nature of the interaction between fiscal and monetary policies can be characterised based</w:t>
      </w:r>
      <w:r>
        <w:rPr>
          <w:spacing w:val="-57"/>
        </w:rPr>
        <w:t> </w:t>
      </w:r>
      <w:r>
        <w:rPr/>
        <w:t>on the positive or negative correlation between them. In this instance, there is a positive</w:t>
      </w:r>
      <w:r>
        <w:rPr>
          <w:spacing w:val="1"/>
        </w:rPr>
        <w:t> </w:t>
      </w:r>
      <w:r>
        <w:rPr/>
        <w:t>(negative) correlation between both policies when they act as complements (substitutes). The</w:t>
      </w:r>
      <w:r>
        <w:rPr>
          <w:spacing w:val="1"/>
        </w:rPr>
        <w:t> </w:t>
      </w:r>
      <w:r>
        <w:rPr/>
        <w:t>dynamics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monetary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classification of Leeper (1991). According to Leeper (1991), fiscal and monetary policies can</w:t>
      </w:r>
      <w:r>
        <w:rPr>
          <w:spacing w:val="-57"/>
        </w:rPr>
        <w:t> </w:t>
      </w:r>
      <w:r>
        <w:rPr/>
        <w:t>interact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passive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active</w:t>
      </w:r>
      <w:r>
        <w:rPr>
          <w:spacing w:val="-1"/>
        </w:rPr>
        <w:t> </w:t>
      </w:r>
      <w:r>
        <w:rPr/>
        <w:t>combination.</w:t>
      </w:r>
    </w:p>
    <w:p>
      <w:pPr>
        <w:pStyle w:val="BodyText"/>
        <w:spacing w:line="360" w:lineRule="auto" w:before="200"/>
        <w:ind w:left="1760" w:right="1435"/>
        <w:jc w:val="both"/>
      </w:pPr>
      <w:r>
        <w:rPr/>
        <w:t>Jawadi, Mallick and Sousa (2016) for instance characterised the existing nature of fiscal and</w:t>
      </w:r>
      <w:r>
        <w:rPr>
          <w:spacing w:val="1"/>
        </w:rPr>
        <w:t> </w:t>
      </w:r>
      <w:r>
        <w:rPr/>
        <w:t>monetary interrelation in five emerging economies. The authors found a positive correlation</w:t>
      </w:r>
      <w:r>
        <w:rPr>
          <w:spacing w:val="1"/>
        </w:rPr>
        <w:t> </w:t>
      </w:r>
      <w:r>
        <w:rPr/>
        <w:t>between fiscal and monetary policy using the Panel Vector Autoregression method. 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monetary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interacts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complements.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the short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macroeconomic effects</w:t>
      </w:r>
      <w:r>
        <w:rPr>
          <w:spacing w:val="1"/>
        </w:rPr>
        <w:t> </w:t>
      </w:r>
      <w:r>
        <w:rPr/>
        <w:t>of fiscal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monetary policies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emerging economies. The result showed that monetary and fiscal policies in interest rate and</w:t>
      </w:r>
      <w:r>
        <w:rPr>
          <w:spacing w:val="1"/>
        </w:rPr>
        <w:t> </w:t>
      </w:r>
      <w:r>
        <w:rPr/>
        <w:t>government spending have respectively negative and positive effects on the macroeconomy.</w:t>
      </w:r>
      <w:r>
        <w:rPr>
          <w:spacing w:val="1"/>
        </w:rPr>
        <w:t> </w:t>
      </w:r>
      <w:r>
        <w:rPr/>
        <w:t>In a different manner, Chuku (2010) estimated a Markov switching model for regime shifts in</w:t>
      </w:r>
      <w:r>
        <w:rPr>
          <w:spacing w:val="-58"/>
        </w:rPr>
        <w:t> </w:t>
      </w:r>
      <w:r>
        <w:rPr>
          <w:spacing w:val="-1"/>
        </w:rPr>
        <w:t>fiscal-monetary</w:t>
      </w:r>
      <w:r>
        <w:rPr>
          <w:spacing w:val="-15"/>
        </w:rPr>
        <w:t> </w:t>
      </w:r>
      <w:r>
        <w:rPr/>
        <w:t>policy</w:t>
      </w:r>
      <w:r>
        <w:rPr>
          <w:spacing w:val="-11"/>
        </w:rPr>
        <w:t> </w:t>
      </w:r>
      <w:r>
        <w:rPr/>
        <w:t>interactions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Nigeria</w:t>
      </w:r>
      <w:r>
        <w:rPr>
          <w:spacing w:val="-8"/>
        </w:rPr>
        <w:t> </w:t>
      </w:r>
      <w:r>
        <w:rPr/>
        <w:t>over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quarterly</w:t>
      </w:r>
      <w:r>
        <w:rPr>
          <w:spacing w:val="-11"/>
        </w:rPr>
        <w:t> </w:t>
      </w:r>
      <w:r>
        <w:rPr/>
        <w:t>period</w:t>
      </w:r>
      <w:r>
        <w:rPr>
          <w:spacing w:val="-7"/>
        </w:rPr>
        <w:t> </w:t>
      </w:r>
      <w:r>
        <w:rPr/>
        <w:t>1970-2008.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results</w:t>
      </w:r>
      <w:r>
        <w:rPr>
          <w:spacing w:val="-58"/>
        </w:rPr>
        <w:t> </w:t>
      </w:r>
      <w:r>
        <w:rPr/>
        <w:t>showed the dynamics of fiscal and monetary policy to be negatively weak. This means that</w:t>
      </w:r>
      <w:r>
        <w:rPr>
          <w:spacing w:val="1"/>
        </w:rPr>
        <w:t> </w:t>
      </w:r>
      <w:r>
        <w:rPr/>
        <w:t>both</w:t>
      </w:r>
      <w:r>
        <w:rPr>
          <w:spacing w:val="-3"/>
        </w:rPr>
        <w:t> </w:t>
      </w:r>
      <w:r>
        <w:rPr/>
        <w:t>policies</w:t>
      </w:r>
      <w:r>
        <w:rPr>
          <w:spacing w:val="-4"/>
        </w:rPr>
        <w:t> </w:t>
      </w:r>
      <w:r>
        <w:rPr/>
        <w:t>act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weak</w:t>
      </w:r>
      <w:r>
        <w:rPr>
          <w:spacing w:val="1"/>
        </w:rPr>
        <w:t> </w:t>
      </w:r>
      <w:r>
        <w:rPr/>
        <w:t>substitutes.</w:t>
      </w:r>
      <w:r>
        <w:rPr>
          <w:spacing w:val="-2"/>
        </w:rPr>
        <w:t> </w:t>
      </w:r>
      <w:r>
        <w:rPr/>
        <w:t>Shahid,</w:t>
      </w:r>
      <w:r>
        <w:rPr>
          <w:spacing w:val="-3"/>
        </w:rPr>
        <w:t> </w:t>
      </w:r>
      <w:r>
        <w:rPr/>
        <w:t>Qayyum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Shahid</w:t>
      </w:r>
      <w:r>
        <w:rPr>
          <w:spacing w:val="-1"/>
        </w:rPr>
        <w:t> </w:t>
      </w:r>
      <w:r>
        <w:rPr/>
        <w:t>(2016)</w:t>
      </w:r>
      <w:r>
        <w:rPr>
          <w:spacing w:val="-2"/>
        </w:rPr>
        <w:t> </w:t>
      </w:r>
      <w:r>
        <w:rPr/>
        <w:t>also</w:t>
      </w:r>
      <w:r>
        <w:rPr>
          <w:spacing w:val="-2"/>
        </w:rPr>
        <w:t> </w:t>
      </w:r>
      <w:r>
        <w:rPr/>
        <w:t>found</w:t>
      </w:r>
      <w:r>
        <w:rPr>
          <w:spacing w:val="-5"/>
        </w:rPr>
        <w:t> </w:t>
      </w:r>
      <w:r>
        <w:rPr/>
        <w:t>evidence</w:t>
      </w:r>
      <w:r>
        <w:rPr>
          <w:spacing w:val="-57"/>
        </w:rPr>
        <w:t> </w:t>
      </w:r>
      <w:r>
        <w:rPr/>
        <w:t>for interactions between fiscal and monetary policy after the authors calibrated and estimated</w:t>
      </w:r>
      <w:r>
        <w:rPr>
          <w:spacing w:val="1"/>
        </w:rPr>
        <w:t> </w:t>
      </w:r>
      <w:r>
        <w:rPr/>
        <w:t>a</w:t>
      </w:r>
      <w:r>
        <w:rPr>
          <w:spacing w:val="-12"/>
        </w:rPr>
        <w:t> </w:t>
      </w:r>
      <w:r>
        <w:rPr/>
        <w:t>small</w:t>
      </w:r>
      <w:r>
        <w:rPr>
          <w:spacing w:val="-10"/>
        </w:rPr>
        <w:t> </w:t>
      </w:r>
      <w:r>
        <w:rPr/>
        <w:t>open</w:t>
      </w:r>
      <w:r>
        <w:rPr>
          <w:spacing w:val="-11"/>
        </w:rPr>
        <w:t> </w:t>
      </w:r>
      <w:r>
        <w:rPr/>
        <w:t>economy</w:t>
      </w:r>
      <w:r>
        <w:rPr>
          <w:spacing w:val="-15"/>
        </w:rPr>
        <w:t> </w:t>
      </w:r>
      <w:r>
        <w:rPr/>
        <w:t>Dynamic</w:t>
      </w:r>
      <w:r>
        <w:rPr>
          <w:spacing w:val="-12"/>
        </w:rPr>
        <w:t> </w:t>
      </w:r>
      <w:r>
        <w:rPr/>
        <w:t>Stochastic</w:t>
      </w:r>
      <w:r>
        <w:rPr>
          <w:spacing w:val="-12"/>
        </w:rPr>
        <w:t> </w:t>
      </w:r>
      <w:r>
        <w:rPr/>
        <w:t>General</w:t>
      </w:r>
      <w:r>
        <w:rPr>
          <w:spacing w:val="-11"/>
        </w:rPr>
        <w:t> </w:t>
      </w:r>
      <w:r>
        <w:rPr/>
        <w:t>Equilibrium</w:t>
      </w:r>
      <w:r>
        <w:rPr>
          <w:spacing w:val="-11"/>
        </w:rPr>
        <w:t> </w:t>
      </w:r>
      <w:r>
        <w:rPr/>
        <w:t>model</w:t>
      </w:r>
      <w:r>
        <w:rPr>
          <w:spacing w:val="-11"/>
        </w:rPr>
        <w:t> </w:t>
      </w:r>
      <w:r>
        <w:rPr/>
        <w:t>for</w:t>
      </w:r>
      <w:r>
        <w:rPr>
          <w:spacing w:val="-15"/>
        </w:rPr>
        <w:t> </w:t>
      </w:r>
      <w:r>
        <w:rPr/>
        <w:t>Pakistan.</w:t>
      </w:r>
      <w:r>
        <w:rPr>
          <w:spacing w:val="-11"/>
        </w:rPr>
        <w:t> </w:t>
      </w:r>
      <w:r>
        <w:rPr/>
        <w:t>However,</w:t>
      </w:r>
      <w:r>
        <w:rPr>
          <w:spacing w:val="-58"/>
        </w:rPr>
        <w:t> </w:t>
      </w:r>
      <w:r>
        <w:rPr>
          <w:spacing w:val="-1"/>
        </w:rPr>
        <w:t>Cazacu</w:t>
      </w:r>
      <w:r>
        <w:rPr>
          <w:spacing w:val="-15"/>
        </w:rPr>
        <w:t> </w:t>
      </w:r>
      <w:r>
        <w:rPr>
          <w:spacing w:val="-1"/>
        </w:rPr>
        <w:t>(2015)</w:t>
      </w:r>
      <w:r>
        <w:rPr>
          <w:spacing w:val="-16"/>
        </w:rPr>
        <w:t> </w:t>
      </w:r>
      <w:r>
        <w:rPr/>
        <w:t>estimated</w:t>
      </w:r>
      <w:r>
        <w:rPr>
          <w:spacing w:val="-12"/>
        </w:rPr>
        <w:t> </w:t>
      </w:r>
      <w:r>
        <w:rPr/>
        <w:t>a</w:t>
      </w:r>
      <w:r>
        <w:rPr>
          <w:spacing w:val="-15"/>
        </w:rPr>
        <w:t> </w:t>
      </w:r>
      <w:r>
        <w:rPr/>
        <w:t>Structural</w:t>
      </w:r>
      <w:r>
        <w:rPr>
          <w:spacing w:val="-14"/>
        </w:rPr>
        <w:t> </w:t>
      </w:r>
      <w:r>
        <w:rPr/>
        <w:t>VAR</w:t>
      </w:r>
      <w:r>
        <w:rPr>
          <w:spacing w:val="-14"/>
        </w:rPr>
        <w:t> </w:t>
      </w:r>
      <w:r>
        <w:rPr/>
        <w:t>model</w:t>
      </w:r>
      <w:r>
        <w:rPr>
          <w:spacing w:val="-14"/>
        </w:rPr>
        <w:t> </w:t>
      </w:r>
      <w:r>
        <w:rPr/>
        <w:t>for</w:t>
      </w:r>
      <w:r>
        <w:rPr>
          <w:spacing w:val="-16"/>
        </w:rPr>
        <w:t> </w:t>
      </w:r>
      <w:r>
        <w:rPr/>
        <w:t>Romania</w:t>
      </w:r>
      <w:r>
        <w:rPr>
          <w:spacing w:val="-16"/>
        </w:rPr>
        <w:t> </w:t>
      </w:r>
      <w:r>
        <w:rPr/>
        <w:t>and</w:t>
      </w:r>
      <w:r>
        <w:rPr>
          <w:spacing w:val="-14"/>
        </w:rPr>
        <w:t> </w:t>
      </w:r>
      <w:r>
        <w:rPr/>
        <w:t>was</w:t>
      </w:r>
      <w:r>
        <w:rPr>
          <w:spacing w:val="-15"/>
        </w:rPr>
        <w:t> </w:t>
      </w:r>
      <w:r>
        <w:rPr/>
        <w:t>unable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find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distinct</w:t>
      </w:r>
      <w:r>
        <w:rPr>
          <w:spacing w:val="-57"/>
        </w:rPr>
        <w:t> </w:t>
      </w:r>
      <w:r>
        <w:rPr/>
        <w:t>pattern of interactions between fiscal and monetary policies over the quarterly period 2000Q1</w:t>
      </w:r>
      <w:r>
        <w:rPr>
          <w:spacing w:val="-57"/>
        </w:rPr>
        <w:t> </w:t>
      </w:r>
      <w:r>
        <w:rPr/>
        <w:t>to 2014Q2.</w:t>
      </w:r>
    </w:p>
    <w:p>
      <w:pPr>
        <w:pStyle w:val="BodyText"/>
        <w:spacing w:line="360" w:lineRule="auto" w:before="201"/>
        <w:ind w:left="1760" w:right="1435"/>
        <w:jc w:val="both"/>
      </w:pPr>
      <w:r>
        <w:rPr/>
        <w:t>Gilksberg</w:t>
      </w:r>
      <w:r>
        <w:rPr>
          <w:spacing w:val="-5"/>
        </w:rPr>
        <w:t> </w:t>
      </w:r>
      <w:r>
        <w:rPr/>
        <w:t>(2016),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respect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classification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Leeper</w:t>
      </w:r>
      <w:r>
        <w:rPr>
          <w:spacing w:val="-5"/>
        </w:rPr>
        <w:t> </w:t>
      </w:r>
      <w:r>
        <w:rPr/>
        <w:t>(1991),</w:t>
      </w:r>
      <w:r>
        <w:rPr>
          <w:spacing w:val="-5"/>
        </w:rPr>
        <w:t> </w:t>
      </w:r>
      <w:r>
        <w:rPr/>
        <w:t>numerically</w:t>
      </w:r>
      <w:r>
        <w:rPr>
          <w:spacing w:val="-8"/>
        </w:rPr>
        <w:t> </w:t>
      </w:r>
      <w:r>
        <w:rPr/>
        <w:t>investigated</w:t>
      </w:r>
      <w:r>
        <w:rPr>
          <w:spacing w:val="-5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joint</w:t>
      </w:r>
      <w:r>
        <w:rPr>
          <w:spacing w:val="-7"/>
        </w:rPr>
        <w:t> </w:t>
      </w:r>
      <w:r>
        <w:rPr>
          <w:spacing w:val="-1"/>
        </w:rPr>
        <w:t>fiscal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monetary</w:t>
      </w:r>
      <w:r>
        <w:rPr>
          <w:spacing w:val="-15"/>
        </w:rPr>
        <w:t> </w:t>
      </w:r>
      <w:r>
        <w:rPr/>
        <w:t>policy</w:t>
      </w:r>
      <w:r>
        <w:rPr>
          <w:spacing w:val="-11"/>
        </w:rPr>
        <w:t> </w:t>
      </w:r>
      <w:r>
        <w:rPr/>
        <w:t>rules</w:t>
      </w:r>
      <w:r>
        <w:rPr>
          <w:spacing w:val="-7"/>
        </w:rPr>
        <w:t> </w:t>
      </w:r>
      <w:r>
        <w:rPr/>
        <w:t>that</w:t>
      </w:r>
      <w:r>
        <w:rPr>
          <w:spacing w:val="-8"/>
        </w:rPr>
        <w:t> </w:t>
      </w:r>
      <w:r>
        <w:rPr/>
        <w:t>guarantee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unique</w:t>
      </w:r>
      <w:r>
        <w:rPr>
          <w:spacing w:val="-7"/>
        </w:rPr>
        <w:t> </w:t>
      </w:r>
      <w:r>
        <w:rPr/>
        <w:t>solution</w:t>
      </w:r>
      <w:r>
        <w:rPr>
          <w:spacing w:val="-7"/>
        </w:rPr>
        <w:t> </w:t>
      </w:r>
      <w:r>
        <w:rPr/>
        <w:t>to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dynamic</w:t>
      </w:r>
      <w:r>
        <w:rPr>
          <w:spacing w:val="-9"/>
        </w:rPr>
        <w:t> </w:t>
      </w:r>
      <w:r>
        <w:rPr/>
        <w:t>general</w:t>
      </w:r>
      <w:r>
        <w:rPr>
          <w:spacing w:val="-57"/>
        </w:rPr>
        <w:t> </w:t>
      </w:r>
      <w:r>
        <w:rPr/>
        <w:t>equilibrium model. The authors found that three forms of fiscal-monetary interactions deliver</w:t>
      </w:r>
      <w:r>
        <w:rPr>
          <w:spacing w:val="-57"/>
        </w:rPr>
        <w:t> </w:t>
      </w:r>
      <w:r>
        <w:rPr/>
        <w:t>unique</w:t>
      </w:r>
      <w:r>
        <w:rPr>
          <w:spacing w:val="21"/>
        </w:rPr>
        <w:t> </w:t>
      </w:r>
      <w:r>
        <w:rPr/>
        <w:t>rational</w:t>
      </w:r>
      <w:r>
        <w:rPr>
          <w:spacing w:val="24"/>
        </w:rPr>
        <w:t> </w:t>
      </w:r>
      <w:r>
        <w:rPr/>
        <w:t>expectation</w:t>
      </w:r>
      <w:r>
        <w:rPr>
          <w:spacing w:val="21"/>
        </w:rPr>
        <w:t> </w:t>
      </w:r>
      <w:r>
        <w:rPr/>
        <w:t>equilibrium.</w:t>
      </w:r>
      <w:r>
        <w:rPr>
          <w:spacing w:val="21"/>
        </w:rPr>
        <w:t> </w:t>
      </w:r>
      <w:r>
        <w:rPr/>
        <w:t>These</w:t>
      </w:r>
      <w:r>
        <w:rPr>
          <w:spacing w:val="22"/>
        </w:rPr>
        <w:t> </w:t>
      </w:r>
      <w:r>
        <w:rPr/>
        <w:t>include</w:t>
      </w:r>
      <w:r>
        <w:rPr>
          <w:spacing w:val="22"/>
        </w:rPr>
        <w:t> </w:t>
      </w:r>
      <w:r>
        <w:rPr/>
        <w:t>active</w:t>
      </w:r>
      <w:r>
        <w:rPr>
          <w:spacing w:val="22"/>
        </w:rPr>
        <w:t> </w:t>
      </w:r>
      <w:r>
        <w:rPr/>
        <w:t>fiscal,</w:t>
      </w:r>
      <w:r>
        <w:rPr>
          <w:spacing w:val="24"/>
        </w:rPr>
        <w:t> </w:t>
      </w:r>
      <w:r>
        <w:rPr/>
        <w:t>passive</w:t>
      </w:r>
      <w:r>
        <w:rPr>
          <w:spacing w:val="20"/>
        </w:rPr>
        <w:t> </w:t>
      </w:r>
      <w:r>
        <w:rPr/>
        <w:t>monetary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33"/>
        <w:jc w:val="both"/>
      </w:pPr>
      <w:r>
        <w:rPr/>
        <w:t>combination, active monetary and passive fiscal combination and a passive fiscal and passive</w:t>
      </w:r>
      <w:r>
        <w:rPr>
          <w:spacing w:val="-57"/>
        </w:rPr>
        <w:t> </w:t>
      </w:r>
      <w:r>
        <w:rPr/>
        <w:t>monetary</w:t>
      </w:r>
      <w:r>
        <w:rPr>
          <w:spacing w:val="-13"/>
        </w:rPr>
        <w:t> </w:t>
      </w:r>
      <w:r>
        <w:rPr/>
        <w:t>regime.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passive</w:t>
      </w:r>
      <w:r>
        <w:rPr>
          <w:spacing w:val="-10"/>
        </w:rPr>
        <w:t> </w:t>
      </w:r>
      <w:r>
        <w:rPr/>
        <w:t>fiscal-passive</w:t>
      </w:r>
      <w:r>
        <w:rPr>
          <w:spacing w:val="-10"/>
        </w:rPr>
        <w:t> </w:t>
      </w:r>
      <w:r>
        <w:rPr/>
        <w:t>monetary</w:t>
      </w:r>
      <w:r>
        <w:rPr>
          <w:spacing w:val="-12"/>
        </w:rPr>
        <w:t> </w:t>
      </w:r>
      <w:r>
        <w:rPr/>
        <w:t>regime</w:t>
      </w:r>
      <w:r>
        <w:rPr>
          <w:spacing w:val="-10"/>
        </w:rPr>
        <w:t> </w:t>
      </w:r>
      <w:r>
        <w:rPr/>
        <w:t>is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novel</w:t>
      </w:r>
      <w:r>
        <w:rPr>
          <w:spacing w:val="-8"/>
        </w:rPr>
        <w:t> </w:t>
      </w:r>
      <w:r>
        <w:rPr/>
        <w:t>finding</w:t>
      </w:r>
      <w:r>
        <w:rPr>
          <w:spacing w:val="-11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from</w:t>
      </w:r>
      <w:r>
        <w:rPr>
          <w:spacing w:val="-58"/>
        </w:rPr>
        <w:t> </w:t>
      </w:r>
      <w:r>
        <w:rPr/>
        <w:t>Leeper (1991) conventional prescription of an active and passive combination. In the same</w:t>
      </w:r>
      <w:r>
        <w:rPr>
          <w:spacing w:val="1"/>
        </w:rPr>
        <w:t> </w:t>
      </w:r>
      <w:r>
        <w:rPr/>
        <w:t>vein, Cevik, Dibooglu and Kutan (2014) found that the fiscal and monetary policies of six</w:t>
      </w:r>
      <w:r>
        <w:rPr>
          <w:spacing w:val="1"/>
        </w:rPr>
        <w:t> </w:t>
      </w:r>
      <w:r>
        <w:rPr/>
        <w:t>Emerging European economies over the quarterly period 1995Q1 to 2010Q4, evolve as a</w:t>
      </w:r>
      <w:r>
        <w:rPr>
          <w:spacing w:val="1"/>
        </w:rPr>
        <w:t> </w:t>
      </w:r>
      <w:r>
        <w:rPr/>
        <w:t>Markov switching process between an active and passive regime. This indicates the existence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divergent</w:t>
      </w:r>
      <w:r>
        <w:rPr>
          <w:spacing w:val="-1"/>
        </w:rPr>
        <w:t> </w:t>
      </w:r>
      <w:r>
        <w:rPr/>
        <w:t>forms of</w:t>
      </w:r>
      <w:r>
        <w:rPr>
          <w:spacing w:val="-2"/>
        </w:rPr>
        <w:t> </w:t>
      </w:r>
      <w:r>
        <w:rPr/>
        <w:t>interaction between</w:t>
      </w:r>
      <w:r>
        <w:rPr>
          <w:spacing w:val="1"/>
        </w:rPr>
        <w:t> </w:t>
      </w:r>
      <w:r>
        <w:rPr/>
        <w:t>fiscal</w:t>
      </w:r>
      <w:r>
        <w:rPr>
          <w:spacing w:val="-1"/>
        </w:rPr>
        <w:t> </w:t>
      </w:r>
      <w:r>
        <w:rPr/>
        <w:t>and monetary</w:t>
      </w:r>
      <w:r>
        <w:rPr>
          <w:spacing w:val="-6"/>
        </w:rPr>
        <w:t> </w:t>
      </w:r>
      <w:r>
        <w:rPr/>
        <w:t>policies over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sample</w:t>
      </w:r>
      <w:r>
        <w:rPr>
          <w:spacing w:val="-1"/>
        </w:rPr>
        <w:t> </w:t>
      </w:r>
      <w:r>
        <w:rPr/>
        <w:t>period.</w:t>
      </w:r>
    </w:p>
    <w:p>
      <w:pPr>
        <w:pStyle w:val="BodyText"/>
        <w:spacing w:line="360" w:lineRule="auto" w:before="201"/>
        <w:ind w:left="1760" w:right="1433"/>
        <w:jc w:val="both"/>
      </w:pPr>
      <w:r>
        <w:rPr/>
        <w:t>Furthermore, some studies are concerned with examining the existence of fiscal or monetary</w:t>
      </w:r>
      <w:r>
        <w:rPr>
          <w:spacing w:val="1"/>
        </w:rPr>
        <w:t> </w:t>
      </w:r>
      <w:r>
        <w:rPr/>
        <w:t>dominance. This closely relates with the active-passive nature of fiscal policy and monetary</w:t>
      </w:r>
      <w:r>
        <w:rPr>
          <w:spacing w:val="1"/>
        </w:rPr>
        <w:t> </w:t>
      </w:r>
      <w:r>
        <w:rPr/>
        <w:t>policy. Ornellas and Portugal (2011), for example, estimated a dynamic stochastic general</w:t>
      </w:r>
      <w:r>
        <w:rPr>
          <w:spacing w:val="1"/>
        </w:rPr>
        <w:t> </w:t>
      </w:r>
      <w:r>
        <w:rPr/>
        <w:t>equilibrium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find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degree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fiscal</w:t>
      </w:r>
      <w:r>
        <w:rPr>
          <w:spacing w:val="-1"/>
        </w:rPr>
        <w:t> </w:t>
      </w:r>
      <w:r>
        <w:rPr/>
        <w:t>dominance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trivial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Brazil.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implies</w:t>
      </w:r>
      <w:r>
        <w:rPr>
          <w:spacing w:val="-58"/>
        </w:rPr>
        <w:t> </w:t>
      </w:r>
      <w:r>
        <w:rPr/>
        <w:t>that the Central Bank may not have to passively adjust its instruments to suit the fiscal stance</w:t>
      </w:r>
      <w:r>
        <w:rPr>
          <w:spacing w:val="1"/>
        </w:rPr>
        <w:t> </w:t>
      </w:r>
      <w:r>
        <w:rPr/>
        <w:t>of government. Janku and Kappel (2014) also employed the simple ordinary least square</w:t>
      </w:r>
      <w:r>
        <w:rPr>
          <w:spacing w:val="1"/>
        </w:rPr>
        <w:t> </w:t>
      </w:r>
      <w:r>
        <w:rPr/>
        <w:t>regression on quarterly data for Czech Republic, Slovakia, Hungary and Poland. The authors</w:t>
      </w:r>
      <w:r>
        <w:rPr>
          <w:spacing w:val="1"/>
        </w:rPr>
        <w:t> </w:t>
      </w:r>
      <w:r>
        <w:rPr/>
        <w:t>found evidence of monetary dominance in all the countries except Hungary. This depicts the</w:t>
      </w:r>
      <w:r>
        <w:rPr>
          <w:spacing w:val="1"/>
        </w:rPr>
        <w:t> </w:t>
      </w:r>
      <w:r>
        <w:rPr/>
        <w:t>existence</w:t>
      </w:r>
      <w:r>
        <w:rPr>
          <w:spacing w:val="-1"/>
        </w:rPr>
        <w:t> </w:t>
      </w:r>
      <w:r>
        <w:rPr/>
        <w:t>of an active</w:t>
      </w:r>
      <w:r>
        <w:rPr>
          <w:spacing w:val="-2"/>
        </w:rPr>
        <w:t> </w:t>
      </w:r>
      <w:r>
        <w:rPr/>
        <w:t>monetary</w:t>
      </w:r>
      <w:r>
        <w:rPr>
          <w:spacing w:val="-5"/>
        </w:rPr>
        <w:t> </w:t>
      </w:r>
      <w:r>
        <w:rPr/>
        <w:t>policy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passive</w:t>
      </w:r>
      <w:r>
        <w:rPr>
          <w:spacing w:val="-1"/>
        </w:rPr>
        <w:t> </w:t>
      </w:r>
      <w:r>
        <w:rPr/>
        <w:t>fiscal policy.</w:t>
      </w:r>
    </w:p>
    <w:p>
      <w:pPr>
        <w:pStyle w:val="BodyText"/>
        <w:spacing w:line="360" w:lineRule="auto" w:before="199"/>
        <w:ind w:left="1760" w:right="1435"/>
        <w:jc w:val="both"/>
      </w:pPr>
      <w:r>
        <w:rPr/>
        <w:t>Chen (2017), in the same manner, solved and estimated a linear DSGE model and a Markov</w:t>
      </w:r>
      <w:r>
        <w:rPr>
          <w:spacing w:val="1"/>
        </w:rPr>
        <w:t> </w:t>
      </w:r>
      <w:r>
        <w:rPr/>
        <w:t>switching model in order to characterise the dynamics between fiscal and monetary policy in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United</w:t>
      </w:r>
      <w:r>
        <w:rPr>
          <w:spacing w:val="-13"/>
        </w:rPr>
        <w:t> </w:t>
      </w:r>
      <w:r>
        <w:rPr>
          <w:spacing w:val="-1"/>
        </w:rPr>
        <w:t>States.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study</w:t>
      </w:r>
      <w:r>
        <w:rPr>
          <w:spacing w:val="-16"/>
        </w:rPr>
        <w:t> </w:t>
      </w:r>
      <w:r>
        <w:rPr/>
        <w:t>characterised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nature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both</w:t>
      </w:r>
      <w:r>
        <w:rPr>
          <w:spacing w:val="-12"/>
        </w:rPr>
        <w:t> </w:t>
      </w:r>
      <w:r>
        <w:rPr/>
        <w:t>policies</w:t>
      </w:r>
      <w:r>
        <w:rPr>
          <w:spacing w:val="-13"/>
        </w:rPr>
        <w:t> </w:t>
      </w:r>
      <w:r>
        <w:rPr/>
        <w:t>as</w:t>
      </w:r>
      <w:r>
        <w:rPr>
          <w:spacing w:val="-12"/>
        </w:rPr>
        <w:t> </w:t>
      </w:r>
      <w:r>
        <w:rPr/>
        <w:t>either</w:t>
      </w:r>
      <w:r>
        <w:rPr>
          <w:spacing w:val="-12"/>
        </w:rPr>
        <w:t> </w:t>
      </w:r>
      <w:r>
        <w:rPr/>
        <w:t>active</w:t>
      </w:r>
      <w:r>
        <w:rPr>
          <w:spacing w:val="-13"/>
        </w:rPr>
        <w:t> </w:t>
      </w:r>
      <w:r>
        <w:rPr/>
        <w:t>or</w:t>
      </w:r>
      <w:r>
        <w:rPr>
          <w:spacing w:val="-13"/>
        </w:rPr>
        <w:t> </w:t>
      </w:r>
      <w:r>
        <w:rPr/>
        <w:t>passive.</w:t>
      </w:r>
      <w:r>
        <w:rPr>
          <w:spacing w:val="-57"/>
        </w:rPr>
        <w:t> </w:t>
      </w:r>
      <w:r>
        <w:rPr/>
        <w:t>The study found that both policies have the most welfare enhancing impact on the economy</w:t>
      </w:r>
      <w:r>
        <w:rPr>
          <w:spacing w:val="1"/>
        </w:rPr>
        <w:t> </w:t>
      </w:r>
      <w:r>
        <w:rPr/>
        <w:t>when they interact as an active-active pair. Lima, Maka and Pumar (2012) also used a SVAR</w:t>
      </w:r>
      <w:r>
        <w:rPr>
          <w:spacing w:val="1"/>
        </w:rPr>
        <w:t> </w:t>
      </w:r>
      <w:r>
        <w:rPr/>
        <w:t>model to study the interactions between fiscal and monetary policy in Brazil. The study used</w:t>
      </w:r>
      <w:r>
        <w:rPr>
          <w:spacing w:val="1"/>
        </w:rPr>
        <w:t> </w:t>
      </w:r>
      <w:r>
        <w:rPr/>
        <w:t>two</w:t>
      </w:r>
      <w:r>
        <w:rPr>
          <w:spacing w:val="-4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identification</w:t>
      </w:r>
      <w:r>
        <w:rPr>
          <w:spacing w:val="-4"/>
        </w:rPr>
        <w:t> </w:t>
      </w:r>
      <w:r>
        <w:rPr/>
        <w:t>schemes</w:t>
      </w:r>
      <w:r>
        <w:rPr>
          <w:spacing w:val="-3"/>
        </w:rPr>
        <w:t> </w:t>
      </w:r>
      <w:r>
        <w:rPr/>
        <w:t>but</w:t>
      </w:r>
      <w:r>
        <w:rPr>
          <w:spacing w:val="-3"/>
        </w:rPr>
        <w:t> </w:t>
      </w:r>
      <w:r>
        <w:rPr/>
        <w:t>produced</w:t>
      </w:r>
      <w:r>
        <w:rPr>
          <w:spacing w:val="-1"/>
        </w:rPr>
        <w:t> </w:t>
      </w:r>
      <w:r>
        <w:rPr/>
        <w:t>inconsistent</w:t>
      </w:r>
      <w:r>
        <w:rPr>
          <w:spacing w:val="-3"/>
        </w:rPr>
        <w:t> </w:t>
      </w:r>
      <w:r>
        <w:rPr/>
        <w:t>result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deciding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existence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fiscal dominance</w:t>
      </w:r>
      <w:r>
        <w:rPr>
          <w:spacing w:val="-1"/>
        </w:rPr>
        <w:t> </w:t>
      </w:r>
      <w:r>
        <w:rPr/>
        <w:t>in Brazil.</w:t>
      </w:r>
    </w:p>
    <w:p>
      <w:pPr>
        <w:pStyle w:val="BodyText"/>
        <w:spacing w:line="360" w:lineRule="auto" w:before="203"/>
        <w:ind w:left="1760" w:right="1438"/>
        <w:jc w:val="both"/>
      </w:pPr>
      <w:r>
        <w:rPr/>
        <w:t>Other studies are also concerned with empirically examining the existence or not of Sargent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Wallace</w:t>
      </w:r>
      <w:r>
        <w:rPr>
          <w:spacing w:val="-16"/>
        </w:rPr>
        <w:t> </w:t>
      </w:r>
      <w:r>
        <w:rPr>
          <w:spacing w:val="-1"/>
        </w:rPr>
        <w:t>(1981)</w:t>
      </w:r>
      <w:r>
        <w:rPr>
          <w:spacing w:val="-16"/>
        </w:rPr>
        <w:t> </w:t>
      </w:r>
      <w:r>
        <w:rPr/>
        <w:t>hypothesis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Monetarist</w:t>
      </w:r>
      <w:r>
        <w:rPr>
          <w:spacing w:val="-14"/>
        </w:rPr>
        <w:t> </w:t>
      </w:r>
      <w:r>
        <w:rPr/>
        <w:t>Arithmetic.</w:t>
      </w:r>
      <w:r>
        <w:rPr>
          <w:spacing w:val="-13"/>
        </w:rPr>
        <w:t> </w:t>
      </w:r>
      <w:r>
        <w:rPr/>
        <w:t>In</w:t>
      </w:r>
      <w:r>
        <w:rPr>
          <w:spacing w:val="-15"/>
        </w:rPr>
        <w:t> </w:t>
      </w:r>
      <w:r>
        <w:rPr/>
        <w:t>this</w:t>
      </w:r>
      <w:r>
        <w:rPr>
          <w:spacing w:val="-14"/>
        </w:rPr>
        <w:t> </w:t>
      </w:r>
      <w:r>
        <w:rPr/>
        <w:t>respect,</w:t>
      </w:r>
      <w:r>
        <w:rPr>
          <w:spacing w:val="-14"/>
        </w:rPr>
        <w:t> </w:t>
      </w:r>
      <w:r>
        <w:rPr/>
        <w:t>they</w:t>
      </w:r>
      <w:r>
        <w:rPr>
          <w:spacing w:val="-17"/>
        </w:rPr>
        <w:t> </w:t>
      </w:r>
      <w:r>
        <w:rPr/>
        <w:t>are</w:t>
      </w:r>
      <w:r>
        <w:rPr>
          <w:spacing w:val="-14"/>
        </w:rPr>
        <w:t> </w:t>
      </w:r>
      <w:r>
        <w:rPr/>
        <w:t>concerned</w:t>
      </w:r>
      <w:r>
        <w:rPr>
          <w:spacing w:val="-57"/>
        </w:rPr>
        <w:t> </w:t>
      </w:r>
      <w:r>
        <w:rPr/>
        <w:t>with determining how the fiscal decisions of government constrain the central bank’s ability</w:t>
      </w:r>
      <w:r>
        <w:rPr>
          <w:spacing w:val="1"/>
        </w:rPr>
        <w:t> </w:t>
      </w:r>
      <w:r>
        <w:rPr/>
        <w:t>to</w:t>
      </w:r>
      <w:r>
        <w:rPr>
          <w:spacing w:val="-11"/>
        </w:rPr>
        <w:t> </w:t>
      </w:r>
      <w:r>
        <w:rPr/>
        <w:t>control</w:t>
      </w:r>
      <w:r>
        <w:rPr>
          <w:spacing w:val="-10"/>
        </w:rPr>
        <w:t> </w:t>
      </w:r>
      <w:r>
        <w:rPr/>
        <w:t>domestic</w:t>
      </w:r>
      <w:r>
        <w:rPr>
          <w:spacing w:val="-12"/>
        </w:rPr>
        <w:t> </w:t>
      </w:r>
      <w:r>
        <w:rPr/>
        <w:t>inflation.</w:t>
      </w:r>
      <w:r>
        <w:rPr>
          <w:spacing w:val="-10"/>
        </w:rPr>
        <w:t> </w:t>
      </w:r>
      <w:r>
        <w:rPr/>
        <w:t>Kliem,</w:t>
      </w:r>
      <w:r>
        <w:rPr>
          <w:spacing w:val="-10"/>
        </w:rPr>
        <w:t> </w:t>
      </w:r>
      <w:r>
        <w:rPr/>
        <w:t>Kriwoluzky</w:t>
      </w:r>
      <w:r>
        <w:rPr>
          <w:spacing w:val="-13"/>
        </w:rPr>
        <w:t> </w:t>
      </w:r>
      <w:r>
        <w:rPr/>
        <w:t>and</w:t>
      </w:r>
      <w:r>
        <w:rPr>
          <w:spacing w:val="-10"/>
        </w:rPr>
        <w:t> </w:t>
      </w:r>
      <w:r>
        <w:rPr/>
        <w:t>Sarferaz</w:t>
      </w:r>
      <w:r>
        <w:rPr>
          <w:spacing w:val="-9"/>
        </w:rPr>
        <w:t> </w:t>
      </w:r>
      <w:r>
        <w:rPr/>
        <w:t>(2016),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regard,</w:t>
      </w:r>
      <w:r>
        <w:rPr>
          <w:spacing w:val="-12"/>
        </w:rPr>
        <w:t> </w:t>
      </w:r>
      <w:r>
        <w:rPr/>
        <w:t>estimated</w:t>
      </w:r>
      <w:r>
        <w:rPr>
          <w:spacing w:val="-57"/>
        </w:rPr>
        <w:t> </w:t>
      </w:r>
      <w:r>
        <w:rPr/>
        <w:t>a Time Varying Parameter- Vector autoregressive model and a DSGE model and found that</w:t>
      </w:r>
      <w:r>
        <w:rPr>
          <w:spacing w:val="1"/>
        </w:rPr>
        <w:t> </w:t>
      </w:r>
      <w:r>
        <w:rPr/>
        <w:t>the</w:t>
      </w:r>
      <w:r>
        <w:rPr>
          <w:spacing w:val="7"/>
        </w:rPr>
        <w:t> </w:t>
      </w:r>
      <w:r>
        <w:rPr/>
        <w:t>magnitude</w:t>
      </w:r>
      <w:r>
        <w:rPr>
          <w:spacing w:val="7"/>
        </w:rPr>
        <w:t> </w:t>
      </w:r>
      <w:r>
        <w:rPr/>
        <w:t>of</w:t>
      </w:r>
      <w:r>
        <w:rPr>
          <w:spacing w:val="10"/>
        </w:rPr>
        <w:t> </w:t>
      </w:r>
      <w:r>
        <w:rPr/>
        <w:t>fiscally-induced</w:t>
      </w:r>
      <w:r>
        <w:rPr>
          <w:spacing w:val="9"/>
        </w:rPr>
        <w:t> </w:t>
      </w:r>
      <w:r>
        <w:rPr/>
        <w:t>inflation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12"/>
        </w:rPr>
        <w:t> </w:t>
      </w:r>
      <w:r>
        <w:rPr/>
        <w:t>United</w:t>
      </w:r>
      <w:r>
        <w:rPr>
          <w:spacing w:val="8"/>
        </w:rPr>
        <w:t> </w:t>
      </w:r>
      <w:r>
        <w:rPr/>
        <w:t>States,</w:t>
      </w:r>
      <w:r>
        <w:rPr>
          <w:spacing w:val="11"/>
        </w:rPr>
        <w:t> </w:t>
      </w:r>
      <w:r>
        <w:rPr/>
        <w:t>Italy</w:t>
      </w:r>
      <w:r>
        <w:rPr>
          <w:spacing w:val="3"/>
        </w:rPr>
        <w:t> </w:t>
      </w:r>
      <w:r>
        <w:rPr/>
        <w:t>and</w:t>
      </w:r>
      <w:r>
        <w:rPr>
          <w:spacing w:val="10"/>
        </w:rPr>
        <w:t> </w:t>
      </w:r>
      <w:r>
        <w:rPr/>
        <w:t>Germany,</w:t>
      </w:r>
      <w:r>
        <w:rPr>
          <w:spacing w:val="9"/>
        </w:rPr>
        <w:t> </w:t>
      </w:r>
      <w:r>
        <w:rPr/>
        <w:t>depends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36"/>
        <w:jc w:val="both"/>
      </w:pPr>
      <w:r>
        <w:rPr/>
        <w:t>on the form of interactions existing between fiscal and monetary policies. This means that</w:t>
      </w:r>
      <w:r>
        <w:rPr>
          <w:spacing w:val="1"/>
        </w:rPr>
        <w:t> </w:t>
      </w:r>
      <w:r>
        <w:rPr/>
        <w:t>fiscally-induced inflation, which is</w:t>
      </w:r>
      <w:r>
        <w:rPr>
          <w:spacing w:val="1"/>
        </w:rPr>
        <w:t> </w:t>
      </w:r>
      <w:r>
        <w:rPr/>
        <w:t>defined as a high magnitude of cyclical relationship</w:t>
      </w:r>
      <w:r>
        <w:rPr>
          <w:spacing w:val="1"/>
        </w:rPr>
        <w:t> </w:t>
      </w:r>
      <w:r>
        <w:rPr/>
        <w:t>between</w:t>
      </w:r>
      <w:r>
        <w:rPr>
          <w:spacing w:val="-6"/>
        </w:rPr>
        <w:t> </w:t>
      </w:r>
      <w:r>
        <w:rPr/>
        <w:t>fiscal</w:t>
      </w:r>
      <w:r>
        <w:rPr>
          <w:spacing w:val="-5"/>
        </w:rPr>
        <w:t> </w:t>
      </w:r>
      <w:r>
        <w:rPr/>
        <w:t>stance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inflation,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likely</w:t>
      </w:r>
      <w:r>
        <w:rPr>
          <w:spacing w:val="-12"/>
        </w:rPr>
        <w:t> </w:t>
      </w:r>
      <w:r>
        <w:rPr/>
        <w:t>to</w:t>
      </w:r>
      <w:r>
        <w:rPr>
          <w:spacing w:val="-5"/>
        </w:rPr>
        <w:t> </w:t>
      </w:r>
      <w:r>
        <w:rPr/>
        <w:t>occur</w:t>
      </w:r>
      <w:r>
        <w:rPr>
          <w:spacing w:val="-7"/>
        </w:rPr>
        <w:t> </w:t>
      </w:r>
      <w:r>
        <w:rPr/>
        <w:t>when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fiscally</w:t>
      </w:r>
      <w:r>
        <w:rPr>
          <w:spacing w:val="-12"/>
        </w:rPr>
        <w:t> </w:t>
      </w:r>
      <w:r>
        <w:rPr/>
        <w:t>indisciplined</w:t>
      </w:r>
      <w:r>
        <w:rPr>
          <w:spacing w:val="-6"/>
        </w:rPr>
        <w:t> </w:t>
      </w:r>
      <w:r>
        <w:rPr/>
        <w:t>government</w:t>
      </w:r>
      <w:r>
        <w:rPr>
          <w:spacing w:val="-57"/>
        </w:rPr>
        <w:t> </w:t>
      </w:r>
      <w:r>
        <w:rPr/>
        <w:t>interacts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vice-versa.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authors’ claim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magnitude of relationship between fiscal stance and inflation is independent of the data used</w:t>
      </w:r>
      <w:r>
        <w:rPr>
          <w:spacing w:val="1"/>
        </w:rPr>
        <w:t> </w:t>
      </w:r>
      <w:r>
        <w:rPr/>
        <w:t>but on the nature of fiscal-monetary policy regime, is unconvincing, except it is verified by</w:t>
      </w:r>
      <w:r>
        <w:rPr>
          <w:spacing w:val="1"/>
        </w:rPr>
        <w:t> </w:t>
      </w:r>
      <w:r>
        <w:rPr/>
        <w:t>other researchers for the sample used or for similar economies to the United States, Italy and</w:t>
      </w:r>
      <w:r>
        <w:rPr>
          <w:spacing w:val="1"/>
        </w:rPr>
        <w:t> </w:t>
      </w:r>
      <w:r>
        <w:rPr/>
        <w:t>Germany.</w:t>
      </w:r>
    </w:p>
    <w:p>
      <w:pPr>
        <w:pStyle w:val="BodyText"/>
        <w:spacing w:line="360" w:lineRule="auto" w:before="201"/>
        <w:ind w:left="1760" w:right="1435"/>
        <w:jc w:val="both"/>
      </w:pPr>
      <w:r>
        <w:rPr/>
        <w:t>Dimakou (2015) also investigated fiscal-monetary policy interaction in the face of corruption</w:t>
      </w:r>
      <w:r>
        <w:rPr>
          <w:spacing w:val="-57"/>
        </w:rPr>
        <w:t> </w:t>
      </w:r>
      <w:r>
        <w:rPr/>
        <w:t>by government officials</w:t>
      </w:r>
      <w:r>
        <w:rPr>
          <w:spacing w:val="1"/>
        </w:rPr>
        <w:t> </w:t>
      </w:r>
      <w:r>
        <w:rPr/>
        <w:t>using an event study analysis on</w:t>
      </w:r>
      <w:r>
        <w:rPr>
          <w:spacing w:val="1"/>
        </w:rPr>
        <w:t> </w:t>
      </w:r>
      <w:r>
        <w:rPr/>
        <w:t>77 developed and developing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bureaucratic</w:t>
      </w:r>
      <w:r>
        <w:rPr>
          <w:spacing w:val="1"/>
        </w:rPr>
        <w:t> </w:t>
      </w:r>
      <w:r>
        <w:rPr/>
        <w:t>corruption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influencing the debt stance of government, and its implication in affecting how the Central</w:t>
      </w:r>
      <w:r>
        <w:rPr>
          <w:spacing w:val="1"/>
        </w:rPr>
        <w:t> </w:t>
      </w:r>
      <w:r>
        <w:rPr/>
        <w:t>Bank controls price stability. The finding of the study reiterates the fact that corrupt activities</w:t>
      </w:r>
      <w:r>
        <w:rPr>
          <w:spacing w:val="-57"/>
        </w:rPr>
        <w:t> </w:t>
      </w:r>
      <w:r>
        <w:rPr/>
        <w:t>have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impact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affecting</w:t>
      </w:r>
      <w:r>
        <w:rPr>
          <w:spacing w:val="-4"/>
        </w:rPr>
        <w:t> </w:t>
      </w:r>
      <w:r>
        <w:rPr/>
        <w:t>government’s</w:t>
      </w:r>
      <w:r>
        <w:rPr>
          <w:spacing w:val="-4"/>
        </w:rPr>
        <w:t> </w:t>
      </w:r>
      <w:r>
        <w:rPr/>
        <w:t>fiscal</w:t>
      </w:r>
      <w:r>
        <w:rPr>
          <w:spacing w:val="-3"/>
        </w:rPr>
        <w:t> </w:t>
      </w:r>
      <w:r>
        <w:rPr/>
        <w:t>decisions,</w:t>
      </w:r>
      <w:r>
        <w:rPr>
          <w:spacing w:val="-4"/>
        </w:rPr>
        <w:t> </w:t>
      </w:r>
      <w:r>
        <w:rPr/>
        <w:t>which can</w:t>
      </w:r>
      <w:r>
        <w:rPr>
          <w:spacing w:val="-4"/>
        </w:rPr>
        <w:t> </w:t>
      </w:r>
      <w:r>
        <w:rPr/>
        <w:t>undermine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>
          <w:spacing w:val="-1"/>
        </w:rPr>
        <w:t>price</w:t>
      </w:r>
      <w:r>
        <w:rPr>
          <w:spacing w:val="-13"/>
        </w:rPr>
        <w:t> </w:t>
      </w:r>
      <w:r>
        <w:rPr>
          <w:spacing w:val="-1"/>
        </w:rPr>
        <w:t>stability</w:t>
      </w:r>
      <w:r>
        <w:rPr>
          <w:spacing w:val="-17"/>
        </w:rPr>
        <w:t> </w:t>
      </w:r>
      <w:r>
        <w:rPr>
          <w:spacing w:val="-1"/>
        </w:rPr>
        <w:t>mandate</w:t>
      </w:r>
      <w:r>
        <w:rPr>
          <w:spacing w:val="-13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central</w:t>
      </w:r>
      <w:r>
        <w:rPr>
          <w:spacing w:val="-12"/>
        </w:rPr>
        <w:t> </w:t>
      </w:r>
      <w:r>
        <w:rPr/>
        <w:t>bank,</w:t>
      </w:r>
      <w:r>
        <w:rPr>
          <w:spacing w:val="-11"/>
        </w:rPr>
        <w:t> </w:t>
      </w:r>
      <w:r>
        <w:rPr/>
        <w:t>even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presence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an</w:t>
      </w:r>
      <w:r>
        <w:rPr>
          <w:spacing w:val="-11"/>
        </w:rPr>
        <w:t> </w:t>
      </w:r>
      <w:r>
        <w:rPr/>
        <w:t>independent</w:t>
      </w:r>
      <w:r>
        <w:rPr>
          <w:spacing w:val="-12"/>
        </w:rPr>
        <w:t> </w:t>
      </w:r>
      <w:r>
        <w:rPr/>
        <w:t>central</w:t>
      </w:r>
      <w:r>
        <w:rPr>
          <w:spacing w:val="-12"/>
        </w:rPr>
        <w:t> </w:t>
      </w:r>
      <w:r>
        <w:rPr/>
        <w:t>bank.</w:t>
      </w:r>
      <w:r>
        <w:rPr>
          <w:spacing w:val="-57"/>
        </w:rPr>
        <w:t> </w:t>
      </w:r>
      <w:r>
        <w:rPr/>
        <w:t>This pointed to the existence of the arguments of Fiscal Theory of Price Level in the sample</w:t>
      </w:r>
      <w:r>
        <w:rPr>
          <w:spacing w:val="1"/>
        </w:rPr>
        <w:t> </w:t>
      </w:r>
      <w:r>
        <w:rPr/>
        <w:t>countries.</w:t>
      </w:r>
    </w:p>
    <w:p>
      <w:pPr>
        <w:pStyle w:val="Heading1"/>
        <w:numPr>
          <w:ilvl w:val="2"/>
          <w:numId w:val="11"/>
        </w:numPr>
        <w:tabs>
          <w:tab w:pos="2409" w:val="left" w:leader="none"/>
        </w:tabs>
        <w:spacing w:line="240" w:lineRule="auto" w:before="206" w:after="0"/>
        <w:ind w:left="2408" w:right="0" w:hanging="649"/>
        <w:jc w:val="both"/>
      </w:pPr>
      <w:r>
        <w:rPr/>
        <w:t>Trends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Empirical Literature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ind w:left="1760"/>
        <w:jc w:val="both"/>
      </w:pPr>
      <w:r>
        <w:rPr/>
        <w:t>Some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patterns</w:t>
      </w:r>
      <w:r>
        <w:rPr>
          <w:spacing w:val="-1"/>
        </w:rPr>
        <w:t> </w:t>
      </w:r>
      <w:r>
        <w:rPr/>
        <w:t>identified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preceding</w:t>
      </w:r>
      <w:r>
        <w:rPr>
          <w:spacing w:val="-2"/>
        </w:rPr>
        <w:t> </w:t>
      </w:r>
      <w:r>
        <w:rPr/>
        <w:t>empirical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include:</w:t>
      </w:r>
    </w:p>
    <w:p>
      <w:pPr>
        <w:pStyle w:val="BodyText"/>
        <w:spacing w:line="360" w:lineRule="auto" w:before="139"/>
        <w:ind w:left="1760" w:right="1434"/>
        <w:jc w:val="both"/>
      </w:pPr>
      <w:r>
        <w:rPr/>
        <w:t>First, the empirical articles can be separated under two major objectives based on whether the</w:t>
      </w:r>
      <w:r>
        <w:rPr>
          <w:spacing w:val="-57"/>
        </w:rPr>
        <w:t> </w:t>
      </w:r>
      <w:r>
        <w:rPr/>
        <w:t>author(s) sought to examine fiscal and monetary policy interaction or to investigate optimal</w:t>
      </w:r>
      <w:r>
        <w:rPr>
          <w:spacing w:val="1"/>
        </w:rPr>
        <w:t> </w:t>
      </w:r>
      <w:r>
        <w:rPr/>
        <w:t>fiscal and monetary policy rules. The first set of articles is positive studies and is concerned</w:t>
      </w:r>
      <w:r>
        <w:rPr>
          <w:spacing w:val="1"/>
        </w:rPr>
        <w:t> </w:t>
      </w:r>
      <w:r>
        <w:rPr>
          <w:spacing w:val="-1"/>
        </w:rPr>
        <w:t>with</w:t>
      </w:r>
      <w:r>
        <w:rPr>
          <w:spacing w:val="-10"/>
        </w:rPr>
        <w:t> </w:t>
      </w:r>
      <w:r>
        <w:rPr>
          <w:spacing w:val="-1"/>
        </w:rPr>
        <w:t>estimating</w:t>
      </w:r>
      <w:r>
        <w:rPr>
          <w:spacing w:val="-11"/>
        </w:rPr>
        <w:t> </w:t>
      </w:r>
      <w:r>
        <w:rPr/>
        <w:t>or</w:t>
      </w:r>
      <w:r>
        <w:rPr>
          <w:spacing w:val="-11"/>
        </w:rPr>
        <w:t> </w:t>
      </w:r>
      <w:r>
        <w:rPr/>
        <w:t>calibrating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parameters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13"/>
        </w:rPr>
        <w:t> </w:t>
      </w:r>
      <w:r>
        <w:rPr/>
        <w:t>policy</w:t>
      </w:r>
      <w:r>
        <w:rPr>
          <w:spacing w:val="-14"/>
        </w:rPr>
        <w:t> </w:t>
      </w:r>
      <w:r>
        <w:rPr/>
        <w:t>rules</w:t>
      </w:r>
      <w:r>
        <w:rPr>
          <w:spacing w:val="-10"/>
        </w:rPr>
        <w:t> </w:t>
      </w:r>
      <w:r>
        <w:rPr/>
        <w:t>(Cebi,</w:t>
      </w:r>
      <w:r>
        <w:rPr>
          <w:spacing w:val="-9"/>
        </w:rPr>
        <w:t> </w:t>
      </w:r>
      <w:r>
        <w:rPr/>
        <w:t>2011;</w:t>
      </w:r>
      <w:r>
        <w:rPr>
          <w:spacing w:val="-10"/>
        </w:rPr>
        <w:t> </w:t>
      </w:r>
      <w:r>
        <w:rPr/>
        <w:t>Muscatelli,</w:t>
      </w:r>
      <w:r>
        <w:rPr>
          <w:spacing w:val="-9"/>
        </w:rPr>
        <w:t> </w:t>
      </w:r>
      <w:r>
        <w:rPr/>
        <w:t>Tirelli</w:t>
      </w:r>
      <w:r>
        <w:rPr>
          <w:spacing w:val="-58"/>
        </w:rPr>
        <w:t> </w:t>
      </w:r>
      <w:r>
        <w:rPr/>
        <w:t>and Trecroci, 2005). It is also concerned with establishing the nature of interaction between</w:t>
      </w:r>
      <w:r>
        <w:rPr>
          <w:spacing w:val="1"/>
        </w:rPr>
        <w:t> </w:t>
      </w:r>
      <w:r>
        <w:rPr>
          <w:spacing w:val="-1"/>
        </w:rPr>
        <w:t>both</w:t>
      </w:r>
      <w:r>
        <w:rPr>
          <w:spacing w:val="-10"/>
        </w:rPr>
        <w:t> </w:t>
      </w:r>
      <w:r>
        <w:rPr>
          <w:spacing w:val="-1"/>
        </w:rPr>
        <w:t>fiscal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monetary</w:t>
      </w:r>
      <w:r>
        <w:rPr>
          <w:spacing w:val="-15"/>
        </w:rPr>
        <w:t> </w:t>
      </w:r>
      <w:r>
        <w:rPr/>
        <w:t>policy</w:t>
      </w:r>
      <w:r>
        <w:rPr>
          <w:spacing w:val="-15"/>
        </w:rPr>
        <w:t> </w:t>
      </w:r>
      <w:r>
        <w:rPr/>
        <w:t>and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simulate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effects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policy</w:t>
      </w:r>
      <w:r>
        <w:rPr>
          <w:spacing w:val="-15"/>
        </w:rPr>
        <w:t> </w:t>
      </w:r>
      <w:r>
        <w:rPr/>
        <w:t>shocks</w:t>
      </w:r>
      <w:r>
        <w:rPr>
          <w:spacing w:val="-7"/>
        </w:rPr>
        <w:t> </w:t>
      </w:r>
      <w:r>
        <w:rPr/>
        <w:t>on</w:t>
      </w:r>
      <w:r>
        <w:rPr>
          <w:spacing w:val="-10"/>
        </w:rPr>
        <w:t> </w:t>
      </w:r>
      <w:r>
        <w:rPr/>
        <w:t>macroeconomic</w:t>
      </w:r>
      <w:r>
        <w:rPr>
          <w:spacing w:val="-57"/>
        </w:rPr>
        <w:t> </w:t>
      </w:r>
      <w:r>
        <w:rPr/>
        <w:t>variables such as inflation and output. The other set of articles is normative and it attempts to</w:t>
      </w:r>
      <w:r>
        <w:rPr>
          <w:spacing w:val="1"/>
        </w:rPr>
        <w:t> </w:t>
      </w:r>
      <w:r>
        <w:rPr/>
        <w:t>find</w:t>
      </w:r>
      <w:r>
        <w:rPr>
          <w:spacing w:val="-13"/>
        </w:rPr>
        <w:t> </w:t>
      </w:r>
      <w:r>
        <w:rPr/>
        <w:t>optimised</w:t>
      </w:r>
      <w:r>
        <w:rPr>
          <w:spacing w:val="-12"/>
        </w:rPr>
        <w:t> </w:t>
      </w:r>
      <w:r>
        <w:rPr/>
        <w:t>policy</w:t>
      </w:r>
      <w:r>
        <w:rPr>
          <w:spacing w:val="-15"/>
        </w:rPr>
        <w:t> </w:t>
      </w:r>
      <w:r>
        <w:rPr/>
        <w:t>rules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maximises</w:t>
      </w:r>
      <w:r>
        <w:rPr>
          <w:spacing w:val="-12"/>
        </w:rPr>
        <w:t> </w:t>
      </w:r>
      <w:r>
        <w:rPr/>
        <w:t>economic</w:t>
      </w:r>
      <w:r>
        <w:rPr>
          <w:spacing w:val="-13"/>
        </w:rPr>
        <w:t> </w:t>
      </w:r>
      <w:r>
        <w:rPr/>
        <w:t>welfare</w:t>
      </w:r>
      <w:r>
        <w:rPr>
          <w:spacing w:val="-13"/>
        </w:rPr>
        <w:t> </w:t>
      </w:r>
      <w:r>
        <w:rPr/>
        <w:t>(Ehelepola,</w:t>
      </w:r>
      <w:r>
        <w:rPr>
          <w:spacing w:val="-12"/>
        </w:rPr>
        <w:t> </w:t>
      </w:r>
      <w:r>
        <w:rPr/>
        <w:t>2014;</w:t>
      </w:r>
      <w:r>
        <w:rPr>
          <w:spacing w:val="-12"/>
        </w:rPr>
        <w:t> </w:t>
      </w:r>
      <w:r>
        <w:rPr/>
        <w:t>Schmitt-Grohe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Uribe, 2007).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line="360" w:lineRule="auto" w:before="74"/>
        <w:ind w:left="1760" w:right="1439"/>
        <w:jc w:val="both"/>
      </w:pPr>
      <w:r>
        <w:rPr/>
        <w:t>Second, most of the studies on fiscal and monetary policy interaction in DSGE model assume</w:t>
      </w:r>
      <w:r>
        <w:rPr>
          <w:spacing w:val="-57"/>
        </w:rPr>
        <w:t> </w:t>
      </w:r>
      <w:r>
        <w:rPr/>
        <w:t>that government commit to a policy rule in both fiscal and monetary policy. Therefore, both</w:t>
      </w:r>
      <w:r>
        <w:rPr>
          <w:spacing w:val="1"/>
        </w:rPr>
        <w:t> </w:t>
      </w:r>
      <w:r>
        <w:rPr/>
        <w:t>policies are 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fully coordinated. Thirdly, these studies also</w:t>
      </w:r>
      <w:r>
        <w:rPr>
          <w:spacing w:val="1"/>
        </w:rPr>
        <w:t> </w:t>
      </w:r>
      <w:r>
        <w:rPr/>
        <w:t>suppose that both</w:t>
      </w:r>
      <w:r>
        <w:rPr>
          <w:spacing w:val="1"/>
        </w:rPr>
        <w:t> </w:t>
      </w:r>
      <w:r>
        <w:rPr/>
        <w:t>policymakers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benevolent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setting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targets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maximise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welfare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whole</w:t>
      </w:r>
      <w:r>
        <w:rPr>
          <w:spacing w:val="-7"/>
        </w:rPr>
        <w:t> </w:t>
      </w:r>
      <w:r>
        <w:rPr/>
        <w:t>society.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fourth</w:t>
      </w:r>
      <w:r>
        <w:rPr>
          <w:spacing w:val="-7"/>
        </w:rPr>
        <w:t> </w:t>
      </w:r>
      <w:r>
        <w:rPr/>
        <w:t>empirical</w:t>
      </w:r>
      <w:r>
        <w:rPr>
          <w:spacing w:val="-6"/>
        </w:rPr>
        <w:t> </w:t>
      </w:r>
      <w:r>
        <w:rPr/>
        <w:t>pattern</w:t>
      </w:r>
      <w:r>
        <w:rPr>
          <w:spacing w:val="-7"/>
        </w:rPr>
        <w:t> </w:t>
      </w:r>
      <w:r>
        <w:rPr/>
        <w:t>concerns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nature</w:t>
      </w:r>
      <w:r>
        <w:rPr>
          <w:spacing w:val="-7"/>
        </w:rPr>
        <w:t> </w:t>
      </w:r>
      <w:r>
        <w:rPr/>
        <w:t>of</w:t>
      </w:r>
      <w:r>
        <w:rPr>
          <w:spacing w:val="-58"/>
        </w:rPr>
        <w:t> </w:t>
      </w:r>
      <w:r>
        <w:rPr/>
        <w:t>interaction between fiscal and monetary policy. Some studies found that both policies were</w:t>
      </w:r>
      <w:r>
        <w:rPr>
          <w:spacing w:val="1"/>
        </w:rPr>
        <w:t> </w:t>
      </w:r>
      <w:r>
        <w:rPr/>
        <w:t>interacting in an active-passive manner. Other found that both policies</w:t>
      </w:r>
      <w:r>
        <w:rPr>
          <w:spacing w:val="1"/>
        </w:rPr>
        <w:t> </w:t>
      </w:r>
      <w:r>
        <w:rPr/>
        <w:t>were relating as</w:t>
      </w:r>
      <w:r>
        <w:rPr>
          <w:spacing w:val="1"/>
        </w:rPr>
        <w:t> </w:t>
      </w:r>
      <w:r>
        <w:rPr/>
        <w:t>substitutes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complements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60" w:lineRule="auto" w:before="1"/>
        <w:ind w:left="1760" w:right="1432"/>
        <w:jc w:val="both"/>
      </w:pPr>
      <w:r>
        <w:rPr/>
        <w:t>The fifth empirical concern is with respect to the macroeconomic variables that the fiscal and</w:t>
      </w:r>
      <w:r>
        <w:rPr>
          <w:spacing w:val="-57"/>
        </w:rPr>
        <w:t> </w:t>
      </w:r>
      <w:r>
        <w:rPr>
          <w:spacing w:val="-1"/>
        </w:rPr>
        <w:t>monetary</w:t>
      </w:r>
      <w:r>
        <w:rPr>
          <w:spacing w:val="-17"/>
        </w:rPr>
        <w:t> </w:t>
      </w:r>
      <w:r>
        <w:rPr/>
        <w:t>policy</w:t>
      </w:r>
      <w:r>
        <w:rPr>
          <w:spacing w:val="-17"/>
        </w:rPr>
        <w:t> </w:t>
      </w:r>
      <w:r>
        <w:rPr/>
        <w:t>rules</w:t>
      </w:r>
      <w:r>
        <w:rPr>
          <w:spacing w:val="-12"/>
        </w:rPr>
        <w:t> </w:t>
      </w:r>
      <w:r>
        <w:rPr/>
        <w:t>interact</w:t>
      </w:r>
      <w:r>
        <w:rPr>
          <w:spacing w:val="-11"/>
        </w:rPr>
        <w:t> </w:t>
      </w:r>
      <w:r>
        <w:rPr/>
        <w:t>with.</w:t>
      </w:r>
      <w:r>
        <w:rPr>
          <w:spacing w:val="-12"/>
        </w:rPr>
        <w:t> </w:t>
      </w:r>
      <w:r>
        <w:rPr/>
        <w:t>This</w:t>
      </w:r>
      <w:r>
        <w:rPr>
          <w:spacing w:val="-12"/>
        </w:rPr>
        <w:t> </w:t>
      </w:r>
      <w:r>
        <w:rPr/>
        <w:t>primarily</w:t>
      </w:r>
      <w:r>
        <w:rPr>
          <w:spacing w:val="-14"/>
        </w:rPr>
        <w:t> </w:t>
      </w:r>
      <w:r>
        <w:rPr/>
        <w:t>includes:</w:t>
      </w:r>
      <w:r>
        <w:rPr>
          <w:spacing w:val="-12"/>
        </w:rPr>
        <w:t> </w:t>
      </w:r>
      <w:r>
        <w:rPr/>
        <w:t>inflation</w:t>
      </w:r>
      <w:r>
        <w:rPr>
          <w:spacing w:val="-12"/>
        </w:rPr>
        <w:t> </w:t>
      </w:r>
      <w:r>
        <w:rPr/>
        <w:t>rate,</w:t>
      </w:r>
      <w:r>
        <w:rPr>
          <w:spacing w:val="-13"/>
        </w:rPr>
        <w:t> </w:t>
      </w:r>
      <w:r>
        <w:rPr/>
        <w:t>output</w:t>
      </w:r>
      <w:r>
        <w:rPr>
          <w:spacing w:val="-11"/>
        </w:rPr>
        <w:t> </w:t>
      </w:r>
      <w:r>
        <w:rPr/>
        <w:t>gap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debt.</w:t>
      </w:r>
      <w:r>
        <w:rPr>
          <w:spacing w:val="-57"/>
        </w:rPr>
        <w:t> </w:t>
      </w:r>
      <w:r>
        <w:rPr/>
        <w:t>Studies that focus on the inflation rate and/or output gaps are inferred to be concerned about</w:t>
      </w:r>
      <w:r>
        <w:rPr>
          <w:spacing w:val="1"/>
        </w:rPr>
        <w:t> </w:t>
      </w:r>
      <w:r>
        <w:rPr/>
        <w:t>short run macroeconomic outcomes while studies that focus on debt are consider the long run</w:t>
      </w:r>
      <w:r>
        <w:rPr>
          <w:spacing w:val="-57"/>
        </w:rPr>
        <w:t> </w:t>
      </w:r>
      <w:r>
        <w:rPr/>
        <w:t>macroeconomic outcomes. The sixth empirical concern is that policy interaction is implicitly</w:t>
      </w:r>
      <w:r>
        <w:rPr>
          <w:spacing w:val="1"/>
        </w:rPr>
        <w:t> </w:t>
      </w:r>
      <w:r>
        <w:rPr>
          <w:spacing w:val="-1"/>
        </w:rPr>
        <w:t>defined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/>
        <w:t>DSGE</w:t>
      </w:r>
      <w:r>
        <w:rPr>
          <w:spacing w:val="-13"/>
        </w:rPr>
        <w:t> </w:t>
      </w:r>
      <w:r>
        <w:rPr/>
        <w:t>model.</w:t>
      </w:r>
      <w:r>
        <w:rPr>
          <w:spacing w:val="-12"/>
        </w:rPr>
        <w:t> </w:t>
      </w:r>
      <w:r>
        <w:rPr/>
        <w:t>There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need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explicitly</w:t>
      </w:r>
      <w:r>
        <w:rPr>
          <w:spacing w:val="-20"/>
        </w:rPr>
        <w:t> </w:t>
      </w:r>
      <w:r>
        <w:rPr/>
        <w:t>capture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existing</w:t>
      </w:r>
      <w:r>
        <w:rPr>
          <w:spacing w:val="-14"/>
        </w:rPr>
        <w:t> </w:t>
      </w:r>
      <w:r>
        <w:rPr/>
        <w:t>interaction</w:t>
      </w:r>
      <w:r>
        <w:rPr>
          <w:spacing w:val="-12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fiscal and monetary policies. Finally, one finds sparseness in articles considering fiscal and</w:t>
      </w:r>
      <w:r>
        <w:rPr>
          <w:spacing w:val="1"/>
        </w:rPr>
        <w:t> </w:t>
      </w:r>
      <w:r>
        <w:rPr/>
        <w:t>monetary interactions within a dynamic general equilibrium model in Africa and Nigeria,</w:t>
      </w:r>
      <w:r>
        <w:rPr>
          <w:spacing w:val="1"/>
        </w:rPr>
        <w:t> </w:t>
      </w:r>
      <w:r>
        <w:rPr/>
        <w:t>compared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geographical</w:t>
      </w:r>
      <w:r>
        <w:rPr>
          <w:spacing w:val="-1"/>
        </w:rPr>
        <w:t> </w:t>
      </w:r>
      <w:r>
        <w:rPr/>
        <w:t>locations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United</w:t>
      </w:r>
      <w:r>
        <w:rPr>
          <w:spacing w:val="-1"/>
        </w:rPr>
        <w:t> </w:t>
      </w:r>
      <w:r>
        <w:rPr/>
        <w:t>States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Europe.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40" w:right="0"/>
        </w:sectPr>
      </w:pPr>
    </w:p>
    <w:p>
      <w:pPr>
        <w:pStyle w:val="BodyText"/>
        <w:spacing w:before="2"/>
        <w:rPr>
          <w:sz w:val="18"/>
        </w:rPr>
      </w:pPr>
    </w:p>
    <w:p>
      <w:pPr>
        <w:pStyle w:val="Heading3"/>
        <w:spacing w:before="90"/>
        <w:ind w:left="640"/>
      </w:pPr>
      <w:r>
        <w:rPr/>
        <w:t>Table</w:t>
      </w:r>
      <w:r>
        <w:rPr>
          <w:spacing w:val="-2"/>
        </w:rPr>
        <w:t> </w:t>
      </w:r>
      <w:r>
        <w:rPr/>
        <w:t>2.1:</w:t>
      </w:r>
      <w:r>
        <w:rPr>
          <w:spacing w:val="-4"/>
        </w:rPr>
        <w:t> </w:t>
      </w: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Empirical</w:t>
      </w:r>
      <w:r>
        <w:rPr>
          <w:spacing w:val="-1"/>
        </w:rPr>
        <w:t> </w:t>
      </w:r>
      <w:r>
        <w:rPr/>
        <w:t>Review</w:t>
      </w: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6"/>
        <w:gridCol w:w="2899"/>
        <w:gridCol w:w="3533"/>
        <w:gridCol w:w="2362"/>
        <w:gridCol w:w="2365"/>
        <w:gridCol w:w="2362"/>
      </w:tblGrid>
      <w:tr>
        <w:trPr>
          <w:trHeight w:val="726" w:hRule="atLeast"/>
        </w:trPr>
        <w:tc>
          <w:tcPr>
            <w:tcW w:w="656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S/N</w:t>
            </w:r>
          </w:p>
        </w:tc>
        <w:tc>
          <w:tcPr>
            <w:tcW w:w="2899" w:type="dxa"/>
          </w:tcPr>
          <w:p>
            <w:pPr>
              <w:pStyle w:val="TableParagraph"/>
              <w:spacing w:line="276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Author,</w:t>
            </w:r>
            <w:r>
              <w:rPr>
                <w:b/>
                <w:spacing w:val="21"/>
                <w:sz w:val="20"/>
              </w:rPr>
              <w:t> </w:t>
            </w:r>
            <w:r>
              <w:rPr>
                <w:b/>
                <w:sz w:val="20"/>
              </w:rPr>
              <w:t>Title</w:t>
            </w:r>
            <w:r>
              <w:rPr>
                <w:b/>
                <w:spacing w:val="21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20"/>
                <w:sz w:val="20"/>
              </w:rPr>
              <w:t> </w:t>
            </w:r>
            <w:r>
              <w:rPr>
                <w:b/>
                <w:sz w:val="20"/>
              </w:rPr>
              <w:t>Year</w:t>
            </w:r>
            <w:r>
              <w:rPr>
                <w:b/>
                <w:spacing w:val="2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Publication</w:t>
            </w:r>
          </w:p>
        </w:tc>
        <w:tc>
          <w:tcPr>
            <w:tcW w:w="3533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Objective</w:t>
            </w:r>
          </w:p>
        </w:tc>
        <w:tc>
          <w:tcPr>
            <w:tcW w:w="2362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Methodology</w:t>
            </w:r>
          </w:p>
        </w:tc>
        <w:tc>
          <w:tcPr>
            <w:tcW w:w="2365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Result</w:t>
            </w:r>
          </w:p>
        </w:tc>
        <w:tc>
          <w:tcPr>
            <w:tcW w:w="2362" w:type="dxa"/>
          </w:tcPr>
          <w:p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Critique</w:t>
            </w:r>
          </w:p>
        </w:tc>
      </w:tr>
      <w:tr>
        <w:trPr>
          <w:trHeight w:val="3117" w:hRule="atLeast"/>
        </w:trPr>
        <w:tc>
          <w:tcPr>
            <w:tcW w:w="656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899" w:type="dxa"/>
          </w:tcPr>
          <w:p>
            <w:pPr>
              <w:pStyle w:val="TableParagraph"/>
              <w:spacing w:line="276" w:lineRule="auto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Muscatelli,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Tirelli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Trecroci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(2005).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Interactions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Keynesian Model with Liquidity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Constraints</w:t>
            </w:r>
          </w:p>
        </w:tc>
        <w:tc>
          <w:tcPr>
            <w:tcW w:w="3533" w:type="dxa"/>
          </w:tcPr>
          <w:p>
            <w:pPr>
              <w:pStyle w:val="TableParagraph"/>
              <w:spacing w:line="276" w:lineRule="auto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-To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examine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extent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interaction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between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policy</w:t>
            </w:r>
          </w:p>
          <w:p>
            <w:pPr>
              <w:pStyle w:val="TableParagraph"/>
              <w:spacing w:line="276" w:lineRule="auto" w:before="196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assess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impact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coordinated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fiscal-monetary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variations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output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inflation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United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States,</w:t>
            </w:r>
          </w:p>
        </w:tc>
        <w:tc>
          <w:tcPr>
            <w:tcW w:w="2362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-NK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DSGE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Model</w:t>
            </w:r>
          </w:p>
          <w:p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864" w:val="left" w:leader="none"/>
              </w:tabs>
              <w:spacing w:line="276" w:lineRule="auto"/>
              <w:ind w:right="98"/>
              <w:rPr>
                <w:sz w:val="20"/>
              </w:rPr>
            </w:pPr>
            <w:r>
              <w:rPr>
                <w:sz w:val="20"/>
              </w:rPr>
              <w:t>-First-order</w:t>
              <w:tab/>
            </w:r>
            <w:r>
              <w:rPr>
                <w:spacing w:val="-2"/>
                <w:sz w:val="20"/>
              </w:rPr>
              <w:t>(log)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approximation</w:t>
            </w:r>
          </w:p>
          <w:p>
            <w:pPr>
              <w:pStyle w:val="TableParagraph"/>
              <w:spacing w:before="6"/>
              <w:ind w:left="0"/>
              <w:rPr>
                <w:b/>
                <w:sz w:val="17"/>
              </w:rPr>
            </w:pPr>
          </w:p>
          <w:p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sz w:val="20"/>
              </w:rPr>
              <w:t>-Generalized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Method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Moment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(GMM)</w:t>
            </w:r>
          </w:p>
          <w:p>
            <w:pPr>
              <w:pStyle w:val="TableParagraph"/>
              <w:spacing w:before="5"/>
              <w:ind w:left="0"/>
              <w:rPr>
                <w:b/>
                <w:sz w:val="17"/>
              </w:rPr>
            </w:pPr>
          </w:p>
          <w:p>
            <w:pPr>
              <w:pStyle w:val="TableParagraph"/>
              <w:tabs>
                <w:tab w:pos="1484" w:val="left" w:leader="none"/>
              </w:tabs>
              <w:spacing w:line="276" w:lineRule="auto"/>
              <w:ind w:right="100"/>
              <w:rPr>
                <w:sz w:val="20"/>
              </w:rPr>
            </w:pPr>
            <w:r>
              <w:rPr>
                <w:sz w:val="20"/>
              </w:rPr>
              <w:t>-Impulse</w:t>
              <w:tab/>
            </w:r>
            <w:r>
              <w:rPr>
                <w:spacing w:val="-1"/>
                <w:sz w:val="20"/>
              </w:rPr>
              <w:t>Response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Function</w:t>
            </w:r>
          </w:p>
          <w:p>
            <w:pPr>
              <w:pStyle w:val="TableParagraph"/>
              <w:spacing w:before="2"/>
              <w:ind w:left="0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DSGE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model</w:t>
            </w:r>
          </w:p>
        </w:tc>
        <w:tc>
          <w:tcPr>
            <w:tcW w:w="2365" w:type="dxa"/>
          </w:tcPr>
          <w:p>
            <w:pPr>
              <w:pStyle w:val="TableParagraph"/>
              <w:tabs>
                <w:tab w:pos="1631" w:val="left" w:leader="none"/>
              </w:tabs>
              <w:spacing w:line="276" w:lineRule="auto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Shocks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government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spending</w:t>
              <w:tab/>
            </w:r>
            <w:r>
              <w:rPr>
                <w:spacing w:val="-1"/>
                <w:sz w:val="20"/>
              </w:rPr>
              <w:t>impacts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positively on output while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shocks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taxes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negative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effect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output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positive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inflation</w:t>
            </w:r>
          </w:p>
        </w:tc>
        <w:tc>
          <w:tcPr>
            <w:tcW w:w="2362" w:type="dxa"/>
          </w:tcPr>
          <w:p>
            <w:pPr>
              <w:pStyle w:val="TableParagraph"/>
              <w:spacing w:line="276" w:lineRule="auto"/>
              <w:ind w:left="105" w:right="96"/>
              <w:jc w:val="both"/>
              <w:rPr>
                <w:sz w:val="20"/>
              </w:rPr>
            </w:pPr>
            <w:r>
              <w:rPr>
                <w:sz w:val="20"/>
              </w:rPr>
              <w:t>GMM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Maximum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Likelihood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estimation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method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problem.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This work instead will use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Bayesian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estimation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overcome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problem</w:t>
            </w:r>
          </w:p>
        </w:tc>
      </w:tr>
      <w:tr>
        <w:trPr>
          <w:trHeight w:val="3115" w:hRule="atLeast"/>
        </w:trPr>
        <w:tc>
          <w:tcPr>
            <w:tcW w:w="656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899" w:type="dxa"/>
          </w:tcPr>
          <w:p>
            <w:pPr>
              <w:pStyle w:val="TableParagraph"/>
              <w:tabs>
                <w:tab w:pos="1347" w:val="left" w:leader="none"/>
                <w:tab w:pos="2501" w:val="left" w:leader="none"/>
              </w:tabs>
              <w:spacing w:line="276" w:lineRule="auto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Schmitt-Grohe and Uribe (2007).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Optimal</w:t>
              <w:tab/>
              <w:t>Simple</w:t>
              <w:tab/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Implementable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rules</w:t>
            </w:r>
          </w:p>
        </w:tc>
        <w:tc>
          <w:tcPr>
            <w:tcW w:w="3533" w:type="dxa"/>
          </w:tcPr>
          <w:p>
            <w:pPr>
              <w:pStyle w:val="TableParagraph"/>
              <w:spacing w:line="276" w:lineRule="auto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To obtain optimal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rules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maximises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economic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welfare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United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States.</w:t>
            </w:r>
          </w:p>
        </w:tc>
        <w:tc>
          <w:tcPr>
            <w:tcW w:w="2362" w:type="dxa"/>
          </w:tcPr>
          <w:p>
            <w:pPr>
              <w:pStyle w:val="TableParagraph"/>
              <w:spacing w:line="276" w:lineRule="auto"/>
              <w:ind w:right="1071"/>
              <w:rPr>
                <w:sz w:val="20"/>
              </w:rPr>
            </w:pPr>
            <w:r>
              <w:rPr>
                <w:sz w:val="20"/>
              </w:rPr>
              <w:t>-Second-order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approximation</w:t>
            </w:r>
          </w:p>
          <w:p>
            <w:pPr>
              <w:pStyle w:val="TableParagraph"/>
              <w:spacing w:line="484" w:lineRule="auto" w:before="196"/>
              <w:ind w:right="1104"/>
              <w:rPr>
                <w:sz w:val="20"/>
              </w:rPr>
            </w:pPr>
            <w:r>
              <w:rPr>
                <w:sz w:val="20"/>
                <w:u w:val="single"/>
              </w:rPr>
              <w:t>Fiscal rule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Tax=f (debt)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  <w:u w:val="single"/>
              </w:rPr>
              <w:t>Monetary</w:t>
            </w:r>
            <w:r>
              <w:rPr>
                <w:spacing w:val="-1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rule</w:t>
            </w:r>
          </w:p>
          <w:p>
            <w:pPr>
              <w:pStyle w:val="TableParagraph"/>
              <w:spacing w:line="276" w:lineRule="auto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Interest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f(lagged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interest rate, inflation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output)</w:t>
            </w:r>
          </w:p>
        </w:tc>
        <w:tc>
          <w:tcPr>
            <w:tcW w:w="2365" w:type="dxa"/>
          </w:tcPr>
          <w:p>
            <w:pPr>
              <w:pStyle w:val="TableParagraph"/>
              <w:tabs>
                <w:tab w:pos="1995" w:val="left" w:leader="none"/>
              </w:tabs>
              <w:spacing w:line="276" w:lineRule="auto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-Optimal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rate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responds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significantly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inflation</w:t>
              <w:tab/>
            </w:r>
            <w:r>
              <w:rPr>
                <w:spacing w:val="-1"/>
                <w:sz w:val="20"/>
              </w:rPr>
              <w:t>but</w:t>
            </w:r>
          </w:p>
          <w:p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insignificantly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output</w:t>
            </w: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-Optimal tax rate has mild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response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debt</w:t>
            </w:r>
          </w:p>
        </w:tc>
        <w:tc>
          <w:tcPr>
            <w:tcW w:w="2362" w:type="dxa"/>
          </w:tcPr>
          <w:p>
            <w:pPr>
              <w:pStyle w:val="TableParagraph"/>
              <w:spacing w:line="276" w:lineRule="auto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optimal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rules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relevant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designing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welfare-enhancing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manner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should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interact.</w:t>
            </w:r>
          </w:p>
        </w:tc>
      </w:tr>
    </w:tbl>
    <w:p>
      <w:pPr>
        <w:spacing w:after="0" w:line="276" w:lineRule="auto"/>
        <w:jc w:val="both"/>
        <w:rPr>
          <w:sz w:val="20"/>
        </w:rPr>
        <w:sectPr>
          <w:footerReference w:type="default" r:id="rId10"/>
          <w:pgSz w:w="15840" w:h="12240" w:orient="landscape"/>
          <w:pgMar w:footer="1015" w:header="0" w:top="1140" w:bottom="1200" w:left="1160" w:right="160"/>
        </w:sectPr>
      </w:pPr>
    </w:p>
    <w:p>
      <w:pPr>
        <w:pStyle w:val="BodyText"/>
        <w:spacing w:before="3"/>
        <w:rPr>
          <w:b/>
          <w:sz w:val="18"/>
        </w:rPr>
      </w:pPr>
    </w:p>
    <w:p>
      <w:pPr>
        <w:spacing w:before="91"/>
        <w:ind w:left="64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2.1: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Summary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Empirical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Review (continued)</w:t>
      </w:r>
    </w:p>
    <w:p>
      <w:pPr>
        <w:pStyle w:val="BodyText"/>
        <w:spacing w:before="5"/>
        <w:rPr>
          <w:b/>
          <w:sz w:val="20"/>
        </w:rPr>
      </w:pPr>
    </w:p>
    <w:tbl>
      <w:tblPr>
        <w:tblW w:w="0" w:type="auto"/>
        <w:jc w:val="left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6"/>
        <w:gridCol w:w="2900"/>
        <w:gridCol w:w="3534"/>
        <w:gridCol w:w="2363"/>
        <w:gridCol w:w="2363"/>
        <w:gridCol w:w="2365"/>
      </w:tblGrid>
      <w:tr>
        <w:trPr>
          <w:trHeight w:val="726" w:hRule="atLeast"/>
        </w:trPr>
        <w:tc>
          <w:tcPr>
            <w:tcW w:w="656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S/N</w:t>
            </w:r>
          </w:p>
        </w:tc>
        <w:tc>
          <w:tcPr>
            <w:tcW w:w="2900" w:type="dxa"/>
          </w:tcPr>
          <w:p>
            <w:pPr>
              <w:pStyle w:val="TableParagraph"/>
              <w:spacing w:line="276" w:lineRule="auto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Author,</w:t>
            </w:r>
            <w:r>
              <w:rPr>
                <w:b/>
                <w:spacing w:val="21"/>
                <w:sz w:val="20"/>
              </w:rPr>
              <w:t> </w:t>
            </w:r>
            <w:r>
              <w:rPr>
                <w:b/>
                <w:sz w:val="20"/>
              </w:rPr>
              <w:t>Title</w:t>
            </w:r>
            <w:r>
              <w:rPr>
                <w:b/>
                <w:spacing w:val="21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20"/>
                <w:sz w:val="20"/>
              </w:rPr>
              <w:t> </w:t>
            </w:r>
            <w:r>
              <w:rPr>
                <w:b/>
                <w:sz w:val="20"/>
              </w:rPr>
              <w:t>Year</w:t>
            </w:r>
            <w:r>
              <w:rPr>
                <w:b/>
                <w:spacing w:val="2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Publication</w:t>
            </w:r>
          </w:p>
        </w:tc>
        <w:tc>
          <w:tcPr>
            <w:tcW w:w="3534" w:type="dxa"/>
          </w:tcPr>
          <w:p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Objective</w:t>
            </w:r>
          </w:p>
        </w:tc>
        <w:tc>
          <w:tcPr>
            <w:tcW w:w="2363" w:type="dxa"/>
          </w:tcPr>
          <w:p>
            <w:pPr>
              <w:pStyle w:val="TableParagraph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Methodology</w:t>
            </w:r>
          </w:p>
        </w:tc>
        <w:tc>
          <w:tcPr>
            <w:tcW w:w="2363" w:type="dxa"/>
          </w:tcPr>
          <w:p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Result</w:t>
            </w:r>
          </w:p>
        </w:tc>
        <w:tc>
          <w:tcPr>
            <w:tcW w:w="2365" w:type="dxa"/>
          </w:tcPr>
          <w:p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Critique</w:t>
            </w:r>
          </w:p>
        </w:tc>
      </w:tr>
      <w:tr>
        <w:trPr>
          <w:trHeight w:val="3641" w:hRule="atLeast"/>
        </w:trPr>
        <w:tc>
          <w:tcPr>
            <w:tcW w:w="656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900" w:type="dxa"/>
          </w:tcPr>
          <w:p>
            <w:pPr>
              <w:pStyle w:val="TableParagraph"/>
              <w:spacing w:line="276" w:lineRule="auto"/>
              <w:ind w:left="105" w:right="97"/>
              <w:jc w:val="both"/>
              <w:rPr>
                <w:sz w:val="20"/>
              </w:rPr>
            </w:pPr>
            <w:r>
              <w:rPr>
                <w:sz w:val="20"/>
              </w:rPr>
              <w:t>Davig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Leeper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(2009).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Monetary-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interaction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 fiscal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stimulus</w:t>
            </w:r>
          </w:p>
        </w:tc>
        <w:tc>
          <w:tcPr>
            <w:tcW w:w="3534" w:type="dxa"/>
          </w:tcPr>
          <w:p>
            <w:pPr>
              <w:pStyle w:val="TableParagraph"/>
              <w:spacing w:line="276" w:lineRule="auto"/>
              <w:ind w:left="106" w:right="99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- To estimate Markov switching monetary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and fiscal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rules</w:t>
            </w:r>
          </w:p>
          <w:p>
            <w:pPr>
              <w:pStyle w:val="TableParagraph"/>
              <w:spacing w:line="276" w:lineRule="auto" w:before="196"/>
              <w:ind w:left="106" w:right="102" w:firstLine="50"/>
              <w:jc w:val="both"/>
              <w:rPr>
                <w:sz w:val="20"/>
              </w:rPr>
            </w:pPr>
            <w:r>
              <w:rPr>
                <w:sz w:val="20"/>
              </w:rPr>
              <w:t>-To investigate the effect of government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spending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output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 fiscal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interaction</w:t>
            </w:r>
          </w:p>
        </w:tc>
        <w:tc>
          <w:tcPr>
            <w:tcW w:w="2363" w:type="dxa"/>
          </w:tcPr>
          <w:p>
            <w:pPr>
              <w:pStyle w:val="TableParagraph"/>
              <w:spacing w:line="228" w:lineRule="exact"/>
              <w:ind w:left="103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DSGE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model</w:t>
            </w:r>
          </w:p>
          <w:p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484" w:lineRule="auto"/>
              <w:ind w:left="103" w:right="296"/>
              <w:jc w:val="both"/>
              <w:rPr>
                <w:sz w:val="20"/>
              </w:rPr>
            </w:pPr>
            <w:r>
              <w:rPr>
                <w:sz w:val="20"/>
              </w:rPr>
              <w:t>-Monotone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Map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method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Fiscal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rule</w:t>
            </w:r>
          </w:p>
          <w:p>
            <w:pPr>
              <w:pStyle w:val="TableParagraph"/>
              <w:tabs>
                <w:tab w:pos="1293" w:val="left" w:leader="none"/>
              </w:tabs>
              <w:spacing w:line="276" w:lineRule="auto"/>
              <w:ind w:left="103" w:right="104"/>
              <w:jc w:val="both"/>
              <w:rPr>
                <w:sz w:val="20"/>
              </w:rPr>
            </w:pPr>
            <w:r>
              <w:rPr>
                <w:sz w:val="20"/>
              </w:rPr>
              <w:t>Tax=f (lagged debt, output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gap,</w:t>
              <w:tab/>
            </w:r>
            <w:r>
              <w:rPr>
                <w:spacing w:val="-1"/>
                <w:sz w:val="20"/>
              </w:rPr>
              <w:t>government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spending)</w:t>
            </w:r>
          </w:p>
          <w:p>
            <w:pPr>
              <w:pStyle w:val="TableParagraph"/>
              <w:spacing w:before="5"/>
              <w:ind w:left="0"/>
              <w:rPr>
                <w:b/>
                <w:sz w:val="17"/>
              </w:rPr>
            </w:pPr>
          </w:p>
          <w:p>
            <w:pPr>
              <w:pStyle w:val="TableParagraph"/>
              <w:ind w:left="103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Monetary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rule</w:t>
            </w:r>
          </w:p>
          <w:p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 w:before="1"/>
              <w:ind w:left="103" w:right="105"/>
              <w:jc w:val="both"/>
              <w:rPr>
                <w:sz w:val="20"/>
              </w:rPr>
            </w:pPr>
            <w:r>
              <w:rPr>
                <w:sz w:val="20"/>
              </w:rPr>
              <w:t>Interest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f(inflation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and output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gap)</w:t>
            </w:r>
          </w:p>
        </w:tc>
        <w:tc>
          <w:tcPr>
            <w:tcW w:w="2363" w:type="dxa"/>
          </w:tcPr>
          <w:p>
            <w:pPr>
              <w:pStyle w:val="TableParagraph"/>
              <w:spacing w:line="276" w:lineRule="auto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-Both monetary and 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switches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between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passive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behaviour</w:t>
            </w:r>
          </w:p>
          <w:p>
            <w:pPr>
              <w:pStyle w:val="TableParagraph"/>
              <w:spacing w:before="2"/>
              <w:ind w:left="0"/>
              <w:rPr>
                <w:b/>
                <w:sz w:val="17"/>
              </w:rPr>
            </w:pPr>
          </w:p>
          <w:p>
            <w:pPr>
              <w:pStyle w:val="TableParagraph"/>
              <w:spacing w:line="276" w:lineRule="auto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-there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variation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government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spending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multiplier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output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depending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prevailing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interaction</w:t>
            </w:r>
          </w:p>
        </w:tc>
        <w:tc>
          <w:tcPr>
            <w:tcW w:w="2365" w:type="dxa"/>
          </w:tcPr>
          <w:p>
            <w:pPr>
              <w:pStyle w:val="TableParagraph"/>
              <w:spacing w:line="276" w:lineRule="auto"/>
              <w:ind w:left="104" w:right="99"/>
              <w:jc w:val="both"/>
              <w:rPr>
                <w:sz w:val="20"/>
              </w:rPr>
            </w:pPr>
            <w:r>
              <w:rPr>
                <w:sz w:val="20"/>
              </w:rPr>
              <w:t>-The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Markov-switching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rules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assumed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study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essential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capture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dynamic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transitional nature of both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 and monetary policy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across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time,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since both policies are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reality,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transiting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time, between the passive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state.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improves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conventional static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rule.</w:t>
            </w:r>
          </w:p>
        </w:tc>
      </w:tr>
      <w:tr>
        <w:trPr>
          <w:trHeight w:val="2714" w:hRule="atLeast"/>
        </w:trPr>
        <w:tc>
          <w:tcPr>
            <w:tcW w:w="656" w:type="dxa"/>
          </w:tcPr>
          <w:p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900" w:type="dxa"/>
          </w:tcPr>
          <w:p>
            <w:pPr>
              <w:pStyle w:val="TableParagraph"/>
              <w:spacing w:line="276" w:lineRule="auto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Nunes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Portugal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(2010).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Active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Passive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Policies: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analysis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Brazil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Inflation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Targeting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Regime</w:t>
            </w:r>
          </w:p>
        </w:tc>
        <w:tc>
          <w:tcPr>
            <w:tcW w:w="3534" w:type="dxa"/>
          </w:tcPr>
          <w:p>
            <w:pPr>
              <w:pStyle w:val="TableParagraph"/>
              <w:spacing w:line="276" w:lineRule="auto"/>
              <w:ind w:left="106" w:right="103"/>
              <w:jc w:val="both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examine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impact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monetary policy interaction on inflation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 output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gap 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Brazil</w:t>
            </w:r>
          </w:p>
        </w:tc>
        <w:tc>
          <w:tcPr>
            <w:tcW w:w="2363" w:type="dxa"/>
          </w:tcPr>
          <w:p>
            <w:pPr>
              <w:pStyle w:val="TableParagraph"/>
              <w:spacing w:line="226" w:lineRule="exact"/>
              <w:ind w:left="103"/>
              <w:rPr>
                <w:sz w:val="20"/>
              </w:rPr>
            </w:pPr>
            <w:r>
              <w:rPr>
                <w:sz w:val="20"/>
              </w:rPr>
              <w:t>-NK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DSGE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Model</w:t>
            </w:r>
          </w:p>
          <w:p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892" w:val="left" w:leader="none"/>
              </w:tabs>
              <w:spacing w:line="276" w:lineRule="auto"/>
              <w:ind w:left="103" w:right="104"/>
              <w:rPr>
                <w:sz w:val="20"/>
              </w:rPr>
            </w:pPr>
            <w:r>
              <w:rPr>
                <w:sz w:val="20"/>
              </w:rPr>
              <w:t>-Second-Order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Approximation</w:t>
              <w:tab/>
            </w:r>
            <w:r>
              <w:rPr>
                <w:spacing w:val="-2"/>
                <w:sz w:val="20"/>
              </w:rPr>
              <w:t>with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Bayesian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Technique</w:t>
            </w:r>
          </w:p>
          <w:p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  <w:u w:val="single"/>
              </w:rPr>
              <w:t>Monetary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rule</w:t>
            </w:r>
          </w:p>
          <w:p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3" w:right="97"/>
              <w:rPr>
                <w:sz w:val="20"/>
              </w:rPr>
            </w:pPr>
            <w:r>
              <w:rPr>
                <w:sz w:val="20"/>
              </w:rPr>
              <w:t>Interest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rate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f(inflation,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output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gap)</w:t>
            </w:r>
          </w:p>
        </w:tc>
        <w:tc>
          <w:tcPr>
            <w:tcW w:w="2363" w:type="dxa"/>
          </w:tcPr>
          <w:p>
            <w:pPr>
              <w:pStyle w:val="TableParagraph"/>
              <w:spacing w:line="276" w:lineRule="auto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-Coefficient of output gap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 inflation on Monetary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policy rule is greater than 1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(active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regime)</w:t>
            </w: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1429" w:val="left" w:leader="none"/>
              </w:tabs>
              <w:spacing w:line="276" w:lineRule="auto" w:before="153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-Tax</w:t>
              <w:tab/>
            </w:r>
            <w:r>
              <w:rPr>
                <w:spacing w:val="-1"/>
                <w:sz w:val="20"/>
              </w:rPr>
              <w:t>responded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insignificantly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debt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(passive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regime)</w:t>
            </w:r>
          </w:p>
        </w:tc>
        <w:tc>
          <w:tcPr>
            <w:tcW w:w="2365" w:type="dxa"/>
          </w:tcPr>
          <w:p>
            <w:pPr>
              <w:pStyle w:val="TableParagraph"/>
              <w:spacing w:line="276" w:lineRule="auto"/>
              <w:ind w:left="104" w:right="10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application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Second-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Order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approximation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context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appropriate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most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suited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welfare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analysis.</w:t>
            </w:r>
          </w:p>
        </w:tc>
      </w:tr>
    </w:tbl>
    <w:p>
      <w:pPr>
        <w:spacing w:after="0" w:line="276" w:lineRule="auto"/>
        <w:jc w:val="both"/>
        <w:rPr>
          <w:sz w:val="20"/>
        </w:rPr>
        <w:sectPr>
          <w:pgSz w:w="15840" w:h="12240" w:orient="landscape"/>
          <w:pgMar w:header="0" w:footer="1015" w:top="1140" w:bottom="1200" w:left="1160" w:right="160"/>
        </w:sectPr>
      </w:pPr>
    </w:p>
    <w:p>
      <w:pPr>
        <w:pStyle w:val="BodyText"/>
        <w:spacing w:before="3"/>
        <w:rPr>
          <w:b/>
          <w:sz w:val="18"/>
        </w:rPr>
      </w:pPr>
    </w:p>
    <w:p>
      <w:pPr>
        <w:spacing w:before="91"/>
        <w:ind w:left="64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2.1: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Summary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Empirical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Review (continued)</w:t>
      </w:r>
    </w:p>
    <w:p>
      <w:pPr>
        <w:pStyle w:val="BodyText"/>
        <w:spacing w:before="7" w:after="1"/>
        <w:rPr>
          <w:b/>
          <w:sz w:val="21"/>
        </w:rPr>
      </w:pPr>
    </w:p>
    <w:tbl>
      <w:tblPr>
        <w:tblW w:w="0" w:type="auto"/>
        <w:jc w:val="left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6"/>
        <w:gridCol w:w="2900"/>
        <w:gridCol w:w="3534"/>
        <w:gridCol w:w="2363"/>
        <w:gridCol w:w="2363"/>
        <w:gridCol w:w="2365"/>
      </w:tblGrid>
      <w:tr>
        <w:trPr>
          <w:trHeight w:val="801" w:hRule="atLeast"/>
        </w:trPr>
        <w:tc>
          <w:tcPr>
            <w:tcW w:w="656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S/N</w:t>
            </w:r>
          </w:p>
        </w:tc>
        <w:tc>
          <w:tcPr>
            <w:tcW w:w="2900" w:type="dxa"/>
          </w:tcPr>
          <w:p>
            <w:pPr>
              <w:pStyle w:val="TableParagraph"/>
              <w:spacing w:line="276" w:lineRule="auto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Author,</w:t>
            </w:r>
            <w:r>
              <w:rPr>
                <w:b/>
                <w:spacing w:val="21"/>
                <w:sz w:val="20"/>
              </w:rPr>
              <w:t> </w:t>
            </w:r>
            <w:r>
              <w:rPr>
                <w:b/>
                <w:sz w:val="20"/>
              </w:rPr>
              <w:t>Title</w:t>
            </w:r>
            <w:r>
              <w:rPr>
                <w:b/>
                <w:spacing w:val="21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20"/>
                <w:sz w:val="20"/>
              </w:rPr>
              <w:t> </w:t>
            </w:r>
            <w:r>
              <w:rPr>
                <w:b/>
                <w:sz w:val="20"/>
              </w:rPr>
              <w:t>Year</w:t>
            </w:r>
            <w:r>
              <w:rPr>
                <w:b/>
                <w:spacing w:val="2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Publication</w:t>
            </w:r>
          </w:p>
        </w:tc>
        <w:tc>
          <w:tcPr>
            <w:tcW w:w="3534" w:type="dxa"/>
          </w:tcPr>
          <w:p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Objective</w:t>
            </w:r>
          </w:p>
        </w:tc>
        <w:tc>
          <w:tcPr>
            <w:tcW w:w="2363" w:type="dxa"/>
          </w:tcPr>
          <w:p>
            <w:pPr>
              <w:pStyle w:val="TableParagraph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Methodology</w:t>
            </w:r>
          </w:p>
        </w:tc>
        <w:tc>
          <w:tcPr>
            <w:tcW w:w="2363" w:type="dxa"/>
          </w:tcPr>
          <w:p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Result</w:t>
            </w:r>
          </w:p>
        </w:tc>
        <w:tc>
          <w:tcPr>
            <w:tcW w:w="2365" w:type="dxa"/>
          </w:tcPr>
          <w:p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Critique</w:t>
            </w:r>
          </w:p>
        </w:tc>
      </w:tr>
      <w:tr>
        <w:trPr>
          <w:trHeight w:val="993" w:hRule="atLeast"/>
        </w:trPr>
        <w:tc>
          <w:tcPr>
            <w:tcW w:w="656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900" w:type="dxa"/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Ornellas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Portugal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(2011)</w:t>
            </w:r>
          </w:p>
        </w:tc>
        <w:tc>
          <w:tcPr>
            <w:tcW w:w="3534" w:type="dxa"/>
          </w:tcPr>
          <w:p>
            <w:pPr>
              <w:pStyle w:val="TableParagraph"/>
              <w:spacing w:line="276" w:lineRule="auto"/>
              <w:ind w:left="106" w:right="95"/>
              <w:rPr>
                <w:sz w:val="20"/>
              </w:rPr>
            </w:pPr>
            <w:r>
              <w:rPr>
                <w:spacing w:val="-1"/>
                <w:sz w:val="20"/>
              </w:rPr>
              <w:t>-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assess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degree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dominance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Brazil</w:t>
            </w:r>
          </w:p>
        </w:tc>
        <w:tc>
          <w:tcPr>
            <w:tcW w:w="2363" w:type="dxa"/>
          </w:tcPr>
          <w:p>
            <w:pPr>
              <w:pStyle w:val="TableParagraph"/>
              <w:tabs>
                <w:tab w:pos="1425" w:val="left" w:leader="none"/>
              </w:tabs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-Dynamic</w:t>
              <w:tab/>
              <w:t>Stochastic</w:t>
            </w:r>
          </w:p>
          <w:p>
            <w:pPr>
              <w:pStyle w:val="TableParagraph"/>
              <w:tabs>
                <w:tab w:pos="1281" w:val="left" w:leader="none"/>
              </w:tabs>
              <w:spacing w:line="276" w:lineRule="auto" w:before="34"/>
              <w:ind w:left="103" w:right="104"/>
              <w:rPr>
                <w:sz w:val="20"/>
              </w:rPr>
            </w:pPr>
            <w:r>
              <w:rPr>
                <w:sz w:val="20"/>
              </w:rPr>
              <w:t>General</w:t>
              <w:tab/>
            </w:r>
            <w:r>
              <w:rPr>
                <w:spacing w:val="-1"/>
                <w:sz w:val="20"/>
              </w:rPr>
              <w:t>Equilibrium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model</w:t>
            </w:r>
          </w:p>
        </w:tc>
        <w:tc>
          <w:tcPr>
            <w:tcW w:w="2363" w:type="dxa"/>
          </w:tcPr>
          <w:p>
            <w:pPr>
              <w:pStyle w:val="TableParagraph"/>
              <w:spacing w:line="276" w:lineRule="auto"/>
              <w:ind w:left="102" w:right="102"/>
              <w:jc w:val="both"/>
              <w:rPr>
                <w:sz w:val="20"/>
              </w:rPr>
            </w:pPr>
            <w:r>
              <w:rPr>
                <w:sz w:val="20"/>
              </w:rPr>
              <w:t>-the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degree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dominance to be trivial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Brazil</w:t>
            </w:r>
          </w:p>
        </w:tc>
        <w:tc>
          <w:tcPr>
            <w:tcW w:w="2365" w:type="dxa"/>
          </w:tcPr>
          <w:p>
            <w:pPr>
              <w:pStyle w:val="TableParagraph"/>
              <w:spacing w:line="276" w:lineRule="auto"/>
              <w:ind w:left="104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robustness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result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should be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verified.</w:t>
            </w:r>
          </w:p>
        </w:tc>
      </w:tr>
      <w:tr>
        <w:trPr>
          <w:trHeight w:val="1521" w:hRule="atLeast"/>
        </w:trPr>
        <w:tc>
          <w:tcPr>
            <w:tcW w:w="656" w:type="dxa"/>
          </w:tcPr>
          <w:p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900" w:type="dxa"/>
          </w:tcPr>
          <w:p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Chuku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(2010)</w:t>
            </w:r>
          </w:p>
        </w:tc>
        <w:tc>
          <w:tcPr>
            <w:tcW w:w="3534" w:type="dxa"/>
          </w:tcPr>
          <w:p>
            <w:pPr>
              <w:pStyle w:val="TableParagraph"/>
              <w:spacing w:line="276" w:lineRule="auto"/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shifts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monetary policy interactions in Nigeria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over the quarterly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period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1970-2008.</w:t>
            </w:r>
          </w:p>
        </w:tc>
        <w:tc>
          <w:tcPr>
            <w:tcW w:w="2363" w:type="dxa"/>
          </w:tcPr>
          <w:p>
            <w:pPr>
              <w:pStyle w:val="TableParagraph"/>
              <w:spacing w:line="226" w:lineRule="exact"/>
              <w:ind w:left="103"/>
              <w:rPr>
                <w:sz w:val="20"/>
              </w:rPr>
            </w:pPr>
            <w:r>
              <w:rPr>
                <w:sz w:val="20"/>
              </w:rPr>
              <w:t>Markov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switching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model</w:t>
            </w:r>
          </w:p>
        </w:tc>
        <w:tc>
          <w:tcPr>
            <w:tcW w:w="2363" w:type="dxa"/>
          </w:tcPr>
          <w:p>
            <w:pPr>
              <w:pStyle w:val="TableParagraph"/>
              <w:spacing w:line="276" w:lineRule="auto"/>
              <w:ind w:left="102" w:right="100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negatively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weak.</w:t>
            </w:r>
          </w:p>
        </w:tc>
        <w:tc>
          <w:tcPr>
            <w:tcW w:w="2365" w:type="dxa"/>
          </w:tcPr>
          <w:p>
            <w:pPr>
              <w:pStyle w:val="TableParagraph"/>
              <w:spacing w:line="276" w:lineRule="auto"/>
              <w:ind w:left="104" w:right="100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Markov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provides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richer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insight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into the dynamic of both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policies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over a time</w:t>
            </w:r>
          </w:p>
        </w:tc>
      </w:tr>
      <w:tr>
        <w:trPr>
          <w:trHeight w:val="4639" w:hRule="atLeast"/>
        </w:trPr>
        <w:tc>
          <w:tcPr>
            <w:tcW w:w="656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900" w:type="dxa"/>
          </w:tcPr>
          <w:p>
            <w:pPr>
              <w:pStyle w:val="TableParagraph"/>
              <w:spacing w:line="276" w:lineRule="auto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Algozhina (2012) Monetary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Interaction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Emerging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Economy: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Non-Ricardian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DSGE Approach</w:t>
            </w:r>
          </w:p>
        </w:tc>
        <w:tc>
          <w:tcPr>
            <w:tcW w:w="3534" w:type="dxa"/>
          </w:tcPr>
          <w:p>
            <w:pPr>
              <w:pStyle w:val="TableParagraph"/>
              <w:spacing w:line="276" w:lineRule="auto"/>
              <w:ind w:left="106" w:right="104"/>
              <w:jc w:val="both"/>
              <w:rPr>
                <w:sz w:val="20"/>
              </w:rPr>
            </w:pPr>
            <w:r>
              <w:rPr>
                <w:sz w:val="20"/>
              </w:rPr>
              <w:t>To examine the joint interaction of fiscal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inflation,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exchange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 output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Hungary</w:t>
            </w:r>
          </w:p>
        </w:tc>
        <w:tc>
          <w:tcPr>
            <w:tcW w:w="2363" w:type="dxa"/>
          </w:tcPr>
          <w:p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-NK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DSGE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Model</w:t>
            </w:r>
          </w:p>
          <w:p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862" w:val="left" w:leader="none"/>
              </w:tabs>
              <w:spacing w:line="276" w:lineRule="auto"/>
              <w:ind w:left="103" w:right="101"/>
              <w:rPr>
                <w:sz w:val="20"/>
              </w:rPr>
            </w:pPr>
            <w:r>
              <w:rPr>
                <w:sz w:val="20"/>
              </w:rPr>
              <w:t>-First-Order</w:t>
              <w:tab/>
            </w:r>
            <w:r>
              <w:rPr>
                <w:spacing w:val="-2"/>
                <w:sz w:val="20"/>
              </w:rPr>
              <w:t>(log)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Approximation</w:t>
            </w:r>
          </w:p>
          <w:p>
            <w:pPr>
              <w:pStyle w:val="TableParagraph"/>
              <w:spacing w:before="6"/>
              <w:ind w:left="0"/>
              <w:rPr>
                <w:b/>
                <w:sz w:val="17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  <w:u w:val="single"/>
              </w:rPr>
              <w:t>Fiscal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rule:</w:t>
            </w:r>
          </w:p>
          <w:p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728" w:val="left" w:leader="none"/>
                <w:tab w:pos="1736" w:val="left" w:leader="none"/>
              </w:tabs>
              <w:spacing w:line="276" w:lineRule="auto"/>
              <w:ind w:left="103" w:right="104"/>
              <w:rPr>
                <w:sz w:val="20"/>
              </w:rPr>
            </w:pPr>
            <w:r>
              <w:rPr>
                <w:sz w:val="20"/>
              </w:rPr>
              <w:t>Public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consumption/investment=f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(debt</w:t>
              <w:tab/>
              <w:t>deviation,</w:t>
              <w:tab/>
            </w:r>
            <w:r>
              <w:rPr>
                <w:spacing w:val="-1"/>
                <w:sz w:val="20"/>
              </w:rPr>
              <w:t>output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gap)</w:t>
            </w:r>
          </w:p>
          <w:p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  <w:u w:val="single"/>
              </w:rPr>
              <w:t>Monetary</w:t>
            </w:r>
            <w:r>
              <w:rPr>
                <w:spacing w:val="-9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rule</w:t>
            </w:r>
          </w:p>
          <w:p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3" w:right="104"/>
              <w:jc w:val="both"/>
              <w:rPr>
                <w:sz w:val="20"/>
              </w:rPr>
            </w:pPr>
            <w:r>
              <w:rPr>
                <w:sz w:val="20"/>
              </w:rPr>
              <w:t>Interest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f(lagged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interest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inflation,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output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gap,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nominal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exchange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rate)</w:t>
            </w:r>
          </w:p>
        </w:tc>
        <w:tc>
          <w:tcPr>
            <w:tcW w:w="2363" w:type="dxa"/>
          </w:tcPr>
          <w:p>
            <w:pPr>
              <w:pStyle w:val="TableParagraph"/>
              <w:spacing w:line="276" w:lineRule="auto"/>
              <w:ind w:left="102" w:right="103"/>
              <w:jc w:val="both"/>
              <w:rPr>
                <w:sz w:val="20"/>
              </w:rPr>
            </w:pPr>
            <w:r>
              <w:rPr>
                <w:sz w:val="20"/>
              </w:rPr>
              <w:t>-Public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consumption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inflationary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negatively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impacts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output</w:t>
            </w:r>
          </w:p>
          <w:p>
            <w:pPr>
              <w:pStyle w:val="TableParagraph"/>
              <w:spacing w:line="278" w:lineRule="auto" w:before="195"/>
              <w:ind w:left="102" w:right="100"/>
              <w:jc w:val="both"/>
              <w:rPr>
                <w:sz w:val="20"/>
              </w:rPr>
            </w:pPr>
            <w:r>
              <w:rPr>
                <w:sz w:val="20"/>
              </w:rPr>
              <w:t>-Public investment is non-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inflationary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 it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boosts</w:t>
            </w:r>
          </w:p>
          <w:p>
            <w:pPr>
              <w:pStyle w:val="TableParagraph"/>
              <w:spacing w:before="196"/>
              <w:ind w:left="102"/>
              <w:rPr>
                <w:sz w:val="20"/>
              </w:rPr>
            </w:pPr>
            <w:r>
              <w:rPr>
                <w:sz w:val="20"/>
              </w:rPr>
              <w:t>output</w:t>
            </w:r>
          </w:p>
          <w:p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2" w:right="101"/>
              <w:jc w:val="both"/>
              <w:rPr>
                <w:sz w:val="20"/>
              </w:rPr>
            </w:pPr>
            <w:r>
              <w:rPr>
                <w:sz w:val="20"/>
              </w:rPr>
              <w:t>-interest rate significantly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contributes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inflation</w:t>
            </w:r>
          </w:p>
        </w:tc>
        <w:tc>
          <w:tcPr>
            <w:tcW w:w="2365" w:type="dxa"/>
          </w:tcPr>
          <w:p>
            <w:pPr>
              <w:pStyle w:val="TableParagraph"/>
              <w:spacing w:line="276" w:lineRule="auto"/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abstracts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assumption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Ricardian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neutral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economy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by</w:t>
            </w:r>
          </w:p>
          <w:p>
            <w:pPr>
              <w:pStyle w:val="TableParagraph"/>
              <w:tabs>
                <w:tab w:pos="1428" w:val="left" w:leader="none"/>
              </w:tabs>
              <w:spacing w:line="276" w:lineRule="auto" w:before="197"/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assumption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Ricardian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agents.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Ricardian</w:t>
              <w:tab/>
              <w:t>household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shows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non-neutral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 economy</w:t>
            </w:r>
          </w:p>
        </w:tc>
      </w:tr>
    </w:tbl>
    <w:p>
      <w:pPr>
        <w:spacing w:after="0" w:line="276" w:lineRule="auto"/>
        <w:jc w:val="both"/>
        <w:rPr>
          <w:sz w:val="20"/>
        </w:rPr>
        <w:sectPr>
          <w:pgSz w:w="15840" w:h="12240" w:orient="landscape"/>
          <w:pgMar w:header="0" w:footer="1015" w:top="1140" w:bottom="1200" w:left="1160" w:right="160"/>
        </w:sectPr>
      </w:pPr>
    </w:p>
    <w:p>
      <w:pPr>
        <w:pStyle w:val="BodyText"/>
        <w:spacing w:before="3"/>
        <w:rPr>
          <w:b/>
          <w:sz w:val="18"/>
        </w:rPr>
      </w:pPr>
    </w:p>
    <w:p>
      <w:pPr>
        <w:spacing w:before="91"/>
        <w:ind w:left="64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2.1: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Summary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Empirical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Review (continued)</w:t>
      </w:r>
    </w:p>
    <w:p>
      <w:pPr>
        <w:pStyle w:val="BodyText"/>
        <w:spacing w:before="10" w:after="1"/>
        <w:rPr>
          <w:b/>
          <w:sz w:val="22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6"/>
        <w:gridCol w:w="2900"/>
        <w:gridCol w:w="3534"/>
        <w:gridCol w:w="2363"/>
        <w:gridCol w:w="2363"/>
        <w:gridCol w:w="2365"/>
      </w:tblGrid>
      <w:tr>
        <w:trPr>
          <w:trHeight w:val="729" w:hRule="atLeast"/>
        </w:trPr>
        <w:tc>
          <w:tcPr>
            <w:tcW w:w="656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S/N</w:t>
            </w:r>
          </w:p>
        </w:tc>
        <w:tc>
          <w:tcPr>
            <w:tcW w:w="2900" w:type="dxa"/>
          </w:tcPr>
          <w:p>
            <w:pPr>
              <w:pStyle w:val="TableParagraph"/>
              <w:spacing w:line="278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Author,</w:t>
            </w:r>
            <w:r>
              <w:rPr>
                <w:b/>
                <w:spacing w:val="21"/>
                <w:sz w:val="20"/>
              </w:rPr>
              <w:t> </w:t>
            </w:r>
            <w:r>
              <w:rPr>
                <w:b/>
                <w:sz w:val="20"/>
              </w:rPr>
              <w:t>Title</w:t>
            </w:r>
            <w:r>
              <w:rPr>
                <w:b/>
                <w:spacing w:val="21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20"/>
                <w:sz w:val="20"/>
              </w:rPr>
              <w:t> </w:t>
            </w:r>
            <w:r>
              <w:rPr>
                <w:b/>
                <w:sz w:val="20"/>
              </w:rPr>
              <w:t>Year</w:t>
            </w:r>
            <w:r>
              <w:rPr>
                <w:b/>
                <w:spacing w:val="2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Publication</w:t>
            </w:r>
          </w:p>
        </w:tc>
        <w:tc>
          <w:tcPr>
            <w:tcW w:w="3534" w:type="dxa"/>
          </w:tcPr>
          <w:p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Objective</w:t>
            </w:r>
          </w:p>
        </w:tc>
        <w:tc>
          <w:tcPr>
            <w:tcW w:w="2363" w:type="dxa"/>
          </w:tcPr>
          <w:p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Methodology</w:t>
            </w:r>
          </w:p>
        </w:tc>
        <w:tc>
          <w:tcPr>
            <w:tcW w:w="2363" w:type="dxa"/>
          </w:tcPr>
          <w:p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Result</w:t>
            </w:r>
          </w:p>
        </w:tc>
        <w:tc>
          <w:tcPr>
            <w:tcW w:w="2365" w:type="dxa"/>
          </w:tcPr>
          <w:p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Critique</w:t>
            </w:r>
          </w:p>
        </w:tc>
      </w:tr>
      <w:tr>
        <w:trPr>
          <w:trHeight w:val="1970" w:hRule="atLeast"/>
        </w:trPr>
        <w:tc>
          <w:tcPr>
            <w:tcW w:w="656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2900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Lima,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Maka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Pumar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(2012)</w:t>
            </w:r>
          </w:p>
        </w:tc>
        <w:tc>
          <w:tcPr>
            <w:tcW w:w="3534" w:type="dxa"/>
          </w:tcPr>
          <w:p>
            <w:pPr>
              <w:pStyle w:val="TableParagraph"/>
              <w:spacing w:line="278" w:lineRule="auto"/>
              <w:ind w:left="106" w:right="9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determine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interactions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between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 Brazil.</w:t>
            </w:r>
          </w:p>
        </w:tc>
        <w:tc>
          <w:tcPr>
            <w:tcW w:w="2363" w:type="dxa"/>
          </w:tcPr>
          <w:p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SVAR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model</w:t>
            </w:r>
          </w:p>
        </w:tc>
        <w:tc>
          <w:tcPr>
            <w:tcW w:w="2363" w:type="dxa"/>
          </w:tcPr>
          <w:p>
            <w:pPr>
              <w:pStyle w:val="TableParagraph"/>
              <w:spacing w:line="276" w:lineRule="auto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They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two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different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identification schemes that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produce inconsistent result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deciding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existence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of fiscal dominance or not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Brazil</w:t>
            </w:r>
          </w:p>
        </w:tc>
        <w:tc>
          <w:tcPr>
            <w:tcW w:w="2365" w:type="dxa"/>
          </w:tcPr>
          <w:p>
            <w:pPr>
              <w:pStyle w:val="TableParagraph"/>
              <w:spacing w:line="276" w:lineRule="auto"/>
              <w:ind w:left="104" w:right="103"/>
              <w:jc w:val="both"/>
              <w:rPr>
                <w:sz w:val="20"/>
              </w:rPr>
            </w:pPr>
            <w:r>
              <w:rPr>
                <w:sz w:val="20"/>
              </w:rPr>
              <w:t>-the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shock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scheme fails to produce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robust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result.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need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further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studies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handle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inconsistency</w:t>
            </w:r>
          </w:p>
        </w:tc>
      </w:tr>
      <w:tr>
        <w:trPr>
          <w:trHeight w:val="4575" w:hRule="atLeast"/>
        </w:trPr>
        <w:tc>
          <w:tcPr>
            <w:tcW w:w="656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2900" w:type="dxa"/>
          </w:tcPr>
          <w:p>
            <w:pPr>
              <w:pStyle w:val="TableParagraph"/>
              <w:spacing w:line="276" w:lineRule="auto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Anas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(2013).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Estimated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DSGE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Model 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Morocco</w:t>
            </w:r>
          </w:p>
        </w:tc>
        <w:tc>
          <w:tcPr>
            <w:tcW w:w="3534" w:type="dxa"/>
          </w:tcPr>
          <w:p>
            <w:pPr>
              <w:pStyle w:val="TableParagraph"/>
              <w:spacing w:line="276" w:lineRule="auto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assess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effect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macroeconomic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outcomes such as inflation and output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Morocco</w:t>
            </w:r>
          </w:p>
        </w:tc>
        <w:tc>
          <w:tcPr>
            <w:tcW w:w="2363" w:type="dxa"/>
          </w:tcPr>
          <w:p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RBC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Model</w:t>
            </w:r>
          </w:p>
          <w:p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6" w:right="1017"/>
              <w:rPr>
                <w:sz w:val="20"/>
              </w:rPr>
            </w:pPr>
            <w:r>
              <w:rPr>
                <w:sz w:val="20"/>
              </w:rPr>
              <w:t>-First-Order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Approximation</w:t>
            </w:r>
          </w:p>
          <w:p>
            <w:pPr>
              <w:pStyle w:val="TableParagraph"/>
              <w:spacing w:before="5"/>
              <w:ind w:left="0"/>
              <w:rPr>
                <w:b/>
                <w:sz w:val="17"/>
              </w:rPr>
            </w:pPr>
          </w:p>
          <w:p>
            <w:pPr>
              <w:pStyle w:val="TableParagraph"/>
              <w:spacing w:line="484" w:lineRule="auto" w:before="1"/>
              <w:ind w:left="106" w:right="543"/>
              <w:rPr>
                <w:sz w:val="20"/>
              </w:rPr>
            </w:pPr>
            <w:r>
              <w:rPr>
                <w:spacing w:val="-1"/>
                <w:sz w:val="20"/>
              </w:rPr>
              <w:t>-Bayesian </w:t>
            </w:r>
            <w:r>
              <w:rPr>
                <w:sz w:val="20"/>
              </w:rPr>
              <w:t>Technique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Fiscal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rule</w:t>
            </w:r>
          </w:p>
          <w:p>
            <w:pPr>
              <w:pStyle w:val="TableParagraph"/>
              <w:tabs>
                <w:tab w:pos="1857" w:val="left" w:leader="none"/>
              </w:tabs>
              <w:spacing w:line="276" w:lineRule="auto"/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Tax=f(lagged</w:t>
              <w:tab/>
            </w:r>
            <w:r>
              <w:rPr>
                <w:spacing w:val="-1"/>
                <w:sz w:val="20"/>
              </w:rPr>
              <w:t>debt,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government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spending,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inflation,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output,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rate)</w:t>
            </w:r>
          </w:p>
          <w:p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>
            <w:pPr>
              <w:pStyle w:val="TableParagraph"/>
              <w:ind w:left="106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Monetary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rule</w:t>
            </w:r>
          </w:p>
          <w:p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78" w:lineRule="auto"/>
              <w:ind w:left="106" w:right="104"/>
              <w:jc w:val="both"/>
              <w:rPr>
                <w:sz w:val="20"/>
              </w:rPr>
            </w:pPr>
            <w:r>
              <w:rPr>
                <w:sz w:val="20"/>
              </w:rPr>
              <w:t>Interest rate = f(inflation,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output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gap)</w:t>
            </w:r>
          </w:p>
        </w:tc>
        <w:tc>
          <w:tcPr>
            <w:tcW w:w="2363" w:type="dxa"/>
          </w:tcPr>
          <w:p>
            <w:pPr>
              <w:pStyle w:val="TableParagraph"/>
              <w:spacing w:line="276" w:lineRule="auto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-shock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impacts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negatively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output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 inflation</w:t>
            </w:r>
          </w:p>
          <w:p>
            <w:pPr>
              <w:pStyle w:val="TableParagraph"/>
              <w:spacing w:line="276" w:lineRule="auto" w:before="195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-shock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capital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reduces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investment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output</w:t>
            </w:r>
          </w:p>
          <w:p>
            <w:pPr>
              <w:pStyle w:val="TableParagraph"/>
              <w:spacing w:before="5"/>
              <w:ind w:left="0"/>
              <w:rPr>
                <w:b/>
                <w:sz w:val="17"/>
              </w:rPr>
            </w:pPr>
          </w:p>
          <w:p>
            <w:pPr>
              <w:pStyle w:val="TableParagraph"/>
              <w:spacing w:line="276" w:lineRule="auto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-shock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government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spending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raises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output</w:t>
            </w:r>
          </w:p>
        </w:tc>
        <w:tc>
          <w:tcPr>
            <w:tcW w:w="2365" w:type="dxa"/>
          </w:tcPr>
          <w:p>
            <w:pPr>
              <w:pStyle w:val="TableParagraph"/>
              <w:spacing w:line="276" w:lineRule="auto"/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-New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Keynesian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DSGE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models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are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better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suited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economic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analysis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when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compared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Real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Business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cycle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models.</w:t>
            </w:r>
          </w:p>
        </w:tc>
      </w:tr>
    </w:tbl>
    <w:p>
      <w:pPr>
        <w:spacing w:after="0" w:line="276" w:lineRule="auto"/>
        <w:jc w:val="both"/>
        <w:rPr>
          <w:sz w:val="20"/>
        </w:rPr>
        <w:sectPr>
          <w:pgSz w:w="15840" w:h="12240" w:orient="landscape"/>
          <w:pgMar w:header="0" w:footer="1015" w:top="1140" w:bottom="1200" w:left="1160" w:right="160"/>
        </w:sectPr>
      </w:pPr>
    </w:p>
    <w:p>
      <w:pPr>
        <w:pStyle w:val="BodyText"/>
        <w:spacing w:before="3"/>
        <w:rPr>
          <w:b/>
          <w:sz w:val="18"/>
        </w:rPr>
      </w:pPr>
    </w:p>
    <w:p>
      <w:pPr>
        <w:spacing w:before="91"/>
        <w:ind w:left="64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2.1: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Summary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Empirical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Review (continued)</w:t>
      </w:r>
    </w:p>
    <w:p>
      <w:pPr>
        <w:pStyle w:val="BodyText"/>
        <w:spacing w:before="10"/>
        <w:rPr>
          <w:b/>
          <w:sz w:val="26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6"/>
        <w:gridCol w:w="2900"/>
        <w:gridCol w:w="3534"/>
        <w:gridCol w:w="2363"/>
        <w:gridCol w:w="2363"/>
        <w:gridCol w:w="2365"/>
      </w:tblGrid>
      <w:tr>
        <w:trPr>
          <w:trHeight w:val="729" w:hRule="atLeast"/>
        </w:trPr>
        <w:tc>
          <w:tcPr>
            <w:tcW w:w="656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S/N</w:t>
            </w:r>
          </w:p>
        </w:tc>
        <w:tc>
          <w:tcPr>
            <w:tcW w:w="2900" w:type="dxa"/>
          </w:tcPr>
          <w:p>
            <w:pPr>
              <w:pStyle w:val="TableParagraph"/>
              <w:spacing w:line="276" w:lineRule="auto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Author,</w:t>
            </w:r>
            <w:r>
              <w:rPr>
                <w:b/>
                <w:spacing w:val="22"/>
                <w:sz w:val="20"/>
              </w:rPr>
              <w:t> </w:t>
            </w:r>
            <w:r>
              <w:rPr>
                <w:b/>
                <w:sz w:val="20"/>
              </w:rPr>
              <w:t>Title</w:t>
            </w:r>
            <w:r>
              <w:rPr>
                <w:b/>
                <w:spacing w:val="21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20"/>
                <w:sz w:val="20"/>
              </w:rPr>
              <w:t> </w:t>
            </w:r>
            <w:r>
              <w:rPr>
                <w:b/>
                <w:sz w:val="20"/>
              </w:rPr>
              <w:t>Year</w:t>
            </w:r>
            <w:r>
              <w:rPr>
                <w:b/>
                <w:spacing w:val="2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Publication</w:t>
            </w:r>
          </w:p>
        </w:tc>
        <w:tc>
          <w:tcPr>
            <w:tcW w:w="3534" w:type="dxa"/>
          </w:tcPr>
          <w:p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Objective</w:t>
            </w:r>
          </w:p>
        </w:tc>
        <w:tc>
          <w:tcPr>
            <w:tcW w:w="2363" w:type="dxa"/>
          </w:tcPr>
          <w:p>
            <w:pPr>
              <w:pStyle w:val="TableParagraph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Methodology</w:t>
            </w:r>
          </w:p>
        </w:tc>
        <w:tc>
          <w:tcPr>
            <w:tcW w:w="2363" w:type="dxa"/>
          </w:tcPr>
          <w:p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Result</w:t>
            </w:r>
          </w:p>
        </w:tc>
        <w:tc>
          <w:tcPr>
            <w:tcW w:w="2365" w:type="dxa"/>
          </w:tcPr>
          <w:p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Critique</w:t>
            </w:r>
          </w:p>
        </w:tc>
      </w:tr>
      <w:tr>
        <w:trPr>
          <w:trHeight w:val="4620" w:hRule="atLeast"/>
        </w:trPr>
        <w:tc>
          <w:tcPr>
            <w:tcW w:w="656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2900" w:type="dxa"/>
          </w:tcPr>
          <w:p>
            <w:pPr>
              <w:pStyle w:val="TableParagraph"/>
              <w:spacing w:line="242" w:lineRule="auto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Cekin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(2013).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Interaction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Turkey: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Markov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Switch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Approach</w:t>
            </w:r>
          </w:p>
        </w:tc>
        <w:tc>
          <w:tcPr>
            <w:tcW w:w="3534" w:type="dxa"/>
          </w:tcPr>
          <w:p>
            <w:pPr>
              <w:pStyle w:val="TableParagraph"/>
              <w:spacing w:line="242" w:lineRule="auto"/>
              <w:ind w:left="104" w:right="104"/>
              <w:jc w:val="both"/>
              <w:rPr>
                <w:sz w:val="20"/>
              </w:rPr>
            </w:pPr>
            <w:r>
              <w:rPr>
                <w:sz w:val="20"/>
              </w:rPr>
              <w:t>-characterised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Turkey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Markov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Switching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simple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rules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periods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before and after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2001</w:t>
            </w: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line="242" w:lineRule="auto"/>
              <w:ind w:left="104" w:right="103"/>
              <w:jc w:val="both"/>
              <w:rPr>
                <w:sz w:val="20"/>
              </w:rPr>
            </w:pPr>
            <w:r>
              <w:rPr>
                <w:sz w:val="20"/>
              </w:rPr>
              <w:t>-To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determine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effect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interaction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price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level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Turkey</w:t>
            </w:r>
          </w:p>
        </w:tc>
        <w:tc>
          <w:tcPr>
            <w:tcW w:w="2363" w:type="dxa"/>
          </w:tcPr>
          <w:p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-DSGE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Model</w:t>
            </w:r>
          </w:p>
          <w:p>
            <w:pPr>
              <w:pStyle w:val="TableParagraph"/>
              <w:tabs>
                <w:tab w:pos="1862" w:val="left" w:leader="none"/>
              </w:tabs>
              <w:spacing w:line="242" w:lineRule="auto" w:before="197"/>
              <w:ind w:left="103" w:right="101"/>
              <w:rPr>
                <w:sz w:val="20"/>
              </w:rPr>
            </w:pPr>
            <w:r>
              <w:rPr>
                <w:sz w:val="20"/>
              </w:rPr>
              <w:t>-First-Order</w:t>
              <w:tab/>
            </w:r>
            <w:r>
              <w:rPr>
                <w:spacing w:val="-2"/>
                <w:sz w:val="20"/>
              </w:rPr>
              <w:t>(log)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Approximation</w:t>
            </w:r>
          </w:p>
          <w:p>
            <w:pPr>
              <w:pStyle w:val="TableParagraph"/>
              <w:spacing w:before="3"/>
              <w:ind w:left="0"/>
              <w:rPr>
                <w:b/>
                <w:sz w:val="17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  <w:u w:val="single"/>
              </w:rPr>
              <w:t>Fiscal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rule</w:t>
            </w:r>
          </w:p>
          <w:p>
            <w:pPr>
              <w:pStyle w:val="TableParagraph"/>
              <w:spacing w:line="242" w:lineRule="auto" w:before="197"/>
              <w:ind w:left="103" w:right="103"/>
              <w:rPr>
                <w:sz w:val="20"/>
              </w:rPr>
            </w:pPr>
            <w:r>
              <w:rPr>
                <w:sz w:val="20"/>
              </w:rPr>
              <w:t>Tax=f(government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spending,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output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gap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lagged debt)</w:t>
            </w:r>
          </w:p>
          <w:p>
            <w:pPr>
              <w:pStyle w:val="TableParagraph"/>
              <w:tabs>
                <w:tab w:pos="1295" w:val="left" w:leader="none"/>
              </w:tabs>
              <w:spacing w:line="242" w:lineRule="auto" w:before="194"/>
              <w:ind w:left="103" w:right="104"/>
              <w:jc w:val="both"/>
              <w:rPr>
                <w:sz w:val="20"/>
              </w:rPr>
            </w:pPr>
            <w:r>
              <w:rPr>
                <w:sz w:val="20"/>
              </w:rPr>
              <w:t>Budget deficit = f (lagged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debt,</w:t>
              <w:tab/>
            </w:r>
            <w:r>
              <w:rPr>
                <w:spacing w:val="-1"/>
                <w:sz w:val="20"/>
              </w:rPr>
              <w:t>government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spending,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measure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business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cycle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fluctuation)</w:t>
            </w:r>
          </w:p>
          <w:p>
            <w:pPr>
              <w:pStyle w:val="TableParagraph"/>
              <w:spacing w:before="194"/>
              <w:ind w:left="103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Monetary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rule</w:t>
            </w:r>
          </w:p>
          <w:p>
            <w:pPr>
              <w:pStyle w:val="TableParagraph"/>
              <w:spacing w:line="242" w:lineRule="auto" w:before="197"/>
              <w:ind w:left="103" w:right="107"/>
              <w:jc w:val="both"/>
              <w:rPr>
                <w:sz w:val="20"/>
              </w:rPr>
            </w:pPr>
            <w:r>
              <w:rPr>
                <w:sz w:val="20"/>
              </w:rPr>
              <w:t>Interest rate = f(inflation,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output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gap,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exchange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rate)</w:t>
            </w:r>
          </w:p>
        </w:tc>
        <w:tc>
          <w:tcPr>
            <w:tcW w:w="2363" w:type="dxa"/>
          </w:tcPr>
          <w:p>
            <w:pPr>
              <w:pStyle w:val="TableParagraph"/>
              <w:spacing w:line="242" w:lineRule="auto"/>
              <w:ind w:left="102" w:right="105"/>
              <w:jc w:val="both"/>
              <w:rPr>
                <w:sz w:val="20"/>
              </w:rPr>
            </w:pPr>
            <w:r>
              <w:rPr>
                <w:sz w:val="20"/>
              </w:rPr>
              <w:t>- both monetary and fiscal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policies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switched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over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between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passive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regimes</w:t>
            </w: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line="242" w:lineRule="auto"/>
              <w:ind w:left="102" w:right="99"/>
              <w:jc w:val="both"/>
              <w:rPr>
                <w:sz w:val="20"/>
              </w:rPr>
            </w:pPr>
            <w:r>
              <w:rPr>
                <w:sz w:val="20"/>
              </w:rPr>
              <w:t>-active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passive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led to stable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inflation</w:t>
            </w:r>
          </w:p>
        </w:tc>
        <w:tc>
          <w:tcPr>
            <w:tcW w:w="2365" w:type="dxa"/>
          </w:tcPr>
          <w:p>
            <w:pPr>
              <w:pStyle w:val="TableParagraph"/>
              <w:spacing w:line="276" w:lineRule="auto"/>
              <w:ind w:left="104" w:right="104"/>
              <w:jc w:val="both"/>
              <w:rPr>
                <w:sz w:val="20"/>
              </w:rPr>
            </w:pPr>
            <w:r>
              <w:rPr>
                <w:sz w:val="20"/>
              </w:rPr>
              <w:t>-The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Markov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switching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allows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shifts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nature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economic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policies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time</w:t>
            </w:r>
          </w:p>
        </w:tc>
      </w:tr>
      <w:tr>
        <w:trPr>
          <w:trHeight w:val="3040" w:hRule="atLeast"/>
        </w:trPr>
        <w:tc>
          <w:tcPr>
            <w:tcW w:w="656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2900" w:type="dxa"/>
          </w:tcPr>
          <w:p>
            <w:pPr>
              <w:pStyle w:val="TableParagraph"/>
              <w:tabs>
                <w:tab w:pos="1586" w:val="left" w:leader="none"/>
                <w:tab w:pos="2204" w:val="left" w:leader="none"/>
                <w:tab w:pos="2276" w:val="left" w:leader="none"/>
              </w:tabs>
              <w:spacing w:line="242" w:lineRule="auto"/>
              <w:ind w:left="105" w:right="97"/>
              <w:jc w:val="both"/>
              <w:rPr>
                <w:sz w:val="20"/>
              </w:rPr>
            </w:pPr>
            <w:r>
              <w:rPr>
                <w:sz w:val="20"/>
              </w:rPr>
              <w:t>Gonzalez-Astudillo</w:t>
              <w:tab/>
            </w:r>
            <w:r>
              <w:rPr>
                <w:spacing w:val="-1"/>
                <w:sz w:val="20"/>
              </w:rPr>
              <w:t>(2013).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Monetary-Fiscal</w:t>
              <w:tab/>
              <w:tab/>
              <w:tab/>
            </w:r>
            <w:r>
              <w:rPr>
                <w:spacing w:val="-1"/>
                <w:sz w:val="20"/>
              </w:rPr>
              <w:t>Policy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Interaction:</w:t>
              <w:tab/>
              <w:t>Interdependent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Rule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Coefficient</w:t>
            </w:r>
          </w:p>
        </w:tc>
        <w:tc>
          <w:tcPr>
            <w:tcW w:w="3534" w:type="dxa"/>
          </w:tcPr>
          <w:p>
            <w:pPr>
              <w:pStyle w:val="TableParagraph"/>
              <w:spacing w:line="242" w:lineRule="auto"/>
              <w:ind w:left="104" w:right="105"/>
              <w:jc w:val="both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determine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coordinated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rules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impact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inflation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 output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United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States</w:t>
            </w:r>
          </w:p>
        </w:tc>
        <w:tc>
          <w:tcPr>
            <w:tcW w:w="2363" w:type="dxa"/>
          </w:tcPr>
          <w:p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-NK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DSGE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Model</w:t>
            </w:r>
          </w:p>
          <w:p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>
            <w:pPr>
              <w:pStyle w:val="TableParagraph"/>
              <w:spacing w:line="448" w:lineRule="auto"/>
              <w:ind w:left="103" w:right="480"/>
              <w:rPr>
                <w:sz w:val="20"/>
              </w:rPr>
            </w:pPr>
            <w:r>
              <w:rPr>
                <w:spacing w:val="-1"/>
                <w:sz w:val="20"/>
              </w:rPr>
              <w:t>--Bayesian </w:t>
            </w:r>
            <w:r>
              <w:rPr>
                <w:sz w:val="20"/>
              </w:rPr>
              <w:t>Technique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Fiscal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rule</w:t>
            </w:r>
          </w:p>
          <w:p>
            <w:pPr>
              <w:pStyle w:val="TableParagraph"/>
              <w:tabs>
                <w:tab w:pos="1456" w:val="left" w:leader="none"/>
              </w:tabs>
              <w:ind w:left="103" w:right="103"/>
              <w:rPr>
                <w:sz w:val="20"/>
              </w:rPr>
            </w:pPr>
            <w:r>
              <w:rPr>
                <w:sz w:val="20"/>
              </w:rPr>
              <w:t>Tax=f(debt</w:t>
              <w:tab/>
            </w:r>
            <w:r>
              <w:rPr>
                <w:spacing w:val="-1"/>
                <w:sz w:val="20"/>
              </w:rPr>
              <w:t>deviation,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output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gap)</w:t>
            </w:r>
          </w:p>
          <w:p>
            <w:pPr>
              <w:pStyle w:val="TableParagraph"/>
              <w:spacing w:before="6"/>
              <w:ind w:left="0"/>
              <w:rPr>
                <w:b/>
                <w:sz w:val="17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  <w:u w:val="single"/>
              </w:rPr>
              <w:t>Monetary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rule</w:t>
            </w:r>
          </w:p>
          <w:p>
            <w:pPr>
              <w:pStyle w:val="TableParagraph"/>
              <w:spacing w:line="242" w:lineRule="auto" w:before="198"/>
              <w:ind w:left="103" w:right="94"/>
              <w:rPr>
                <w:sz w:val="20"/>
              </w:rPr>
            </w:pPr>
            <w:r>
              <w:rPr>
                <w:sz w:val="20"/>
              </w:rPr>
              <w:t>Interest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rate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f(inflation,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output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gap)</w:t>
            </w:r>
          </w:p>
        </w:tc>
        <w:tc>
          <w:tcPr>
            <w:tcW w:w="2363" w:type="dxa"/>
          </w:tcPr>
          <w:p>
            <w:pPr>
              <w:pStyle w:val="TableParagraph"/>
              <w:spacing w:line="242" w:lineRule="auto"/>
              <w:ind w:left="102" w:right="101"/>
              <w:jc w:val="both"/>
              <w:rPr>
                <w:sz w:val="20"/>
              </w:rPr>
            </w:pPr>
            <w:r>
              <w:rPr>
                <w:sz w:val="20"/>
              </w:rPr>
              <w:t>-both fiscal and monetary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switch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between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active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passive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regimes</w:t>
            </w: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line="242" w:lineRule="auto"/>
              <w:ind w:left="102" w:right="105"/>
              <w:jc w:val="both"/>
              <w:rPr>
                <w:sz w:val="20"/>
              </w:rPr>
            </w:pPr>
            <w:r>
              <w:rPr>
                <w:sz w:val="20"/>
              </w:rPr>
              <w:t>-shocks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reduce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inflation and output in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short-run</w:t>
            </w:r>
          </w:p>
        </w:tc>
        <w:tc>
          <w:tcPr>
            <w:tcW w:w="2365" w:type="dxa"/>
          </w:tcPr>
          <w:p>
            <w:pPr>
              <w:pStyle w:val="TableParagraph"/>
              <w:spacing w:line="276" w:lineRule="auto"/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work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shows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and monetary policy rules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 be dynamic and their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innovations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modelled as being serially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correlated</w:t>
            </w:r>
          </w:p>
        </w:tc>
      </w:tr>
    </w:tbl>
    <w:p>
      <w:pPr>
        <w:spacing w:after="0" w:line="276" w:lineRule="auto"/>
        <w:jc w:val="both"/>
        <w:rPr>
          <w:sz w:val="20"/>
        </w:rPr>
        <w:sectPr>
          <w:pgSz w:w="15840" w:h="12240" w:orient="landscape"/>
          <w:pgMar w:header="0" w:footer="1015" w:top="1140" w:bottom="1200" w:left="1160" w:right="160"/>
        </w:sectPr>
      </w:pPr>
    </w:p>
    <w:p>
      <w:pPr>
        <w:pStyle w:val="BodyText"/>
        <w:spacing w:before="3"/>
        <w:rPr>
          <w:b/>
          <w:sz w:val="18"/>
        </w:rPr>
      </w:pPr>
    </w:p>
    <w:p>
      <w:pPr>
        <w:spacing w:before="91"/>
        <w:ind w:left="64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2.1: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Summary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Empirical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Review (continued)</w:t>
      </w:r>
    </w:p>
    <w:p>
      <w:pPr>
        <w:pStyle w:val="BodyText"/>
        <w:spacing w:before="1" w:after="1"/>
        <w:rPr>
          <w:b/>
          <w:sz w:val="28"/>
        </w:rPr>
      </w:pPr>
    </w:p>
    <w:tbl>
      <w:tblPr>
        <w:tblW w:w="0" w:type="auto"/>
        <w:jc w:val="left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6"/>
        <w:gridCol w:w="2900"/>
        <w:gridCol w:w="3534"/>
        <w:gridCol w:w="2363"/>
        <w:gridCol w:w="2363"/>
        <w:gridCol w:w="2365"/>
      </w:tblGrid>
      <w:tr>
        <w:trPr>
          <w:trHeight w:val="729" w:hRule="atLeast"/>
        </w:trPr>
        <w:tc>
          <w:tcPr>
            <w:tcW w:w="656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S/N</w:t>
            </w:r>
          </w:p>
        </w:tc>
        <w:tc>
          <w:tcPr>
            <w:tcW w:w="2900" w:type="dxa"/>
          </w:tcPr>
          <w:p>
            <w:pPr>
              <w:pStyle w:val="TableParagraph"/>
              <w:spacing w:line="278" w:lineRule="auto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Author,</w:t>
            </w:r>
            <w:r>
              <w:rPr>
                <w:b/>
                <w:spacing w:val="21"/>
                <w:sz w:val="20"/>
              </w:rPr>
              <w:t> </w:t>
            </w:r>
            <w:r>
              <w:rPr>
                <w:b/>
                <w:sz w:val="20"/>
              </w:rPr>
              <w:t>Title</w:t>
            </w:r>
            <w:r>
              <w:rPr>
                <w:b/>
                <w:spacing w:val="21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20"/>
                <w:sz w:val="20"/>
              </w:rPr>
              <w:t> </w:t>
            </w:r>
            <w:r>
              <w:rPr>
                <w:b/>
                <w:sz w:val="20"/>
              </w:rPr>
              <w:t>Year</w:t>
            </w:r>
            <w:r>
              <w:rPr>
                <w:b/>
                <w:spacing w:val="2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Publication</w:t>
            </w:r>
          </w:p>
        </w:tc>
        <w:tc>
          <w:tcPr>
            <w:tcW w:w="3534" w:type="dxa"/>
          </w:tcPr>
          <w:p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Objective</w:t>
            </w:r>
          </w:p>
        </w:tc>
        <w:tc>
          <w:tcPr>
            <w:tcW w:w="2363" w:type="dxa"/>
          </w:tcPr>
          <w:p>
            <w:pPr>
              <w:pStyle w:val="TableParagraph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Methodology</w:t>
            </w:r>
          </w:p>
        </w:tc>
        <w:tc>
          <w:tcPr>
            <w:tcW w:w="2363" w:type="dxa"/>
          </w:tcPr>
          <w:p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Result</w:t>
            </w:r>
          </w:p>
        </w:tc>
        <w:tc>
          <w:tcPr>
            <w:tcW w:w="2365" w:type="dxa"/>
          </w:tcPr>
          <w:p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Critique</w:t>
            </w:r>
          </w:p>
        </w:tc>
      </w:tr>
      <w:tr>
        <w:trPr>
          <w:trHeight w:val="1524" w:hRule="atLeast"/>
        </w:trPr>
        <w:tc>
          <w:tcPr>
            <w:tcW w:w="656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2900" w:type="dxa"/>
          </w:tcPr>
          <w:p>
            <w:pPr>
              <w:pStyle w:val="TableParagraph"/>
              <w:tabs>
                <w:tab w:pos="838" w:val="left" w:leader="none"/>
                <w:tab w:pos="1800" w:val="left" w:leader="none"/>
                <w:tab w:pos="2298" w:val="left" w:leader="none"/>
              </w:tabs>
              <w:spacing w:line="278" w:lineRule="auto"/>
              <w:ind w:left="105" w:right="101"/>
              <w:rPr>
                <w:sz w:val="20"/>
              </w:rPr>
            </w:pPr>
            <w:r>
              <w:rPr>
                <w:sz w:val="20"/>
              </w:rPr>
              <w:t>Cevik,</w:t>
              <w:tab/>
              <w:t>Dibooglu</w:t>
              <w:tab/>
              <w:t>and</w:t>
              <w:tab/>
            </w:r>
            <w:r>
              <w:rPr>
                <w:spacing w:val="-1"/>
                <w:sz w:val="20"/>
              </w:rPr>
              <w:t>Kutan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(2014)</w:t>
            </w:r>
          </w:p>
        </w:tc>
        <w:tc>
          <w:tcPr>
            <w:tcW w:w="3534" w:type="dxa"/>
          </w:tcPr>
          <w:p>
            <w:pPr>
              <w:pStyle w:val="TableParagraph"/>
              <w:spacing w:line="276" w:lineRule="auto"/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-To assess regime switching in fiscal 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Emerging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European economies over the quarterly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period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1995Q1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2010Q4</w:t>
            </w:r>
          </w:p>
        </w:tc>
        <w:tc>
          <w:tcPr>
            <w:tcW w:w="2363" w:type="dxa"/>
          </w:tcPr>
          <w:p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Markov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switching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model</w:t>
            </w:r>
          </w:p>
        </w:tc>
        <w:tc>
          <w:tcPr>
            <w:tcW w:w="2363" w:type="dxa"/>
          </w:tcPr>
          <w:p>
            <w:pPr>
              <w:pStyle w:val="TableParagraph"/>
              <w:spacing w:line="276" w:lineRule="auto"/>
              <w:ind w:left="102" w:right="100"/>
              <w:jc w:val="both"/>
              <w:rPr>
                <w:sz w:val="20"/>
              </w:rPr>
            </w:pPr>
            <w:r>
              <w:rPr>
                <w:sz w:val="20"/>
              </w:rPr>
              <w:t>-fiscal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evolve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Markov switching process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between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passive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regime.</w:t>
            </w:r>
          </w:p>
        </w:tc>
        <w:tc>
          <w:tcPr>
            <w:tcW w:w="2365" w:type="dxa"/>
          </w:tcPr>
          <w:p>
            <w:pPr>
              <w:pStyle w:val="TableParagraph"/>
              <w:spacing w:line="276" w:lineRule="auto"/>
              <w:ind w:left="104" w:right="103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Markov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switching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limited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alternating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between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two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regimes.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forms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regimes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exist</w:t>
            </w:r>
          </w:p>
        </w:tc>
      </w:tr>
      <w:tr>
        <w:trPr>
          <w:trHeight w:val="2051" w:hRule="atLeast"/>
        </w:trPr>
        <w:tc>
          <w:tcPr>
            <w:tcW w:w="656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2900" w:type="dxa"/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Janku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Kappel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(2014)</w:t>
            </w:r>
          </w:p>
        </w:tc>
        <w:tc>
          <w:tcPr>
            <w:tcW w:w="3534" w:type="dxa"/>
          </w:tcPr>
          <w:p>
            <w:pPr>
              <w:pStyle w:val="TableParagraph"/>
              <w:spacing w:line="276" w:lineRule="auto"/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determine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fiscal-monetary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interactions in Slovakia, Hungary, Czech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Republic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Poland</w:t>
            </w:r>
          </w:p>
        </w:tc>
        <w:tc>
          <w:tcPr>
            <w:tcW w:w="2363" w:type="dxa"/>
          </w:tcPr>
          <w:p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Ordinary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Least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Square</w:t>
            </w:r>
          </w:p>
        </w:tc>
        <w:tc>
          <w:tcPr>
            <w:tcW w:w="2363" w:type="dxa"/>
          </w:tcPr>
          <w:p>
            <w:pPr>
              <w:pStyle w:val="TableParagraph"/>
              <w:spacing w:line="276" w:lineRule="auto"/>
              <w:ind w:left="102" w:right="99"/>
              <w:jc w:val="both"/>
              <w:rPr>
                <w:sz w:val="20"/>
              </w:rPr>
            </w:pPr>
            <w:r>
              <w:rPr>
                <w:sz w:val="20"/>
              </w:rPr>
              <w:t>evidence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dominance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countries except Hungary.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This depicts the existence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 and a passive 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</w:t>
            </w:r>
          </w:p>
        </w:tc>
        <w:tc>
          <w:tcPr>
            <w:tcW w:w="2365" w:type="dxa"/>
          </w:tcPr>
          <w:p>
            <w:pPr>
              <w:pStyle w:val="TableParagraph"/>
              <w:spacing w:line="276" w:lineRule="auto"/>
              <w:ind w:left="104" w:right="10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-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violations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OLS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assumptions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ought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tested in order to make 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study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result more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reliable</w:t>
            </w:r>
          </w:p>
        </w:tc>
      </w:tr>
    </w:tbl>
    <w:p>
      <w:pPr>
        <w:spacing w:after="0" w:line="276" w:lineRule="auto"/>
        <w:jc w:val="both"/>
        <w:rPr>
          <w:sz w:val="20"/>
        </w:rPr>
        <w:sectPr>
          <w:pgSz w:w="15840" w:h="12240" w:orient="landscape"/>
          <w:pgMar w:header="0" w:footer="1015" w:top="1140" w:bottom="1200" w:left="1160" w:right="160"/>
        </w:sectPr>
      </w:pPr>
    </w:p>
    <w:p>
      <w:pPr>
        <w:pStyle w:val="BodyText"/>
        <w:spacing w:before="9"/>
        <w:rPr>
          <w:b/>
          <w:sz w:val="17"/>
        </w:rPr>
      </w:pPr>
    </w:p>
    <w:p>
      <w:pPr>
        <w:spacing w:before="91"/>
        <w:ind w:left="640" w:right="0" w:firstLine="0"/>
        <w:jc w:val="left"/>
        <w:rPr>
          <w:sz w:val="20"/>
        </w:rPr>
      </w:pPr>
      <w:r>
        <w:rPr>
          <w:sz w:val="20"/>
        </w:rPr>
        <w:t>Table</w:t>
      </w:r>
      <w:r>
        <w:rPr>
          <w:spacing w:val="-4"/>
          <w:sz w:val="20"/>
        </w:rPr>
        <w:t> </w:t>
      </w:r>
      <w:r>
        <w:rPr>
          <w:sz w:val="20"/>
        </w:rPr>
        <w:t>2.1:</w:t>
      </w:r>
      <w:r>
        <w:rPr>
          <w:spacing w:val="-2"/>
          <w:sz w:val="20"/>
        </w:rPr>
        <w:t> </w:t>
      </w:r>
      <w:r>
        <w:rPr>
          <w:sz w:val="20"/>
        </w:rPr>
        <w:t>Summary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Empirical</w:t>
      </w:r>
      <w:r>
        <w:rPr>
          <w:spacing w:val="-2"/>
          <w:sz w:val="20"/>
        </w:rPr>
        <w:t> </w:t>
      </w:r>
      <w:r>
        <w:rPr>
          <w:sz w:val="20"/>
        </w:rPr>
        <w:t>Review</w:t>
      </w:r>
      <w:r>
        <w:rPr>
          <w:spacing w:val="-3"/>
          <w:sz w:val="20"/>
        </w:rPr>
        <w:t> </w:t>
      </w:r>
      <w:r>
        <w:rPr>
          <w:sz w:val="20"/>
        </w:rPr>
        <w:t>(continued)</w:t>
      </w:r>
    </w:p>
    <w:p>
      <w:pPr>
        <w:pStyle w:val="BodyText"/>
        <w:spacing w:before="1"/>
        <w:rPr>
          <w:sz w:val="26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6"/>
        <w:gridCol w:w="2900"/>
        <w:gridCol w:w="3534"/>
        <w:gridCol w:w="2363"/>
        <w:gridCol w:w="2363"/>
        <w:gridCol w:w="2365"/>
      </w:tblGrid>
      <w:tr>
        <w:trPr>
          <w:trHeight w:val="729" w:hRule="atLeast"/>
        </w:trPr>
        <w:tc>
          <w:tcPr>
            <w:tcW w:w="656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S/N</w:t>
            </w:r>
          </w:p>
        </w:tc>
        <w:tc>
          <w:tcPr>
            <w:tcW w:w="2900" w:type="dxa"/>
          </w:tcPr>
          <w:p>
            <w:pPr>
              <w:pStyle w:val="TableParagraph"/>
              <w:spacing w:line="276" w:lineRule="auto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Author,</w:t>
            </w:r>
            <w:r>
              <w:rPr>
                <w:b/>
                <w:spacing w:val="21"/>
                <w:sz w:val="20"/>
              </w:rPr>
              <w:t> </w:t>
            </w:r>
            <w:r>
              <w:rPr>
                <w:b/>
                <w:sz w:val="20"/>
              </w:rPr>
              <w:t>Title</w:t>
            </w:r>
            <w:r>
              <w:rPr>
                <w:b/>
                <w:spacing w:val="21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20"/>
                <w:sz w:val="20"/>
              </w:rPr>
              <w:t> </w:t>
            </w:r>
            <w:r>
              <w:rPr>
                <w:b/>
                <w:sz w:val="20"/>
              </w:rPr>
              <w:t>Year</w:t>
            </w:r>
            <w:r>
              <w:rPr>
                <w:b/>
                <w:spacing w:val="2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Publication</w:t>
            </w:r>
          </w:p>
        </w:tc>
        <w:tc>
          <w:tcPr>
            <w:tcW w:w="3534" w:type="dxa"/>
          </w:tcPr>
          <w:p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Objective</w:t>
            </w:r>
          </w:p>
        </w:tc>
        <w:tc>
          <w:tcPr>
            <w:tcW w:w="2363" w:type="dxa"/>
          </w:tcPr>
          <w:p>
            <w:pPr>
              <w:pStyle w:val="TableParagraph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Methodology</w:t>
            </w:r>
          </w:p>
        </w:tc>
        <w:tc>
          <w:tcPr>
            <w:tcW w:w="2363" w:type="dxa"/>
          </w:tcPr>
          <w:p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Result</w:t>
            </w:r>
          </w:p>
        </w:tc>
        <w:tc>
          <w:tcPr>
            <w:tcW w:w="2365" w:type="dxa"/>
          </w:tcPr>
          <w:p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Critique</w:t>
            </w:r>
          </w:p>
        </w:tc>
      </w:tr>
      <w:tr>
        <w:trPr>
          <w:trHeight w:val="4471" w:hRule="atLeast"/>
        </w:trPr>
        <w:tc>
          <w:tcPr>
            <w:tcW w:w="656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2900" w:type="dxa"/>
          </w:tcPr>
          <w:p>
            <w:pPr>
              <w:pStyle w:val="TableParagraph"/>
              <w:tabs>
                <w:tab w:pos="1081" w:val="left" w:leader="none"/>
                <w:tab w:pos="1788" w:val="left" w:leader="none"/>
                <w:tab w:pos="2431" w:val="left" w:leader="none"/>
              </w:tabs>
              <w:spacing w:line="276" w:lineRule="auto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Yemba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(2014).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Monetary Policy Rules in a small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open</w:t>
              <w:tab/>
              <w:t>Economy</w:t>
              <w:tab/>
            </w:r>
            <w:r>
              <w:rPr>
                <w:spacing w:val="-2"/>
                <w:sz w:val="20"/>
              </w:rPr>
              <w:t>with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Disaggregated</w:t>
              <w:tab/>
            </w:r>
            <w:r>
              <w:rPr>
                <w:spacing w:val="-1"/>
                <w:sz w:val="20"/>
              </w:rPr>
              <w:t>Government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Purchases</w:t>
            </w:r>
          </w:p>
        </w:tc>
        <w:tc>
          <w:tcPr>
            <w:tcW w:w="3534" w:type="dxa"/>
          </w:tcPr>
          <w:p>
            <w:pPr>
              <w:pStyle w:val="TableParagraph"/>
              <w:spacing w:line="276" w:lineRule="auto"/>
              <w:ind w:left="104" w:right="104"/>
              <w:jc w:val="both"/>
              <w:rPr>
                <w:sz w:val="20"/>
              </w:rPr>
            </w:pPr>
            <w:r>
              <w:rPr>
                <w:sz w:val="20"/>
              </w:rPr>
              <w:t>-To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assess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impact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rules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welfare,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exchange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output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gap</w:t>
            </w:r>
          </w:p>
        </w:tc>
        <w:tc>
          <w:tcPr>
            <w:tcW w:w="2363" w:type="dxa"/>
          </w:tcPr>
          <w:p>
            <w:pPr>
              <w:pStyle w:val="TableParagraph"/>
              <w:spacing w:line="225" w:lineRule="exact"/>
              <w:ind w:left="103"/>
              <w:jc w:val="both"/>
              <w:rPr>
                <w:sz w:val="20"/>
              </w:rPr>
            </w:pPr>
            <w:r>
              <w:rPr>
                <w:sz w:val="20"/>
              </w:rPr>
              <w:t>-NK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DSGE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Model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spacing w:line="278" w:lineRule="auto"/>
              <w:ind w:left="103" w:right="99"/>
              <w:jc w:val="both"/>
              <w:rPr>
                <w:sz w:val="20"/>
              </w:rPr>
            </w:pPr>
            <w:r>
              <w:rPr>
                <w:sz w:val="20"/>
              </w:rPr>
              <w:t>-Sims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(2000)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Second-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order approximation</w:t>
            </w:r>
          </w:p>
          <w:p>
            <w:pPr>
              <w:pStyle w:val="TableParagraph"/>
              <w:spacing w:before="197"/>
              <w:ind w:left="103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Fiscal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rule</w:t>
            </w:r>
          </w:p>
          <w:p>
            <w:pPr>
              <w:pStyle w:val="TableParagraph"/>
              <w:spacing w:before="5"/>
              <w:ind w:left="0"/>
              <w:rPr>
                <w:sz w:val="20"/>
              </w:rPr>
            </w:pPr>
          </w:p>
          <w:p>
            <w:pPr>
              <w:pStyle w:val="TableParagraph"/>
              <w:tabs>
                <w:tab w:pos="1957" w:val="left" w:leader="none"/>
              </w:tabs>
              <w:spacing w:line="276" w:lineRule="auto"/>
              <w:ind w:left="103" w:right="102"/>
              <w:jc w:val="both"/>
              <w:rPr>
                <w:sz w:val="20"/>
              </w:rPr>
            </w:pPr>
            <w:r>
              <w:rPr>
                <w:sz w:val="20"/>
              </w:rPr>
              <w:t>Tax=f(debt,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government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consumption</w:t>
              <w:tab/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investment,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productivity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shock,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inflation)</w:t>
            </w:r>
          </w:p>
          <w:p>
            <w:pPr>
              <w:pStyle w:val="TableParagraph"/>
              <w:spacing w:before="4"/>
              <w:ind w:left="0"/>
              <w:rPr>
                <w:sz w:val="17"/>
              </w:rPr>
            </w:pPr>
          </w:p>
          <w:p>
            <w:pPr>
              <w:pStyle w:val="TableParagraph"/>
              <w:ind w:left="103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Monetary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rule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104"/>
              <w:jc w:val="both"/>
              <w:rPr>
                <w:sz w:val="20"/>
              </w:rPr>
            </w:pPr>
            <w:r>
              <w:rPr>
                <w:sz w:val="20"/>
              </w:rPr>
              <w:t>Interest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rate=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f(inflation,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output gap, exchange rate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gap)</w:t>
            </w:r>
          </w:p>
        </w:tc>
        <w:tc>
          <w:tcPr>
            <w:tcW w:w="2363" w:type="dxa"/>
          </w:tcPr>
          <w:p>
            <w:pPr>
              <w:pStyle w:val="TableParagraph"/>
              <w:spacing w:line="276" w:lineRule="auto"/>
              <w:ind w:left="102" w:right="104"/>
              <w:jc w:val="both"/>
              <w:rPr>
                <w:sz w:val="20"/>
              </w:rPr>
            </w:pPr>
            <w:r>
              <w:rPr>
                <w:sz w:val="20"/>
              </w:rPr>
              <w:t>-Optimised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rules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responds significantly 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negatively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 inflation</w:t>
            </w:r>
          </w:p>
          <w:p>
            <w:pPr>
              <w:pStyle w:val="TableParagraph"/>
              <w:spacing w:line="276" w:lineRule="auto" w:before="195"/>
              <w:ind w:left="102" w:right="102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Optimised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rule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responds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debt</w:t>
            </w:r>
          </w:p>
        </w:tc>
        <w:tc>
          <w:tcPr>
            <w:tcW w:w="2365" w:type="dxa"/>
          </w:tcPr>
          <w:p>
            <w:pPr>
              <w:pStyle w:val="TableParagraph"/>
              <w:spacing w:line="276" w:lineRule="auto"/>
              <w:ind w:left="104" w:right="10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-He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"/>
                <w:sz w:val="20"/>
              </w:rPr>
              <w:t>makes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form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rule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different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richer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Taylor-type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one</w:t>
            </w:r>
          </w:p>
          <w:p>
            <w:pPr>
              <w:pStyle w:val="TableParagraph"/>
              <w:spacing w:line="276" w:lineRule="auto" w:before="195"/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-optimised rules are hardly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relevant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environment characterised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discretionary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decisions</w:t>
            </w:r>
          </w:p>
        </w:tc>
      </w:tr>
      <w:tr>
        <w:trPr>
          <w:trHeight w:val="2980" w:hRule="atLeast"/>
        </w:trPr>
        <w:tc>
          <w:tcPr>
            <w:tcW w:w="656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2900" w:type="dxa"/>
          </w:tcPr>
          <w:p>
            <w:pPr>
              <w:pStyle w:val="TableParagraph"/>
              <w:spacing w:line="276" w:lineRule="auto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Adegboye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(2015).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Effect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Interactions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Inflation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Output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Nigeria</w:t>
            </w:r>
          </w:p>
        </w:tc>
        <w:tc>
          <w:tcPr>
            <w:tcW w:w="3534" w:type="dxa"/>
          </w:tcPr>
          <w:p>
            <w:pPr>
              <w:pStyle w:val="TableParagraph"/>
              <w:spacing w:line="276" w:lineRule="auto"/>
              <w:ind w:left="104" w:right="105"/>
              <w:jc w:val="both"/>
              <w:rPr>
                <w:sz w:val="20"/>
              </w:rPr>
            </w:pPr>
            <w:r>
              <w:rPr>
                <w:sz w:val="20"/>
              </w:rPr>
              <w:t>-To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examine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effect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monetary policy interaction on inflation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 output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Nigeria</w:t>
            </w:r>
          </w:p>
          <w:p>
            <w:pPr>
              <w:pStyle w:val="TableParagraph"/>
              <w:spacing w:line="276" w:lineRule="auto" w:before="195"/>
              <w:ind w:left="104" w:right="105"/>
              <w:jc w:val="both"/>
              <w:rPr>
                <w:sz w:val="20"/>
              </w:rPr>
            </w:pPr>
            <w:r>
              <w:rPr>
                <w:sz w:val="20"/>
              </w:rPr>
              <w:t>-To assess optimal fiscal and monetary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maximises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household welfare</w:t>
            </w:r>
          </w:p>
        </w:tc>
        <w:tc>
          <w:tcPr>
            <w:tcW w:w="2363" w:type="dxa"/>
          </w:tcPr>
          <w:p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NK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DSGE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Model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spacing w:line="278" w:lineRule="auto"/>
              <w:ind w:left="103" w:right="1020"/>
              <w:rPr>
                <w:sz w:val="20"/>
              </w:rPr>
            </w:pPr>
            <w:r>
              <w:rPr>
                <w:sz w:val="20"/>
              </w:rPr>
              <w:t>-First-Order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Approximation</w:t>
            </w:r>
          </w:p>
          <w:p>
            <w:pPr>
              <w:pStyle w:val="TableParagraph"/>
              <w:spacing w:before="196"/>
              <w:ind w:left="103"/>
              <w:rPr>
                <w:sz w:val="20"/>
              </w:rPr>
            </w:pPr>
            <w:r>
              <w:rPr>
                <w:sz w:val="20"/>
              </w:rPr>
              <w:t>-Bayesian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Technique</w:t>
            </w:r>
          </w:p>
          <w:p>
            <w:pPr>
              <w:pStyle w:val="TableParagraph"/>
              <w:spacing w:before="6"/>
              <w:ind w:left="0"/>
              <w:rPr>
                <w:sz w:val="20"/>
              </w:rPr>
            </w:pPr>
          </w:p>
          <w:p>
            <w:pPr>
              <w:pStyle w:val="TableParagraph"/>
              <w:tabs>
                <w:tab w:pos="1480" w:val="left" w:leader="none"/>
              </w:tabs>
              <w:spacing w:line="276" w:lineRule="auto"/>
              <w:ind w:left="103" w:right="104"/>
              <w:rPr>
                <w:sz w:val="20"/>
              </w:rPr>
            </w:pPr>
            <w:r>
              <w:rPr>
                <w:sz w:val="20"/>
              </w:rPr>
              <w:t>-Impulse</w:t>
              <w:tab/>
            </w:r>
            <w:r>
              <w:rPr>
                <w:spacing w:val="-1"/>
                <w:sz w:val="20"/>
              </w:rPr>
              <w:t>Response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Function</w:t>
            </w:r>
          </w:p>
        </w:tc>
        <w:tc>
          <w:tcPr>
            <w:tcW w:w="2363" w:type="dxa"/>
          </w:tcPr>
          <w:p>
            <w:pPr>
              <w:pStyle w:val="TableParagraph"/>
              <w:spacing w:line="276" w:lineRule="auto"/>
              <w:ind w:left="102" w:right="10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-Monetary </w:t>
            </w:r>
            <w:r>
              <w:rPr>
                <w:sz w:val="20"/>
              </w:rPr>
              <w:t>policy responds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marginally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 inflation.</w:t>
            </w:r>
          </w:p>
          <w:p>
            <w:pPr>
              <w:pStyle w:val="TableParagraph"/>
              <w:spacing w:line="276" w:lineRule="auto" w:before="196"/>
              <w:ind w:left="102" w:right="104"/>
              <w:jc w:val="both"/>
              <w:rPr>
                <w:sz w:val="20"/>
              </w:rPr>
            </w:pPr>
            <w:r>
              <w:rPr>
                <w:sz w:val="20"/>
              </w:rPr>
              <w:t>-fiscal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responds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positively to output but 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negative and insignificant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 inflation.</w:t>
            </w:r>
          </w:p>
          <w:p>
            <w:pPr>
              <w:pStyle w:val="TableParagraph"/>
              <w:spacing w:before="4"/>
              <w:ind w:left="0"/>
              <w:rPr>
                <w:sz w:val="17"/>
              </w:rPr>
            </w:pPr>
          </w:p>
          <w:p>
            <w:pPr>
              <w:pStyle w:val="TableParagraph"/>
              <w:spacing w:line="276" w:lineRule="auto" w:before="1"/>
              <w:ind w:left="102" w:right="101"/>
              <w:jc w:val="both"/>
              <w:rPr>
                <w:sz w:val="20"/>
              </w:rPr>
            </w:pPr>
            <w:r>
              <w:rPr>
                <w:sz w:val="20"/>
              </w:rPr>
              <w:t>-both fiscal and monetary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impact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welfare.</w:t>
            </w:r>
          </w:p>
        </w:tc>
        <w:tc>
          <w:tcPr>
            <w:tcW w:w="2365" w:type="dxa"/>
          </w:tcPr>
          <w:p>
            <w:pPr>
              <w:pStyle w:val="TableParagraph"/>
              <w:spacing w:line="276" w:lineRule="auto"/>
              <w:ind w:left="104" w:right="104"/>
              <w:jc w:val="both"/>
              <w:rPr>
                <w:sz w:val="20"/>
              </w:rPr>
            </w:pPr>
            <w:r>
              <w:rPr>
                <w:sz w:val="20"/>
              </w:rPr>
              <w:t>-assumes that government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 central banks commit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 policy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rule</w:t>
            </w:r>
          </w:p>
          <w:p>
            <w:pPr>
              <w:pStyle w:val="TableParagraph"/>
              <w:spacing w:line="276" w:lineRule="auto" w:before="195"/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This study will abstract by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considering the possibility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government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follows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discretionary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policy</w:t>
            </w:r>
          </w:p>
        </w:tc>
      </w:tr>
    </w:tbl>
    <w:p>
      <w:pPr>
        <w:spacing w:after="0" w:line="276" w:lineRule="auto"/>
        <w:jc w:val="both"/>
        <w:rPr>
          <w:sz w:val="20"/>
        </w:rPr>
        <w:sectPr>
          <w:pgSz w:w="15840" w:h="12240" w:orient="landscape"/>
          <w:pgMar w:header="0" w:footer="1015" w:top="1140" w:bottom="1200" w:left="1160" w:right="160"/>
        </w:sectPr>
      </w:pPr>
    </w:p>
    <w:p>
      <w:pPr>
        <w:pStyle w:val="BodyText"/>
        <w:spacing w:before="3"/>
        <w:rPr>
          <w:sz w:val="18"/>
        </w:rPr>
      </w:pPr>
    </w:p>
    <w:p>
      <w:pPr>
        <w:spacing w:before="91"/>
        <w:ind w:left="64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2.1: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Summary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Empirical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Review (continued)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3"/>
        </w:r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2901"/>
        <w:gridCol w:w="3530"/>
        <w:gridCol w:w="2361"/>
        <w:gridCol w:w="2364"/>
        <w:gridCol w:w="2363"/>
      </w:tblGrid>
      <w:tr>
        <w:trPr>
          <w:trHeight w:val="729" w:hRule="atLeast"/>
        </w:trPr>
        <w:tc>
          <w:tcPr>
            <w:tcW w:w="65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S/N</w:t>
            </w:r>
          </w:p>
        </w:tc>
        <w:tc>
          <w:tcPr>
            <w:tcW w:w="29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8" w:lineRule="auto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Author,</w:t>
            </w:r>
            <w:r>
              <w:rPr>
                <w:b/>
                <w:spacing w:val="21"/>
                <w:sz w:val="20"/>
              </w:rPr>
              <w:t> </w:t>
            </w:r>
            <w:r>
              <w:rPr>
                <w:b/>
                <w:sz w:val="20"/>
              </w:rPr>
              <w:t>Title</w:t>
            </w:r>
            <w:r>
              <w:rPr>
                <w:b/>
                <w:spacing w:val="21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20"/>
                <w:sz w:val="20"/>
              </w:rPr>
              <w:t> </w:t>
            </w:r>
            <w:r>
              <w:rPr>
                <w:b/>
                <w:sz w:val="20"/>
              </w:rPr>
              <w:t>Year</w:t>
            </w:r>
            <w:r>
              <w:rPr>
                <w:b/>
                <w:spacing w:val="2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Publication</w:t>
            </w:r>
          </w:p>
        </w:tc>
        <w:tc>
          <w:tcPr>
            <w:tcW w:w="353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Objective</w:t>
            </w:r>
          </w:p>
        </w:tc>
        <w:tc>
          <w:tcPr>
            <w:tcW w:w="2361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Methodology</w:t>
            </w:r>
          </w:p>
        </w:tc>
        <w:tc>
          <w:tcPr>
            <w:tcW w:w="2364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Result</w:t>
            </w:r>
          </w:p>
        </w:tc>
        <w:tc>
          <w:tcPr>
            <w:tcW w:w="236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Critique</w:t>
            </w:r>
          </w:p>
        </w:tc>
      </w:tr>
      <w:tr>
        <w:trPr>
          <w:trHeight w:val="1681" w:hRule="atLeast"/>
        </w:trPr>
        <w:tc>
          <w:tcPr>
            <w:tcW w:w="6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29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Cazacu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(2015)</w:t>
            </w:r>
          </w:p>
        </w:tc>
        <w:tc>
          <w:tcPr>
            <w:tcW w:w="353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8" w:lineRule="auto"/>
              <w:ind w:left="108" w:right="91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examine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interactions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Romania</w:t>
            </w:r>
          </w:p>
        </w:tc>
        <w:tc>
          <w:tcPr>
            <w:tcW w:w="23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Structural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model</w:t>
            </w:r>
          </w:p>
        </w:tc>
        <w:tc>
          <w:tcPr>
            <w:tcW w:w="23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6" w:lineRule="auto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distinct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pattern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interactions between fiscal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"/>
                <w:sz w:val="20"/>
              </w:rPr>
              <w:t>monetary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policies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over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quarterly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period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2000Q1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2014Q2.</w:t>
            </w:r>
          </w:p>
        </w:tc>
        <w:tc>
          <w:tcPr>
            <w:tcW w:w="2363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572" w:val="left" w:leader="none"/>
              </w:tabs>
              <w:spacing w:line="276" w:lineRule="auto"/>
              <w:ind w:left="111" w:right="93"/>
              <w:jc w:val="both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sensitive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shock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scheme</w:t>
              <w:tab/>
            </w:r>
            <w:r>
              <w:rPr>
                <w:spacing w:val="-1"/>
                <w:sz w:val="20"/>
              </w:rPr>
              <w:t>adopted.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Robustness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result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should be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conducted</w:t>
            </w:r>
          </w:p>
        </w:tc>
      </w:tr>
      <w:tr>
        <w:trPr>
          <w:trHeight w:val="2846" w:hRule="atLeast"/>
        </w:trPr>
        <w:tc>
          <w:tcPr>
            <w:tcW w:w="653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2901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Dimakou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(2015)</w:t>
            </w:r>
          </w:p>
        </w:tc>
        <w:tc>
          <w:tcPr>
            <w:tcW w:w="3530" w:type="dxa"/>
          </w:tcPr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assess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fiscal-monetary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interaction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bureaucratic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corruption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officials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77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developed and developing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countries</w:t>
            </w:r>
          </w:p>
        </w:tc>
        <w:tc>
          <w:tcPr>
            <w:tcW w:w="236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-event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study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analysis</w:t>
            </w: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95"/>
              <w:ind w:left="109"/>
              <w:rPr>
                <w:sz w:val="20"/>
              </w:rPr>
            </w:pPr>
            <w:r>
              <w:rPr>
                <w:sz w:val="20"/>
              </w:rPr>
              <w:t>-Panel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analysis</w:t>
            </w:r>
          </w:p>
        </w:tc>
        <w:tc>
          <w:tcPr>
            <w:tcW w:w="2364" w:type="dxa"/>
          </w:tcPr>
          <w:p>
            <w:pPr>
              <w:pStyle w:val="TableParagraph"/>
              <w:spacing w:line="276" w:lineRule="auto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Corrupt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activities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significant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impact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affecting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government’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fiscal decisions, which can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undermine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Central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Bank’s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ability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control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inflation.</w:t>
            </w:r>
          </w:p>
        </w:tc>
        <w:tc>
          <w:tcPr>
            <w:tcW w:w="2363" w:type="dxa"/>
          </w:tcPr>
          <w:p>
            <w:pPr>
              <w:pStyle w:val="TableParagraph"/>
              <w:tabs>
                <w:tab w:pos="1289" w:val="left" w:leader="none"/>
              </w:tabs>
              <w:spacing w:line="276" w:lineRule="auto"/>
              <w:ind w:left="111" w:right="92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argument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study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relevant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context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developing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economies.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Dynamic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Stochastic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General</w:t>
              <w:tab/>
            </w:r>
            <w:r>
              <w:rPr>
                <w:spacing w:val="-1"/>
                <w:sz w:val="20"/>
              </w:rPr>
              <w:t>Equilibrium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framework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used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examine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provide a richer context 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examine the thesis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study</w:t>
            </w:r>
          </w:p>
        </w:tc>
      </w:tr>
    </w:tbl>
    <w:p>
      <w:pPr>
        <w:spacing w:after="0" w:line="276" w:lineRule="auto"/>
        <w:jc w:val="both"/>
        <w:rPr>
          <w:sz w:val="20"/>
        </w:rPr>
        <w:sectPr>
          <w:pgSz w:w="15840" w:h="12240" w:orient="landscape"/>
          <w:pgMar w:header="0" w:footer="1015" w:top="1140" w:bottom="1200" w:left="1160" w:right="160"/>
        </w:sectPr>
      </w:pPr>
    </w:p>
    <w:p>
      <w:pPr>
        <w:pStyle w:val="BodyText"/>
        <w:spacing w:before="3"/>
        <w:rPr>
          <w:b/>
          <w:sz w:val="18"/>
        </w:rPr>
      </w:pPr>
    </w:p>
    <w:p>
      <w:pPr>
        <w:spacing w:before="91"/>
        <w:ind w:left="64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2.1: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Summary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Empirical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Review (continued)</w:t>
      </w:r>
    </w:p>
    <w:p>
      <w:pPr>
        <w:pStyle w:val="BodyText"/>
        <w:spacing w:before="10" w:after="1"/>
        <w:rPr>
          <w:b/>
          <w:sz w:val="22"/>
        </w:rPr>
      </w:pPr>
    </w:p>
    <w:tbl>
      <w:tblPr>
        <w:tblW w:w="0" w:type="auto"/>
        <w:jc w:val="left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6"/>
        <w:gridCol w:w="2899"/>
        <w:gridCol w:w="3533"/>
        <w:gridCol w:w="2362"/>
        <w:gridCol w:w="2365"/>
        <w:gridCol w:w="2362"/>
      </w:tblGrid>
      <w:tr>
        <w:trPr>
          <w:trHeight w:val="728" w:hRule="atLeast"/>
        </w:trPr>
        <w:tc>
          <w:tcPr>
            <w:tcW w:w="65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S/N</w:t>
            </w:r>
          </w:p>
        </w:tc>
        <w:tc>
          <w:tcPr>
            <w:tcW w:w="28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8" w:lineRule="auto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Author,</w:t>
            </w:r>
            <w:r>
              <w:rPr>
                <w:b/>
                <w:spacing w:val="21"/>
                <w:sz w:val="20"/>
              </w:rPr>
              <w:t> </w:t>
            </w:r>
            <w:r>
              <w:rPr>
                <w:b/>
                <w:sz w:val="20"/>
              </w:rPr>
              <w:t>Title</w:t>
            </w:r>
            <w:r>
              <w:rPr>
                <w:b/>
                <w:spacing w:val="21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20"/>
                <w:sz w:val="20"/>
              </w:rPr>
              <w:t> </w:t>
            </w:r>
            <w:r>
              <w:rPr>
                <w:b/>
                <w:sz w:val="20"/>
              </w:rPr>
              <w:t>Year</w:t>
            </w:r>
            <w:r>
              <w:rPr>
                <w:b/>
                <w:spacing w:val="2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Publication</w:t>
            </w:r>
          </w:p>
        </w:tc>
        <w:tc>
          <w:tcPr>
            <w:tcW w:w="353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Objective</w:t>
            </w:r>
          </w:p>
        </w:tc>
        <w:tc>
          <w:tcPr>
            <w:tcW w:w="2362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Methodology</w:t>
            </w:r>
          </w:p>
        </w:tc>
        <w:tc>
          <w:tcPr>
            <w:tcW w:w="236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Result</w:t>
            </w:r>
          </w:p>
        </w:tc>
        <w:tc>
          <w:tcPr>
            <w:tcW w:w="2362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Critique</w:t>
            </w:r>
          </w:p>
        </w:tc>
      </w:tr>
      <w:tr>
        <w:trPr>
          <w:trHeight w:val="2316" w:hRule="atLeast"/>
        </w:trPr>
        <w:tc>
          <w:tcPr>
            <w:tcW w:w="6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28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Jawadi,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Mallick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Sousa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(2016)</w:t>
            </w:r>
          </w:p>
        </w:tc>
        <w:tc>
          <w:tcPr>
            <w:tcW w:w="35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6" w:lineRule="auto"/>
              <w:ind w:right="99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To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examine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"/>
                <w:sz w:val="20"/>
              </w:rPr>
              <w:t>macroeconomic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effects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emerging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economies.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also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characterise the existing nature of 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interrelation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economies.</w:t>
            </w:r>
          </w:p>
        </w:tc>
        <w:tc>
          <w:tcPr>
            <w:tcW w:w="2362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710" w:val="left" w:leader="none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Panel</w:t>
              <w:tab/>
              <w:t>Vector</w:t>
            </w:r>
          </w:p>
          <w:p>
            <w:pPr>
              <w:pStyle w:val="TableParagraph"/>
              <w:spacing w:before="36"/>
              <w:rPr>
                <w:sz w:val="20"/>
              </w:rPr>
            </w:pPr>
            <w:r>
              <w:rPr>
                <w:sz w:val="20"/>
              </w:rPr>
              <w:t>Autoregressive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method</w:t>
            </w:r>
          </w:p>
        </w:tc>
        <w:tc>
          <w:tcPr>
            <w:tcW w:w="23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6" w:lineRule="auto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They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respectively, negative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positive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effects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aggregate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economy.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same time, both fiscal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interacts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complements.</w:t>
            </w:r>
          </w:p>
        </w:tc>
        <w:tc>
          <w:tcPr>
            <w:tcW w:w="2362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518" w:val="left" w:leader="none"/>
              </w:tabs>
              <w:spacing w:line="276" w:lineRule="auto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study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examined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multi-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country</w:t>
              <w:tab/>
            </w:r>
            <w:r>
              <w:rPr>
                <w:spacing w:val="-1"/>
                <w:sz w:val="20"/>
              </w:rPr>
              <w:t>Dynamic</w:t>
            </w:r>
          </w:p>
          <w:p>
            <w:pPr>
              <w:pStyle w:val="TableParagraph"/>
              <w:tabs>
                <w:tab w:pos="1621" w:val="left" w:leader="none"/>
              </w:tabs>
              <w:spacing w:line="276" w:lineRule="auto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Stochastic</w:t>
              <w:tab/>
            </w:r>
            <w:r>
              <w:rPr>
                <w:spacing w:val="-1"/>
                <w:sz w:val="20"/>
              </w:rPr>
              <w:t>General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Equilibrium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model.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help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complement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existing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result</w:t>
            </w:r>
          </w:p>
        </w:tc>
      </w:tr>
      <w:tr>
        <w:trPr>
          <w:trHeight w:val="3374" w:hRule="atLeast"/>
        </w:trPr>
        <w:tc>
          <w:tcPr>
            <w:tcW w:w="656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19..</w:t>
            </w:r>
          </w:p>
        </w:tc>
        <w:tc>
          <w:tcPr>
            <w:tcW w:w="289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Gilksberg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(2016)</w:t>
            </w:r>
          </w:p>
        </w:tc>
        <w:tc>
          <w:tcPr>
            <w:tcW w:w="3533" w:type="dxa"/>
          </w:tcPr>
          <w:p>
            <w:pPr>
              <w:pStyle w:val="TableParagraph"/>
              <w:spacing w:line="276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investigate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joint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monetary policy rules that guarantees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unique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solution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dynamic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equilibrium model.</w:t>
            </w:r>
          </w:p>
        </w:tc>
        <w:tc>
          <w:tcPr>
            <w:tcW w:w="2362" w:type="dxa"/>
          </w:tcPr>
          <w:p>
            <w:pPr>
              <w:pStyle w:val="TableParagraph"/>
              <w:tabs>
                <w:tab w:pos="1619" w:val="left" w:leader="none"/>
              </w:tabs>
              <w:spacing w:line="276" w:lineRule="auto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Numerical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simulation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Dynamic</w:t>
              <w:tab/>
            </w:r>
            <w:r>
              <w:rPr>
                <w:spacing w:val="-1"/>
                <w:sz w:val="20"/>
              </w:rPr>
              <w:t>General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Equilibrium model</w:t>
            </w:r>
          </w:p>
        </w:tc>
        <w:tc>
          <w:tcPr>
            <w:tcW w:w="2365" w:type="dxa"/>
          </w:tcPr>
          <w:p>
            <w:pPr>
              <w:pStyle w:val="TableParagraph"/>
              <w:tabs>
                <w:tab w:pos="1117" w:val="left" w:leader="none"/>
                <w:tab w:pos="1323" w:val="left" w:leader="none"/>
                <w:tab w:pos="1499" w:val="left" w:leader="none"/>
                <w:tab w:pos="1641" w:val="left" w:leader="none"/>
                <w:tab w:pos="1774" w:val="left" w:leader="none"/>
                <w:tab w:pos="2163" w:val="left" w:leader="none"/>
              </w:tabs>
              <w:spacing w:line="276" w:lineRule="auto"/>
              <w:ind w:right="96" w:firstLine="50"/>
              <w:rPr>
                <w:sz w:val="20"/>
              </w:rPr>
            </w:pPr>
            <w:r>
              <w:rPr>
                <w:sz w:val="20"/>
              </w:rPr>
              <w:t>finds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three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forms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fiscal-monetary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interactions</w:t>
              <w:tab/>
              <w:tab/>
              <w:t>deliver</w:t>
              <w:tab/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unique</w:t>
              <w:tab/>
              <w:tab/>
              <w:tab/>
              <w:tab/>
              <w:t>rational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expectations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equilibrium.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These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include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active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fiscal,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passive</w:t>
              <w:tab/>
              <w:tab/>
              <w:tab/>
            </w:r>
            <w:r>
              <w:rPr>
                <w:spacing w:val="-1"/>
                <w:sz w:val="20"/>
              </w:rPr>
              <w:t>monetary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combination,</w:t>
              <w:tab/>
              <w:tab/>
              <w:tab/>
              <w:tab/>
              <w:t>active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monetary</w:t>
              <w:tab/>
              <w:t>and</w:t>
              <w:tab/>
              <w:tab/>
            </w:r>
            <w:r>
              <w:rPr>
                <w:spacing w:val="-1"/>
                <w:sz w:val="20"/>
              </w:rPr>
              <w:t>passive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combination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passive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passive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regime.</w:t>
            </w:r>
          </w:p>
        </w:tc>
        <w:tc>
          <w:tcPr>
            <w:tcW w:w="2362" w:type="dxa"/>
          </w:tcPr>
          <w:p>
            <w:pPr>
              <w:pStyle w:val="TableParagraph"/>
              <w:spacing w:line="276" w:lineRule="auto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passive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passive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"/>
                <w:sz w:val="20"/>
              </w:rPr>
              <w:t>monetary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regime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novel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finding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different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Leeper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(1991)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conventional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prescription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passive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combination.</w:t>
            </w:r>
          </w:p>
        </w:tc>
      </w:tr>
    </w:tbl>
    <w:p>
      <w:pPr>
        <w:spacing w:after="0" w:line="276" w:lineRule="auto"/>
        <w:jc w:val="both"/>
        <w:rPr>
          <w:sz w:val="20"/>
        </w:rPr>
        <w:sectPr>
          <w:pgSz w:w="15840" w:h="12240" w:orient="landscape"/>
          <w:pgMar w:header="0" w:footer="1015" w:top="1140" w:bottom="1200" w:left="1160" w:right="160"/>
        </w:sectPr>
      </w:pPr>
    </w:p>
    <w:p>
      <w:pPr>
        <w:pStyle w:val="BodyText"/>
        <w:spacing w:before="3"/>
        <w:rPr>
          <w:b/>
          <w:sz w:val="18"/>
        </w:rPr>
      </w:pPr>
    </w:p>
    <w:p>
      <w:pPr>
        <w:spacing w:before="91"/>
        <w:ind w:left="64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2.1: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Summary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Empirical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Review (continued)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</w:rPr>
      </w:pPr>
    </w:p>
    <w:tbl>
      <w:tblPr>
        <w:tblW w:w="0" w:type="auto"/>
        <w:jc w:val="left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"/>
        <w:gridCol w:w="2882"/>
        <w:gridCol w:w="3510"/>
        <w:gridCol w:w="2346"/>
        <w:gridCol w:w="2350"/>
        <w:gridCol w:w="2347"/>
      </w:tblGrid>
      <w:tr>
        <w:trPr>
          <w:trHeight w:val="728" w:hRule="atLeast"/>
        </w:trPr>
        <w:tc>
          <w:tcPr>
            <w:tcW w:w="651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S/N</w:t>
            </w:r>
          </w:p>
        </w:tc>
        <w:tc>
          <w:tcPr>
            <w:tcW w:w="28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8" w:lineRule="auto"/>
              <w:ind w:left="69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Author,</w:t>
            </w:r>
            <w:r>
              <w:rPr>
                <w:b/>
                <w:spacing w:val="21"/>
                <w:sz w:val="20"/>
              </w:rPr>
              <w:t> </w:t>
            </w:r>
            <w:r>
              <w:rPr>
                <w:b/>
                <w:sz w:val="20"/>
              </w:rPr>
              <w:t>Title</w:t>
            </w:r>
            <w:r>
              <w:rPr>
                <w:b/>
                <w:spacing w:val="21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20"/>
                <w:sz w:val="20"/>
              </w:rPr>
              <w:t> </w:t>
            </w:r>
            <w:r>
              <w:rPr>
                <w:b/>
                <w:sz w:val="20"/>
              </w:rPr>
              <w:t>Year</w:t>
            </w:r>
            <w:r>
              <w:rPr>
                <w:b/>
                <w:spacing w:val="2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Publication</w:t>
            </w:r>
          </w:p>
        </w:tc>
        <w:tc>
          <w:tcPr>
            <w:tcW w:w="351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Objective</w:t>
            </w:r>
          </w:p>
        </w:tc>
        <w:tc>
          <w:tcPr>
            <w:tcW w:w="234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Methodology</w:t>
            </w:r>
          </w:p>
        </w:tc>
        <w:tc>
          <w:tcPr>
            <w:tcW w:w="235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Result</w:t>
            </w:r>
          </w:p>
        </w:tc>
        <w:tc>
          <w:tcPr>
            <w:tcW w:w="234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Critique</w:t>
            </w:r>
          </w:p>
        </w:tc>
      </w:tr>
      <w:tr>
        <w:trPr>
          <w:trHeight w:val="3221" w:hRule="atLeast"/>
        </w:trPr>
        <w:tc>
          <w:tcPr>
            <w:tcW w:w="6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2882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88"/>
              <w:rPr>
                <w:sz w:val="20"/>
              </w:rPr>
            </w:pPr>
            <w:r>
              <w:rPr>
                <w:sz w:val="20"/>
              </w:rPr>
              <w:t>Kliem,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Kriwoluzky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Sarferaz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(2016)</w:t>
            </w:r>
          </w:p>
        </w:tc>
        <w:tc>
          <w:tcPr>
            <w:tcW w:w="351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- To examine the magnitude of fiscally-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induced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inflation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United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States,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Italy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Germany</w:t>
            </w:r>
          </w:p>
        </w:tc>
        <w:tc>
          <w:tcPr>
            <w:tcW w:w="2346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-Time-Varying </w:t>
            </w:r>
            <w:r>
              <w:rPr>
                <w:sz w:val="20"/>
              </w:rPr>
              <w:t>Parameter-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Vector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autoregressive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model</w:t>
            </w:r>
          </w:p>
          <w:p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-DSGE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model</w:t>
            </w:r>
          </w:p>
        </w:tc>
        <w:tc>
          <w:tcPr>
            <w:tcW w:w="235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fiscally-induced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inflation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high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fiscally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indisciplined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government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interacts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independent Central Bank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and vice-versa</w:t>
            </w:r>
          </w:p>
        </w:tc>
        <w:tc>
          <w:tcPr>
            <w:tcW w:w="2347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09" w:right="93"/>
              <w:jc w:val="both"/>
              <w:rPr>
                <w:sz w:val="20"/>
              </w:rPr>
            </w:pPr>
            <w:r>
              <w:rPr>
                <w:sz w:val="20"/>
              </w:rPr>
              <w:t>Their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claim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magnitude of relationship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between fiscal stance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inflation is independent 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 data used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but on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nature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fiscal-monetary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regime,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unconvincing, except it 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verified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researchers for the sample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used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sample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used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similar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economies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United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States,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Italy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and</w:t>
            </w:r>
          </w:p>
          <w:p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Germany.</w:t>
            </w:r>
          </w:p>
        </w:tc>
      </w:tr>
      <w:tr>
        <w:trPr>
          <w:trHeight w:val="1276" w:hRule="atLeast"/>
        </w:trPr>
        <w:tc>
          <w:tcPr>
            <w:tcW w:w="651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2882" w:type="dxa"/>
          </w:tcPr>
          <w:p>
            <w:pPr>
              <w:pStyle w:val="TableParagraph"/>
              <w:ind w:right="88"/>
              <w:rPr>
                <w:sz w:val="20"/>
              </w:rPr>
            </w:pPr>
            <w:r>
              <w:rPr>
                <w:sz w:val="20"/>
              </w:rPr>
              <w:t>Shahid,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Qayyum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Shahid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(2016)</w:t>
            </w:r>
          </w:p>
        </w:tc>
        <w:tc>
          <w:tcPr>
            <w:tcW w:w="351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examine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existence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fiscal-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interaction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 Pakistan</w:t>
            </w:r>
          </w:p>
        </w:tc>
        <w:tc>
          <w:tcPr>
            <w:tcW w:w="2346" w:type="dxa"/>
          </w:tcPr>
          <w:p>
            <w:pPr>
              <w:pStyle w:val="TableParagraph"/>
              <w:tabs>
                <w:tab w:pos="826" w:val="left" w:leader="none"/>
                <w:tab w:pos="1414" w:val="left" w:leader="none"/>
                <w:tab w:pos="1503" w:val="left" w:leader="none"/>
              </w:tabs>
              <w:ind w:right="96"/>
              <w:rPr>
                <w:sz w:val="20"/>
              </w:rPr>
            </w:pPr>
            <w:r>
              <w:rPr>
                <w:sz w:val="20"/>
              </w:rPr>
              <w:t>small</w:t>
              <w:tab/>
              <w:t>open</w:t>
              <w:tab/>
              <w:tab/>
            </w:r>
            <w:r>
              <w:rPr>
                <w:spacing w:val="-1"/>
                <w:sz w:val="20"/>
              </w:rPr>
              <w:t>economy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Dynamic</w:t>
              <w:tab/>
            </w:r>
            <w:r>
              <w:rPr>
                <w:spacing w:val="-1"/>
                <w:sz w:val="20"/>
              </w:rPr>
              <w:t>Stochastic</w:t>
            </w:r>
          </w:p>
          <w:p>
            <w:pPr>
              <w:pStyle w:val="TableParagraph"/>
              <w:tabs>
                <w:tab w:pos="1271" w:val="left" w:leader="none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General</w:t>
              <w:tab/>
            </w:r>
            <w:r>
              <w:rPr>
                <w:spacing w:val="-1"/>
                <w:sz w:val="20"/>
              </w:rPr>
              <w:t>Equilibrium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model</w:t>
            </w:r>
          </w:p>
        </w:tc>
        <w:tc>
          <w:tcPr>
            <w:tcW w:w="2350" w:type="dxa"/>
          </w:tcPr>
          <w:p>
            <w:pPr>
              <w:pStyle w:val="TableParagraph"/>
              <w:ind w:left="109" w:right="100"/>
              <w:jc w:val="both"/>
              <w:rPr>
                <w:sz w:val="20"/>
              </w:rPr>
            </w:pPr>
            <w:r>
              <w:rPr>
                <w:sz w:val="20"/>
              </w:rPr>
              <w:t>-evidence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interaction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between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policy.</w:t>
            </w:r>
          </w:p>
        </w:tc>
        <w:tc>
          <w:tcPr>
            <w:tcW w:w="2347" w:type="dxa"/>
          </w:tcPr>
          <w:p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1454" w:hRule="atLeast"/>
        </w:trPr>
        <w:tc>
          <w:tcPr>
            <w:tcW w:w="651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2882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Chen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(2017)</w:t>
            </w:r>
          </w:p>
        </w:tc>
        <w:tc>
          <w:tcPr>
            <w:tcW w:w="3510" w:type="dxa"/>
          </w:tcPr>
          <w:p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characterise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dynamics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between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 and monetary policy in the United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States</w:t>
            </w:r>
          </w:p>
        </w:tc>
        <w:tc>
          <w:tcPr>
            <w:tcW w:w="2346" w:type="dxa"/>
          </w:tcPr>
          <w:p>
            <w:pPr>
              <w:pStyle w:val="TableParagraph"/>
              <w:ind w:right="88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linear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DSGE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model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Markov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switching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model</w:t>
            </w:r>
          </w:p>
        </w:tc>
        <w:tc>
          <w:tcPr>
            <w:tcW w:w="2350" w:type="dxa"/>
          </w:tcPr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He finds that both policies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welfare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enhancing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impact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economy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interact as an active-active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pair.</w:t>
            </w:r>
          </w:p>
        </w:tc>
        <w:tc>
          <w:tcPr>
            <w:tcW w:w="2347" w:type="dxa"/>
          </w:tcPr>
          <w:p>
            <w:pPr>
              <w:pStyle w:val="TableParagraph"/>
              <w:ind w:left="109" w:right="95"/>
              <w:jc w:val="both"/>
              <w:rPr>
                <w:sz w:val="20"/>
              </w:rPr>
            </w:pPr>
            <w:r>
              <w:rPr>
                <w:sz w:val="20"/>
              </w:rPr>
              <w:t>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active-active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contrasts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Leeper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(1991)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classification of an active-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passive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pairing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monetary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policy</w:t>
            </w:r>
          </w:p>
        </w:tc>
      </w:tr>
    </w:tbl>
    <w:p>
      <w:pPr>
        <w:spacing w:line="228" w:lineRule="exact" w:before="0"/>
        <w:ind w:left="640" w:right="0" w:firstLine="0"/>
        <w:jc w:val="left"/>
        <w:rPr>
          <w:b/>
          <w:sz w:val="20"/>
        </w:rPr>
      </w:pPr>
      <w:r>
        <w:rPr>
          <w:b/>
          <w:sz w:val="20"/>
        </w:rPr>
        <w:t>Source: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Compiled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by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researcher</w:t>
      </w:r>
    </w:p>
    <w:p>
      <w:pPr>
        <w:spacing w:after="0" w:line="228" w:lineRule="exact"/>
        <w:jc w:val="left"/>
        <w:rPr>
          <w:sz w:val="20"/>
        </w:rPr>
        <w:sectPr>
          <w:pgSz w:w="15840" w:h="12240" w:orient="landscape"/>
          <w:pgMar w:header="0" w:footer="1015" w:top="1140" w:bottom="1200" w:left="1160" w:right="160"/>
        </w:sectPr>
      </w:pPr>
    </w:p>
    <w:p>
      <w:pPr>
        <w:pStyle w:val="Heading1"/>
        <w:spacing w:before="60"/>
      </w:pPr>
      <w:r>
        <w:rPr/>
        <w:t>2.7</w:t>
      </w:r>
      <w:r>
        <w:rPr>
          <w:spacing w:val="-3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Identified</w:t>
      </w:r>
      <w:r>
        <w:rPr>
          <w:spacing w:val="-2"/>
        </w:rPr>
        <w:t> </w:t>
      </w:r>
      <w:r>
        <w:rPr/>
        <w:t>Gaps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Literature</w:t>
      </w:r>
    </w:p>
    <w:p>
      <w:pPr>
        <w:pStyle w:val="BodyText"/>
        <w:spacing w:line="360" w:lineRule="auto" w:before="144"/>
        <w:ind w:left="500" w:right="505"/>
        <w:jc w:val="both"/>
      </w:pPr>
      <w:r>
        <w:rPr/>
        <w:t>This section presented the definitional, theoretical, methodological and empirical review of the</w:t>
      </w:r>
      <w:r>
        <w:rPr>
          <w:spacing w:val="1"/>
        </w:rPr>
        <w:t> </w:t>
      </w:r>
      <w:r>
        <w:rPr/>
        <w:t>literature</w:t>
      </w:r>
      <w:r>
        <w:rPr>
          <w:spacing w:val="-2"/>
        </w:rPr>
        <w:t> </w:t>
      </w:r>
      <w:r>
        <w:rPr/>
        <w:t>on fiscal and monetary</w:t>
      </w:r>
      <w:r>
        <w:rPr>
          <w:spacing w:val="-5"/>
        </w:rPr>
        <w:t> </w:t>
      </w:r>
      <w:r>
        <w:rPr/>
        <w:t>policy</w:t>
      </w:r>
      <w:r>
        <w:rPr>
          <w:spacing w:val="-5"/>
        </w:rPr>
        <w:t> </w:t>
      </w:r>
      <w:r>
        <w:rPr/>
        <w:t>interactions.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500" w:right="497"/>
        <w:jc w:val="both"/>
      </w:pP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definitional</w:t>
      </w:r>
      <w:r>
        <w:rPr>
          <w:spacing w:val="-5"/>
        </w:rPr>
        <w:t> </w:t>
      </w:r>
      <w:r>
        <w:rPr/>
        <w:t>review,</w:t>
      </w:r>
      <w:r>
        <w:rPr>
          <w:spacing w:val="-5"/>
        </w:rPr>
        <w:t> </w:t>
      </w:r>
      <w:r>
        <w:rPr/>
        <w:t>fiscal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monetary</w:t>
      </w:r>
      <w:r>
        <w:rPr>
          <w:spacing w:val="-8"/>
        </w:rPr>
        <w:t> </w:t>
      </w:r>
      <w:r>
        <w:rPr/>
        <w:t>policy</w:t>
      </w:r>
      <w:r>
        <w:rPr>
          <w:spacing w:val="-10"/>
        </w:rPr>
        <w:t> </w:t>
      </w:r>
      <w:r>
        <w:rPr/>
        <w:t>interactions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context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-5"/>
        </w:rPr>
        <w:t> </w:t>
      </w:r>
      <w:r>
        <w:rPr/>
        <w:t>study</w:t>
      </w:r>
      <w:r>
        <w:rPr>
          <w:spacing w:val="-10"/>
        </w:rPr>
        <w:t> </w:t>
      </w:r>
      <w:r>
        <w:rPr/>
        <w:t>were</w:t>
      </w:r>
      <w:r>
        <w:rPr>
          <w:spacing w:val="-57"/>
        </w:rPr>
        <w:t> </w:t>
      </w:r>
      <w:r>
        <w:rPr/>
        <w:t>defined. In the theoretical review, the major theories of fiscal and monetary policy interactions</w:t>
      </w:r>
      <w:r>
        <w:rPr>
          <w:spacing w:val="1"/>
        </w:rPr>
        <w:t> </w:t>
      </w:r>
      <w:r>
        <w:rPr/>
        <w:t>were</w:t>
      </w:r>
      <w:r>
        <w:rPr>
          <w:spacing w:val="-11"/>
        </w:rPr>
        <w:t> </w:t>
      </w:r>
      <w:r>
        <w:rPr/>
        <w:t>outlined</w:t>
      </w:r>
      <w:r>
        <w:rPr>
          <w:spacing w:val="-12"/>
        </w:rPr>
        <w:t> </w:t>
      </w:r>
      <w:r>
        <w:rPr/>
        <w:t>and</w:t>
      </w:r>
      <w:r>
        <w:rPr>
          <w:spacing w:val="-9"/>
        </w:rPr>
        <w:t> </w:t>
      </w:r>
      <w:r>
        <w:rPr/>
        <w:t>critiqued.</w:t>
      </w:r>
      <w:r>
        <w:rPr>
          <w:spacing w:val="-11"/>
        </w:rPr>
        <w:t> </w:t>
      </w:r>
      <w:r>
        <w:rPr/>
        <w:t>From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methodological</w:t>
      </w:r>
      <w:r>
        <w:rPr>
          <w:spacing w:val="-11"/>
        </w:rPr>
        <w:t> </w:t>
      </w:r>
      <w:r>
        <w:rPr/>
        <w:t>review,</w:t>
      </w:r>
      <w:r>
        <w:rPr>
          <w:spacing w:val="-12"/>
        </w:rPr>
        <w:t> </w:t>
      </w:r>
      <w:r>
        <w:rPr/>
        <w:t>one</w:t>
      </w:r>
      <w:r>
        <w:rPr>
          <w:spacing w:val="-7"/>
        </w:rPr>
        <w:t> </w:t>
      </w:r>
      <w:r>
        <w:rPr/>
        <w:t>finds</w:t>
      </w:r>
      <w:r>
        <w:rPr>
          <w:spacing w:val="-11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a-theoretic,</w:t>
      </w:r>
      <w:r>
        <w:rPr>
          <w:spacing w:val="-9"/>
        </w:rPr>
        <w:t> </w:t>
      </w:r>
      <w:r>
        <w:rPr/>
        <w:t>game-</w:t>
      </w:r>
      <w:r>
        <w:rPr>
          <w:spacing w:val="-58"/>
        </w:rPr>
        <w:t> </w:t>
      </w:r>
      <w:r>
        <w:rPr/>
        <w:t>theoretic and dynamic general equilibrium frameworks have been used to investigate fiscal-</w:t>
      </w:r>
      <w:r>
        <w:rPr>
          <w:spacing w:val="1"/>
        </w:rPr>
        <w:t> </w:t>
      </w:r>
      <w:r>
        <w:rPr/>
        <w:t>monetary policy interactions. The empirical review showed mixed evidence on the interaction</w:t>
      </w:r>
      <w:r>
        <w:rPr>
          <w:spacing w:val="1"/>
        </w:rPr>
        <w:t> </w:t>
      </w:r>
      <w:r>
        <w:rPr>
          <w:spacing w:val="-1"/>
        </w:rPr>
        <w:t>between</w:t>
      </w:r>
      <w:r>
        <w:rPr>
          <w:spacing w:val="-8"/>
        </w:rPr>
        <w:t> </w:t>
      </w:r>
      <w:r>
        <w:rPr>
          <w:spacing w:val="-1"/>
        </w:rPr>
        <w:t>fiscal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monetary</w:t>
      </w:r>
      <w:r>
        <w:rPr>
          <w:spacing w:val="-15"/>
        </w:rPr>
        <w:t> </w:t>
      </w:r>
      <w:r>
        <w:rPr/>
        <w:t>policy</w:t>
      </w:r>
      <w:r>
        <w:rPr>
          <w:spacing w:val="-14"/>
        </w:rPr>
        <w:t> </w:t>
      </w:r>
      <w:r>
        <w:rPr/>
        <w:t>and</w:t>
      </w:r>
      <w:r>
        <w:rPr>
          <w:spacing w:val="-8"/>
        </w:rPr>
        <w:t> </w:t>
      </w:r>
      <w:r>
        <w:rPr/>
        <w:t>their</w:t>
      </w:r>
      <w:r>
        <w:rPr>
          <w:spacing w:val="-8"/>
        </w:rPr>
        <w:t> </w:t>
      </w:r>
      <w:r>
        <w:rPr/>
        <w:t>impact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macroeconomic</w:t>
      </w:r>
      <w:r>
        <w:rPr>
          <w:spacing w:val="-10"/>
        </w:rPr>
        <w:t> </w:t>
      </w:r>
      <w:r>
        <w:rPr/>
        <w:t>variables</w:t>
      </w:r>
      <w:r>
        <w:rPr>
          <w:spacing w:val="-10"/>
        </w:rPr>
        <w:t> </w:t>
      </w:r>
      <w:r>
        <w:rPr/>
        <w:t>such</w:t>
      </w:r>
      <w:r>
        <w:rPr>
          <w:spacing w:val="-9"/>
        </w:rPr>
        <w:t> </w:t>
      </w:r>
      <w:r>
        <w:rPr/>
        <w:t>as</w:t>
      </w:r>
      <w:r>
        <w:rPr>
          <w:spacing w:val="-10"/>
        </w:rPr>
        <w:t> </w:t>
      </w:r>
      <w:r>
        <w:rPr/>
        <w:t>inflation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output gap,</w:t>
      </w:r>
      <w:r>
        <w:rPr>
          <w:spacing w:val="2"/>
        </w:rPr>
        <w:t> </w:t>
      </w:r>
      <w:r>
        <w:rPr/>
        <w:t>across different economies.</w:t>
      </w:r>
    </w:p>
    <w:p>
      <w:pPr>
        <w:pStyle w:val="BodyText"/>
        <w:rPr>
          <w:sz w:val="26"/>
        </w:rPr>
      </w:pPr>
    </w:p>
    <w:p>
      <w:pPr>
        <w:pStyle w:val="BodyText"/>
        <w:spacing w:before="150"/>
        <w:ind w:left="500"/>
        <w:jc w:val="both"/>
      </w:pPr>
      <w:r>
        <w:rPr>
          <w:sz w:val="26"/>
        </w:rPr>
        <w:t>Finally,</w:t>
      </w:r>
      <w:r>
        <w:rPr>
          <w:spacing w:val="-2"/>
          <w:sz w:val="26"/>
        </w:rPr>
        <w:t> </w:t>
      </w:r>
      <w:r>
        <w:rPr>
          <w:sz w:val="26"/>
        </w:rPr>
        <w:t>t</w:t>
      </w:r>
      <w:r>
        <w:rPr/>
        <w:t>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research</w:t>
      </w:r>
      <w:r>
        <w:rPr>
          <w:spacing w:val="1"/>
        </w:rPr>
        <w:t> </w:t>
      </w:r>
      <w:r>
        <w:rPr/>
        <w:t>gaps 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deduced</w:t>
      </w:r>
      <w:r>
        <w:rPr>
          <w:spacing w:val="-1"/>
        </w:rPr>
        <w:t> </w:t>
      </w:r>
      <w:r>
        <w:rPr/>
        <w:t>from the</w:t>
      </w:r>
      <w:r>
        <w:rPr>
          <w:spacing w:val="-2"/>
        </w:rPr>
        <w:t> </w:t>
      </w:r>
      <w:r>
        <w:rPr/>
        <w:t>literature</w:t>
      </w:r>
      <w:r>
        <w:rPr>
          <w:spacing w:val="-3"/>
        </w:rPr>
        <w:t> </w:t>
      </w:r>
      <w:r>
        <w:rPr/>
        <w:t>reviewed:</w:t>
      </w:r>
    </w:p>
    <w:p>
      <w:pPr>
        <w:pStyle w:val="ListParagraph"/>
        <w:numPr>
          <w:ilvl w:val="0"/>
          <w:numId w:val="15"/>
        </w:numPr>
        <w:tabs>
          <w:tab w:pos="739" w:val="left" w:leader="none"/>
        </w:tabs>
        <w:spacing w:line="360" w:lineRule="auto" w:before="149" w:after="0"/>
        <w:ind w:left="500" w:right="495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study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fiscal and</w:t>
      </w:r>
      <w:r>
        <w:rPr>
          <w:spacing w:val="-1"/>
          <w:sz w:val="24"/>
        </w:rPr>
        <w:t> </w:t>
      </w:r>
      <w:r>
        <w:rPr>
          <w:sz w:val="24"/>
        </w:rPr>
        <w:t>monetary</w:t>
      </w:r>
      <w:r>
        <w:rPr>
          <w:spacing w:val="-7"/>
          <w:sz w:val="24"/>
        </w:rPr>
        <w:t> </w:t>
      </w:r>
      <w:r>
        <w:rPr>
          <w:sz w:val="24"/>
        </w:rPr>
        <w:t>policy</w:t>
      </w:r>
      <w:r>
        <w:rPr>
          <w:spacing w:val="-8"/>
          <w:sz w:val="24"/>
        </w:rPr>
        <w:t> </w:t>
      </w:r>
      <w:r>
        <w:rPr>
          <w:sz w:val="24"/>
        </w:rPr>
        <w:t>interaction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Nigeria</w:t>
      </w:r>
      <w:r>
        <w:rPr>
          <w:spacing w:val="-4"/>
          <w:sz w:val="24"/>
        </w:rPr>
        <w:t> </w:t>
      </w:r>
      <w:r>
        <w:rPr>
          <w:sz w:val="24"/>
        </w:rPr>
        <w:t>is a</w:t>
      </w:r>
      <w:r>
        <w:rPr>
          <w:spacing w:val="2"/>
          <w:sz w:val="24"/>
        </w:rPr>
        <w:t> </w:t>
      </w:r>
      <w:r>
        <w:rPr>
          <w:sz w:val="24"/>
        </w:rPr>
        <w:t>nascent</w:t>
      </w:r>
      <w:r>
        <w:rPr>
          <w:spacing w:val="-2"/>
          <w:sz w:val="24"/>
        </w:rPr>
        <w:t> </w:t>
      </w:r>
      <w:r>
        <w:rPr>
          <w:sz w:val="24"/>
        </w:rPr>
        <w:t>one.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few</w:t>
      </w:r>
      <w:r>
        <w:rPr>
          <w:spacing w:val="-1"/>
          <w:sz w:val="24"/>
        </w:rPr>
        <w:t> </w:t>
      </w:r>
      <w:r>
        <w:rPr>
          <w:sz w:val="24"/>
        </w:rPr>
        <w:t>studies</w:t>
      </w:r>
      <w:r>
        <w:rPr>
          <w:spacing w:val="-57"/>
          <w:sz w:val="24"/>
        </w:rPr>
        <w:t> </w:t>
      </w:r>
      <w:r>
        <w:rPr>
          <w:sz w:val="24"/>
        </w:rPr>
        <w:t>on fiscal and monetary policy interaction in Nigeria include Chuku (2010); Okafor (2013);</w:t>
      </w:r>
      <w:r>
        <w:rPr>
          <w:spacing w:val="1"/>
          <w:sz w:val="24"/>
        </w:rPr>
        <w:t> </w:t>
      </w:r>
      <w:r>
        <w:rPr>
          <w:sz w:val="24"/>
        </w:rPr>
        <w:t>Englama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1"/>
          <w:sz w:val="24"/>
        </w:rPr>
        <w:t> </w:t>
      </w:r>
      <w:r>
        <w:rPr>
          <w:sz w:val="24"/>
        </w:rPr>
        <w:t>(2013);</w:t>
      </w:r>
      <w:r>
        <w:rPr>
          <w:spacing w:val="1"/>
          <w:sz w:val="24"/>
        </w:rPr>
        <w:t> </w:t>
      </w:r>
      <w:r>
        <w:rPr>
          <w:sz w:val="24"/>
        </w:rPr>
        <w:t>Musa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Furthermore,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employ a-theoretic</w:t>
      </w:r>
      <w:r>
        <w:rPr>
          <w:spacing w:val="1"/>
          <w:sz w:val="24"/>
        </w:rPr>
        <w:t> </w:t>
      </w:r>
      <w:r>
        <w:rPr>
          <w:sz w:val="24"/>
        </w:rPr>
        <w:t>estimation techniques. For instance, Englama </w:t>
      </w:r>
      <w:r>
        <w:rPr>
          <w:i/>
          <w:sz w:val="24"/>
        </w:rPr>
        <w:t>et al., </w:t>
      </w:r>
      <w:r>
        <w:rPr>
          <w:sz w:val="24"/>
        </w:rPr>
        <w:t>(2013); Musa, Asare and Gulumbe (2013)</w:t>
      </w:r>
      <w:r>
        <w:rPr>
          <w:spacing w:val="1"/>
          <w:sz w:val="24"/>
        </w:rPr>
        <w:t> </w:t>
      </w:r>
      <w:r>
        <w:rPr>
          <w:sz w:val="24"/>
        </w:rPr>
        <w:t>investigate fiscal and monetary policy interaction in Nigeria using the cointegration technique</w:t>
      </w:r>
      <w:r>
        <w:rPr>
          <w:spacing w:val="1"/>
          <w:sz w:val="24"/>
        </w:rPr>
        <w:t> </w:t>
      </w:r>
      <w:r>
        <w:rPr>
          <w:sz w:val="24"/>
        </w:rPr>
        <w:t>while Chuku (2010)</w:t>
      </w:r>
      <w:r>
        <w:rPr>
          <w:spacing w:val="-2"/>
          <w:sz w:val="24"/>
        </w:rPr>
        <w:t> </w:t>
      </w:r>
      <w:r>
        <w:rPr>
          <w:sz w:val="24"/>
        </w:rPr>
        <w:t>use a</w:t>
      </w:r>
      <w:r>
        <w:rPr>
          <w:spacing w:val="-1"/>
          <w:sz w:val="24"/>
        </w:rPr>
        <w:t> </w:t>
      </w:r>
      <w:r>
        <w:rPr>
          <w:sz w:val="24"/>
        </w:rPr>
        <w:t>Markov</w:t>
      </w:r>
      <w:r>
        <w:rPr>
          <w:spacing w:val="-1"/>
          <w:sz w:val="24"/>
        </w:rPr>
        <w:t> </w:t>
      </w:r>
      <w:r>
        <w:rPr>
          <w:sz w:val="24"/>
        </w:rPr>
        <w:t>switch state-space</w:t>
      </w:r>
      <w:r>
        <w:rPr>
          <w:spacing w:val="-1"/>
          <w:sz w:val="24"/>
        </w:rPr>
        <w:t> </w:t>
      </w:r>
      <w:r>
        <w:rPr>
          <w:sz w:val="24"/>
        </w:rPr>
        <w:t>method.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15"/>
        </w:numPr>
        <w:tabs>
          <w:tab w:pos="748" w:val="left" w:leader="none"/>
        </w:tabs>
        <w:spacing w:line="360" w:lineRule="auto" w:before="0" w:after="0"/>
        <w:ind w:left="500" w:right="497" w:firstLine="0"/>
        <w:jc w:val="both"/>
        <w:rPr>
          <w:sz w:val="24"/>
        </w:rPr>
      </w:pPr>
      <w:r>
        <w:rPr>
          <w:sz w:val="24"/>
        </w:rPr>
        <w:t>There is also sparseness in articles that examined fiscal and monetary policy interaction within</w:t>
      </w:r>
      <w:r>
        <w:rPr>
          <w:spacing w:val="-57"/>
          <w:sz w:val="24"/>
        </w:rPr>
        <w:t> </w:t>
      </w:r>
      <w:r>
        <w:rPr>
          <w:sz w:val="24"/>
        </w:rPr>
        <w:t>micro-founded models of the dynamic general equilibrium framework in Nigeria. Adegboye</w:t>
      </w:r>
      <w:r>
        <w:rPr>
          <w:spacing w:val="1"/>
          <w:sz w:val="24"/>
        </w:rPr>
        <w:t> </w:t>
      </w:r>
      <w:r>
        <w:rPr>
          <w:sz w:val="24"/>
        </w:rPr>
        <w:t>(2015) is one of few studies that investigate the effect of fiscal and monetary policy interactions</w:t>
      </w:r>
      <w:r>
        <w:rPr>
          <w:spacing w:val="1"/>
          <w:sz w:val="24"/>
        </w:rPr>
        <w:t> </w:t>
      </w:r>
      <w:r>
        <w:rPr>
          <w:sz w:val="24"/>
        </w:rPr>
        <w:t>on inflation and output in Nigeria, within a dynamic general equilibrium framework. One reason</w:t>
      </w:r>
      <w:r>
        <w:rPr>
          <w:spacing w:val="1"/>
          <w:sz w:val="24"/>
        </w:rPr>
        <w:t> </w:t>
      </w:r>
      <w:r>
        <w:rPr>
          <w:sz w:val="24"/>
        </w:rPr>
        <w:t>for this sparseness is that dynamic general equilibrium modelling in Nigeria is a recent venture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only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few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studies</w:t>
      </w:r>
      <w:r>
        <w:rPr>
          <w:spacing w:val="-12"/>
          <w:sz w:val="24"/>
        </w:rPr>
        <w:t> </w:t>
      </w:r>
      <w:r>
        <w:rPr>
          <w:sz w:val="24"/>
        </w:rPr>
        <w:t>such</w:t>
      </w:r>
      <w:r>
        <w:rPr>
          <w:spacing w:val="-10"/>
          <w:sz w:val="24"/>
        </w:rPr>
        <w:t> </w:t>
      </w:r>
      <w:r>
        <w:rPr>
          <w:sz w:val="24"/>
        </w:rPr>
        <w:t>as</w:t>
      </w:r>
      <w:r>
        <w:rPr>
          <w:spacing w:val="-11"/>
          <w:sz w:val="24"/>
        </w:rPr>
        <w:t> </w:t>
      </w:r>
      <w:r>
        <w:rPr>
          <w:sz w:val="24"/>
        </w:rPr>
        <w:t>Olekah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Oyaromade</w:t>
      </w:r>
      <w:r>
        <w:rPr>
          <w:spacing w:val="-13"/>
          <w:sz w:val="24"/>
        </w:rPr>
        <w:t> </w:t>
      </w:r>
      <w:r>
        <w:rPr>
          <w:sz w:val="24"/>
        </w:rPr>
        <w:t>(2007),</w:t>
      </w:r>
      <w:r>
        <w:rPr>
          <w:spacing w:val="-13"/>
          <w:sz w:val="24"/>
        </w:rPr>
        <w:t> </w:t>
      </w:r>
      <w:r>
        <w:rPr>
          <w:sz w:val="24"/>
        </w:rPr>
        <w:t>Olayeni,</w:t>
      </w:r>
      <w:r>
        <w:rPr>
          <w:spacing w:val="-11"/>
          <w:sz w:val="24"/>
        </w:rPr>
        <w:t> </w:t>
      </w:r>
      <w:r>
        <w:rPr>
          <w:sz w:val="24"/>
        </w:rPr>
        <w:t>(2009),</w:t>
      </w:r>
      <w:r>
        <w:rPr>
          <w:spacing w:val="-12"/>
          <w:sz w:val="24"/>
        </w:rPr>
        <w:t> </w:t>
      </w:r>
      <w:r>
        <w:rPr>
          <w:sz w:val="24"/>
        </w:rPr>
        <w:t>Alege,</w:t>
      </w:r>
      <w:r>
        <w:rPr>
          <w:spacing w:val="-11"/>
          <w:sz w:val="24"/>
        </w:rPr>
        <w:t> </w:t>
      </w:r>
      <w:r>
        <w:rPr>
          <w:sz w:val="24"/>
        </w:rPr>
        <w:t>(2008,</w:t>
      </w:r>
      <w:r>
        <w:rPr>
          <w:spacing w:val="-8"/>
          <w:sz w:val="24"/>
        </w:rPr>
        <w:t> </w:t>
      </w:r>
      <w:r>
        <w:rPr>
          <w:sz w:val="24"/>
        </w:rPr>
        <w:t>2012),</w:t>
      </w:r>
      <w:r>
        <w:rPr>
          <w:spacing w:val="-58"/>
          <w:sz w:val="24"/>
        </w:rPr>
        <w:t> </w:t>
      </w:r>
      <w:r>
        <w:rPr>
          <w:sz w:val="24"/>
        </w:rPr>
        <w:t>Garcia (2009), and Adebiyi</w:t>
      </w:r>
      <w:r>
        <w:rPr>
          <w:spacing w:val="2"/>
          <w:sz w:val="24"/>
        </w:rPr>
        <w:t> </w:t>
      </w:r>
      <w:r>
        <w:rPr>
          <w:sz w:val="24"/>
        </w:rPr>
        <w:t>and Mordi</w:t>
      </w:r>
      <w:r>
        <w:rPr>
          <w:spacing w:val="2"/>
          <w:sz w:val="24"/>
        </w:rPr>
        <w:t> </w:t>
      </w:r>
      <w:r>
        <w:rPr>
          <w:sz w:val="24"/>
        </w:rPr>
        <w:t>(2010)</w:t>
      </w:r>
      <w:r>
        <w:rPr>
          <w:spacing w:val="-1"/>
          <w:sz w:val="24"/>
        </w:rPr>
        <w:t> </w:t>
      </w:r>
      <w:r>
        <w:rPr>
          <w:sz w:val="24"/>
        </w:rPr>
        <w:t>exist.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500" w:right="497"/>
        <w:jc w:val="both"/>
      </w:pPr>
      <w:r>
        <w:rPr>
          <w:spacing w:val="-1"/>
        </w:rPr>
        <w:t>This</w:t>
      </w:r>
      <w:r>
        <w:rPr>
          <w:spacing w:val="-14"/>
        </w:rPr>
        <w:t> </w:t>
      </w:r>
      <w:r>
        <w:rPr/>
        <w:t>study</w:t>
      </w:r>
      <w:r>
        <w:rPr>
          <w:spacing w:val="-20"/>
        </w:rPr>
        <w:t> </w:t>
      </w:r>
      <w:r>
        <w:rPr/>
        <w:t>however,</w:t>
      </w:r>
      <w:r>
        <w:rPr>
          <w:spacing w:val="-13"/>
        </w:rPr>
        <w:t> </w:t>
      </w:r>
      <w:r>
        <w:rPr/>
        <w:t>adapts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models</w:t>
      </w:r>
      <w:r>
        <w:rPr>
          <w:spacing w:val="-15"/>
        </w:rPr>
        <w:t> </w:t>
      </w:r>
      <w:r>
        <w:rPr/>
        <w:t>used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these</w:t>
      </w:r>
      <w:r>
        <w:rPr>
          <w:spacing w:val="-16"/>
        </w:rPr>
        <w:t> </w:t>
      </w:r>
      <w:r>
        <w:rPr/>
        <w:t>existing</w:t>
      </w:r>
      <w:r>
        <w:rPr>
          <w:spacing w:val="-17"/>
        </w:rPr>
        <w:t> </w:t>
      </w:r>
      <w:r>
        <w:rPr/>
        <w:t>works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examine</w:t>
      </w:r>
      <w:r>
        <w:rPr>
          <w:spacing w:val="-15"/>
        </w:rPr>
        <w:t> </w:t>
      </w:r>
      <w:r>
        <w:rPr/>
        <w:t>fiscal</w:t>
      </w:r>
      <w:r>
        <w:rPr>
          <w:spacing w:val="-12"/>
        </w:rPr>
        <w:t> </w:t>
      </w:r>
      <w:r>
        <w:rPr/>
        <w:t>and</w:t>
      </w:r>
      <w:r>
        <w:rPr>
          <w:spacing w:val="-15"/>
        </w:rPr>
        <w:t> </w:t>
      </w:r>
      <w:r>
        <w:rPr/>
        <w:t>monetary</w:t>
      </w:r>
      <w:r>
        <w:rPr>
          <w:spacing w:val="-58"/>
        </w:rPr>
        <w:t> </w:t>
      </w:r>
      <w:r>
        <w:rPr/>
        <w:t>policy interactions in Nigeria. For example, Alege (2008, 2012) conducts macroeconomic policy</w:t>
      </w:r>
      <w:r>
        <w:rPr>
          <w:spacing w:val="1"/>
        </w:rPr>
        <w:t> </w:t>
      </w:r>
      <w:r>
        <w:rPr/>
        <w:t>analysis</w:t>
      </w:r>
      <w:r>
        <w:rPr>
          <w:spacing w:val="24"/>
        </w:rPr>
        <w:t> </w:t>
      </w:r>
      <w:r>
        <w:rPr/>
        <w:t>within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DSGE</w:t>
      </w:r>
      <w:r>
        <w:rPr>
          <w:spacing w:val="24"/>
        </w:rPr>
        <w:t> </w:t>
      </w:r>
      <w:r>
        <w:rPr/>
        <w:t>model.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study</w:t>
      </w:r>
      <w:r>
        <w:rPr>
          <w:spacing w:val="17"/>
        </w:rPr>
        <w:t> </w:t>
      </w:r>
      <w:r>
        <w:rPr/>
        <w:t>considers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interaction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monetary,</w:t>
      </w:r>
      <w:r>
        <w:rPr>
          <w:spacing w:val="25"/>
        </w:rPr>
        <w:t> </w:t>
      </w:r>
      <w:r>
        <w:rPr/>
        <w:t>financial</w:t>
      </w:r>
      <w:r>
        <w:rPr>
          <w:spacing w:val="25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footerReference w:type="default" r:id="rId11"/>
          <w:pgSz w:w="12240" w:h="15840"/>
          <w:pgMar w:footer="935" w:header="0" w:top="1380" w:bottom="1120" w:left="940" w:right="940"/>
          <w:pgNumType w:start="1"/>
        </w:sectPr>
      </w:pPr>
    </w:p>
    <w:p>
      <w:pPr>
        <w:pStyle w:val="BodyText"/>
        <w:spacing w:line="360" w:lineRule="auto" w:before="74"/>
        <w:ind w:left="500" w:right="497"/>
      </w:pPr>
      <w:r>
        <w:rPr/>
        <w:t>export</w:t>
      </w:r>
      <w:r>
        <w:rPr>
          <w:spacing w:val="5"/>
        </w:rPr>
        <w:t> </w:t>
      </w:r>
      <w:r>
        <w:rPr/>
        <w:t>policies,</w:t>
      </w:r>
      <w:r>
        <w:rPr>
          <w:spacing w:val="5"/>
        </w:rPr>
        <w:t> </w:t>
      </w:r>
      <w:r>
        <w:rPr/>
        <w:t>but</w:t>
      </w:r>
      <w:r>
        <w:rPr>
          <w:spacing w:val="4"/>
        </w:rPr>
        <w:t> </w:t>
      </w:r>
      <w:r>
        <w:rPr/>
        <w:t>omits</w:t>
      </w:r>
      <w:r>
        <w:rPr>
          <w:spacing w:val="6"/>
        </w:rPr>
        <w:t> </w:t>
      </w:r>
      <w:r>
        <w:rPr/>
        <w:t>both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fiscal</w:t>
      </w:r>
      <w:r>
        <w:rPr>
          <w:spacing w:val="6"/>
        </w:rPr>
        <w:t> </w:t>
      </w:r>
      <w:r>
        <w:rPr/>
        <w:t>sector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assumptions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small</w:t>
      </w:r>
      <w:r>
        <w:rPr>
          <w:spacing w:val="7"/>
        </w:rPr>
        <w:t> </w:t>
      </w:r>
      <w:r>
        <w:rPr/>
        <w:t>open</w:t>
      </w:r>
      <w:r>
        <w:rPr>
          <w:spacing w:val="5"/>
        </w:rPr>
        <w:t> </w:t>
      </w:r>
      <w:r>
        <w:rPr/>
        <w:t>economy</w:t>
      </w:r>
      <w:r>
        <w:rPr>
          <w:spacing w:val="1"/>
        </w:rPr>
        <w:t> </w:t>
      </w:r>
      <w:r>
        <w:rPr/>
        <w:t>that</w:t>
      </w:r>
      <w:r>
        <w:rPr>
          <w:spacing w:val="6"/>
        </w:rPr>
        <w:t> </w:t>
      </w:r>
      <w:r>
        <w:rPr/>
        <w:t>is</w:t>
      </w:r>
      <w:r>
        <w:rPr>
          <w:spacing w:val="-57"/>
        </w:rPr>
        <w:t> </w:t>
      </w:r>
      <w:r>
        <w:rPr/>
        <w:t>interacting</w:t>
      </w:r>
      <w:r>
        <w:rPr>
          <w:spacing w:val="-4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rest of the</w:t>
      </w:r>
      <w:r>
        <w:rPr>
          <w:spacing w:val="-2"/>
        </w:rPr>
        <w:t> </w:t>
      </w:r>
      <w:r>
        <w:rPr/>
        <w:t>world. This current</w:t>
      </w:r>
      <w:r>
        <w:rPr>
          <w:spacing w:val="2"/>
        </w:rPr>
        <w:t> </w:t>
      </w:r>
      <w:r>
        <w:rPr/>
        <w:t>study</w:t>
      </w:r>
      <w:r>
        <w:rPr>
          <w:spacing w:val="-5"/>
        </w:rPr>
        <w:t> </w:t>
      </w:r>
      <w:r>
        <w:rPr/>
        <w:t>will address these</w:t>
      </w:r>
      <w:r>
        <w:rPr>
          <w:spacing w:val="1"/>
        </w:rPr>
        <w:t> </w:t>
      </w:r>
      <w:r>
        <w:rPr/>
        <w:t>omissions.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0"/>
          <w:numId w:val="15"/>
        </w:numPr>
        <w:tabs>
          <w:tab w:pos="734" w:val="left" w:leader="none"/>
        </w:tabs>
        <w:spacing w:line="360" w:lineRule="auto" w:before="0" w:after="0"/>
        <w:ind w:left="500" w:right="498" w:firstLine="0"/>
        <w:jc w:val="both"/>
        <w:rPr>
          <w:sz w:val="24"/>
        </w:rPr>
      </w:pPr>
      <w:r>
        <w:rPr>
          <w:sz w:val="24"/>
        </w:rPr>
        <w:t>Most</w:t>
      </w:r>
      <w:r>
        <w:rPr>
          <w:spacing w:val="-8"/>
          <w:sz w:val="24"/>
        </w:rPr>
        <w:t> </w:t>
      </w:r>
      <w:r>
        <w:rPr>
          <w:sz w:val="24"/>
        </w:rPr>
        <w:t>studies</w:t>
      </w:r>
      <w:r>
        <w:rPr>
          <w:spacing w:val="-7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fiscal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monetary</w:t>
      </w:r>
      <w:r>
        <w:rPr>
          <w:spacing w:val="-13"/>
          <w:sz w:val="24"/>
        </w:rPr>
        <w:t> </w:t>
      </w:r>
      <w:r>
        <w:rPr>
          <w:sz w:val="24"/>
        </w:rPr>
        <w:t>policy</w:t>
      </w:r>
      <w:r>
        <w:rPr>
          <w:spacing w:val="-12"/>
          <w:sz w:val="24"/>
        </w:rPr>
        <w:t> </w:t>
      </w:r>
      <w:r>
        <w:rPr>
          <w:sz w:val="24"/>
        </w:rPr>
        <w:t>interaction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DSGE</w:t>
      </w:r>
      <w:r>
        <w:rPr>
          <w:spacing w:val="-6"/>
          <w:sz w:val="24"/>
        </w:rPr>
        <w:t> </w:t>
      </w:r>
      <w:r>
        <w:rPr>
          <w:sz w:val="24"/>
        </w:rPr>
        <w:t>model</w:t>
      </w:r>
      <w:r>
        <w:rPr>
          <w:spacing w:val="-5"/>
          <w:sz w:val="24"/>
        </w:rPr>
        <w:t> </w:t>
      </w:r>
      <w:r>
        <w:rPr>
          <w:sz w:val="24"/>
        </w:rPr>
        <w:t>assume</w:t>
      </w:r>
      <w:r>
        <w:rPr>
          <w:spacing w:val="-10"/>
          <w:sz w:val="24"/>
        </w:rPr>
        <w:t> </w:t>
      </w:r>
      <w:r>
        <w:rPr>
          <w:sz w:val="24"/>
        </w:rPr>
        <w:t>that</w:t>
      </w:r>
      <w:r>
        <w:rPr>
          <w:spacing w:val="-5"/>
          <w:sz w:val="24"/>
        </w:rPr>
        <w:t> </w:t>
      </w:r>
      <w:r>
        <w:rPr>
          <w:sz w:val="24"/>
        </w:rPr>
        <w:t>government</w:t>
      </w:r>
      <w:r>
        <w:rPr>
          <w:spacing w:val="-57"/>
          <w:sz w:val="24"/>
        </w:rPr>
        <w:t> </w:t>
      </w:r>
      <w:r>
        <w:rPr>
          <w:sz w:val="24"/>
        </w:rPr>
        <w:t>is a benevolent entity that commits to a policy rule and that fiscal and monetary policy are fully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coordinated.</w:t>
      </w:r>
      <w:r>
        <w:rPr>
          <w:spacing w:val="-15"/>
          <w:sz w:val="24"/>
        </w:rPr>
        <w:t> </w:t>
      </w:r>
      <w:r>
        <w:rPr>
          <w:sz w:val="24"/>
        </w:rPr>
        <w:t>These</w:t>
      </w:r>
      <w:r>
        <w:rPr>
          <w:spacing w:val="-15"/>
          <w:sz w:val="24"/>
        </w:rPr>
        <w:t> </w:t>
      </w:r>
      <w:r>
        <w:rPr>
          <w:sz w:val="24"/>
        </w:rPr>
        <w:t>assumptions</w:t>
      </w:r>
      <w:r>
        <w:rPr>
          <w:spacing w:val="-14"/>
          <w:sz w:val="24"/>
        </w:rPr>
        <w:t> </w:t>
      </w:r>
      <w:r>
        <w:rPr>
          <w:sz w:val="24"/>
        </w:rPr>
        <w:t>may</w:t>
      </w:r>
      <w:r>
        <w:rPr>
          <w:spacing w:val="-21"/>
          <w:sz w:val="24"/>
        </w:rPr>
        <w:t> </w:t>
      </w:r>
      <w:r>
        <w:rPr>
          <w:sz w:val="24"/>
        </w:rPr>
        <w:t>be</w:t>
      </w:r>
      <w:r>
        <w:rPr>
          <w:spacing w:val="-15"/>
          <w:sz w:val="24"/>
        </w:rPr>
        <w:t> </w:t>
      </w:r>
      <w:r>
        <w:rPr>
          <w:sz w:val="24"/>
        </w:rPr>
        <w:t>unrealistic</w:t>
      </w:r>
      <w:r>
        <w:rPr>
          <w:spacing w:val="-16"/>
          <w:sz w:val="24"/>
        </w:rPr>
        <w:t> </w:t>
      </w:r>
      <w:r>
        <w:rPr>
          <w:sz w:val="24"/>
        </w:rPr>
        <w:t>for</w:t>
      </w:r>
      <w:r>
        <w:rPr>
          <w:spacing w:val="-15"/>
          <w:sz w:val="24"/>
        </w:rPr>
        <w:t> </w:t>
      </w:r>
      <w:r>
        <w:rPr>
          <w:sz w:val="24"/>
        </w:rPr>
        <w:t>a</w:t>
      </w:r>
      <w:r>
        <w:rPr>
          <w:spacing w:val="-15"/>
          <w:sz w:val="24"/>
        </w:rPr>
        <w:t> </w:t>
      </w:r>
      <w:r>
        <w:rPr>
          <w:sz w:val="24"/>
        </w:rPr>
        <w:t>developing</w:t>
      </w:r>
      <w:r>
        <w:rPr>
          <w:spacing w:val="-15"/>
          <w:sz w:val="24"/>
        </w:rPr>
        <w:t> </w:t>
      </w:r>
      <w:r>
        <w:rPr>
          <w:sz w:val="24"/>
        </w:rPr>
        <w:t>country</w:t>
      </w:r>
      <w:r>
        <w:rPr>
          <w:spacing w:val="-16"/>
          <w:sz w:val="24"/>
        </w:rPr>
        <w:t> </w:t>
      </w:r>
      <w:r>
        <w:rPr>
          <w:sz w:val="24"/>
        </w:rPr>
        <w:t>such</w:t>
      </w:r>
      <w:r>
        <w:rPr>
          <w:spacing w:val="-11"/>
          <w:sz w:val="24"/>
        </w:rPr>
        <w:t> </w:t>
      </w:r>
      <w:r>
        <w:rPr>
          <w:sz w:val="24"/>
        </w:rPr>
        <w:t>as</w:t>
      </w:r>
      <w:r>
        <w:rPr>
          <w:spacing w:val="-15"/>
          <w:sz w:val="24"/>
        </w:rPr>
        <w:t> </w:t>
      </w:r>
      <w:r>
        <w:rPr>
          <w:sz w:val="24"/>
        </w:rPr>
        <w:t>Nigeria.</w:t>
      </w:r>
      <w:r>
        <w:rPr>
          <w:spacing w:val="-14"/>
          <w:sz w:val="24"/>
        </w:rPr>
        <w:t> </w:t>
      </w:r>
      <w:r>
        <w:rPr>
          <w:sz w:val="24"/>
        </w:rPr>
        <w:t>These</w:t>
      </w:r>
      <w:r>
        <w:rPr>
          <w:spacing w:val="-58"/>
          <w:sz w:val="24"/>
        </w:rPr>
        <w:t> </w:t>
      </w:r>
      <w:r>
        <w:rPr>
          <w:sz w:val="24"/>
        </w:rPr>
        <w:t>assumptions</w:t>
      </w:r>
      <w:r>
        <w:rPr>
          <w:spacing w:val="-1"/>
          <w:sz w:val="24"/>
        </w:rPr>
        <w:t> </w:t>
      </w:r>
      <w:r>
        <w:rPr>
          <w:sz w:val="24"/>
        </w:rPr>
        <w:t>are, therefore, modified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context</w:t>
      </w:r>
      <w:r>
        <w:rPr>
          <w:spacing w:val="-1"/>
          <w:sz w:val="24"/>
        </w:rPr>
        <w:t> </w:t>
      </w:r>
      <w:r>
        <w:rPr>
          <w:sz w:val="24"/>
        </w:rPr>
        <w:t>of a</w:t>
      </w:r>
      <w:r>
        <w:rPr>
          <w:spacing w:val="-2"/>
          <w:sz w:val="24"/>
        </w:rPr>
        <w:t> </w:t>
      </w:r>
      <w:r>
        <w:rPr>
          <w:sz w:val="24"/>
        </w:rPr>
        <w:t>developing</w:t>
      </w:r>
      <w:r>
        <w:rPr>
          <w:spacing w:val="-4"/>
          <w:sz w:val="24"/>
        </w:rPr>
        <w:t> </w:t>
      </w:r>
      <w:r>
        <w:rPr>
          <w:sz w:val="24"/>
        </w:rPr>
        <w:t>economy.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5"/>
        </w:numPr>
        <w:tabs>
          <w:tab w:pos="772" w:val="left" w:leader="none"/>
        </w:tabs>
        <w:spacing w:line="360" w:lineRule="auto" w:before="0" w:after="0"/>
        <w:ind w:left="500" w:right="491" w:firstLine="0"/>
        <w:jc w:val="both"/>
        <w:rPr>
          <w:sz w:val="24"/>
        </w:rPr>
      </w:pPr>
      <w:r>
        <w:rPr>
          <w:sz w:val="24"/>
        </w:rPr>
        <w:t>Most studies on fiscal and monetary policy interaction in DSGE model rely on an implicit</w:t>
      </w:r>
      <w:r>
        <w:rPr>
          <w:spacing w:val="1"/>
          <w:sz w:val="24"/>
        </w:rPr>
        <w:t> </w:t>
      </w:r>
      <w:r>
        <w:rPr>
          <w:sz w:val="24"/>
        </w:rPr>
        <w:t>definition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policy</w:t>
      </w:r>
      <w:r>
        <w:rPr>
          <w:spacing w:val="-10"/>
          <w:sz w:val="24"/>
        </w:rPr>
        <w:t> </w:t>
      </w:r>
      <w:r>
        <w:rPr>
          <w:sz w:val="24"/>
        </w:rPr>
        <w:t>interaction.</w:t>
      </w:r>
      <w:r>
        <w:rPr>
          <w:spacing w:val="-3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because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DSGE</w:t>
      </w:r>
      <w:r>
        <w:rPr>
          <w:spacing w:val="-3"/>
          <w:sz w:val="24"/>
        </w:rPr>
        <w:t> </w:t>
      </w:r>
      <w:r>
        <w:rPr>
          <w:sz w:val="24"/>
        </w:rPr>
        <w:t>framework</w:t>
      </w:r>
      <w:r>
        <w:rPr>
          <w:spacing w:val="-5"/>
          <w:sz w:val="24"/>
        </w:rPr>
        <w:t> </w:t>
      </w:r>
      <w:r>
        <w:rPr>
          <w:sz w:val="24"/>
        </w:rPr>
        <w:t>provides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natural</w:t>
      </w:r>
      <w:r>
        <w:rPr>
          <w:spacing w:val="-3"/>
          <w:sz w:val="24"/>
        </w:rPr>
        <w:t> </w:t>
      </w:r>
      <w:r>
        <w:rPr>
          <w:sz w:val="24"/>
        </w:rPr>
        <w:t>setting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58"/>
          <w:sz w:val="24"/>
        </w:rPr>
        <w:t> </w:t>
      </w:r>
      <w:r>
        <w:rPr>
          <w:sz w:val="24"/>
        </w:rPr>
        <w:t>consider</w:t>
      </w:r>
      <w:r>
        <w:rPr>
          <w:spacing w:val="-5"/>
          <w:sz w:val="24"/>
        </w:rPr>
        <w:t> </w:t>
      </w:r>
      <w:r>
        <w:rPr>
          <w:sz w:val="24"/>
        </w:rPr>
        <w:t>policy</w:t>
      </w:r>
      <w:r>
        <w:rPr>
          <w:spacing w:val="-8"/>
          <w:sz w:val="24"/>
        </w:rPr>
        <w:t> </w:t>
      </w:r>
      <w:r>
        <w:rPr>
          <w:sz w:val="24"/>
        </w:rPr>
        <w:t>interactions,</w:t>
      </w:r>
      <w:r>
        <w:rPr>
          <w:spacing w:val="-4"/>
          <w:sz w:val="24"/>
        </w:rPr>
        <w:t> </w:t>
      </w:r>
      <w:r>
        <w:rPr>
          <w:sz w:val="24"/>
        </w:rPr>
        <w:t>since</w:t>
      </w:r>
      <w:r>
        <w:rPr>
          <w:spacing w:val="-4"/>
          <w:sz w:val="24"/>
        </w:rPr>
        <w:t> </w:t>
      </w: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implicitly</w:t>
      </w:r>
      <w:r>
        <w:rPr>
          <w:spacing w:val="-8"/>
          <w:sz w:val="24"/>
        </w:rPr>
        <w:t> </w:t>
      </w:r>
      <w:r>
        <w:rPr>
          <w:sz w:val="24"/>
        </w:rPr>
        <w:t>assumes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existence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simultaneous</w:t>
      </w:r>
      <w:r>
        <w:rPr>
          <w:spacing w:val="-4"/>
          <w:sz w:val="24"/>
        </w:rPr>
        <w:t> </w:t>
      </w:r>
      <w:r>
        <w:rPr>
          <w:sz w:val="24"/>
        </w:rPr>
        <w:t>interactions</w:t>
      </w:r>
      <w:r>
        <w:rPr>
          <w:spacing w:val="-57"/>
          <w:sz w:val="24"/>
        </w:rPr>
        <w:t> </w:t>
      </w:r>
      <w:r>
        <w:rPr>
          <w:sz w:val="24"/>
        </w:rPr>
        <w:t>among economic agents, that is, households, firms, central bank and government. This study</w:t>
      </w:r>
      <w:r>
        <w:rPr>
          <w:spacing w:val="1"/>
          <w:sz w:val="24"/>
        </w:rPr>
        <w:t> </w:t>
      </w:r>
      <w:r>
        <w:rPr>
          <w:sz w:val="24"/>
        </w:rPr>
        <w:t>argues that the implicit interaction does not capture the combined effect of both policies on</w:t>
      </w:r>
      <w:r>
        <w:rPr>
          <w:spacing w:val="1"/>
          <w:sz w:val="24"/>
        </w:rPr>
        <w:t> </w:t>
      </w:r>
      <w:r>
        <w:rPr>
          <w:sz w:val="24"/>
        </w:rPr>
        <w:t>inflation and output. The study, however, constructs an interaction variable to explicitly capture</w:t>
      </w:r>
      <w:r>
        <w:rPr>
          <w:spacing w:val="1"/>
          <w:sz w:val="24"/>
        </w:rPr>
        <w:t> </w:t>
      </w:r>
      <w:r>
        <w:rPr>
          <w:sz w:val="24"/>
        </w:rPr>
        <w:t>the interrelationship between fiscal and monetary policies and to quantify the combined policy</w:t>
      </w:r>
      <w:r>
        <w:rPr>
          <w:spacing w:val="1"/>
          <w:sz w:val="24"/>
        </w:rPr>
        <w:t> </w:t>
      </w:r>
      <w:r>
        <w:rPr>
          <w:sz w:val="24"/>
        </w:rPr>
        <w:t>interactions.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1"/>
        <w:spacing w:line="360" w:lineRule="auto" w:before="88"/>
        <w:ind w:left="3615" w:right="3614"/>
        <w:jc w:val="center"/>
      </w:pPr>
      <w:bookmarkStart w:name="_TOC_250037" w:id="23"/>
      <w:r>
        <w:rPr/>
        <w:t>CHAPTER</w:t>
      </w:r>
      <w:r>
        <w:rPr>
          <w:spacing w:val="-16"/>
        </w:rPr>
        <w:t> </w:t>
      </w:r>
      <w:r>
        <w:rPr/>
        <w:t>THREE</w:t>
      </w:r>
      <w:r>
        <w:rPr>
          <w:spacing w:val="-62"/>
        </w:rPr>
        <w:t> </w:t>
      </w:r>
      <w:r>
        <w:rPr/>
        <w:t>STYLISED</w:t>
      </w:r>
      <w:r>
        <w:rPr>
          <w:spacing w:val="-4"/>
        </w:rPr>
        <w:t> </w:t>
      </w:r>
      <w:bookmarkEnd w:id="23"/>
      <w:r>
        <w:rPr/>
        <w:t>FACTS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5"/>
        </w:rPr>
      </w:pPr>
    </w:p>
    <w:p>
      <w:pPr>
        <w:pStyle w:val="BodyText"/>
        <w:spacing w:line="360" w:lineRule="auto" w:before="1"/>
        <w:ind w:left="500" w:right="496"/>
        <w:jc w:val="both"/>
      </w:pPr>
      <w:r>
        <w:rPr/>
        <w:t>In this chapter, stylised facts that depict the empirical regularities surrounding the interaction</w:t>
      </w:r>
      <w:r>
        <w:rPr>
          <w:spacing w:val="1"/>
        </w:rPr>
        <w:t> </w:t>
      </w:r>
      <w:r>
        <w:rPr/>
        <w:t>among</w:t>
      </w:r>
      <w:r>
        <w:rPr>
          <w:spacing w:val="-6"/>
        </w:rPr>
        <w:t> </w:t>
      </w:r>
      <w:r>
        <w:rPr/>
        <w:t>major</w:t>
      </w:r>
      <w:r>
        <w:rPr>
          <w:spacing w:val="-1"/>
        </w:rPr>
        <w:t> </w:t>
      </w:r>
      <w:r>
        <w:rPr/>
        <w:t>economic</w:t>
      </w:r>
      <w:r>
        <w:rPr>
          <w:spacing w:val="-4"/>
        </w:rPr>
        <w:t> </w:t>
      </w:r>
      <w:r>
        <w:rPr/>
        <w:t>variables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context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study</w:t>
      </w:r>
      <w:r>
        <w:rPr>
          <w:spacing w:val="-8"/>
        </w:rPr>
        <w:t> </w:t>
      </w:r>
      <w:r>
        <w:rPr/>
        <w:t>are</w:t>
      </w:r>
      <w:r>
        <w:rPr>
          <w:spacing w:val="-5"/>
        </w:rPr>
        <w:t> </w:t>
      </w:r>
      <w:r>
        <w:rPr/>
        <w:t>presented.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chapter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divided</w:t>
      </w:r>
      <w:r>
        <w:rPr>
          <w:spacing w:val="-57"/>
        </w:rPr>
        <w:t> </w:t>
      </w:r>
      <w:r>
        <w:rPr/>
        <w:t>into five sections. In Section 3.1, the structure of the Nigerian economy is examined. The fiscal</w:t>
      </w:r>
      <w:r>
        <w:rPr>
          <w:spacing w:val="1"/>
        </w:rPr>
        <w:t> </w:t>
      </w:r>
      <w:r>
        <w:rPr/>
        <w:t>and monetary policy frameworks that exist in Nigeria are outlined in Section 3.2 and thereafter, a</w:t>
      </w:r>
      <w:r>
        <w:rPr>
          <w:spacing w:val="-57"/>
        </w:rPr>
        <w:t> </w:t>
      </w:r>
      <w:r>
        <w:rPr/>
        <w:t>trend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cycle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monetary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vis-à-vis</w:t>
      </w:r>
      <w:r>
        <w:rPr>
          <w:spacing w:val="1"/>
        </w:rPr>
        <w:t> </w:t>
      </w:r>
      <w:r>
        <w:rPr/>
        <w:t>macroeconomic</w:t>
      </w:r>
      <w:r>
        <w:rPr>
          <w:spacing w:val="4"/>
        </w:rPr>
        <w:t> </w:t>
      </w:r>
      <w:r>
        <w:rPr/>
        <w:t>outcomes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performed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order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generate</w:t>
      </w:r>
      <w:r>
        <w:rPr>
          <w:spacing w:val="5"/>
        </w:rPr>
        <w:t> </w:t>
      </w:r>
      <w:r>
        <w:rPr/>
        <w:t>relevant</w:t>
      </w:r>
      <w:r>
        <w:rPr>
          <w:spacing w:val="6"/>
        </w:rPr>
        <w:t> </w:t>
      </w:r>
      <w:r>
        <w:rPr/>
        <w:t>preliminary</w:t>
      </w:r>
      <w:r>
        <w:rPr>
          <w:spacing w:val="1"/>
        </w:rPr>
        <w:t> </w:t>
      </w:r>
      <w:r>
        <w:rPr/>
        <w:t>facts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Section</w:t>
      </w:r>
    </w:p>
    <w:p>
      <w:pPr>
        <w:pStyle w:val="BodyText"/>
        <w:spacing w:line="360" w:lineRule="auto"/>
        <w:ind w:left="500" w:right="491"/>
        <w:jc w:val="both"/>
      </w:pPr>
      <w:r>
        <w:rPr/>
        <w:t>3.3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Section</w:t>
      </w:r>
      <w:r>
        <w:rPr>
          <w:spacing w:val="-13"/>
        </w:rPr>
        <w:t> </w:t>
      </w:r>
      <w:r>
        <w:rPr/>
        <w:t>3.4.</w:t>
      </w:r>
      <w:r>
        <w:rPr>
          <w:spacing w:val="-11"/>
        </w:rPr>
        <w:t> </w:t>
      </w:r>
      <w:r>
        <w:rPr/>
        <w:t>In</w:t>
      </w:r>
      <w:r>
        <w:rPr>
          <w:spacing w:val="-13"/>
        </w:rPr>
        <w:t> </w:t>
      </w:r>
      <w:r>
        <w:rPr/>
        <w:t>Section</w:t>
      </w:r>
      <w:r>
        <w:rPr>
          <w:spacing w:val="-13"/>
        </w:rPr>
        <w:t> </w:t>
      </w:r>
      <w:r>
        <w:rPr/>
        <w:t>3.5,</w:t>
      </w:r>
      <w:r>
        <w:rPr>
          <w:spacing w:val="-13"/>
        </w:rPr>
        <w:t> </w:t>
      </w:r>
      <w:r>
        <w:rPr/>
        <w:t>empirical</w:t>
      </w:r>
      <w:r>
        <w:rPr>
          <w:spacing w:val="-13"/>
        </w:rPr>
        <w:t> </w:t>
      </w:r>
      <w:r>
        <w:rPr/>
        <w:t>facts</w:t>
      </w:r>
      <w:r>
        <w:rPr>
          <w:spacing w:val="-13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alternative</w:t>
      </w:r>
      <w:r>
        <w:rPr>
          <w:spacing w:val="-12"/>
        </w:rPr>
        <w:t> </w:t>
      </w:r>
      <w:r>
        <w:rPr/>
        <w:t>assumptions</w:t>
      </w:r>
      <w:r>
        <w:rPr>
          <w:spacing w:val="-13"/>
        </w:rPr>
        <w:t> </w:t>
      </w:r>
      <w:r>
        <w:rPr/>
        <w:t>used</w:t>
      </w:r>
      <w:r>
        <w:rPr>
          <w:spacing w:val="-13"/>
        </w:rPr>
        <w:t> </w:t>
      </w:r>
      <w:r>
        <w:rPr/>
        <w:t>in</w:t>
      </w:r>
      <w:r>
        <w:rPr>
          <w:spacing w:val="-8"/>
        </w:rPr>
        <w:t> </w:t>
      </w:r>
      <w:r>
        <w:rPr/>
        <w:t>this</w:t>
      </w:r>
      <w:r>
        <w:rPr>
          <w:spacing w:val="-13"/>
        </w:rPr>
        <w:t> </w:t>
      </w:r>
      <w:r>
        <w:rPr/>
        <w:t>study</w:t>
      </w:r>
      <w:r>
        <w:rPr>
          <w:spacing w:val="-58"/>
        </w:rPr>
        <w:t> </w:t>
      </w:r>
      <w:r>
        <w:rPr/>
        <w:t>are</w:t>
      </w:r>
      <w:r>
        <w:rPr>
          <w:spacing w:val="-3"/>
        </w:rPr>
        <w:t> </w:t>
      </w:r>
      <w:r>
        <w:rPr/>
        <w:t>presented.</w:t>
      </w:r>
    </w:p>
    <w:p>
      <w:pPr>
        <w:pStyle w:val="Heading1"/>
        <w:numPr>
          <w:ilvl w:val="1"/>
          <w:numId w:val="16"/>
        </w:numPr>
        <w:tabs>
          <w:tab w:pos="955" w:val="left" w:leader="none"/>
        </w:tabs>
        <w:spacing w:line="240" w:lineRule="auto" w:before="208" w:after="0"/>
        <w:ind w:left="954" w:right="0" w:hanging="455"/>
        <w:jc w:val="both"/>
      </w:pPr>
      <w:bookmarkStart w:name="_TOC_250036" w:id="24"/>
      <w:r>
        <w:rPr/>
        <w:t>Structure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 Nigerian</w:t>
      </w:r>
      <w:r>
        <w:rPr>
          <w:spacing w:val="-1"/>
        </w:rPr>
        <w:t> </w:t>
      </w:r>
      <w:bookmarkEnd w:id="24"/>
      <w:r>
        <w:rPr/>
        <w:t>Economy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360" w:lineRule="auto" w:before="1"/>
        <w:ind w:left="500" w:right="498"/>
        <w:jc w:val="both"/>
      </w:pPr>
      <w:r>
        <w:rPr/>
        <w:t>The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multifaceted.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sense,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encompasses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interrelated system- institutional, demographic, geographical, etc- through which activities in an</w:t>
      </w:r>
      <w:r>
        <w:rPr>
          <w:spacing w:val="1"/>
        </w:rPr>
        <w:t> </w:t>
      </w:r>
      <w:r>
        <w:rPr/>
        <w:t>economy are coordinated (Anyanwu, 1997). But in a narrow sense, it outlines the patterns and</w:t>
      </w:r>
      <w:r>
        <w:rPr>
          <w:spacing w:val="1"/>
        </w:rPr>
        <w:t> </w:t>
      </w:r>
      <w:r>
        <w:rPr/>
        <w:t>composition of relevant sectors as they determine performance in an economy over a period. In</w:t>
      </w:r>
      <w:r>
        <w:rPr>
          <w:spacing w:val="1"/>
        </w:rPr>
        <w:t> </w:t>
      </w:r>
      <w:r>
        <w:rPr/>
        <w:t>other</w:t>
      </w:r>
      <w:r>
        <w:rPr>
          <w:spacing w:val="-12"/>
        </w:rPr>
        <w:t> </w:t>
      </w:r>
      <w:r>
        <w:rPr/>
        <w:t>words,</w:t>
      </w:r>
      <w:r>
        <w:rPr>
          <w:spacing w:val="-11"/>
        </w:rPr>
        <w:t> </w:t>
      </w:r>
      <w:r>
        <w:rPr/>
        <w:t>it</w:t>
      </w:r>
      <w:r>
        <w:rPr>
          <w:spacing w:val="-9"/>
        </w:rPr>
        <w:t> </w:t>
      </w:r>
      <w:r>
        <w:rPr/>
        <w:t>presents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patterns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composition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consumption,</w:t>
      </w:r>
      <w:r>
        <w:rPr>
          <w:spacing w:val="-11"/>
        </w:rPr>
        <w:t> </w:t>
      </w:r>
      <w:r>
        <w:rPr/>
        <w:t>employment,</w:t>
      </w:r>
      <w:r>
        <w:rPr>
          <w:spacing w:val="-10"/>
        </w:rPr>
        <w:t> </w:t>
      </w:r>
      <w:r>
        <w:rPr/>
        <w:t>trade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most</w:t>
      </w:r>
      <w:r>
        <w:rPr>
          <w:spacing w:val="-58"/>
        </w:rPr>
        <w:t> </w:t>
      </w:r>
      <w:r>
        <w:rPr/>
        <w:t>essentially</w:t>
      </w:r>
      <w:r>
        <w:rPr>
          <w:spacing w:val="-6"/>
        </w:rPr>
        <w:t> </w:t>
      </w:r>
      <w:r>
        <w:rPr/>
        <w:t>the production base</w:t>
      </w:r>
      <w:r>
        <w:rPr>
          <w:spacing w:val="-1"/>
        </w:rPr>
        <w:t> </w:t>
      </w:r>
      <w:r>
        <w:rPr/>
        <w:t>in an economy.</w:t>
      </w:r>
    </w:p>
    <w:p>
      <w:pPr>
        <w:pStyle w:val="BodyText"/>
        <w:spacing w:line="360" w:lineRule="auto" w:before="202"/>
        <w:ind w:left="500" w:right="497"/>
        <w:jc w:val="both"/>
      </w:pPr>
      <w:r>
        <w:rPr/>
        <w:t>By production base, many national economies are divided into three: the primary, secondary and</w:t>
      </w:r>
      <w:r>
        <w:rPr>
          <w:spacing w:val="1"/>
        </w:rPr>
        <w:t> </w:t>
      </w:r>
      <w:r>
        <w:rPr/>
        <w:t>tertiary sectors. The economy of Nigeria, in the same vein, is structurally divided into these three</w:t>
      </w:r>
      <w:r>
        <w:rPr>
          <w:spacing w:val="-57"/>
        </w:rPr>
        <w:t> </w:t>
      </w:r>
      <w:r>
        <w:rPr/>
        <w:t>sectors.</w:t>
      </w:r>
      <w:r>
        <w:rPr>
          <w:spacing w:val="1"/>
        </w:rPr>
        <w:t> </w:t>
      </w:r>
      <w:r>
        <w:rPr/>
        <w:t>The primary sector</w:t>
      </w:r>
      <w:r>
        <w:rPr>
          <w:spacing w:val="1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productive activities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includes agriculture, mining and quarrying while productive activities in the secondary sector</w:t>
      </w:r>
      <w:r>
        <w:rPr>
          <w:spacing w:val="1"/>
        </w:rPr>
        <w:t> </w:t>
      </w:r>
      <w:r>
        <w:rPr/>
        <w:t>consists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processing</w:t>
      </w:r>
      <w:r>
        <w:rPr>
          <w:spacing w:val="-13"/>
        </w:rPr>
        <w:t> </w:t>
      </w:r>
      <w:r>
        <w:rPr/>
        <w:t>primary</w:t>
      </w:r>
      <w:r>
        <w:rPr>
          <w:spacing w:val="-12"/>
        </w:rPr>
        <w:t> </w:t>
      </w:r>
      <w:r>
        <w:rPr/>
        <w:t>commodities.</w:t>
      </w:r>
      <w:r>
        <w:rPr>
          <w:spacing w:val="-9"/>
        </w:rPr>
        <w:t> </w:t>
      </w:r>
      <w:r>
        <w:rPr/>
        <w:t>It</w:t>
      </w:r>
      <w:r>
        <w:rPr>
          <w:spacing w:val="-8"/>
        </w:rPr>
        <w:t> </w:t>
      </w:r>
      <w:r>
        <w:rPr/>
        <w:t>includes</w:t>
      </w:r>
      <w:r>
        <w:rPr>
          <w:spacing w:val="-6"/>
        </w:rPr>
        <w:t> </w:t>
      </w:r>
      <w:r>
        <w:rPr/>
        <w:t>manufacturing,</w:t>
      </w:r>
      <w:r>
        <w:rPr>
          <w:spacing w:val="-11"/>
        </w:rPr>
        <w:t> </w:t>
      </w:r>
      <w:r>
        <w:rPr/>
        <w:t>building</w:t>
      </w:r>
      <w:r>
        <w:rPr>
          <w:spacing w:val="-11"/>
        </w:rPr>
        <w:t> </w:t>
      </w:r>
      <w:r>
        <w:rPr/>
        <w:t>and</w:t>
      </w:r>
      <w:r>
        <w:rPr>
          <w:spacing w:val="-8"/>
        </w:rPr>
        <w:t> </w:t>
      </w:r>
      <w:r>
        <w:rPr/>
        <w:t>construction.</w:t>
      </w:r>
      <w:r>
        <w:rPr>
          <w:spacing w:val="-58"/>
        </w:rPr>
        <w:t> </w:t>
      </w:r>
      <w:r>
        <w:rPr/>
        <w:t>Essentially, services ranging from transport, communication and finance belong to the tertiary</w:t>
      </w:r>
      <w:r>
        <w:rPr>
          <w:spacing w:val="1"/>
        </w:rPr>
        <w:t> </w:t>
      </w:r>
      <w:r>
        <w:rPr/>
        <w:t>sector.</w:t>
      </w:r>
      <w:r>
        <w:rPr>
          <w:spacing w:val="-1"/>
        </w:rPr>
        <w:t> </w:t>
      </w:r>
      <w:r>
        <w:rPr/>
        <w:t>This classification is depicted in Table 3.1.</w:t>
      </w:r>
    </w:p>
    <w:p>
      <w:pPr>
        <w:spacing w:after="0" w:line="360" w:lineRule="auto"/>
        <w:jc w:val="both"/>
        <w:sectPr>
          <w:pgSz w:w="12240" w:h="15840"/>
          <w:pgMar w:header="0" w:footer="935" w:top="1500" w:bottom="1200" w:left="940" w:right="940"/>
        </w:sectPr>
      </w:pPr>
    </w:p>
    <w:p>
      <w:pPr>
        <w:pStyle w:val="Heading3"/>
        <w:spacing w:before="79"/>
        <w:ind w:left="1333" w:right="1335"/>
        <w:jc w:val="center"/>
      </w:pPr>
      <w:r>
        <w:rPr/>
        <w:t>Table</w:t>
      </w:r>
      <w:r>
        <w:rPr>
          <w:spacing w:val="-2"/>
        </w:rPr>
        <w:t> </w:t>
      </w:r>
      <w:r>
        <w:rPr/>
        <w:t>3.1:</w:t>
      </w:r>
      <w:r>
        <w:rPr>
          <w:spacing w:val="-4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Nigerian Economy by</w:t>
      </w:r>
      <w:r>
        <w:rPr>
          <w:spacing w:val="-2"/>
        </w:rPr>
        <w:t> </w:t>
      </w:r>
      <w:r>
        <w:rPr/>
        <w:t>Sectors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8"/>
        <w:gridCol w:w="3226"/>
        <w:gridCol w:w="2693"/>
      </w:tblGrid>
      <w:tr>
        <w:trPr>
          <w:trHeight w:val="381" w:hRule="atLeast"/>
        </w:trPr>
        <w:tc>
          <w:tcPr>
            <w:tcW w:w="3298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Primary</w:t>
            </w:r>
          </w:p>
        </w:tc>
        <w:tc>
          <w:tcPr>
            <w:tcW w:w="3226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Secondary</w:t>
            </w:r>
          </w:p>
        </w:tc>
        <w:tc>
          <w:tcPr>
            <w:tcW w:w="2693" w:type="dxa"/>
          </w:tcPr>
          <w:p>
            <w:pPr>
              <w:pStyle w:val="TableParagraph"/>
              <w:spacing w:line="249" w:lineRule="exact"/>
              <w:ind w:left="878"/>
              <w:rPr>
                <w:sz w:val="22"/>
              </w:rPr>
            </w:pPr>
            <w:r>
              <w:rPr>
                <w:sz w:val="22"/>
              </w:rPr>
              <w:t>Tertiary</w:t>
            </w:r>
          </w:p>
        </w:tc>
      </w:tr>
      <w:tr>
        <w:trPr>
          <w:trHeight w:val="309" w:hRule="atLeast"/>
        </w:trPr>
        <w:tc>
          <w:tcPr>
            <w:tcW w:w="3298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215"/>
              <w:rPr>
                <w:sz w:val="22"/>
              </w:rPr>
            </w:pPr>
            <w:r>
              <w:rPr>
                <w:sz w:val="22"/>
              </w:rPr>
              <w:t>Agriculture</w:t>
            </w:r>
          </w:p>
        </w:tc>
        <w:tc>
          <w:tcPr>
            <w:tcW w:w="3226" w:type="dxa"/>
            <w:vMerge w:val="restart"/>
          </w:tcPr>
          <w:p>
            <w:pPr>
              <w:pStyle w:val="TableParagraph"/>
              <w:spacing w:line="247" w:lineRule="exact"/>
              <w:ind w:left="0" w:right="561"/>
              <w:jc w:val="right"/>
              <w:rPr>
                <w:sz w:val="22"/>
              </w:rPr>
            </w:pPr>
            <w:r>
              <w:rPr>
                <w:sz w:val="22"/>
              </w:rPr>
              <w:t>(c)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Manufacturing</w:t>
            </w:r>
          </w:p>
          <w:p>
            <w:pPr>
              <w:pStyle w:val="TableParagraph"/>
              <w:spacing w:before="126"/>
              <w:ind w:left="0" w:right="510"/>
              <w:jc w:val="right"/>
              <w:rPr>
                <w:sz w:val="22"/>
              </w:rPr>
            </w:pPr>
            <w:r>
              <w:rPr>
                <w:sz w:val="22"/>
              </w:rPr>
              <w:t>Oil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Refining</w:t>
            </w:r>
          </w:p>
          <w:p>
            <w:pPr>
              <w:pStyle w:val="TableParagraph"/>
              <w:spacing w:before="10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598"/>
              <w:rPr>
                <w:sz w:val="22"/>
              </w:rPr>
            </w:pPr>
            <w:r>
              <w:rPr>
                <w:sz w:val="22"/>
              </w:rPr>
              <w:t>Cement</w:t>
            </w:r>
          </w:p>
          <w:p>
            <w:pPr>
              <w:pStyle w:val="TableParagraph"/>
              <w:spacing w:line="360" w:lineRule="auto" w:before="129"/>
              <w:ind w:left="991" w:right="286" w:firstLine="55"/>
              <w:rPr>
                <w:sz w:val="22"/>
              </w:rPr>
            </w:pPr>
            <w:r>
              <w:rPr>
                <w:sz w:val="22"/>
              </w:rPr>
              <w:t>Other Manufacturing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Construction</w:t>
            </w:r>
          </w:p>
        </w:tc>
        <w:tc>
          <w:tcPr>
            <w:tcW w:w="2693" w:type="dxa"/>
            <w:vMerge w:val="restart"/>
          </w:tcPr>
          <w:p>
            <w:pPr>
              <w:pStyle w:val="TableParagraph"/>
              <w:spacing w:line="381" w:lineRule="auto"/>
              <w:ind w:left="215" w:right="1702"/>
              <w:rPr>
                <w:sz w:val="22"/>
              </w:rPr>
            </w:pPr>
            <w:r>
              <w:rPr>
                <w:sz w:val="22"/>
              </w:rPr>
              <w:t>Trade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Services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626" w:val="left" w:leader="none"/>
              </w:tabs>
              <w:spacing w:line="240" w:lineRule="auto" w:before="0" w:after="0"/>
              <w:ind w:left="625" w:right="0" w:hanging="300"/>
              <w:jc w:val="left"/>
              <w:rPr>
                <w:sz w:val="22"/>
              </w:rPr>
            </w:pPr>
            <w:r>
              <w:rPr>
                <w:sz w:val="22"/>
              </w:rPr>
              <w:t>Transport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586" w:val="left" w:leader="none"/>
              </w:tabs>
              <w:spacing w:line="240" w:lineRule="auto" w:before="145" w:after="0"/>
              <w:ind w:left="215" w:right="673" w:firstLine="110"/>
              <w:jc w:val="left"/>
              <w:rPr>
                <w:sz w:val="20"/>
              </w:rPr>
            </w:pPr>
            <w:r>
              <w:rPr>
                <w:sz w:val="22"/>
              </w:rPr>
              <w:t>Information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Communication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629" w:val="left" w:leader="none"/>
              </w:tabs>
              <w:spacing w:line="251" w:lineRule="exact" w:before="0" w:after="0"/>
              <w:ind w:left="628" w:right="0" w:hanging="303"/>
              <w:jc w:val="left"/>
              <w:rPr>
                <w:sz w:val="22"/>
              </w:rPr>
            </w:pPr>
            <w:r>
              <w:rPr>
                <w:sz w:val="22"/>
              </w:rPr>
              <w:t>Utilities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641" w:val="left" w:leader="none"/>
              </w:tabs>
              <w:spacing w:line="240" w:lineRule="auto" w:before="151" w:after="0"/>
              <w:ind w:left="215" w:right="348" w:firstLine="110"/>
              <w:jc w:val="left"/>
              <w:rPr>
                <w:sz w:val="22"/>
              </w:rPr>
            </w:pPr>
            <w:r>
              <w:rPr>
                <w:sz w:val="22"/>
              </w:rPr>
              <w:t>Accommodation &amp;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Food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Services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574" w:val="left" w:leader="none"/>
              </w:tabs>
              <w:spacing w:line="240" w:lineRule="auto" w:before="1" w:after="0"/>
              <w:ind w:left="573" w:right="0" w:hanging="303"/>
              <w:jc w:val="left"/>
              <w:rPr>
                <w:sz w:val="22"/>
              </w:rPr>
            </w:pPr>
            <w:r>
              <w:rPr>
                <w:sz w:val="22"/>
              </w:rPr>
              <w:t>Finance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Insurance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548" w:val="left" w:leader="none"/>
              </w:tabs>
              <w:spacing w:line="240" w:lineRule="auto" w:before="156" w:after="0"/>
              <w:ind w:left="547" w:right="0" w:hanging="285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Real</w:t>
            </w:r>
            <w:r>
              <w:rPr>
                <w:rFonts w:ascii="Cambria"/>
                <w:spacing w:val="-3"/>
                <w:sz w:val="22"/>
              </w:rPr>
              <w:t> </w:t>
            </w:r>
            <w:r>
              <w:rPr>
                <w:rFonts w:ascii="Cambria"/>
                <w:sz w:val="22"/>
              </w:rPr>
              <w:t>Estate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541" w:val="left" w:leader="none"/>
              </w:tabs>
              <w:spacing w:line="240" w:lineRule="auto" w:before="1" w:after="0"/>
              <w:ind w:left="215" w:right="452" w:firstLine="0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Professional,</w:t>
            </w:r>
            <w:r>
              <w:rPr>
                <w:rFonts w:ascii="Cambria"/>
                <w:spacing w:val="1"/>
                <w:sz w:val="22"/>
              </w:rPr>
              <w:t> </w:t>
            </w:r>
            <w:r>
              <w:rPr>
                <w:rFonts w:ascii="Cambria"/>
                <w:sz w:val="22"/>
              </w:rPr>
              <w:t>Scientific &amp; Technical</w:t>
            </w:r>
            <w:r>
              <w:rPr>
                <w:rFonts w:ascii="Cambria"/>
                <w:spacing w:val="-46"/>
                <w:sz w:val="22"/>
              </w:rPr>
              <w:t> </w:t>
            </w:r>
            <w:r>
              <w:rPr>
                <w:rFonts w:ascii="Cambria"/>
                <w:sz w:val="22"/>
              </w:rPr>
              <w:t>Serv.</w:t>
            </w:r>
          </w:p>
          <w:p>
            <w:pPr>
              <w:pStyle w:val="TableParagraph"/>
              <w:spacing w:before="3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555" w:val="left" w:leader="none"/>
              </w:tabs>
              <w:spacing w:line="240" w:lineRule="auto" w:before="0" w:after="0"/>
              <w:ind w:left="215" w:right="314" w:firstLine="0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Administrative and</w:t>
            </w:r>
            <w:r>
              <w:rPr>
                <w:rFonts w:ascii="Cambria"/>
                <w:spacing w:val="-46"/>
                <w:sz w:val="22"/>
              </w:rPr>
              <w:t> </w:t>
            </w:r>
            <w:r>
              <w:rPr>
                <w:rFonts w:ascii="Cambria"/>
                <w:sz w:val="22"/>
              </w:rPr>
              <w:t>Support Services</w:t>
            </w:r>
            <w:r>
              <w:rPr>
                <w:rFonts w:ascii="Cambria"/>
                <w:spacing w:val="1"/>
                <w:sz w:val="22"/>
              </w:rPr>
              <w:t> </w:t>
            </w:r>
            <w:r>
              <w:rPr>
                <w:rFonts w:ascii="Cambria"/>
                <w:sz w:val="22"/>
              </w:rPr>
              <w:t>Business Services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639" w:val="left" w:leader="none"/>
              </w:tabs>
              <w:spacing w:line="240" w:lineRule="auto" w:before="1" w:after="0"/>
              <w:ind w:left="215" w:right="1032" w:firstLine="96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Public</w:t>
            </w:r>
            <w:r>
              <w:rPr>
                <w:rFonts w:ascii="Cambria"/>
                <w:spacing w:val="1"/>
                <w:sz w:val="22"/>
              </w:rPr>
              <w:t> </w:t>
            </w:r>
            <w:r>
              <w:rPr>
                <w:rFonts w:ascii="Cambria"/>
                <w:sz w:val="22"/>
              </w:rPr>
              <w:t>Administration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635" w:val="left" w:leader="none"/>
              </w:tabs>
              <w:spacing w:line="240" w:lineRule="auto" w:before="1" w:after="0"/>
              <w:ind w:left="634" w:right="0" w:hanging="324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Education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548" w:val="left" w:leader="none"/>
              </w:tabs>
              <w:spacing w:line="240" w:lineRule="auto" w:before="145" w:after="0"/>
              <w:ind w:left="215" w:right="574" w:firstLine="0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Human Health &amp;</w:t>
            </w:r>
            <w:r>
              <w:rPr>
                <w:rFonts w:ascii="Cambria"/>
                <w:spacing w:val="-46"/>
                <w:sz w:val="22"/>
              </w:rPr>
              <w:t> </w:t>
            </w:r>
            <w:r>
              <w:rPr>
                <w:rFonts w:ascii="Cambria"/>
                <w:sz w:val="22"/>
              </w:rPr>
              <w:t>Social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z w:val="22"/>
              </w:rPr>
              <w:t>Services</w:t>
            </w:r>
          </w:p>
          <w:p>
            <w:pPr>
              <w:pStyle w:val="TableParagraph"/>
              <w:spacing w:before="4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541" w:val="left" w:leader="none"/>
              </w:tabs>
              <w:spacing w:line="240" w:lineRule="auto" w:before="0" w:after="0"/>
              <w:ind w:left="215" w:right="271" w:firstLine="0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Arts, Entertainment</w:t>
            </w:r>
            <w:r>
              <w:rPr>
                <w:rFonts w:ascii="Cambria"/>
                <w:spacing w:val="-46"/>
                <w:sz w:val="22"/>
              </w:rPr>
              <w:t> </w:t>
            </w:r>
            <w:r>
              <w:rPr>
                <w:rFonts w:ascii="Cambria"/>
                <w:sz w:val="22"/>
              </w:rPr>
              <w:t>&amp;</w:t>
            </w:r>
            <w:r>
              <w:rPr>
                <w:rFonts w:ascii="Cambria"/>
                <w:spacing w:val="-1"/>
                <w:sz w:val="22"/>
              </w:rPr>
              <w:t> </w:t>
            </w:r>
            <w:r>
              <w:rPr>
                <w:rFonts w:ascii="Cambria"/>
                <w:sz w:val="22"/>
              </w:rPr>
              <w:t>Recreation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665" w:val="left" w:leader="none"/>
              </w:tabs>
              <w:spacing w:line="240" w:lineRule="auto" w:before="0" w:after="0"/>
              <w:ind w:left="664" w:right="0" w:hanging="402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Other</w:t>
            </w:r>
            <w:r>
              <w:rPr>
                <w:rFonts w:ascii="Cambria"/>
                <w:spacing w:val="-9"/>
                <w:sz w:val="22"/>
              </w:rPr>
              <w:t> </w:t>
            </w:r>
            <w:r>
              <w:rPr>
                <w:rFonts w:ascii="Cambria"/>
                <w:sz w:val="22"/>
              </w:rPr>
              <w:t>Services</w:t>
            </w:r>
          </w:p>
        </w:tc>
      </w:tr>
      <w:tr>
        <w:trPr>
          <w:trHeight w:val="369" w:hRule="atLeast"/>
        </w:trPr>
        <w:tc>
          <w:tcPr>
            <w:tcW w:w="32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326"/>
              <w:rPr>
                <w:sz w:val="22"/>
              </w:rPr>
            </w:pPr>
            <w:r>
              <w:rPr>
                <w:sz w:val="22"/>
              </w:rPr>
              <w:t>(a)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Crop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Production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32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326"/>
              <w:rPr>
                <w:sz w:val="22"/>
              </w:rPr>
            </w:pPr>
            <w:r>
              <w:rPr>
                <w:sz w:val="22"/>
              </w:rPr>
              <w:t>(b)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Livestock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32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326"/>
              <w:rPr>
                <w:sz w:val="22"/>
              </w:rPr>
            </w:pPr>
            <w:r>
              <w:rPr>
                <w:sz w:val="22"/>
              </w:rPr>
              <w:t>(c)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Forestry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32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326"/>
              <w:rPr>
                <w:sz w:val="22"/>
              </w:rPr>
            </w:pPr>
            <w:r>
              <w:rPr>
                <w:sz w:val="22"/>
              </w:rPr>
              <w:t>(d)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Fishing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32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215"/>
              <w:rPr>
                <w:sz w:val="22"/>
              </w:rPr>
            </w:pPr>
            <w:r>
              <w:rPr>
                <w:sz w:val="22"/>
              </w:rPr>
              <w:t>Industry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0" w:hRule="atLeast"/>
        </w:trPr>
        <w:tc>
          <w:tcPr>
            <w:tcW w:w="32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5"/>
              <w:ind w:left="326"/>
              <w:rPr>
                <w:sz w:val="22"/>
              </w:rPr>
            </w:pPr>
            <w:r>
              <w:rPr>
                <w:sz w:val="22"/>
              </w:rPr>
              <w:t>(a) Crude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Petroleum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Natural</w:t>
            </w:r>
          </w:p>
          <w:p>
            <w:pPr>
              <w:pStyle w:val="TableParagraph"/>
              <w:spacing w:before="126"/>
              <w:ind w:left="215"/>
              <w:rPr>
                <w:sz w:val="22"/>
              </w:rPr>
            </w:pPr>
            <w:r>
              <w:rPr>
                <w:sz w:val="22"/>
              </w:rPr>
              <w:t>Gas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32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326"/>
              <w:rPr>
                <w:sz w:val="22"/>
              </w:rPr>
            </w:pPr>
            <w:r>
              <w:rPr>
                <w:sz w:val="22"/>
              </w:rPr>
              <w:t>(b)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Solid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Minerals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32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822"/>
              <w:rPr>
                <w:sz w:val="22"/>
              </w:rPr>
            </w:pPr>
            <w:r>
              <w:rPr>
                <w:sz w:val="22"/>
              </w:rPr>
              <w:t>Coal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Mining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32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822"/>
              <w:rPr>
                <w:sz w:val="22"/>
              </w:rPr>
            </w:pPr>
            <w:r>
              <w:rPr>
                <w:sz w:val="22"/>
              </w:rPr>
              <w:t>Metal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Ores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42" w:hRule="atLeast"/>
        </w:trPr>
        <w:tc>
          <w:tcPr>
            <w:tcW w:w="3298" w:type="dxa"/>
            <w:tcBorders>
              <w:top w:val="nil"/>
            </w:tcBorders>
          </w:tcPr>
          <w:p>
            <w:pPr>
              <w:pStyle w:val="TableParagraph"/>
              <w:spacing w:line="360" w:lineRule="auto" w:before="53"/>
              <w:ind w:left="215" w:right="768" w:firstLine="607"/>
              <w:rPr>
                <w:sz w:val="22"/>
              </w:rPr>
            </w:pPr>
            <w:r>
              <w:rPr>
                <w:sz w:val="22"/>
              </w:rPr>
              <w:t>Quarrying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Mining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ind w:left="500"/>
        <w:jc w:val="both"/>
      </w:pPr>
      <w:r>
        <w:rPr/>
        <w:t>Source:</w:t>
      </w:r>
      <w:r>
        <w:rPr>
          <w:spacing w:val="-3"/>
        </w:rPr>
        <w:t> </w:t>
      </w:r>
      <w:r>
        <w:rPr/>
        <w:t>CBN</w:t>
      </w:r>
      <w:r>
        <w:rPr>
          <w:spacing w:val="-2"/>
        </w:rPr>
        <w:t> </w:t>
      </w:r>
      <w:r>
        <w:rPr/>
        <w:t>Statistical Bulletin,</w:t>
      </w:r>
      <w:r>
        <w:rPr>
          <w:spacing w:val="-2"/>
        </w:rPr>
        <w:t> </w:t>
      </w:r>
      <w:r>
        <w:rPr/>
        <w:t>2015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/>
        <w:ind w:left="500" w:right="494"/>
        <w:jc w:val="both"/>
      </w:pPr>
      <w:r>
        <w:rPr/>
        <w:t>Just like most economies in Sub-Saharan Africa, the structure of Nigeria’s economy for most of</w:t>
      </w:r>
      <w:r>
        <w:rPr>
          <w:spacing w:val="1"/>
        </w:rPr>
        <w:t> </w:t>
      </w:r>
      <w:r>
        <w:rPr/>
        <w:t>the last five decades has been largely skewed to the primary sector activities. Since 1960, for</w:t>
      </w:r>
      <w:r>
        <w:rPr>
          <w:spacing w:val="1"/>
        </w:rPr>
        <w:t> </w:t>
      </w:r>
      <w:r>
        <w:rPr/>
        <w:t>instance, Nigeria has continued to depend heavily on the primary sector. Table 3.2 reveals that</w:t>
      </w:r>
      <w:r>
        <w:rPr>
          <w:spacing w:val="1"/>
        </w:rPr>
        <w:t> </w:t>
      </w:r>
      <w:r>
        <w:rPr/>
        <w:t>since 1960, the primary sector has continued to contribute the most to nominal Gross domestic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tertiary</w:t>
      </w:r>
      <w:r>
        <w:rPr>
          <w:spacing w:val="1"/>
        </w:rPr>
        <w:t> </w:t>
      </w:r>
      <w:r>
        <w:rPr/>
        <w:t>sectors.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Agriculture, Crude oil, Natural Gas and Solid Minerals, accounts for about 65 percent of real</w:t>
      </w:r>
      <w:r>
        <w:rPr>
          <w:spacing w:val="1"/>
        </w:rPr>
        <w:t> </w:t>
      </w:r>
      <w:r>
        <w:rPr/>
        <w:t>output and over 80 percent of government revenues. The sector accounts for over 90 percent of</w:t>
      </w:r>
      <w:r>
        <w:rPr>
          <w:spacing w:val="1"/>
        </w:rPr>
        <w:t> </w:t>
      </w:r>
      <w:r>
        <w:rPr/>
        <w:t>export</w:t>
      </w:r>
      <w:r>
        <w:rPr>
          <w:spacing w:val="33"/>
        </w:rPr>
        <w:t> </w:t>
      </w:r>
      <w:r>
        <w:rPr/>
        <w:t>earnings</w:t>
      </w:r>
      <w:r>
        <w:rPr>
          <w:spacing w:val="34"/>
        </w:rPr>
        <w:t> </w:t>
      </w:r>
      <w:r>
        <w:rPr/>
        <w:t>and</w:t>
      </w:r>
      <w:r>
        <w:rPr>
          <w:spacing w:val="33"/>
        </w:rPr>
        <w:t> </w:t>
      </w:r>
      <w:r>
        <w:rPr/>
        <w:t>75</w:t>
      </w:r>
      <w:r>
        <w:rPr>
          <w:spacing w:val="34"/>
        </w:rPr>
        <w:t> </w:t>
      </w:r>
      <w:r>
        <w:rPr/>
        <w:t>percent</w:t>
      </w:r>
      <w:r>
        <w:rPr>
          <w:spacing w:val="34"/>
        </w:rPr>
        <w:t> </w:t>
      </w:r>
      <w:r>
        <w:rPr/>
        <w:t>of</w:t>
      </w:r>
      <w:r>
        <w:rPr>
          <w:spacing w:val="33"/>
        </w:rPr>
        <w:t> </w:t>
      </w:r>
      <w:r>
        <w:rPr/>
        <w:t>employment.</w:t>
      </w:r>
      <w:r>
        <w:rPr>
          <w:spacing w:val="35"/>
        </w:rPr>
        <w:t> </w:t>
      </w:r>
      <w:r>
        <w:rPr/>
        <w:t>An</w:t>
      </w:r>
      <w:r>
        <w:rPr>
          <w:spacing w:val="33"/>
        </w:rPr>
        <w:t> </w:t>
      </w:r>
      <w:r>
        <w:rPr/>
        <w:t>implication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this</w:t>
      </w:r>
      <w:r>
        <w:rPr>
          <w:spacing w:val="34"/>
        </w:rPr>
        <w:t> </w:t>
      </w:r>
      <w:r>
        <w:rPr/>
        <w:t>structural</w:t>
      </w:r>
      <w:r>
        <w:rPr>
          <w:spacing w:val="34"/>
        </w:rPr>
        <w:t> </w:t>
      </w:r>
      <w:r>
        <w:rPr/>
        <w:t>trend</w:t>
      </w:r>
      <w:r>
        <w:rPr>
          <w:spacing w:val="33"/>
        </w:rPr>
        <w:t> </w:t>
      </w:r>
      <w:r>
        <w:rPr/>
        <w:t>is</w:t>
      </w:r>
      <w:r>
        <w:rPr>
          <w:spacing w:val="35"/>
        </w:rPr>
        <w:t> </w:t>
      </w:r>
      <w:r>
        <w:rPr/>
        <w:t>that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line="360" w:lineRule="auto" w:before="74"/>
        <w:ind w:left="500" w:right="502"/>
        <w:jc w:val="both"/>
      </w:pPr>
      <w:r>
        <w:rPr/>
        <w:t>Nigeria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narrowly</w:t>
      </w:r>
      <w:r>
        <w:rPr>
          <w:spacing w:val="1"/>
        </w:rPr>
        <w:t> </w:t>
      </w:r>
      <w:r>
        <w:rPr/>
        <w:t>diversified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externally</w:t>
      </w:r>
      <w:r>
        <w:rPr>
          <w:spacing w:val="1"/>
        </w:rPr>
        <w:t> </w:t>
      </w:r>
      <w:r>
        <w:rPr/>
        <w:t>oriented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her</w:t>
      </w:r>
      <w:r>
        <w:rPr>
          <w:spacing w:val="-57"/>
        </w:rPr>
        <w:t> </w:t>
      </w:r>
      <w:r>
        <w:rPr>
          <w:spacing w:val="-1"/>
        </w:rPr>
        <w:t>vulnerable</w:t>
      </w:r>
      <w:r>
        <w:rPr>
          <w:spacing w:val="-13"/>
        </w:rPr>
        <w:t> </w:t>
      </w:r>
      <w:r>
        <w:rPr/>
        <w:t>to</w:t>
      </w:r>
      <w:r>
        <w:rPr>
          <w:spacing w:val="-10"/>
        </w:rPr>
        <w:t> </w:t>
      </w:r>
      <w:r>
        <w:rPr/>
        <w:t>external</w:t>
      </w:r>
      <w:r>
        <w:rPr>
          <w:spacing w:val="-11"/>
        </w:rPr>
        <w:t> </w:t>
      </w:r>
      <w:r>
        <w:rPr/>
        <w:t>shocks</w:t>
      </w:r>
      <w:r>
        <w:rPr>
          <w:spacing w:val="-12"/>
        </w:rPr>
        <w:t> </w:t>
      </w:r>
      <w:r>
        <w:rPr/>
        <w:t>due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volatility</w:t>
      </w:r>
      <w:r>
        <w:rPr>
          <w:spacing w:val="-16"/>
        </w:rPr>
        <w:t> </w:t>
      </w:r>
      <w:r>
        <w:rPr/>
        <w:t>in</w:t>
      </w:r>
      <w:r>
        <w:rPr>
          <w:spacing w:val="-12"/>
        </w:rPr>
        <w:t> </w:t>
      </w:r>
      <w:r>
        <w:rPr/>
        <w:t>prices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primary</w:t>
      </w:r>
      <w:r>
        <w:rPr>
          <w:spacing w:val="-14"/>
        </w:rPr>
        <w:t> </w:t>
      </w:r>
      <w:r>
        <w:rPr/>
        <w:t>commodities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international</w:t>
      </w:r>
      <w:r>
        <w:rPr>
          <w:spacing w:val="-57"/>
        </w:rPr>
        <w:t> </w:t>
      </w:r>
      <w:r>
        <w:rPr/>
        <w:t>market.</w:t>
      </w:r>
    </w:p>
    <w:p>
      <w:pPr>
        <w:pStyle w:val="BodyText"/>
        <w:spacing w:before="201"/>
        <w:ind w:left="500"/>
        <w:jc w:val="both"/>
      </w:pPr>
      <w:r>
        <w:rPr/>
        <w:t>Trends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secondary</w:t>
      </w:r>
      <w:r>
        <w:rPr>
          <w:spacing w:val="-12"/>
        </w:rPr>
        <w:t> </w:t>
      </w:r>
      <w:r>
        <w:rPr/>
        <w:t>sector</w:t>
      </w:r>
      <w:r>
        <w:rPr>
          <w:spacing w:val="-8"/>
        </w:rPr>
        <w:t> </w:t>
      </w:r>
      <w:r>
        <w:rPr/>
        <w:t>comprising</w:t>
      </w:r>
      <w:r>
        <w:rPr>
          <w:spacing w:val="-11"/>
        </w:rPr>
        <w:t> </w:t>
      </w:r>
      <w:r>
        <w:rPr/>
        <w:t>manufacturing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building</w:t>
      </w:r>
      <w:r>
        <w:rPr>
          <w:spacing w:val="-11"/>
        </w:rPr>
        <w:t> </w:t>
      </w:r>
      <w:r>
        <w:rPr/>
        <w:t>subsectors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/>
        <w:t>seen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Table</w:t>
      </w:r>
    </w:p>
    <w:p>
      <w:pPr>
        <w:pStyle w:val="ListParagraph"/>
        <w:numPr>
          <w:ilvl w:val="1"/>
          <w:numId w:val="16"/>
        </w:numPr>
        <w:tabs>
          <w:tab w:pos="859" w:val="left" w:leader="none"/>
        </w:tabs>
        <w:spacing w:line="360" w:lineRule="auto" w:before="137" w:after="0"/>
        <w:ind w:left="500" w:right="494" w:firstLine="0"/>
        <w:jc w:val="both"/>
        <w:rPr>
          <w:sz w:val="24"/>
        </w:rPr>
      </w:pP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unimpressive.</w:t>
      </w:r>
      <w:r>
        <w:rPr>
          <w:spacing w:val="-3"/>
          <w:sz w:val="24"/>
        </w:rPr>
        <w:t> </w:t>
      </w:r>
      <w:r>
        <w:rPr>
          <w:sz w:val="24"/>
        </w:rPr>
        <w:t>Specifically,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sectoral contribution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sector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GDP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4"/>
          <w:sz w:val="24"/>
        </w:rPr>
        <w:t> </w:t>
      </w:r>
      <w:r>
        <w:rPr>
          <w:sz w:val="24"/>
        </w:rPr>
        <w:t>consistently</w:t>
      </w:r>
      <w:r>
        <w:rPr>
          <w:spacing w:val="-57"/>
          <w:sz w:val="24"/>
        </w:rPr>
        <w:t> </w:t>
      </w:r>
      <w:r>
        <w:rPr>
          <w:sz w:val="24"/>
        </w:rPr>
        <w:t>declined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average</w:t>
      </w:r>
      <w:r>
        <w:rPr>
          <w:spacing w:val="-4"/>
          <w:sz w:val="24"/>
        </w:rPr>
        <w:t> </w:t>
      </w:r>
      <w:r>
        <w:rPr>
          <w:sz w:val="24"/>
        </w:rPr>
        <w:t>from</w:t>
      </w:r>
      <w:r>
        <w:rPr>
          <w:spacing w:val="-3"/>
          <w:sz w:val="24"/>
        </w:rPr>
        <w:t> </w:t>
      </w:r>
      <w:r>
        <w:rPr>
          <w:sz w:val="24"/>
        </w:rPr>
        <w:t>15.6</w:t>
      </w:r>
      <w:r>
        <w:rPr>
          <w:spacing w:val="-3"/>
          <w:sz w:val="24"/>
        </w:rPr>
        <w:t> </w:t>
      </w:r>
      <w:r>
        <w:rPr>
          <w:sz w:val="24"/>
        </w:rPr>
        <w:t>per cent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1970s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5.7</w:t>
      </w:r>
      <w:r>
        <w:rPr>
          <w:spacing w:val="-3"/>
          <w:sz w:val="24"/>
        </w:rPr>
        <w:t> </w:t>
      </w:r>
      <w:r>
        <w:rPr>
          <w:sz w:val="24"/>
        </w:rPr>
        <w:t>per</w:t>
      </w:r>
      <w:r>
        <w:rPr>
          <w:spacing w:val="-5"/>
          <w:sz w:val="24"/>
        </w:rPr>
        <w:t> </w:t>
      </w:r>
      <w:r>
        <w:rPr>
          <w:sz w:val="24"/>
        </w:rPr>
        <w:t>cent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period,</w:t>
      </w:r>
      <w:r>
        <w:rPr>
          <w:spacing w:val="-3"/>
          <w:sz w:val="24"/>
        </w:rPr>
        <w:t> </w:t>
      </w:r>
      <w:r>
        <w:rPr>
          <w:sz w:val="24"/>
        </w:rPr>
        <w:t>2001-2009.</w:t>
      </w:r>
      <w:r>
        <w:rPr>
          <w:spacing w:val="-3"/>
          <w:sz w:val="24"/>
        </w:rPr>
        <w:t> </w:t>
      </w:r>
      <w:r>
        <w:rPr>
          <w:sz w:val="24"/>
        </w:rPr>
        <w:t>This</w:t>
      </w:r>
      <w:r>
        <w:rPr>
          <w:spacing w:val="-58"/>
          <w:sz w:val="24"/>
        </w:rPr>
        <w:t> </w:t>
      </w:r>
      <w:r>
        <w:rPr>
          <w:sz w:val="24"/>
        </w:rPr>
        <w:t>trend</w:t>
      </w:r>
      <w:r>
        <w:rPr>
          <w:spacing w:val="-11"/>
          <w:sz w:val="24"/>
        </w:rPr>
        <w:t> </w:t>
      </w:r>
      <w:r>
        <w:rPr>
          <w:sz w:val="24"/>
        </w:rPr>
        <w:t>suggests</w:t>
      </w:r>
      <w:r>
        <w:rPr>
          <w:spacing w:val="-9"/>
          <w:sz w:val="24"/>
        </w:rPr>
        <w:t> </w:t>
      </w:r>
      <w:r>
        <w:rPr>
          <w:sz w:val="24"/>
        </w:rPr>
        <w:t>that</w:t>
      </w:r>
      <w:r>
        <w:rPr>
          <w:spacing w:val="-10"/>
          <w:sz w:val="24"/>
        </w:rPr>
        <w:t> </w:t>
      </w:r>
      <w:r>
        <w:rPr>
          <w:sz w:val="24"/>
        </w:rPr>
        <w:t>Nigeria</w:t>
      </w:r>
      <w:r>
        <w:rPr>
          <w:spacing w:val="-11"/>
          <w:sz w:val="24"/>
        </w:rPr>
        <w:t> </w:t>
      </w:r>
      <w:r>
        <w:rPr>
          <w:sz w:val="24"/>
        </w:rPr>
        <w:t>has</w:t>
      </w:r>
      <w:r>
        <w:rPr>
          <w:spacing w:val="-9"/>
          <w:sz w:val="24"/>
        </w:rPr>
        <w:t> </w:t>
      </w:r>
      <w:r>
        <w:rPr>
          <w:sz w:val="24"/>
        </w:rPr>
        <w:t>experienced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process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de-industrialization</w:t>
      </w:r>
      <w:r>
        <w:rPr>
          <w:spacing w:val="-10"/>
          <w:sz w:val="24"/>
        </w:rPr>
        <w:t> </w:t>
      </w:r>
      <w:r>
        <w:rPr>
          <w:sz w:val="24"/>
        </w:rPr>
        <w:t>since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1970s.</w:t>
      </w:r>
      <w:r>
        <w:rPr>
          <w:spacing w:val="-11"/>
          <w:sz w:val="24"/>
        </w:rPr>
        <w:t> </w:t>
      </w:r>
      <w:r>
        <w:rPr>
          <w:sz w:val="24"/>
        </w:rPr>
        <w:t>Also,</w:t>
      </w:r>
      <w:r>
        <w:rPr>
          <w:spacing w:val="-57"/>
          <w:sz w:val="24"/>
        </w:rPr>
        <w:t> </w:t>
      </w:r>
      <w:r>
        <w:rPr>
          <w:sz w:val="24"/>
        </w:rPr>
        <w:t>one</w:t>
      </w:r>
      <w:r>
        <w:rPr>
          <w:spacing w:val="-7"/>
          <w:sz w:val="24"/>
        </w:rPr>
        <w:t> </w:t>
      </w:r>
      <w:r>
        <w:rPr>
          <w:sz w:val="24"/>
        </w:rPr>
        <w:t>may</w:t>
      </w:r>
      <w:r>
        <w:rPr>
          <w:spacing w:val="-10"/>
          <w:sz w:val="24"/>
        </w:rPr>
        <w:t> </w:t>
      </w:r>
      <w:r>
        <w:rPr>
          <w:sz w:val="24"/>
        </w:rPr>
        <w:t>argue</w:t>
      </w:r>
      <w:r>
        <w:rPr>
          <w:spacing w:val="-6"/>
          <w:sz w:val="24"/>
        </w:rPr>
        <w:t> </w:t>
      </w:r>
      <w:r>
        <w:rPr>
          <w:sz w:val="24"/>
        </w:rPr>
        <w:t>that</w:t>
      </w:r>
      <w:r>
        <w:rPr>
          <w:spacing w:val="-6"/>
          <w:sz w:val="24"/>
        </w:rPr>
        <w:t> </w:t>
      </w:r>
      <w:r>
        <w:rPr>
          <w:sz w:val="24"/>
        </w:rPr>
        <w:t>structural</w:t>
      </w:r>
      <w:r>
        <w:rPr>
          <w:spacing w:val="-5"/>
          <w:sz w:val="24"/>
        </w:rPr>
        <w:t> </w:t>
      </w:r>
      <w:r>
        <w:rPr>
          <w:sz w:val="24"/>
        </w:rPr>
        <w:t>transformation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economy</w:t>
      </w:r>
      <w:r>
        <w:rPr>
          <w:spacing w:val="-10"/>
          <w:sz w:val="24"/>
        </w:rPr>
        <w:t> </w:t>
      </w:r>
      <w:r>
        <w:rPr>
          <w:sz w:val="24"/>
        </w:rPr>
        <w:t>from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primary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secondary</w:t>
      </w:r>
      <w:r>
        <w:rPr>
          <w:spacing w:val="-10"/>
          <w:sz w:val="24"/>
        </w:rPr>
        <w:t> </w:t>
      </w:r>
      <w:r>
        <w:rPr>
          <w:sz w:val="24"/>
        </w:rPr>
        <w:t>sector</w:t>
      </w:r>
      <w:r>
        <w:rPr>
          <w:spacing w:val="-58"/>
          <w:sz w:val="24"/>
        </w:rPr>
        <w:t> </w:t>
      </w:r>
      <w:r>
        <w:rPr>
          <w:sz w:val="24"/>
        </w:rPr>
        <w:t>is slow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non-existent.</w:t>
      </w:r>
    </w:p>
    <w:p>
      <w:pPr>
        <w:pStyle w:val="BodyText"/>
        <w:spacing w:line="360" w:lineRule="auto" w:before="201"/>
        <w:ind w:left="500" w:right="504"/>
        <w:jc w:val="both"/>
      </w:pPr>
      <w:r>
        <w:rPr/>
        <w:t>By contrast the contribution of the service sector to nominal output has been on the rise for over</w:t>
      </w:r>
      <w:r>
        <w:rPr>
          <w:spacing w:val="1"/>
        </w:rPr>
        <w:t> </w:t>
      </w:r>
      <w:r>
        <w:rPr/>
        <w:t>three</w:t>
      </w:r>
      <w:r>
        <w:rPr>
          <w:spacing w:val="17"/>
        </w:rPr>
        <w:t> </w:t>
      </w:r>
      <w:r>
        <w:rPr/>
        <w:t>decades.</w:t>
      </w:r>
      <w:r>
        <w:rPr>
          <w:spacing w:val="20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1980s,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service</w:t>
      </w:r>
      <w:r>
        <w:rPr>
          <w:spacing w:val="17"/>
        </w:rPr>
        <w:t> </w:t>
      </w:r>
      <w:r>
        <w:rPr/>
        <w:t>sector</w:t>
      </w:r>
      <w:r>
        <w:rPr>
          <w:spacing w:val="17"/>
        </w:rPr>
        <w:t> </w:t>
      </w:r>
      <w:r>
        <w:rPr/>
        <w:t>contributed</w:t>
      </w:r>
      <w:r>
        <w:rPr>
          <w:spacing w:val="17"/>
        </w:rPr>
        <w:t> </w:t>
      </w:r>
      <w:r>
        <w:rPr/>
        <w:t>an</w:t>
      </w:r>
      <w:r>
        <w:rPr>
          <w:spacing w:val="18"/>
        </w:rPr>
        <w:t> </w:t>
      </w:r>
      <w:r>
        <w:rPr/>
        <w:t>average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24.3</w:t>
      </w:r>
      <w:r>
        <w:rPr>
          <w:spacing w:val="17"/>
        </w:rPr>
        <w:t> </w:t>
      </w:r>
      <w:r>
        <w:rPr/>
        <w:t>per</w:t>
      </w:r>
      <w:r>
        <w:rPr>
          <w:spacing w:val="18"/>
        </w:rPr>
        <w:t> </w:t>
      </w:r>
      <w:r>
        <w:rPr/>
        <w:t>cent</w:t>
      </w:r>
      <w:r>
        <w:rPr>
          <w:spacing w:val="18"/>
        </w:rPr>
        <w:t> </w:t>
      </w:r>
      <w:r>
        <w:rPr/>
        <w:t>rising</w:t>
      </w:r>
      <w:r>
        <w:rPr>
          <w:spacing w:val="15"/>
        </w:rPr>
        <w:t> </w:t>
      </w:r>
      <w:r>
        <w:rPr/>
        <w:t>to</w:t>
      </w:r>
    </w:p>
    <w:p>
      <w:pPr>
        <w:pStyle w:val="BodyText"/>
        <w:spacing w:line="360" w:lineRule="auto"/>
        <w:ind w:left="500" w:right="498"/>
        <w:jc w:val="both"/>
      </w:pPr>
      <w:r>
        <w:rPr/>
        <w:t>29.5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cent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2000s.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favourable</w:t>
      </w:r>
      <w:r>
        <w:rPr>
          <w:spacing w:val="-6"/>
        </w:rPr>
        <w:t> </w:t>
      </w:r>
      <w:r>
        <w:rPr/>
        <w:t>trend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explained</w:t>
      </w:r>
      <w:r>
        <w:rPr>
          <w:spacing w:val="-5"/>
        </w:rPr>
        <w:t> </w:t>
      </w:r>
      <w:r>
        <w:rPr/>
        <w:t>by</w:t>
      </w:r>
      <w:r>
        <w:rPr>
          <w:spacing w:val="-10"/>
        </w:rPr>
        <w:t> </w:t>
      </w:r>
      <w:r>
        <w:rPr/>
        <w:t>several</w:t>
      </w:r>
      <w:r>
        <w:rPr>
          <w:spacing w:val="-5"/>
        </w:rPr>
        <w:t> </w:t>
      </w:r>
      <w:r>
        <w:rPr/>
        <w:t>reasons</w:t>
      </w:r>
      <w:r>
        <w:rPr>
          <w:spacing w:val="-5"/>
        </w:rPr>
        <w:t> </w:t>
      </w:r>
      <w:r>
        <w:rPr/>
        <w:t>varying</w:t>
      </w:r>
      <w:r>
        <w:rPr>
          <w:spacing w:val="-5"/>
        </w:rPr>
        <w:t> </w:t>
      </w:r>
      <w:r>
        <w:rPr/>
        <w:t>from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entry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telecommunications</w:t>
      </w:r>
      <w:r>
        <w:rPr>
          <w:spacing w:val="1"/>
        </w:rPr>
        <w:t> </w:t>
      </w:r>
      <w:r>
        <w:rPr/>
        <w:t>companies,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technology and increased sophisticated banking and financial services among others. However,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rebasing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 Nigerian</w:t>
      </w:r>
      <w:r>
        <w:rPr>
          <w:spacing w:val="-4"/>
        </w:rPr>
        <w:t> </w:t>
      </w:r>
      <w:r>
        <w:rPr/>
        <w:t>economy</w:t>
      </w:r>
      <w:r>
        <w:rPr>
          <w:spacing w:val="-8"/>
        </w:rPr>
        <w:t> </w:t>
      </w:r>
      <w:r>
        <w:rPr/>
        <w:t>in</w:t>
      </w:r>
      <w:r>
        <w:rPr>
          <w:spacing w:val="-2"/>
        </w:rPr>
        <w:t> </w:t>
      </w:r>
      <w:r>
        <w:rPr/>
        <w:t>2014,</w:t>
      </w:r>
      <w:r>
        <w:rPr>
          <w:spacing w:val="-4"/>
        </w:rPr>
        <w:t> </w:t>
      </w:r>
      <w:r>
        <w:rPr/>
        <w:t>there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/>
        <w:t>been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dramatic</w:t>
      </w:r>
      <w:r>
        <w:rPr>
          <w:spacing w:val="-5"/>
        </w:rPr>
        <w:t> </w:t>
      </w:r>
      <w:r>
        <w:rPr/>
        <w:t>structural</w:t>
      </w:r>
      <w:r>
        <w:rPr>
          <w:spacing w:val="-2"/>
        </w:rPr>
        <w:t> </w:t>
      </w:r>
      <w:r>
        <w:rPr/>
        <w:t>change</w:t>
      </w:r>
      <w:r>
        <w:rPr>
          <w:spacing w:val="-4"/>
        </w:rPr>
        <w:t> </w:t>
      </w:r>
      <w:r>
        <w:rPr/>
        <w:t>in</w:t>
      </w:r>
      <w:r>
        <w:rPr>
          <w:spacing w:val="-58"/>
        </w:rPr>
        <w:t> </w:t>
      </w:r>
      <w:r>
        <w:rPr/>
        <w:t>the economy. The tertiary sector in the period 2010-2015 contributed the most to real output,</w:t>
      </w:r>
      <w:r>
        <w:rPr>
          <w:spacing w:val="1"/>
        </w:rPr>
        <w:t> </w:t>
      </w:r>
      <w:r>
        <w:rPr/>
        <w:t>making up to 52.0 per cent, the primary sector followed at 36.1 per cent and the secondary sector</w:t>
      </w:r>
      <w:r>
        <w:rPr>
          <w:spacing w:val="-57"/>
        </w:rPr>
        <w:t> </w:t>
      </w:r>
      <w:r>
        <w:rPr/>
        <w:t>comprising</w:t>
      </w:r>
      <w:r>
        <w:rPr>
          <w:spacing w:val="-14"/>
        </w:rPr>
        <w:t> </w:t>
      </w:r>
      <w:r>
        <w:rPr/>
        <w:t>manufacturing</w:t>
      </w:r>
      <w:r>
        <w:rPr>
          <w:spacing w:val="-13"/>
        </w:rPr>
        <w:t> </w:t>
      </w:r>
      <w:r>
        <w:rPr/>
        <w:t>and</w:t>
      </w:r>
      <w:r>
        <w:rPr>
          <w:spacing w:val="-9"/>
        </w:rPr>
        <w:t> </w:t>
      </w:r>
      <w:r>
        <w:rPr/>
        <w:t>construction</w:t>
      </w:r>
      <w:r>
        <w:rPr>
          <w:spacing w:val="-12"/>
        </w:rPr>
        <w:t> </w:t>
      </w:r>
      <w:r>
        <w:rPr/>
        <w:t>constituted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least</w:t>
      </w:r>
      <w:r>
        <w:rPr>
          <w:spacing w:val="-11"/>
        </w:rPr>
        <w:t> </w:t>
      </w:r>
      <w:r>
        <w:rPr/>
        <w:t>productive</w:t>
      </w:r>
      <w:r>
        <w:rPr>
          <w:spacing w:val="-10"/>
        </w:rPr>
        <w:t> </w:t>
      </w:r>
      <w:r>
        <w:rPr/>
        <w:t>sector</w:t>
      </w:r>
      <w:r>
        <w:rPr>
          <w:spacing w:val="-11"/>
        </w:rPr>
        <w:t> </w:t>
      </w:r>
      <w:r>
        <w:rPr/>
        <w:t>at</w:t>
      </w:r>
      <w:r>
        <w:rPr>
          <w:spacing w:val="-12"/>
        </w:rPr>
        <w:t> </w:t>
      </w:r>
      <w:r>
        <w:rPr/>
        <w:t>11.8</w:t>
      </w:r>
      <w:r>
        <w:rPr>
          <w:spacing w:val="-11"/>
        </w:rPr>
        <w:t> </w:t>
      </w:r>
      <w:r>
        <w:rPr/>
        <w:t>per</w:t>
      </w:r>
      <w:r>
        <w:rPr>
          <w:spacing w:val="-10"/>
        </w:rPr>
        <w:t> </w:t>
      </w:r>
      <w:r>
        <w:rPr/>
        <w:t>cent.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Heading3"/>
        <w:ind w:left="1334" w:right="1335"/>
        <w:jc w:val="center"/>
      </w:pPr>
      <w:r>
        <w:rPr/>
        <w:t>Table</w:t>
      </w:r>
      <w:r>
        <w:rPr>
          <w:spacing w:val="-1"/>
        </w:rPr>
        <w:t> </w:t>
      </w:r>
      <w:r>
        <w:rPr/>
        <w:t>3.2:</w:t>
      </w:r>
      <w:r>
        <w:rPr>
          <w:spacing w:val="-3"/>
        </w:rPr>
        <w:t> </w:t>
      </w:r>
      <w:r>
        <w:rPr/>
        <w:t>Sectoral Contributions</w:t>
      </w:r>
      <w:r>
        <w:rPr>
          <w:spacing w:val="-1"/>
        </w:rPr>
        <w:t> </w:t>
      </w:r>
      <w:r>
        <w:rPr/>
        <w:t>to GDP</w:t>
      </w:r>
      <w:r>
        <w:rPr>
          <w:spacing w:val="-4"/>
        </w:rPr>
        <w:t> </w:t>
      </w:r>
      <w:r>
        <w:rPr/>
        <w:t>(in percent)</w:t>
      </w:r>
    </w:p>
    <w:p>
      <w:pPr>
        <w:pStyle w:val="BodyText"/>
        <w:spacing w:before="5"/>
        <w:rPr>
          <w:b/>
          <w:sz w:val="11"/>
        </w:rPr>
      </w:pP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8"/>
        <w:gridCol w:w="927"/>
        <w:gridCol w:w="1157"/>
        <w:gridCol w:w="1197"/>
        <w:gridCol w:w="1159"/>
        <w:gridCol w:w="1198"/>
        <w:gridCol w:w="1531"/>
      </w:tblGrid>
      <w:tr>
        <w:trPr>
          <w:trHeight w:val="551" w:hRule="atLeast"/>
        </w:trPr>
        <w:tc>
          <w:tcPr>
            <w:tcW w:w="1778" w:type="dxa"/>
            <w:tcBorders>
              <w:right w:val="nil"/>
            </w:tcBorders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Activity</w:t>
            </w:r>
            <w:r>
              <w:rPr>
                <w:b/>
                <w:color w:val="FF0000"/>
                <w:spacing w:val="-2"/>
                <w:sz w:val="24"/>
              </w:rPr>
              <w:t> </w:t>
            </w:r>
            <w:r>
              <w:rPr>
                <w:b/>
                <w:color w:val="FF0000"/>
                <w:sz w:val="24"/>
              </w:rPr>
              <w:t>Sector</w:t>
            </w:r>
          </w:p>
        </w:tc>
        <w:tc>
          <w:tcPr>
            <w:tcW w:w="92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1960-</w:t>
            </w:r>
          </w:p>
          <w:p>
            <w:pPr>
              <w:pStyle w:val="TableParagraph"/>
              <w:spacing w:line="259" w:lineRule="exact"/>
              <w:ind w:left="113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1970</w:t>
            </w:r>
          </w:p>
        </w:tc>
        <w:tc>
          <w:tcPr>
            <w:tcW w:w="11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3" w:lineRule="exact"/>
              <w:ind w:left="264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1971-</w:t>
            </w:r>
          </w:p>
          <w:p>
            <w:pPr>
              <w:pStyle w:val="TableParagraph"/>
              <w:spacing w:line="259" w:lineRule="exact"/>
              <w:ind w:left="264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1980</w:t>
            </w:r>
          </w:p>
        </w:tc>
        <w:tc>
          <w:tcPr>
            <w:tcW w:w="119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3" w:lineRule="exact"/>
              <w:ind w:left="343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1981-</w:t>
            </w:r>
          </w:p>
          <w:p>
            <w:pPr>
              <w:pStyle w:val="TableParagraph"/>
              <w:spacing w:line="259" w:lineRule="exact"/>
              <w:ind w:left="343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1990</w:t>
            </w:r>
          </w:p>
        </w:tc>
        <w:tc>
          <w:tcPr>
            <w:tcW w:w="115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3" w:lineRule="exact"/>
              <w:ind w:left="303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1991-</w:t>
            </w:r>
          </w:p>
          <w:p>
            <w:pPr>
              <w:pStyle w:val="TableParagraph"/>
              <w:spacing w:line="259" w:lineRule="exact"/>
              <w:ind w:left="303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2000</w:t>
            </w:r>
          </w:p>
        </w:tc>
        <w:tc>
          <w:tcPr>
            <w:tcW w:w="119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3" w:lineRule="exact"/>
              <w:ind w:left="303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2001-</w:t>
            </w:r>
          </w:p>
          <w:p>
            <w:pPr>
              <w:pStyle w:val="TableParagraph"/>
              <w:spacing w:line="259" w:lineRule="exact"/>
              <w:ind w:left="303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2009</w:t>
            </w:r>
          </w:p>
        </w:tc>
        <w:tc>
          <w:tcPr>
            <w:tcW w:w="1531" w:type="dxa"/>
            <w:tcBorders>
              <w:left w:val="nil"/>
            </w:tcBorders>
          </w:tcPr>
          <w:p>
            <w:pPr>
              <w:pStyle w:val="TableParagraph"/>
              <w:spacing w:line="273" w:lineRule="exact"/>
              <w:ind w:left="339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2010-</w:t>
            </w:r>
          </w:p>
          <w:p>
            <w:pPr>
              <w:pStyle w:val="TableParagraph"/>
              <w:spacing w:line="259" w:lineRule="exact"/>
              <w:ind w:left="339"/>
              <w:rPr>
                <w:b/>
                <w:sz w:val="12"/>
              </w:rPr>
            </w:pPr>
            <w:r>
              <w:rPr>
                <w:b/>
                <w:color w:val="FF0000"/>
                <w:sz w:val="24"/>
              </w:rPr>
              <w:t>2015*</w:t>
            </w:r>
            <w:r>
              <w:rPr>
                <w:b/>
                <w:position w:val="6"/>
                <w:sz w:val="12"/>
              </w:rPr>
              <w:t>+</w:t>
            </w:r>
          </w:p>
        </w:tc>
      </w:tr>
      <w:tr>
        <w:trPr>
          <w:trHeight w:val="6351" w:hRule="atLeast"/>
        </w:trPr>
        <w:tc>
          <w:tcPr>
            <w:tcW w:w="1778" w:type="dxa"/>
          </w:tcPr>
          <w:p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FF0000"/>
                <w:sz w:val="24"/>
                <w:u w:val="thick" w:color="FF0000"/>
              </w:rPr>
              <w:t>Primary</w:t>
            </w:r>
            <w:r>
              <w:rPr>
                <w:b/>
                <w:i/>
                <w:color w:val="FF0000"/>
                <w:spacing w:val="-1"/>
                <w:sz w:val="24"/>
                <w:u w:val="thick" w:color="FF0000"/>
              </w:rPr>
              <w:t> </w:t>
            </w:r>
            <w:r>
              <w:rPr>
                <w:b/>
                <w:i/>
                <w:color w:val="FF0000"/>
                <w:sz w:val="24"/>
                <w:u w:val="thick" w:color="FF0000"/>
              </w:rPr>
              <w:t>sector</w:t>
            </w: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Agriculture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right="187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Crude oil, gas</w:t>
            </w:r>
            <w:r>
              <w:rPr>
                <w:b/>
                <w:color w:val="FF0000"/>
                <w:spacing w:val="-57"/>
                <w:sz w:val="24"/>
              </w:rPr>
              <w:t> </w:t>
            </w:r>
            <w:r>
              <w:rPr>
                <w:b/>
                <w:color w:val="FF0000"/>
                <w:sz w:val="24"/>
              </w:rPr>
              <w:t>and solid</w:t>
            </w:r>
            <w:r>
              <w:rPr>
                <w:b/>
                <w:color w:val="FF0000"/>
                <w:spacing w:val="1"/>
                <w:sz w:val="24"/>
              </w:rPr>
              <w:t> </w:t>
            </w:r>
            <w:r>
              <w:rPr>
                <w:b/>
                <w:color w:val="FF0000"/>
                <w:sz w:val="24"/>
              </w:rPr>
              <w:t>minerals</w:t>
            </w:r>
            <w:r>
              <w:rPr>
                <w:b/>
                <w:color w:val="FF0000"/>
                <w:spacing w:val="1"/>
                <w:sz w:val="24"/>
              </w:rPr>
              <w:t> </w:t>
            </w:r>
            <w:r>
              <w:rPr>
                <w:b/>
                <w:color w:val="FF0000"/>
                <w:sz w:val="24"/>
              </w:rPr>
              <w:t>Total</w:t>
            </w:r>
            <w:r>
              <w:rPr>
                <w:b/>
                <w:color w:val="FF0000"/>
                <w:spacing w:val="-15"/>
                <w:sz w:val="24"/>
              </w:rPr>
              <w:t> </w:t>
            </w:r>
            <w:r>
              <w:rPr>
                <w:b/>
                <w:color w:val="FF0000"/>
                <w:sz w:val="24"/>
              </w:rPr>
              <w:t>Primary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color w:val="FF0000"/>
                <w:sz w:val="24"/>
                <w:u w:val="thick" w:color="FF0000"/>
              </w:rPr>
              <w:t>Secondary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Manufacturing</w:t>
            </w:r>
          </w:p>
          <w:p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right="306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Building and</w:t>
            </w:r>
            <w:r>
              <w:rPr>
                <w:b/>
                <w:color w:val="FF0000"/>
                <w:spacing w:val="-57"/>
                <w:sz w:val="24"/>
              </w:rPr>
              <w:t> </w:t>
            </w:r>
            <w:r>
              <w:rPr>
                <w:b/>
                <w:color w:val="FF0000"/>
                <w:spacing w:val="-1"/>
                <w:sz w:val="24"/>
              </w:rPr>
              <w:t>Construction</w:t>
            </w:r>
            <w:r>
              <w:rPr>
                <w:b/>
                <w:color w:val="FF0000"/>
                <w:spacing w:val="-57"/>
                <w:sz w:val="24"/>
              </w:rPr>
              <w:t> </w:t>
            </w:r>
            <w:r>
              <w:rPr>
                <w:b/>
                <w:color w:val="FF0000"/>
                <w:sz w:val="24"/>
              </w:rPr>
              <w:t>Total</w:t>
            </w:r>
            <w:r>
              <w:rPr>
                <w:b/>
                <w:color w:val="FF0000"/>
                <w:spacing w:val="1"/>
                <w:sz w:val="24"/>
              </w:rPr>
              <w:t> </w:t>
            </w:r>
            <w:r>
              <w:rPr>
                <w:b/>
                <w:color w:val="FF0000"/>
                <w:sz w:val="24"/>
              </w:rPr>
              <w:t>Secondary</w:t>
            </w:r>
          </w:p>
          <w:p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right="140"/>
              <w:rPr>
                <w:b/>
                <w:sz w:val="24"/>
              </w:rPr>
            </w:pPr>
            <w:r>
              <w:rPr>
                <w:b/>
                <w:i/>
                <w:color w:val="FF0000"/>
                <w:sz w:val="24"/>
                <w:u w:val="thick" w:color="FF0000"/>
              </w:rPr>
              <w:t>Tertiary</w:t>
            </w:r>
            <w:r>
              <w:rPr>
                <w:b/>
                <w:i/>
                <w:color w:val="FF0000"/>
                <w:spacing w:val="1"/>
                <w:sz w:val="24"/>
              </w:rPr>
              <w:t> </w:t>
            </w:r>
            <w:r>
              <w:rPr>
                <w:b/>
                <w:color w:val="FF0000"/>
                <w:sz w:val="24"/>
              </w:rPr>
              <w:t>Wholesale and</w:t>
            </w:r>
            <w:r>
              <w:rPr>
                <w:b/>
                <w:color w:val="FF0000"/>
                <w:spacing w:val="-57"/>
                <w:sz w:val="24"/>
              </w:rPr>
              <w:t> </w:t>
            </w:r>
            <w:r>
              <w:rPr>
                <w:b/>
                <w:color w:val="FF0000"/>
                <w:sz w:val="24"/>
              </w:rPr>
              <w:t>Retail</w:t>
            </w:r>
            <w:r>
              <w:rPr>
                <w:b/>
                <w:color w:val="FF0000"/>
                <w:spacing w:val="-1"/>
                <w:sz w:val="24"/>
              </w:rPr>
              <w:t> </w:t>
            </w:r>
            <w:r>
              <w:rPr>
                <w:b/>
                <w:color w:val="FF0000"/>
                <w:sz w:val="24"/>
              </w:rPr>
              <w:t>Trade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Services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Total</w:t>
            </w:r>
            <w:r>
              <w:rPr>
                <w:b/>
                <w:color w:val="FF0000"/>
                <w:spacing w:val="-2"/>
                <w:sz w:val="24"/>
              </w:rPr>
              <w:t> </w:t>
            </w:r>
            <w:r>
              <w:rPr>
                <w:b/>
                <w:color w:val="FF0000"/>
                <w:sz w:val="24"/>
              </w:rPr>
              <w:t>Tertiary</w:t>
            </w:r>
          </w:p>
        </w:tc>
        <w:tc>
          <w:tcPr>
            <w:tcW w:w="927" w:type="dxa"/>
            <w:tcBorders>
              <w:right w:val="nil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55.8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11.3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67.1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6.6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4.8</w:t>
            </w:r>
          </w:p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11.4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12.8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15.3</w:t>
            </w:r>
          </w:p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28.1</w:t>
            </w:r>
          </w:p>
        </w:tc>
        <w:tc>
          <w:tcPr>
            <w:tcW w:w="115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264"/>
              <w:rPr>
                <w:b/>
                <w:sz w:val="24"/>
              </w:rPr>
            </w:pPr>
            <w:r>
              <w:rPr>
                <w:b/>
                <w:sz w:val="24"/>
              </w:rPr>
              <w:t>28.4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264"/>
              <w:rPr>
                <w:b/>
                <w:sz w:val="24"/>
              </w:rPr>
            </w:pPr>
            <w:r>
              <w:rPr>
                <w:b/>
                <w:sz w:val="24"/>
              </w:rPr>
              <w:t>29.1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264"/>
              <w:rPr>
                <w:sz w:val="24"/>
              </w:rPr>
            </w:pPr>
            <w:r>
              <w:rPr>
                <w:sz w:val="24"/>
              </w:rPr>
              <w:t>57.5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264"/>
              <w:rPr>
                <w:b/>
                <w:sz w:val="24"/>
              </w:rPr>
            </w:pPr>
            <w:r>
              <w:rPr>
                <w:b/>
                <w:sz w:val="24"/>
              </w:rPr>
              <w:t>7.3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264"/>
              <w:rPr>
                <w:b/>
                <w:sz w:val="24"/>
              </w:rPr>
            </w:pPr>
            <w:r>
              <w:rPr>
                <w:b/>
                <w:sz w:val="24"/>
              </w:rPr>
              <w:t>8.3</w:t>
            </w:r>
          </w:p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264"/>
              <w:rPr>
                <w:sz w:val="24"/>
              </w:rPr>
            </w:pPr>
            <w:r>
              <w:rPr>
                <w:sz w:val="24"/>
              </w:rPr>
              <w:t>15.6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264"/>
              <w:rPr>
                <w:b/>
                <w:sz w:val="24"/>
              </w:rPr>
            </w:pPr>
            <w:r>
              <w:rPr>
                <w:b/>
                <w:sz w:val="24"/>
              </w:rPr>
              <w:t>17.6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74" w:lineRule="exact"/>
              <w:ind w:left="264"/>
              <w:rPr>
                <w:b/>
                <w:sz w:val="24"/>
              </w:rPr>
            </w:pPr>
            <w:r>
              <w:rPr>
                <w:b/>
                <w:sz w:val="24"/>
              </w:rPr>
              <w:t>16.5</w:t>
            </w:r>
          </w:p>
          <w:p>
            <w:pPr>
              <w:pStyle w:val="TableParagraph"/>
              <w:spacing w:line="274" w:lineRule="exact"/>
              <w:ind w:left="264"/>
              <w:rPr>
                <w:sz w:val="24"/>
              </w:rPr>
            </w:pPr>
            <w:r>
              <w:rPr>
                <w:sz w:val="24"/>
              </w:rPr>
              <w:t>34.1</w:t>
            </w:r>
          </w:p>
        </w:tc>
        <w:tc>
          <w:tcPr>
            <w:tcW w:w="119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32.3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41.0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343"/>
              <w:rPr>
                <w:sz w:val="24"/>
              </w:rPr>
            </w:pPr>
            <w:r>
              <w:rPr>
                <w:sz w:val="24"/>
              </w:rPr>
              <w:t>73.5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6.1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343"/>
              <w:rPr>
                <w:sz w:val="24"/>
              </w:rPr>
            </w:pPr>
            <w:r>
              <w:rPr>
                <w:sz w:val="24"/>
              </w:rPr>
              <w:t>8.4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14.5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74" w:lineRule="exact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9.8</w:t>
            </w:r>
          </w:p>
          <w:p>
            <w:pPr>
              <w:pStyle w:val="TableParagraph"/>
              <w:spacing w:line="274" w:lineRule="exact"/>
              <w:ind w:left="343"/>
              <w:rPr>
                <w:sz w:val="24"/>
              </w:rPr>
            </w:pPr>
            <w:r>
              <w:rPr>
                <w:sz w:val="24"/>
              </w:rPr>
              <w:t>24.3</w:t>
            </w:r>
          </w:p>
        </w:tc>
        <w:tc>
          <w:tcPr>
            <w:tcW w:w="115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34.2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38.6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303"/>
              <w:rPr>
                <w:sz w:val="24"/>
              </w:rPr>
            </w:pPr>
            <w:r>
              <w:rPr>
                <w:sz w:val="24"/>
              </w:rPr>
              <w:t>72.8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4.9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1.8</w:t>
            </w:r>
          </w:p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303"/>
              <w:rPr>
                <w:sz w:val="24"/>
              </w:rPr>
            </w:pPr>
            <w:r>
              <w:rPr>
                <w:sz w:val="24"/>
              </w:rPr>
              <w:t>6.7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13.8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74" w:lineRule="exact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11.5</w:t>
            </w:r>
          </w:p>
          <w:p>
            <w:pPr>
              <w:pStyle w:val="TableParagraph"/>
              <w:spacing w:line="274" w:lineRule="exact"/>
              <w:ind w:left="303"/>
              <w:rPr>
                <w:sz w:val="24"/>
              </w:rPr>
            </w:pPr>
            <w:r>
              <w:rPr>
                <w:sz w:val="24"/>
              </w:rPr>
              <w:t>25.3</w:t>
            </w:r>
          </w:p>
        </w:tc>
        <w:tc>
          <w:tcPr>
            <w:tcW w:w="119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40.3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28.4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303"/>
              <w:rPr>
                <w:sz w:val="24"/>
              </w:rPr>
            </w:pPr>
            <w:r>
              <w:rPr>
                <w:sz w:val="24"/>
              </w:rPr>
              <w:t>68.7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3.9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1.8</w:t>
            </w:r>
          </w:p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303"/>
              <w:rPr>
                <w:sz w:val="24"/>
              </w:rPr>
            </w:pPr>
            <w:r>
              <w:rPr>
                <w:sz w:val="24"/>
              </w:rPr>
              <w:t>5.7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14.0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74" w:lineRule="exact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15.5</w:t>
            </w:r>
          </w:p>
          <w:p>
            <w:pPr>
              <w:pStyle w:val="TableParagraph"/>
              <w:spacing w:line="274" w:lineRule="exact"/>
              <w:ind w:left="303"/>
              <w:rPr>
                <w:sz w:val="24"/>
              </w:rPr>
            </w:pPr>
            <w:r>
              <w:rPr>
                <w:sz w:val="24"/>
              </w:rPr>
              <w:t>29.5</w:t>
            </w:r>
          </w:p>
        </w:tc>
        <w:tc>
          <w:tcPr>
            <w:tcW w:w="1531" w:type="dxa"/>
            <w:tcBorders>
              <w:left w:val="nil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>23.4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>12.7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339"/>
              <w:rPr>
                <w:sz w:val="24"/>
              </w:rPr>
            </w:pPr>
            <w:r>
              <w:rPr>
                <w:sz w:val="24"/>
              </w:rPr>
              <w:t>36.1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>8.4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>3.4</w:t>
            </w:r>
          </w:p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339"/>
              <w:rPr>
                <w:sz w:val="24"/>
              </w:rPr>
            </w:pPr>
            <w:r>
              <w:rPr>
                <w:sz w:val="24"/>
              </w:rPr>
              <w:t>11.8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>16.6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74" w:lineRule="exact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>35.4</w:t>
            </w:r>
          </w:p>
          <w:p>
            <w:pPr>
              <w:pStyle w:val="TableParagraph"/>
              <w:spacing w:line="274" w:lineRule="exact"/>
              <w:ind w:left="339"/>
              <w:rPr>
                <w:sz w:val="24"/>
              </w:rPr>
            </w:pPr>
            <w:r>
              <w:rPr>
                <w:sz w:val="24"/>
              </w:rPr>
              <w:t>52.0</w:t>
            </w:r>
          </w:p>
        </w:tc>
      </w:tr>
    </w:tbl>
    <w:p>
      <w:pPr>
        <w:pStyle w:val="BodyText"/>
        <w:spacing w:before="2"/>
        <w:rPr>
          <w:b/>
          <w:sz w:val="23"/>
        </w:rPr>
      </w:pPr>
    </w:p>
    <w:p>
      <w:pPr>
        <w:spacing w:before="1"/>
        <w:ind w:left="500" w:right="3868" w:firstLine="0"/>
        <w:jc w:val="left"/>
        <w:rPr>
          <w:b/>
          <w:sz w:val="24"/>
        </w:rPr>
      </w:pPr>
      <w:r>
        <w:rPr>
          <w:b/>
          <w:sz w:val="24"/>
        </w:rPr>
        <w:t>Sources: Sanusi (2010) and CBN Statistical Bulletin, 2015</w:t>
      </w:r>
      <w:r>
        <w:rPr>
          <w:b/>
          <w:position w:val="8"/>
          <w:sz w:val="16"/>
        </w:rPr>
        <w:t>+</w:t>
      </w:r>
      <w:r>
        <w:rPr>
          <w:b/>
          <w:spacing w:val="-37"/>
          <w:position w:val="8"/>
          <w:sz w:val="16"/>
        </w:rPr>
        <w:t> </w:t>
      </w:r>
      <w:r>
        <w:rPr>
          <w:b/>
          <w:sz w:val="24"/>
        </w:rPr>
        <w:t>Note: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* Re-based GDP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/>
        <w:ind w:left="500" w:right="496"/>
        <w:jc w:val="both"/>
      </w:pPr>
      <w:r>
        <w:rPr/>
        <w:t>Considering the structure of the Nigerian economy from the stance of the primary, secondary and</w:t>
      </w:r>
      <w:r>
        <w:rPr>
          <w:spacing w:val="-57"/>
        </w:rPr>
        <w:t> </w:t>
      </w:r>
      <w:r>
        <w:rPr/>
        <w:t>tertiary sector alone is incomplete. One can also structurally divide the economy into the oil and</w:t>
      </w:r>
      <w:r>
        <w:rPr>
          <w:spacing w:val="1"/>
        </w:rPr>
        <w:t> </w:t>
      </w:r>
      <w:r>
        <w:rPr/>
        <w:t>non-oil</w:t>
      </w:r>
      <w:r>
        <w:rPr>
          <w:spacing w:val="-8"/>
        </w:rPr>
        <w:t> </w:t>
      </w:r>
      <w:r>
        <w:rPr/>
        <w:t>sectors,</w:t>
      </w:r>
      <w:r>
        <w:rPr>
          <w:spacing w:val="-6"/>
        </w:rPr>
        <w:t> </w:t>
      </w:r>
      <w:r>
        <w:rPr/>
        <w:t>although</w:t>
      </w:r>
      <w:r>
        <w:rPr>
          <w:spacing w:val="-5"/>
        </w:rPr>
        <w:t> </w:t>
      </w:r>
      <w:r>
        <w:rPr/>
        <w:t>this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broad</w:t>
      </w:r>
      <w:r>
        <w:rPr>
          <w:spacing w:val="-5"/>
        </w:rPr>
        <w:t> </w:t>
      </w:r>
      <w:r>
        <w:rPr/>
        <w:t>classification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is</w:t>
      </w:r>
      <w:r>
        <w:rPr>
          <w:spacing w:val="-5"/>
        </w:rPr>
        <w:t> </w:t>
      </w:r>
      <w:r>
        <w:rPr/>
        <w:t>liable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becloud</w:t>
      </w:r>
      <w:r>
        <w:rPr>
          <w:spacing w:val="-8"/>
        </w:rPr>
        <w:t> </w:t>
      </w:r>
      <w:r>
        <w:rPr/>
        <w:t>some</w:t>
      </w:r>
      <w:r>
        <w:rPr>
          <w:spacing w:val="-8"/>
        </w:rPr>
        <w:t> </w:t>
      </w:r>
      <w:r>
        <w:rPr/>
        <w:t>specific</w:t>
      </w:r>
      <w:r>
        <w:rPr>
          <w:spacing w:val="-8"/>
        </w:rPr>
        <w:t> </w:t>
      </w:r>
      <w:r>
        <w:rPr/>
        <w:t>details</w:t>
      </w:r>
      <w:r>
        <w:rPr>
          <w:spacing w:val="-57"/>
        </w:rPr>
        <w:t> </w:t>
      </w:r>
      <w:r>
        <w:rPr/>
        <w:t>about the economy. This classification is relevant in light of the economy’s heavy reliance on the</w:t>
      </w:r>
      <w:r>
        <w:rPr>
          <w:spacing w:val="-57"/>
        </w:rPr>
        <w:t> </w:t>
      </w:r>
      <w:r>
        <w:rPr/>
        <w:t>crude</w:t>
      </w:r>
      <w:r>
        <w:rPr>
          <w:spacing w:val="-13"/>
        </w:rPr>
        <w:t> </w:t>
      </w:r>
      <w:r>
        <w:rPr/>
        <w:t>oil</w:t>
      </w:r>
      <w:r>
        <w:rPr>
          <w:spacing w:val="-9"/>
        </w:rPr>
        <w:t> </w:t>
      </w:r>
      <w:r>
        <w:rPr/>
        <w:t>sector.</w:t>
      </w:r>
      <w:r>
        <w:rPr>
          <w:spacing w:val="-12"/>
        </w:rPr>
        <w:t> </w:t>
      </w:r>
      <w:r>
        <w:rPr/>
        <w:t>From</w:t>
      </w:r>
      <w:r>
        <w:rPr>
          <w:spacing w:val="-11"/>
        </w:rPr>
        <w:t> </w:t>
      </w:r>
      <w:r>
        <w:rPr/>
        <w:t>statistics</w:t>
      </w:r>
      <w:r>
        <w:rPr>
          <w:spacing w:val="-10"/>
        </w:rPr>
        <w:t> </w:t>
      </w:r>
      <w:r>
        <w:rPr/>
        <w:t>presented</w:t>
      </w:r>
      <w:r>
        <w:rPr>
          <w:spacing w:val="-12"/>
        </w:rPr>
        <w:t> </w:t>
      </w:r>
      <w:r>
        <w:rPr/>
        <w:t>in</w:t>
      </w:r>
      <w:r>
        <w:rPr>
          <w:spacing w:val="-10"/>
        </w:rPr>
        <w:t> </w:t>
      </w:r>
      <w:r>
        <w:rPr/>
        <w:t>Table</w:t>
      </w:r>
      <w:r>
        <w:rPr>
          <w:spacing w:val="-9"/>
        </w:rPr>
        <w:t> </w:t>
      </w:r>
      <w:r>
        <w:rPr/>
        <w:t>3.3,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oil</w:t>
      </w:r>
      <w:r>
        <w:rPr>
          <w:spacing w:val="-9"/>
        </w:rPr>
        <w:t> </w:t>
      </w:r>
      <w:r>
        <w:rPr/>
        <w:t>sector</w:t>
      </w:r>
      <w:r>
        <w:rPr>
          <w:spacing w:val="-11"/>
        </w:rPr>
        <w:t> </w:t>
      </w:r>
      <w:r>
        <w:rPr/>
        <w:t>contributes</w:t>
      </w:r>
      <w:r>
        <w:rPr>
          <w:spacing w:val="-10"/>
        </w:rPr>
        <w:t> </w:t>
      </w:r>
      <w:r>
        <w:rPr/>
        <w:t>less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total</w:t>
      </w:r>
      <w:r>
        <w:rPr>
          <w:spacing w:val="-11"/>
        </w:rPr>
        <w:t> </w:t>
      </w:r>
      <w:r>
        <w:rPr/>
        <w:t>output</w:t>
      </w:r>
      <w:r>
        <w:rPr>
          <w:spacing w:val="-57"/>
        </w:rPr>
        <w:t> </w:t>
      </w:r>
      <w:r>
        <w:rPr/>
        <w:t>relative to the non-oil sector. This is due to the weak linkage of the oil sector to the other sectors</w:t>
      </w:r>
      <w:r>
        <w:rPr>
          <w:spacing w:val="1"/>
        </w:rPr>
        <w:t> </w:t>
      </w:r>
      <w:r>
        <w:rPr/>
        <w:t>of the economy, in terms of its low value-addition. The irony is that the oil sector generates more</w:t>
      </w:r>
      <w:r>
        <w:rPr>
          <w:spacing w:val="-57"/>
        </w:rPr>
        <w:t> </w:t>
      </w:r>
      <w:r>
        <w:rPr/>
        <w:t>revenue for</w:t>
      </w:r>
      <w:r>
        <w:rPr>
          <w:spacing w:val="-2"/>
        </w:rPr>
        <w:t> </w:t>
      </w:r>
      <w:r>
        <w:rPr/>
        <w:t>the Nigerian</w:t>
      </w:r>
      <w:r>
        <w:rPr>
          <w:spacing w:val="1"/>
        </w:rPr>
        <w:t> </w:t>
      </w:r>
      <w:r>
        <w:rPr/>
        <w:t>economy, despite</w:t>
      </w:r>
      <w:r>
        <w:rPr>
          <w:spacing w:val="-2"/>
        </w:rPr>
        <w:t> </w:t>
      </w:r>
      <w:r>
        <w:rPr/>
        <w:t>its miniature</w:t>
      </w:r>
      <w:r>
        <w:rPr>
          <w:spacing w:val="-1"/>
        </w:rPr>
        <w:t> </w:t>
      </w:r>
      <w:r>
        <w:rPr/>
        <w:t>contribution</w:t>
      </w:r>
      <w:r>
        <w:rPr>
          <w:spacing w:val="-1"/>
        </w:rPr>
        <w:t> </w:t>
      </w:r>
      <w:r>
        <w:rPr/>
        <w:t>to total output.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Heading3"/>
        <w:spacing w:after="4"/>
        <w:ind w:left="1333" w:right="1335"/>
        <w:jc w:val="center"/>
      </w:pPr>
      <w:r>
        <w:rPr/>
        <w:t>Table</w:t>
      </w:r>
      <w:r>
        <w:rPr>
          <w:spacing w:val="-2"/>
        </w:rPr>
        <w:t> </w:t>
      </w:r>
      <w:r>
        <w:rPr/>
        <w:t>3.3: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Non-oil</w:t>
      </w:r>
      <w:r>
        <w:rPr>
          <w:spacing w:val="-1"/>
        </w:rPr>
        <w:t> </w:t>
      </w:r>
      <w:r>
        <w:rPr/>
        <w:t>contribution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GDP</w:t>
      </w:r>
      <w:r>
        <w:rPr>
          <w:spacing w:val="-2"/>
        </w:rPr>
        <w:t> </w:t>
      </w:r>
      <w:r>
        <w:rPr/>
        <w:t>(in</w:t>
      </w:r>
      <w:r>
        <w:rPr>
          <w:spacing w:val="-1"/>
        </w:rPr>
        <w:t> </w:t>
      </w:r>
      <w:r>
        <w:rPr/>
        <w:t>percent)</w:t>
      </w:r>
    </w:p>
    <w:tbl>
      <w:tblPr>
        <w:tblW w:w="0" w:type="auto"/>
        <w:jc w:val="left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6"/>
        <w:gridCol w:w="907"/>
        <w:gridCol w:w="1053"/>
        <w:gridCol w:w="1092"/>
        <w:gridCol w:w="1053"/>
        <w:gridCol w:w="1053"/>
        <w:gridCol w:w="1183"/>
        <w:gridCol w:w="873"/>
      </w:tblGrid>
      <w:tr>
        <w:trPr>
          <w:trHeight w:val="551" w:hRule="atLeast"/>
        </w:trPr>
        <w:tc>
          <w:tcPr>
            <w:tcW w:w="1616" w:type="dxa"/>
            <w:tcBorders>
              <w:right w:val="nil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Activity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Sector</w:t>
            </w:r>
          </w:p>
        </w:tc>
        <w:tc>
          <w:tcPr>
            <w:tcW w:w="90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z w:val="24"/>
              </w:rPr>
              <w:t>1960</w:t>
            </w:r>
          </w:p>
        </w:tc>
        <w:tc>
          <w:tcPr>
            <w:tcW w:w="105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1970</w:t>
            </w:r>
          </w:p>
        </w:tc>
        <w:tc>
          <w:tcPr>
            <w:tcW w:w="10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1980</w:t>
            </w:r>
          </w:p>
        </w:tc>
        <w:tc>
          <w:tcPr>
            <w:tcW w:w="105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1990</w:t>
            </w:r>
          </w:p>
        </w:tc>
        <w:tc>
          <w:tcPr>
            <w:tcW w:w="105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183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873" w:type="dxa"/>
            <w:tcBorders>
              <w:right w:val="nil"/>
            </w:tcBorders>
          </w:tcPr>
          <w:p>
            <w:pPr>
              <w:pStyle w:val="TableParagraph"/>
              <w:spacing w:line="268" w:lineRule="exact"/>
              <w:ind w:left="113"/>
              <w:rPr>
                <w:sz w:val="12"/>
              </w:rPr>
            </w:pPr>
            <w:r>
              <w:rPr>
                <w:sz w:val="24"/>
              </w:rPr>
              <w:t>2015</w:t>
            </w:r>
            <w:r>
              <w:rPr>
                <w:position w:val="6"/>
                <w:sz w:val="12"/>
              </w:rPr>
              <w:t>+</w:t>
            </w:r>
          </w:p>
        </w:tc>
      </w:tr>
      <w:tr>
        <w:trPr>
          <w:trHeight w:val="1103" w:hRule="atLeast"/>
        </w:trPr>
        <w:tc>
          <w:tcPr>
            <w:tcW w:w="1616" w:type="dxa"/>
            <w:tcBorders>
              <w:right w:val="nil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sector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Non-oil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sector</w:t>
            </w:r>
          </w:p>
        </w:tc>
        <w:tc>
          <w:tcPr>
            <w:tcW w:w="90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z w:val="24"/>
              </w:rPr>
              <w:t>0.44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64" w:lineRule="exact"/>
              <w:ind w:left="135"/>
              <w:rPr>
                <w:sz w:val="24"/>
              </w:rPr>
            </w:pPr>
            <w:r>
              <w:rPr>
                <w:sz w:val="24"/>
              </w:rPr>
              <w:t>99.56</w:t>
            </w:r>
          </w:p>
        </w:tc>
        <w:tc>
          <w:tcPr>
            <w:tcW w:w="105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11.04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64" w:lineRule="exact"/>
              <w:ind w:left="242"/>
              <w:rPr>
                <w:sz w:val="24"/>
              </w:rPr>
            </w:pPr>
            <w:r>
              <w:rPr>
                <w:sz w:val="24"/>
              </w:rPr>
              <w:t>88.96</w:t>
            </w:r>
          </w:p>
        </w:tc>
        <w:tc>
          <w:tcPr>
            <w:tcW w:w="10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21.41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64" w:lineRule="exact"/>
              <w:ind w:left="283"/>
              <w:rPr>
                <w:sz w:val="24"/>
              </w:rPr>
            </w:pPr>
            <w:r>
              <w:rPr>
                <w:sz w:val="24"/>
              </w:rPr>
              <w:t>78.51</w:t>
            </w:r>
          </w:p>
        </w:tc>
        <w:tc>
          <w:tcPr>
            <w:tcW w:w="105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37.46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64" w:lineRule="exact"/>
              <w:ind w:left="283"/>
              <w:rPr>
                <w:sz w:val="24"/>
              </w:rPr>
            </w:pPr>
            <w:r>
              <w:rPr>
                <w:sz w:val="24"/>
              </w:rPr>
              <w:t>62.54</w:t>
            </w:r>
          </w:p>
        </w:tc>
        <w:tc>
          <w:tcPr>
            <w:tcW w:w="105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32.45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64" w:lineRule="exact"/>
              <w:ind w:left="246"/>
              <w:rPr>
                <w:sz w:val="24"/>
              </w:rPr>
            </w:pPr>
            <w:r>
              <w:rPr>
                <w:sz w:val="24"/>
              </w:rPr>
              <w:t>67.55</w:t>
            </w:r>
          </w:p>
        </w:tc>
        <w:tc>
          <w:tcPr>
            <w:tcW w:w="1183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15.88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64" w:lineRule="exact"/>
              <w:ind w:left="285"/>
              <w:rPr>
                <w:sz w:val="24"/>
              </w:rPr>
            </w:pPr>
            <w:r>
              <w:rPr>
                <w:sz w:val="24"/>
              </w:rPr>
              <w:t>84.12</w:t>
            </w:r>
          </w:p>
        </w:tc>
        <w:tc>
          <w:tcPr>
            <w:tcW w:w="873" w:type="dxa"/>
            <w:tcBorders>
              <w:right w:val="nil"/>
            </w:tcBorders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9.60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90.39</w:t>
            </w:r>
          </w:p>
        </w:tc>
      </w:tr>
    </w:tbl>
    <w:p>
      <w:pPr>
        <w:spacing w:before="0"/>
        <w:ind w:left="500" w:right="0" w:firstLine="0"/>
        <w:jc w:val="both"/>
        <w:rPr>
          <w:b/>
          <w:sz w:val="16"/>
        </w:rPr>
      </w:pPr>
      <w:r>
        <w:rPr>
          <w:b/>
          <w:sz w:val="24"/>
        </w:rPr>
        <w:t>Sources: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Sanusi (2010)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 CBN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Statistical Bulletin,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2015</w:t>
      </w:r>
      <w:r>
        <w:rPr>
          <w:b/>
          <w:position w:val="8"/>
          <w:sz w:val="16"/>
        </w:rPr>
        <w:t>+</w:t>
      </w:r>
    </w:p>
    <w:p>
      <w:pPr>
        <w:pStyle w:val="Heading1"/>
        <w:numPr>
          <w:ilvl w:val="1"/>
          <w:numId w:val="18"/>
        </w:numPr>
        <w:tabs>
          <w:tab w:pos="1019" w:val="left" w:leader="none"/>
        </w:tabs>
        <w:spacing w:line="240" w:lineRule="auto" w:before="198" w:after="0"/>
        <w:ind w:left="1018" w:right="0" w:hanging="519"/>
        <w:jc w:val="left"/>
      </w:pPr>
      <w:bookmarkStart w:name="_TOC_250035" w:id="25"/>
      <w:r>
        <w:rPr/>
        <w:t>Monetary and</w:t>
      </w:r>
      <w:r>
        <w:rPr>
          <w:spacing w:val="-2"/>
        </w:rPr>
        <w:t> </w:t>
      </w:r>
      <w:r>
        <w:rPr/>
        <w:t>Fiscal</w:t>
      </w:r>
      <w:r>
        <w:rPr>
          <w:spacing w:val="-2"/>
        </w:rPr>
        <w:t> </w:t>
      </w:r>
      <w:r>
        <w:rPr/>
        <w:t>Policy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 Nigerian</w:t>
      </w:r>
      <w:r>
        <w:rPr>
          <w:spacing w:val="-3"/>
        </w:rPr>
        <w:t> </w:t>
      </w:r>
      <w:bookmarkEnd w:id="25"/>
      <w:r>
        <w:rPr/>
        <w:t>Economy</w:t>
      </w:r>
    </w:p>
    <w:p>
      <w:pPr>
        <w:pStyle w:val="BodyText"/>
        <w:spacing w:before="4"/>
        <w:rPr>
          <w:b/>
          <w:sz w:val="30"/>
        </w:rPr>
      </w:pPr>
    </w:p>
    <w:p>
      <w:pPr>
        <w:pStyle w:val="Heading1"/>
        <w:numPr>
          <w:ilvl w:val="2"/>
          <w:numId w:val="18"/>
        </w:numPr>
        <w:tabs>
          <w:tab w:pos="1084" w:val="left" w:leader="none"/>
        </w:tabs>
        <w:spacing w:line="240" w:lineRule="auto" w:before="0" w:after="0"/>
        <w:ind w:left="1083" w:right="0" w:hanging="584"/>
        <w:jc w:val="left"/>
      </w:pPr>
      <w:bookmarkStart w:name="_TOC_250034" w:id="26"/>
      <w:r>
        <w:rPr/>
        <w:t>Monetary Policy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bookmarkEnd w:id="26"/>
      <w:r>
        <w:rPr/>
        <w:t>Nigeria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360" w:lineRule="auto" w:before="1"/>
        <w:ind w:left="500" w:right="493"/>
        <w:jc w:val="both"/>
      </w:pPr>
      <w:r>
        <w:rPr/>
        <w:t>Monetary policy is the combination of measures designed to control the level of money supply,</w:t>
      </w:r>
      <w:r>
        <w:rPr>
          <w:spacing w:val="1"/>
        </w:rPr>
        <w:t> </w:t>
      </w:r>
      <w:r>
        <w:rPr/>
        <w:t>interest rates and credit in an economy in tandem with the desired level of economic activity. The</w:t>
      </w:r>
      <w:r>
        <w:rPr>
          <w:spacing w:val="-57"/>
        </w:rPr>
        <w:t> </w:t>
      </w:r>
      <w:r>
        <w:rPr/>
        <w:t>fundamental goals of monetary policy are attainment of low inflation and sustainable economic</w:t>
      </w:r>
      <w:r>
        <w:rPr>
          <w:spacing w:val="1"/>
        </w:rPr>
        <w:t> </w:t>
      </w:r>
      <w:r>
        <w:rPr/>
        <w:t>growth. Other objectives include full employment and stable real exchange rates. In Nigeria, The</w:t>
      </w:r>
      <w:r>
        <w:rPr>
          <w:spacing w:val="-57"/>
        </w:rPr>
        <w:t> </w:t>
      </w:r>
      <w:r>
        <w:rPr/>
        <w:t>Central Bank of Nigeria (CBN) is charged with the formulation and conduct of monetary policy</w:t>
      </w:r>
      <w:r>
        <w:rPr>
          <w:spacing w:val="1"/>
        </w:rPr>
        <w:t> </w:t>
      </w:r>
      <w:r>
        <w:rPr/>
        <w:t>(Central</w:t>
      </w:r>
      <w:r>
        <w:rPr>
          <w:spacing w:val="-8"/>
        </w:rPr>
        <w:t> </w:t>
      </w:r>
      <w:r>
        <w:rPr/>
        <w:t>Bank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Nigeria</w:t>
      </w:r>
      <w:r>
        <w:rPr>
          <w:spacing w:val="-6"/>
        </w:rPr>
        <w:t> </w:t>
      </w:r>
      <w:r>
        <w:rPr/>
        <w:t>Act</w:t>
      </w:r>
      <w:r>
        <w:rPr>
          <w:spacing w:val="-7"/>
        </w:rPr>
        <w:t> </w:t>
      </w:r>
      <w:r>
        <w:rPr/>
        <w:t>1958,</w:t>
      </w:r>
      <w:r>
        <w:rPr>
          <w:spacing w:val="-9"/>
        </w:rPr>
        <w:t> </w:t>
      </w:r>
      <w:r>
        <w:rPr/>
        <w:t>1991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2007).</w:t>
      </w:r>
      <w:r>
        <w:rPr>
          <w:spacing w:val="-6"/>
        </w:rPr>
        <w:t> </w:t>
      </w:r>
      <w:r>
        <w:rPr/>
        <w:t>Its</w:t>
      </w:r>
      <w:r>
        <w:rPr>
          <w:spacing w:val="-7"/>
        </w:rPr>
        <w:t> </w:t>
      </w:r>
      <w:r>
        <w:rPr/>
        <w:t>monetary</w:t>
      </w:r>
      <w:r>
        <w:rPr>
          <w:spacing w:val="-13"/>
        </w:rPr>
        <w:t> </w:t>
      </w:r>
      <w:r>
        <w:rPr/>
        <w:t>policy</w:t>
      </w:r>
      <w:r>
        <w:rPr>
          <w:spacing w:val="-12"/>
        </w:rPr>
        <w:t> </w:t>
      </w:r>
      <w:r>
        <w:rPr/>
        <w:t>thrust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control</w:t>
      </w:r>
      <w:r>
        <w:rPr>
          <w:spacing w:val="-8"/>
        </w:rPr>
        <w:t> </w:t>
      </w:r>
      <w:r>
        <w:rPr/>
        <w:t>money</w:t>
      </w:r>
      <w:r>
        <w:rPr>
          <w:spacing w:val="-57"/>
        </w:rPr>
        <w:t> </w:t>
      </w:r>
      <w:r>
        <w:rPr/>
        <w:t>supply and interest rates in order to achieve the ultimate goals of price stability and economic</w:t>
      </w:r>
      <w:r>
        <w:rPr>
          <w:spacing w:val="1"/>
        </w:rPr>
        <w:t> </w:t>
      </w:r>
      <w:r>
        <w:rPr/>
        <w:t>growth</w:t>
      </w:r>
      <w:r>
        <w:rPr>
          <w:spacing w:val="-1"/>
        </w:rPr>
        <w:t> </w:t>
      </w:r>
      <w:r>
        <w:rPr/>
        <w:t>(Central</w:t>
      </w:r>
      <w:r>
        <w:rPr>
          <w:spacing w:val="2"/>
        </w:rPr>
        <w:t> </w:t>
      </w:r>
      <w:r>
        <w:rPr/>
        <w:t>Bank of</w:t>
      </w:r>
      <w:r>
        <w:rPr>
          <w:spacing w:val="1"/>
        </w:rPr>
        <w:t> </w:t>
      </w:r>
      <w:r>
        <w:rPr/>
        <w:t>Nigeria, 2011a).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500" w:right="499"/>
        <w:jc w:val="both"/>
      </w:pPr>
      <w:r>
        <w:rPr/>
        <w:t>Since 1959, the monetary policy of the Central Bank of Nigeria has been conducted under two</w:t>
      </w:r>
      <w:r>
        <w:rPr>
          <w:spacing w:val="1"/>
        </w:rPr>
        <w:t> </w:t>
      </w:r>
      <w:r>
        <w:rPr/>
        <w:t>divergent</w:t>
      </w:r>
      <w:r>
        <w:rPr>
          <w:spacing w:val="-6"/>
        </w:rPr>
        <w:t> </w:t>
      </w:r>
      <w:r>
        <w:rPr/>
        <w:t>frameworks.</w:t>
      </w:r>
      <w:r>
        <w:rPr>
          <w:spacing w:val="-7"/>
        </w:rPr>
        <w:t> </w:t>
      </w:r>
      <w:r>
        <w:rPr/>
        <w:t>These</w:t>
      </w:r>
      <w:r>
        <w:rPr>
          <w:spacing w:val="-6"/>
        </w:rPr>
        <w:t> </w:t>
      </w:r>
      <w:r>
        <w:rPr/>
        <w:t>are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exchange</w:t>
      </w:r>
      <w:r>
        <w:rPr>
          <w:spacing w:val="-5"/>
        </w:rPr>
        <w:t> </w:t>
      </w:r>
      <w:r>
        <w:rPr/>
        <w:t>rate</w:t>
      </w:r>
      <w:r>
        <w:rPr>
          <w:spacing w:val="-6"/>
        </w:rPr>
        <w:t> </w:t>
      </w:r>
      <w:r>
        <w:rPr/>
        <w:t>targeting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monetary</w:t>
      </w:r>
      <w:r>
        <w:rPr>
          <w:spacing w:val="-8"/>
        </w:rPr>
        <w:t> </w:t>
      </w:r>
      <w:r>
        <w:rPr/>
        <w:t>targeting</w:t>
      </w:r>
      <w:r>
        <w:rPr>
          <w:spacing w:val="-6"/>
        </w:rPr>
        <w:t> </w:t>
      </w:r>
      <w:r>
        <w:rPr/>
        <w:t>regimes.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exchange rate framework was used between 1959 and 1974. Under this regime, the value of</w:t>
      </w:r>
      <w:r>
        <w:rPr>
          <w:spacing w:val="1"/>
        </w:rPr>
        <w:t> </w:t>
      </w:r>
      <w:r>
        <w:rPr/>
        <w:t>Nigeria’s currency was pegged to the British pound, then to the American dollars and afterwards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basket</w:t>
      </w:r>
      <w:r>
        <w:rPr>
          <w:spacing w:val="-1"/>
        </w:rPr>
        <w:t> </w:t>
      </w:r>
      <w:r>
        <w:rPr/>
        <w:t>comprising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currencies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twelve</w:t>
      </w:r>
      <w:r>
        <w:rPr>
          <w:spacing w:val="-2"/>
        </w:rPr>
        <w:t> </w:t>
      </w:r>
      <w:r>
        <w:rPr/>
        <w:t>Nigeria’s</w:t>
      </w:r>
      <w:r>
        <w:rPr>
          <w:spacing w:val="-1"/>
        </w:rPr>
        <w:t> </w:t>
      </w:r>
      <w:r>
        <w:rPr/>
        <w:t>major</w:t>
      </w:r>
      <w:r>
        <w:rPr>
          <w:spacing w:val="-2"/>
        </w:rPr>
        <w:t> </w:t>
      </w:r>
      <w:r>
        <w:rPr/>
        <w:t>trading</w:t>
      </w:r>
      <w:r>
        <w:rPr>
          <w:spacing w:val="-4"/>
        </w:rPr>
        <w:t> </w:t>
      </w:r>
      <w:r>
        <w:rPr/>
        <w:t>partners.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advantage</w:t>
      </w:r>
      <w:r>
        <w:rPr>
          <w:spacing w:val="-2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-4"/>
        </w:rPr>
        <w:t> </w:t>
      </w:r>
      <w:r>
        <w:rPr/>
        <w:t>exchange</w:t>
      </w:r>
      <w:r>
        <w:rPr>
          <w:spacing w:val="-5"/>
        </w:rPr>
        <w:t> </w:t>
      </w:r>
      <w:r>
        <w:rPr/>
        <w:t>rate</w:t>
      </w:r>
      <w:r>
        <w:rPr>
          <w:spacing w:val="-4"/>
        </w:rPr>
        <w:t> </w:t>
      </w:r>
      <w:r>
        <w:rPr/>
        <w:t>framework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it</w:t>
      </w:r>
      <w:r>
        <w:rPr>
          <w:spacing w:val="-3"/>
        </w:rPr>
        <w:t> </w:t>
      </w:r>
      <w:r>
        <w:rPr/>
        <w:t>provides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easily</w:t>
      </w:r>
      <w:r>
        <w:rPr>
          <w:spacing w:val="-9"/>
        </w:rPr>
        <w:t> </w:t>
      </w:r>
      <w:r>
        <w:rPr/>
        <w:t>monitored</w:t>
      </w:r>
      <w:r>
        <w:rPr>
          <w:spacing w:val="-4"/>
        </w:rPr>
        <w:t> </w:t>
      </w:r>
      <w:r>
        <w:rPr/>
        <w:t>nominal</w:t>
      </w:r>
      <w:r>
        <w:rPr>
          <w:spacing w:val="-3"/>
        </w:rPr>
        <w:t> </w:t>
      </w:r>
      <w:r>
        <w:rPr/>
        <w:t>anchor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guide</w:t>
      </w:r>
      <w:r>
        <w:rPr>
          <w:spacing w:val="-5"/>
        </w:rPr>
        <w:t> </w:t>
      </w:r>
      <w:r>
        <w:rPr/>
        <w:t>price</w:t>
      </w:r>
      <w:r>
        <w:rPr>
          <w:spacing w:val="-58"/>
        </w:rPr>
        <w:t> </w:t>
      </w:r>
      <w:r>
        <w:rPr/>
        <w:t>stability. However, in the face of excessive monetary expansions and fiscal dominance, this</w:t>
      </w:r>
      <w:r>
        <w:rPr>
          <w:spacing w:val="1"/>
        </w:rPr>
        <w:t> </w:t>
      </w:r>
      <w:r>
        <w:rPr/>
        <w:t>framework can lead to increased inflationary pressures that erode international competitiveness</w:t>
      </w:r>
      <w:r>
        <w:rPr>
          <w:spacing w:val="1"/>
        </w:rPr>
        <w:t> </w:t>
      </w:r>
      <w:r>
        <w:rPr/>
        <w:t>and create current account imbalances (Mason, 2006). In Nigeria, the collapse of the Bretton</w:t>
      </w:r>
      <w:r>
        <w:rPr>
          <w:spacing w:val="1"/>
        </w:rPr>
        <w:t> </w:t>
      </w:r>
      <w:r>
        <w:rPr/>
        <w:t>Woods system of fixed exchange rates in 1974 and a change in strategy to demand management</w:t>
      </w:r>
      <w:r>
        <w:rPr>
          <w:spacing w:val="1"/>
        </w:rPr>
        <w:t> </w:t>
      </w:r>
      <w:r>
        <w:rPr/>
        <w:t>as a means of containing inflationary pressures and balance of payments imbalances posed</w:t>
      </w:r>
      <w:r>
        <w:rPr>
          <w:spacing w:val="1"/>
        </w:rPr>
        <w:t> </w:t>
      </w:r>
      <w:r>
        <w:rPr/>
        <w:t>challenges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effectiveness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exchange</w:t>
      </w:r>
      <w:r>
        <w:rPr>
          <w:spacing w:val="-10"/>
        </w:rPr>
        <w:t> </w:t>
      </w:r>
      <w:r>
        <w:rPr/>
        <w:t>rate</w:t>
      </w:r>
      <w:r>
        <w:rPr>
          <w:spacing w:val="-11"/>
        </w:rPr>
        <w:t> </w:t>
      </w:r>
      <w:r>
        <w:rPr/>
        <w:t>targeting</w:t>
      </w:r>
      <w:r>
        <w:rPr>
          <w:spacing w:val="-11"/>
        </w:rPr>
        <w:t> </w:t>
      </w:r>
      <w:r>
        <w:rPr/>
        <w:t>framework</w:t>
      </w:r>
      <w:r>
        <w:rPr>
          <w:spacing w:val="-9"/>
        </w:rPr>
        <w:t> </w:t>
      </w:r>
      <w:r>
        <w:rPr/>
        <w:t>(Central</w:t>
      </w:r>
      <w:r>
        <w:rPr>
          <w:spacing w:val="-9"/>
        </w:rPr>
        <w:t> </w:t>
      </w:r>
      <w:r>
        <w:rPr/>
        <w:t>Bank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Nigeria,</w:t>
      </w:r>
      <w:r>
        <w:rPr>
          <w:spacing w:val="-58"/>
        </w:rPr>
        <w:t> </w:t>
      </w:r>
      <w:r>
        <w:rPr/>
        <w:t>2011a).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line="360" w:lineRule="auto" w:before="74"/>
        <w:ind w:left="500" w:right="498"/>
        <w:jc w:val="both"/>
      </w:pPr>
      <w:r>
        <w:rPr/>
        <w:t>The</w:t>
      </w:r>
      <w:r>
        <w:rPr>
          <w:spacing w:val="-10"/>
        </w:rPr>
        <w:t> </w:t>
      </w:r>
      <w:r>
        <w:rPr/>
        <w:t>CBN,</w:t>
      </w:r>
      <w:r>
        <w:rPr>
          <w:spacing w:val="-9"/>
        </w:rPr>
        <w:t> </w:t>
      </w:r>
      <w:r>
        <w:rPr/>
        <w:t>by</w:t>
      </w:r>
      <w:r>
        <w:rPr>
          <w:spacing w:val="-12"/>
        </w:rPr>
        <w:t> </w:t>
      </w:r>
      <w:r>
        <w:rPr/>
        <w:t>1974,</w:t>
      </w:r>
      <w:r>
        <w:rPr>
          <w:spacing w:val="-9"/>
        </w:rPr>
        <w:t> </w:t>
      </w:r>
      <w:r>
        <w:rPr/>
        <w:t>transited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monetary</w:t>
      </w:r>
      <w:r>
        <w:rPr>
          <w:spacing w:val="-13"/>
        </w:rPr>
        <w:t> </w:t>
      </w:r>
      <w:r>
        <w:rPr/>
        <w:t>targeting</w:t>
      </w:r>
      <w:r>
        <w:rPr>
          <w:spacing w:val="-10"/>
        </w:rPr>
        <w:t> </w:t>
      </w:r>
      <w:r>
        <w:rPr/>
        <w:t>framework.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monetary</w:t>
      </w:r>
      <w:r>
        <w:rPr>
          <w:spacing w:val="-10"/>
        </w:rPr>
        <w:t> </w:t>
      </w:r>
      <w:r>
        <w:rPr/>
        <w:t>targeting</w:t>
      </w:r>
      <w:r>
        <w:rPr>
          <w:spacing w:val="-10"/>
        </w:rPr>
        <w:t> </w:t>
      </w:r>
      <w:r>
        <w:rPr/>
        <w:t>regime</w:t>
      </w:r>
      <w:r>
        <w:rPr>
          <w:spacing w:val="-58"/>
        </w:rPr>
        <w:t> </w:t>
      </w:r>
      <w:r>
        <w:rPr/>
        <w:t>entails directly controlling monetary aggregates such as the money base in order to control</w:t>
      </w:r>
      <w:r>
        <w:rPr>
          <w:spacing w:val="1"/>
        </w:rPr>
        <w:t> </w:t>
      </w:r>
      <w:r>
        <w:rPr/>
        <w:t>inflationary pressures. It remains the current monetary policy framework of the CBN. Unlike the</w:t>
      </w:r>
      <w:r>
        <w:rPr>
          <w:spacing w:val="1"/>
        </w:rPr>
        <w:t> </w:t>
      </w:r>
      <w:r>
        <w:rPr/>
        <w:t>exchange rate targeting, the monetary targeting framework allows monetary policy to focus on</w:t>
      </w:r>
      <w:r>
        <w:rPr>
          <w:spacing w:val="1"/>
        </w:rPr>
        <w:t> </w:t>
      </w:r>
      <w:r>
        <w:rPr/>
        <w:t>internal or domestic issues (Mishkin, 2000). This framework is effective on the argument that the</w:t>
      </w:r>
      <w:r>
        <w:rPr>
          <w:spacing w:val="-57"/>
        </w:rPr>
        <w:t> </w:t>
      </w:r>
      <w:r>
        <w:rPr/>
        <w:t>relationship between monetary aggregates and macroeconomic outcomes such as output and</w:t>
      </w:r>
      <w:r>
        <w:rPr>
          <w:spacing w:val="1"/>
        </w:rPr>
        <w:t> </w:t>
      </w:r>
      <w:r>
        <w:rPr/>
        <w:t>inflation is stable. In this regard, Agu (2007) demonstrates that monetary aggregates have indeed</w:t>
      </w:r>
      <w:r>
        <w:rPr>
          <w:spacing w:val="1"/>
        </w:rPr>
        <w:t> </w:t>
      </w:r>
      <w:r>
        <w:rPr/>
        <w:t>been fairly stable and is an effective tool of monetary policy in Nigeria. Furthermore, this</w:t>
      </w:r>
      <w:r>
        <w:rPr>
          <w:spacing w:val="1"/>
        </w:rPr>
        <w:t> </w:t>
      </w:r>
      <w:r>
        <w:rPr/>
        <w:t>framework has continued to be applicable because of its suitability with relatively undeveloped</w:t>
      </w:r>
      <w:r>
        <w:rPr>
          <w:spacing w:val="1"/>
        </w:rPr>
        <w:t> </w:t>
      </w:r>
      <w:r>
        <w:rPr/>
        <w:t>financial markets. Alongside the use of monetary targets, the CBN has also implicitly adopted an</w:t>
      </w:r>
      <w:r>
        <w:rPr>
          <w:spacing w:val="-57"/>
        </w:rPr>
        <w:t> </w:t>
      </w:r>
      <w:r>
        <w:rPr/>
        <w:t>interest rate target. Under this framework, an interest rate serves as the anchor for setting other</w:t>
      </w:r>
      <w:r>
        <w:rPr>
          <w:spacing w:val="1"/>
        </w:rPr>
        <w:t> </w:t>
      </w:r>
      <w:r>
        <w:rPr/>
        <w:t>interest rates in the economy. However, with continued evolvement of the financial market and</w:t>
      </w:r>
      <w:r>
        <w:rPr>
          <w:spacing w:val="1"/>
        </w:rPr>
        <w:t> </w:t>
      </w:r>
      <w:r>
        <w:rPr/>
        <w:t>economic policy environments, there are indications that Nigeria may transit to an inflation</w:t>
      </w:r>
      <w:r>
        <w:rPr>
          <w:spacing w:val="1"/>
        </w:rPr>
        <w:t> </w:t>
      </w:r>
      <w:r>
        <w:rPr/>
        <w:t>targeting</w:t>
      </w:r>
      <w:r>
        <w:rPr>
          <w:spacing w:val="-1"/>
        </w:rPr>
        <w:t> </w:t>
      </w:r>
      <w:r>
        <w:rPr/>
        <w:t>regime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currently</w:t>
      </w:r>
      <w:r>
        <w:rPr>
          <w:spacing w:val="-5"/>
        </w:rPr>
        <w:t> </w:t>
      </w:r>
      <w:r>
        <w:rPr/>
        <w:t>used by</w:t>
      </w:r>
      <w:r>
        <w:rPr>
          <w:spacing w:val="-5"/>
        </w:rPr>
        <w:t> </w:t>
      </w:r>
      <w:r>
        <w:rPr/>
        <w:t>many</w:t>
      </w:r>
      <w:r>
        <w:rPr>
          <w:spacing w:val="-5"/>
        </w:rPr>
        <w:t> </w:t>
      </w:r>
      <w:r>
        <w:rPr/>
        <w:t>developed economies.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500" w:right="493"/>
        <w:jc w:val="both"/>
      </w:pPr>
      <w:r>
        <w:rPr/>
        <w:t>A second dimension of the monetary policy framework of the CBN can also be classified as the</w:t>
      </w:r>
      <w:r>
        <w:rPr>
          <w:spacing w:val="1"/>
        </w:rPr>
        <w:t> </w:t>
      </w:r>
      <w:r>
        <w:rPr/>
        <w:t>adoption of direct or non-market-based instruments (1974-1993) and indirect or market-based</w:t>
      </w:r>
      <w:r>
        <w:rPr>
          <w:spacing w:val="1"/>
        </w:rPr>
        <w:t> </w:t>
      </w:r>
      <w:r>
        <w:rPr/>
        <w:t>instruments</w:t>
      </w:r>
      <w:r>
        <w:rPr>
          <w:spacing w:val="-11"/>
        </w:rPr>
        <w:t> </w:t>
      </w:r>
      <w:r>
        <w:rPr/>
        <w:t>(1993-date).</w:t>
      </w:r>
      <w:r>
        <w:rPr>
          <w:spacing w:val="-9"/>
        </w:rPr>
        <w:t> </w:t>
      </w:r>
      <w:r>
        <w:rPr/>
        <w:t>Before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implementation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Structural</w:t>
      </w:r>
      <w:r>
        <w:rPr>
          <w:spacing w:val="-11"/>
        </w:rPr>
        <w:t> </w:t>
      </w:r>
      <w:r>
        <w:rPr/>
        <w:t>Adjustment</w:t>
      </w:r>
      <w:r>
        <w:rPr>
          <w:spacing w:val="-12"/>
        </w:rPr>
        <w:t> </w:t>
      </w:r>
      <w:r>
        <w:rPr/>
        <w:t>Program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1986</w:t>
      </w:r>
      <w:r>
        <w:rPr>
          <w:spacing w:val="-58"/>
        </w:rPr>
        <w:t> </w:t>
      </w:r>
      <w:r>
        <w:rPr/>
        <w:t>and with the existence of underdeveloped money and capital markets, monetary policy was</w:t>
      </w:r>
      <w:r>
        <w:rPr>
          <w:spacing w:val="1"/>
        </w:rPr>
        <w:t> </w:t>
      </w:r>
      <w:r>
        <w:rPr/>
        <w:t>conducted using direct control. Instruments used in this regime included credit ceilings to deposit</w:t>
      </w:r>
      <w:r>
        <w:rPr>
          <w:spacing w:val="-57"/>
        </w:rPr>
        <w:t> </w:t>
      </w:r>
      <w:r>
        <w:rPr/>
        <w:t>money banks, sectoral credit allocation to priority sectors of the economy, interest rate and</w:t>
      </w:r>
      <w:r>
        <w:rPr>
          <w:spacing w:val="1"/>
        </w:rPr>
        <w:t> </w:t>
      </w:r>
      <w:r>
        <w:rPr/>
        <w:t>exchange rate control. With the introduction of the Structural Adjustment Program in 1986, there</w:t>
      </w:r>
      <w:r>
        <w:rPr>
          <w:spacing w:val="-57"/>
        </w:rPr>
        <w:t> </w:t>
      </w:r>
      <w:r>
        <w:rPr/>
        <w:t>was</w:t>
      </w:r>
      <w:r>
        <w:rPr>
          <w:spacing w:val="-8"/>
        </w:rPr>
        <w:t> </w:t>
      </w:r>
      <w:r>
        <w:rPr/>
        <w:t>a</w:t>
      </w:r>
      <w:r>
        <w:rPr>
          <w:spacing w:val="-5"/>
        </w:rPr>
        <w:t> </w:t>
      </w:r>
      <w:r>
        <w:rPr/>
        <w:t>gradual</w:t>
      </w:r>
      <w:r>
        <w:rPr>
          <w:spacing w:val="-8"/>
        </w:rPr>
        <w:t> </w:t>
      </w:r>
      <w:r>
        <w:rPr/>
        <w:t>shift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indirect</w:t>
      </w:r>
      <w:r>
        <w:rPr>
          <w:spacing w:val="-7"/>
        </w:rPr>
        <w:t> </w:t>
      </w:r>
      <w:r>
        <w:rPr/>
        <w:t>control</w:t>
      </w:r>
      <w:r>
        <w:rPr>
          <w:spacing w:val="-6"/>
        </w:rPr>
        <w:t> </w:t>
      </w:r>
      <w:r>
        <w:rPr/>
        <w:t>or</w:t>
      </w:r>
      <w:r>
        <w:rPr>
          <w:spacing w:val="-9"/>
        </w:rPr>
        <w:t> </w:t>
      </w:r>
      <w:r>
        <w:rPr/>
        <w:t>market-based</w:t>
      </w:r>
      <w:r>
        <w:rPr>
          <w:spacing w:val="-6"/>
        </w:rPr>
        <w:t> </w:t>
      </w:r>
      <w:r>
        <w:rPr/>
        <w:t>regime.</w:t>
      </w:r>
      <w:r>
        <w:rPr>
          <w:spacing w:val="-7"/>
        </w:rPr>
        <w:t> </w:t>
      </w:r>
      <w:r>
        <w:rPr/>
        <w:t>This</w:t>
      </w:r>
      <w:r>
        <w:rPr>
          <w:spacing w:val="-8"/>
        </w:rPr>
        <w:t> </w:t>
      </w:r>
      <w:r>
        <w:rPr/>
        <w:t>began</w:t>
      </w:r>
      <w:r>
        <w:rPr>
          <w:spacing w:val="-9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elimination</w:t>
      </w:r>
      <w:r>
        <w:rPr>
          <w:spacing w:val="-58"/>
        </w:rPr>
        <w:t> </w:t>
      </w:r>
      <w:r>
        <w:rPr/>
        <w:t>of credit ceiling imposed on some banks and then, the adoption of the Open market operations in</w:t>
      </w:r>
      <w:r>
        <w:rPr>
          <w:spacing w:val="1"/>
        </w:rPr>
        <w:t> </w:t>
      </w:r>
      <w:r>
        <w:rPr/>
        <w:t>1993 as the major instrument. Other instruments adopted under this regime include reserve</w:t>
      </w:r>
      <w:r>
        <w:rPr>
          <w:spacing w:val="1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and discount window operations.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500" w:right="495"/>
        <w:jc w:val="both"/>
      </w:pPr>
      <w:r>
        <w:rPr/>
        <w:t>Following the implicit adoption of an interest rate target by the Central Bank of Nigeria, the</w:t>
      </w:r>
      <w:r>
        <w:rPr>
          <w:spacing w:val="1"/>
        </w:rPr>
        <w:t> </w:t>
      </w:r>
      <w:r>
        <w:rPr/>
        <w:t>Minimum Rediscount Rate (MRR) was adopted as the anchor rate. However, in December 2006,</w:t>
      </w:r>
      <w:r>
        <w:rPr>
          <w:spacing w:val="1"/>
        </w:rPr>
        <w:t> </w:t>
      </w:r>
      <w:r>
        <w:rPr/>
        <w:t>CBN used adopted the Monetary Policy Rate in place of the Minimum Rediscount Rate, in order</w:t>
      </w:r>
      <w:r>
        <w:rPr>
          <w:spacing w:val="1"/>
        </w:rPr>
        <w:t> </w:t>
      </w:r>
      <w:r>
        <w:rPr/>
        <w:t>to</w:t>
      </w:r>
      <w:r>
        <w:rPr>
          <w:spacing w:val="17"/>
        </w:rPr>
        <w:t> </w:t>
      </w:r>
      <w:r>
        <w:rPr/>
        <w:t>eliminate</w:t>
      </w:r>
      <w:r>
        <w:rPr>
          <w:spacing w:val="16"/>
        </w:rPr>
        <w:t> </w:t>
      </w:r>
      <w:r>
        <w:rPr/>
        <w:t>interest</w:t>
      </w:r>
      <w:r>
        <w:rPr>
          <w:spacing w:val="18"/>
        </w:rPr>
        <w:t> </w:t>
      </w:r>
      <w:r>
        <w:rPr/>
        <w:t>rate</w:t>
      </w:r>
      <w:r>
        <w:rPr>
          <w:spacing w:val="18"/>
        </w:rPr>
        <w:t> </w:t>
      </w:r>
      <w:r>
        <w:rPr/>
        <w:t>volatility</w:t>
      </w:r>
      <w:r>
        <w:rPr>
          <w:spacing w:val="11"/>
        </w:rPr>
        <w:t> </w:t>
      </w:r>
      <w:r>
        <w:rPr/>
        <w:t>and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tackle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unresponsiveness</w:t>
      </w:r>
      <w:r>
        <w:rPr>
          <w:spacing w:val="16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6"/>
        </w:rPr>
        <w:t> </w:t>
      </w:r>
      <w:r>
        <w:rPr/>
        <w:t>MRR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policy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line="360" w:lineRule="auto" w:before="74"/>
        <w:ind w:left="500" w:right="498"/>
        <w:jc w:val="both"/>
      </w:pPr>
      <w:r>
        <w:rPr/>
        <w:t>actions of the apex bank (CBN Monetary Policy Committee Communique No. 48, 2006). Under</w:t>
      </w:r>
      <w:r>
        <w:rPr>
          <w:spacing w:val="1"/>
        </w:rPr>
        <w:t> </w:t>
      </w:r>
      <w:r>
        <w:rPr/>
        <w:t>this framework, CBN introduced the standing deposit and lending facility that allowed Discount</w:t>
      </w:r>
      <w:r>
        <w:rPr>
          <w:spacing w:val="1"/>
        </w:rPr>
        <w:t> </w:t>
      </w:r>
      <w:r>
        <w:rPr/>
        <w:t>Houses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Deposit</w:t>
      </w:r>
      <w:r>
        <w:rPr>
          <w:spacing w:val="-1"/>
        </w:rPr>
        <w:t> </w:t>
      </w:r>
      <w:r>
        <w:rPr/>
        <w:t>Money</w:t>
      </w:r>
      <w:r>
        <w:rPr>
          <w:spacing w:val="-4"/>
        </w:rPr>
        <w:t> </w:t>
      </w:r>
      <w:r>
        <w:rPr/>
        <w:t>Banks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need</w:t>
      </w:r>
      <w:r>
        <w:rPr>
          <w:spacing w:val="-1"/>
        </w:rPr>
        <w:t> </w:t>
      </w:r>
      <w:r>
        <w:rPr/>
        <w:t>funds</w:t>
      </w:r>
      <w:r>
        <w:rPr>
          <w:spacing w:val="3"/>
        </w:rPr>
        <w:t> </w:t>
      </w:r>
      <w:r>
        <w:rPr/>
        <w:t>to</w:t>
      </w:r>
      <w:r>
        <w:rPr>
          <w:spacing w:val="-1"/>
        </w:rPr>
        <w:t> </w:t>
      </w:r>
      <w:r>
        <w:rPr/>
        <w:t>address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liquidity</w:t>
      </w:r>
      <w:r>
        <w:rPr>
          <w:spacing w:val="-8"/>
        </w:rPr>
        <w:t> </w:t>
      </w:r>
      <w:r>
        <w:rPr/>
        <w:t>shortages</w:t>
      </w:r>
      <w:r>
        <w:rPr>
          <w:spacing w:val="-2"/>
        </w:rPr>
        <w:t> </w:t>
      </w:r>
      <w:r>
        <w:rPr/>
        <w:t>while</w:t>
      </w:r>
      <w:r>
        <w:rPr>
          <w:spacing w:val="-2"/>
        </w:rPr>
        <w:t> </w:t>
      </w:r>
      <w:r>
        <w:rPr/>
        <w:t>those</w:t>
      </w:r>
      <w:r>
        <w:rPr>
          <w:spacing w:val="-57"/>
        </w:rPr>
        <w:t> </w:t>
      </w:r>
      <w:r>
        <w:rPr/>
        <w:t>with excess liquidity</w:t>
      </w:r>
      <w:r>
        <w:rPr>
          <w:spacing w:val="-8"/>
        </w:rPr>
        <w:t> </w:t>
      </w:r>
      <w:r>
        <w:rPr/>
        <w:t>can</w:t>
      </w:r>
      <w:r>
        <w:rPr>
          <w:spacing w:val="2"/>
        </w:rPr>
        <w:t> </w:t>
      </w:r>
      <w:r>
        <w:rPr/>
        <w:t>deposit the</w:t>
      </w:r>
      <w:r>
        <w:rPr>
          <w:spacing w:val="-1"/>
        </w:rPr>
        <w:t> </w:t>
      </w:r>
      <w:r>
        <w:rPr/>
        <w:t>funds</w:t>
      </w:r>
      <w:r>
        <w:rPr>
          <w:spacing w:val="-1"/>
        </w:rPr>
        <w:t> </w:t>
      </w:r>
      <w:r>
        <w:rPr/>
        <w:t>overnight.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500" w:right="495"/>
        <w:jc w:val="both"/>
      </w:pPr>
      <w:r>
        <w:rPr/>
        <w:t>A third dimension to the monetary policy framework of the CBN entails the use of a short-term</w:t>
      </w:r>
      <w:r>
        <w:rPr>
          <w:spacing w:val="1"/>
        </w:rPr>
        <w:t> </w:t>
      </w:r>
      <w:r>
        <w:rPr/>
        <w:t>framework or medium-term framework. The short-term framework is an annual framework used</w:t>
      </w:r>
      <w:r>
        <w:rPr>
          <w:spacing w:val="1"/>
        </w:rPr>
        <w:t> </w:t>
      </w:r>
      <w:r>
        <w:rPr/>
        <w:t>between 1986 till 2001. In 2002, the CBN transited to a medium-term framework, which is a bi-</w:t>
      </w:r>
      <w:r>
        <w:rPr>
          <w:spacing w:val="1"/>
        </w:rPr>
        <w:t> </w:t>
      </w:r>
      <w:r>
        <w:rPr/>
        <w:t>annual framework, in the implementation of monetary policy. This most recent framework is</w:t>
      </w:r>
      <w:r>
        <w:rPr>
          <w:spacing w:val="1"/>
        </w:rPr>
        <w:t> </w:t>
      </w:r>
      <w:r>
        <w:rPr/>
        <w:t>hinged</w:t>
      </w:r>
      <w:r>
        <w:rPr>
          <w:spacing w:val="-6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assumption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monetary</w:t>
      </w:r>
      <w:r>
        <w:rPr>
          <w:spacing w:val="-8"/>
        </w:rPr>
        <w:t> </w:t>
      </w:r>
      <w:r>
        <w:rPr/>
        <w:t>policy</w:t>
      </w:r>
      <w:r>
        <w:rPr>
          <w:spacing w:val="-9"/>
        </w:rPr>
        <w:t> </w:t>
      </w:r>
      <w:r>
        <w:rPr/>
        <w:t>actions</w:t>
      </w:r>
      <w:r>
        <w:rPr>
          <w:spacing w:val="-5"/>
        </w:rPr>
        <w:t> </w:t>
      </w:r>
      <w:r>
        <w:rPr/>
        <w:t>affects</w:t>
      </w:r>
      <w:r>
        <w:rPr>
          <w:spacing w:val="-5"/>
        </w:rPr>
        <w:t> </w:t>
      </w:r>
      <w:r>
        <w:rPr/>
        <w:t>ultimate</w:t>
      </w:r>
      <w:r>
        <w:rPr>
          <w:spacing w:val="-6"/>
        </w:rPr>
        <w:t> </w:t>
      </w:r>
      <w:r>
        <w:rPr/>
        <w:t>economic</w:t>
      </w:r>
      <w:r>
        <w:rPr>
          <w:spacing w:val="-7"/>
        </w:rPr>
        <w:t> </w:t>
      </w:r>
      <w:r>
        <w:rPr/>
        <w:t>goals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lag.</w:t>
      </w:r>
      <w:r>
        <w:rPr>
          <w:spacing w:val="-57"/>
        </w:rPr>
        <w:t> </w:t>
      </w:r>
      <w:r>
        <w:rPr/>
        <w:t>An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medium-term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addresses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inconsistency</w:t>
      </w:r>
      <w:r>
        <w:rPr>
          <w:spacing w:val="-6"/>
        </w:rPr>
        <w:t> </w:t>
      </w:r>
      <w:r>
        <w:rPr/>
        <w:t>in the</w:t>
      </w:r>
      <w:r>
        <w:rPr>
          <w:spacing w:val="-1"/>
        </w:rPr>
        <w:t> </w:t>
      </w:r>
      <w:r>
        <w:rPr/>
        <w:t>implementation of</w:t>
      </w:r>
      <w:r>
        <w:rPr>
          <w:spacing w:val="-1"/>
        </w:rPr>
        <w:t> </w:t>
      </w:r>
      <w:r>
        <w:rPr/>
        <w:t>monetary</w:t>
      </w:r>
      <w:r>
        <w:rPr>
          <w:spacing w:val="-3"/>
        </w:rPr>
        <w:t> </w:t>
      </w:r>
      <w:r>
        <w:rPr/>
        <w:t>policy</w:t>
      </w:r>
      <w:r>
        <w:rPr>
          <w:spacing w:val="-5"/>
        </w:rPr>
        <w:t> </w:t>
      </w:r>
      <w:r>
        <w:rPr/>
        <w:t>(Central Bank of</w:t>
      </w:r>
      <w:r>
        <w:rPr>
          <w:spacing w:val="1"/>
        </w:rPr>
        <w:t> </w:t>
      </w:r>
      <w:r>
        <w:rPr/>
        <w:t>Nigeria, 2015a).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500" w:right="494"/>
        <w:jc w:val="both"/>
      </w:pPr>
      <w:r>
        <w:rPr/>
        <w:t>Another</w:t>
      </w:r>
      <w:r>
        <w:rPr>
          <w:spacing w:val="-7"/>
        </w:rPr>
        <w:t> </w:t>
      </w:r>
      <w:r>
        <w:rPr/>
        <w:t>aspect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monetary</w:t>
      </w:r>
      <w:r>
        <w:rPr>
          <w:spacing w:val="-10"/>
        </w:rPr>
        <w:t> </w:t>
      </w:r>
      <w:r>
        <w:rPr/>
        <w:t>policy</w:t>
      </w:r>
      <w:r>
        <w:rPr>
          <w:spacing w:val="-11"/>
        </w:rPr>
        <w:t> </w:t>
      </w:r>
      <w:r>
        <w:rPr/>
        <w:t>concerns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/>
        <w:t>transmission</w:t>
      </w:r>
      <w:r>
        <w:rPr>
          <w:spacing w:val="-5"/>
        </w:rPr>
        <w:t> </w:t>
      </w:r>
      <w:r>
        <w:rPr/>
        <w:t>channel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economy.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regard</w:t>
      </w:r>
      <w:r>
        <w:rPr>
          <w:spacing w:val="-57"/>
        </w:rPr>
        <w:t> </w:t>
      </w:r>
      <w:r>
        <w:rPr/>
        <w:t>to this, the major channels in Nigeria are through money aggregates and interest rate. The first</w:t>
      </w:r>
      <w:r>
        <w:rPr>
          <w:spacing w:val="1"/>
        </w:rPr>
        <w:t> </w:t>
      </w:r>
      <w:r>
        <w:rPr/>
        <w:t>channel entails setting an operating target using the base money through an intermediate target,</w:t>
      </w:r>
      <w:r>
        <w:rPr>
          <w:spacing w:val="1"/>
        </w:rPr>
        <w:t> </w:t>
      </w:r>
      <w:r>
        <w:rPr/>
        <w:t>the broad money supply (M2). Under this channel, the CBN uses the Open Market Operation</w:t>
      </w:r>
      <w:r>
        <w:rPr>
          <w:spacing w:val="1"/>
        </w:rPr>
        <w:t> </w:t>
      </w:r>
      <w:r>
        <w:rPr/>
        <w:t>(OMO) to transact financial securities with both banks and non-bank public for the purpose of</w:t>
      </w:r>
      <w:r>
        <w:rPr>
          <w:spacing w:val="1"/>
        </w:rPr>
        <w:t> </w:t>
      </w:r>
      <w:r>
        <w:rPr/>
        <w:t>influencing the ability of banks to create money. This invariably affects the level of money</w:t>
      </w:r>
      <w:r>
        <w:rPr>
          <w:spacing w:val="1"/>
        </w:rPr>
        <w:t> </w:t>
      </w:r>
      <w:r>
        <w:rPr/>
        <w:t>supplied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economy.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second</w:t>
      </w:r>
      <w:r>
        <w:rPr>
          <w:spacing w:val="-1"/>
        </w:rPr>
        <w:t> </w:t>
      </w:r>
      <w:r>
        <w:rPr/>
        <w:t>channel</w:t>
      </w:r>
      <w:r>
        <w:rPr>
          <w:spacing w:val="-3"/>
        </w:rPr>
        <w:t> </w:t>
      </w:r>
      <w:r>
        <w:rPr/>
        <w:t>involves</w:t>
      </w:r>
      <w:r>
        <w:rPr>
          <w:spacing w:val="-3"/>
        </w:rPr>
        <w:t> </w:t>
      </w:r>
      <w:r>
        <w:rPr/>
        <w:t>setting</w:t>
      </w:r>
      <w:r>
        <w:rPr>
          <w:spacing w:val="-6"/>
        </w:rPr>
        <w:t> </w:t>
      </w:r>
      <w:r>
        <w:rPr/>
        <w:t>an</w:t>
      </w:r>
      <w:r>
        <w:rPr>
          <w:spacing w:val="-1"/>
        </w:rPr>
        <w:t> </w:t>
      </w:r>
      <w:r>
        <w:rPr/>
        <w:t>anchor</w:t>
      </w:r>
      <w:r>
        <w:rPr>
          <w:spacing w:val="-4"/>
        </w:rPr>
        <w:t> </w:t>
      </w:r>
      <w:r>
        <w:rPr/>
        <w:t>interest</w:t>
      </w:r>
      <w:r>
        <w:rPr>
          <w:spacing w:val="-3"/>
        </w:rPr>
        <w:t> </w:t>
      </w:r>
      <w:r>
        <w:rPr/>
        <w:t>rate</w:t>
      </w:r>
      <w:r>
        <w:rPr>
          <w:spacing w:val="-4"/>
        </w:rPr>
        <w:t> </w:t>
      </w:r>
      <w:r>
        <w:rPr/>
        <w:t>whose</w:t>
      </w:r>
      <w:r>
        <w:rPr>
          <w:spacing w:val="-4"/>
        </w:rPr>
        <w:t> </w:t>
      </w:r>
      <w:r>
        <w:rPr/>
        <w:t>value</w:t>
      </w:r>
      <w:r>
        <w:rPr>
          <w:spacing w:val="-58"/>
        </w:rPr>
        <w:t> </w:t>
      </w:r>
      <w:r>
        <w:rPr/>
        <w:t>influences expectation of the private sector and then, affects financial asset prices and exchange</w:t>
      </w:r>
      <w:r>
        <w:rPr>
          <w:spacing w:val="1"/>
        </w:rPr>
        <w:t> </w:t>
      </w:r>
      <w:r>
        <w:rPr/>
        <w:t>rate.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2"/>
          <w:numId w:val="18"/>
        </w:numPr>
        <w:tabs>
          <w:tab w:pos="1279" w:val="left" w:leader="none"/>
        </w:tabs>
        <w:spacing w:line="240" w:lineRule="auto" w:before="0" w:after="0"/>
        <w:ind w:left="1278" w:right="0" w:hanging="779"/>
        <w:jc w:val="both"/>
      </w:pPr>
      <w:bookmarkStart w:name="_TOC_250033" w:id="27"/>
      <w:r>
        <w:rPr/>
        <w:t>Fiscal</w:t>
      </w:r>
      <w:r>
        <w:rPr>
          <w:spacing w:val="-4"/>
        </w:rPr>
        <w:t> </w:t>
      </w:r>
      <w:r>
        <w:rPr/>
        <w:t>Policy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bookmarkEnd w:id="27"/>
      <w:r>
        <w:rPr/>
        <w:t>Nigeria</w:t>
      </w:r>
    </w:p>
    <w:p>
      <w:pPr>
        <w:pStyle w:val="BodyText"/>
        <w:spacing w:line="360" w:lineRule="auto" w:before="144"/>
        <w:ind w:left="500" w:right="498"/>
        <w:jc w:val="both"/>
      </w:pPr>
      <w:r>
        <w:rPr>
          <w:spacing w:val="-1"/>
        </w:rPr>
        <w:t>Fiscal</w:t>
      </w:r>
      <w:r>
        <w:rPr>
          <w:spacing w:val="-7"/>
        </w:rPr>
        <w:t> </w:t>
      </w:r>
      <w:r>
        <w:rPr>
          <w:spacing w:val="-1"/>
        </w:rPr>
        <w:t>policy</w:t>
      </w:r>
      <w:r>
        <w:rPr>
          <w:spacing w:val="-12"/>
        </w:rPr>
        <w:t> </w:t>
      </w:r>
      <w:r>
        <w:rPr/>
        <w:t>in</w:t>
      </w:r>
      <w:r>
        <w:rPr>
          <w:spacing w:val="-7"/>
        </w:rPr>
        <w:t> </w:t>
      </w:r>
      <w:r>
        <w:rPr/>
        <w:t>Nigeria</w:t>
      </w:r>
      <w:r>
        <w:rPr>
          <w:spacing w:val="-8"/>
        </w:rPr>
        <w:t> </w:t>
      </w:r>
      <w:r>
        <w:rPr/>
        <w:t>is</w:t>
      </w:r>
      <w:r>
        <w:rPr>
          <w:spacing w:val="-5"/>
        </w:rPr>
        <w:t> </w:t>
      </w:r>
      <w:r>
        <w:rPr/>
        <w:t>largely</w:t>
      </w:r>
      <w:r>
        <w:rPr>
          <w:spacing w:val="-15"/>
        </w:rPr>
        <w:t> </w:t>
      </w:r>
      <w:r>
        <w:rPr/>
        <w:t>intertwined</w:t>
      </w:r>
      <w:r>
        <w:rPr>
          <w:spacing w:val="-7"/>
        </w:rPr>
        <w:t> </w:t>
      </w:r>
      <w:r>
        <w:rPr/>
        <w:t>within</w:t>
      </w:r>
      <w:r>
        <w:rPr>
          <w:spacing w:val="-8"/>
        </w:rPr>
        <w:t> </w:t>
      </w:r>
      <w:r>
        <w:rPr/>
        <w:t>fiscal</w:t>
      </w:r>
      <w:r>
        <w:rPr>
          <w:spacing w:val="-7"/>
        </w:rPr>
        <w:t> </w:t>
      </w:r>
      <w:r>
        <w:rPr/>
        <w:t>federalism-</w:t>
      </w:r>
      <w:r>
        <w:rPr>
          <w:spacing w:val="-8"/>
        </w:rPr>
        <w:t> </w:t>
      </w:r>
      <w:r>
        <w:rPr/>
        <w:t>an</w:t>
      </w:r>
      <w:r>
        <w:rPr>
          <w:spacing w:val="-7"/>
        </w:rPr>
        <w:t> </w:t>
      </w:r>
      <w:r>
        <w:rPr/>
        <w:t>intergovernmental</w:t>
      </w:r>
      <w:r>
        <w:rPr>
          <w:spacing w:val="-8"/>
        </w:rPr>
        <w:t> </w:t>
      </w:r>
      <w:r>
        <w:rPr/>
        <w:t>fiscal</w:t>
      </w:r>
      <w:r>
        <w:rPr>
          <w:spacing w:val="-58"/>
        </w:rPr>
        <w:t> </w:t>
      </w:r>
      <w:r>
        <w:rPr/>
        <w:t>relationship</w:t>
      </w:r>
      <w:r>
        <w:rPr>
          <w:spacing w:val="-8"/>
        </w:rPr>
        <w:t> </w:t>
      </w:r>
      <w:r>
        <w:rPr/>
        <w:t>existing</w:t>
      </w:r>
      <w:r>
        <w:rPr>
          <w:spacing w:val="-11"/>
        </w:rPr>
        <w:t> </w:t>
      </w:r>
      <w:r>
        <w:rPr/>
        <w:t>among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various</w:t>
      </w:r>
      <w:r>
        <w:rPr>
          <w:spacing w:val="-7"/>
        </w:rPr>
        <w:t> </w:t>
      </w:r>
      <w:r>
        <w:rPr/>
        <w:t>tiers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/>
        <w:t>government.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fiscal</w:t>
      </w:r>
      <w:r>
        <w:rPr>
          <w:spacing w:val="-8"/>
        </w:rPr>
        <w:t> </w:t>
      </w:r>
      <w:r>
        <w:rPr/>
        <w:t>federalist</w:t>
      </w:r>
      <w:r>
        <w:rPr>
          <w:spacing w:val="-8"/>
        </w:rPr>
        <w:t> </w:t>
      </w:r>
      <w:r>
        <w:rPr/>
        <w:t>state,</w:t>
      </w:r>
      <w:r>
        <w:rPr>
          <w:spacing w:val="-8"/>
        </w:rPr>
        <w:t> </w:t>
      </w:r>
      <w:r>
        <w:rPr/>
        <w:t>there</w:t>
      </w:r>
      <w:r>
        <w:rPr>
          <w:spacing w:val="-10"/>
        </w:rPr>
        <w:t> </w:t>
      </w:r>
      <w:r>
        <w:rPr/>
        <w:t>exists</w:t>
      </w:r>
      <w:r>
        <w:rPr>
          <w:spacing w:val="-58"/>
        </w:rPr>
        <w:t> </w:t>
      </w:r>
      <w:r>
        <w:rPr/>
        <w:t>more than one tier of government where each has different expenditure and revenue raising</w:t>
      </w:r>
      <w:r>
        <w:rPr>
          <w:spacing w:val="1"/>
        </w:rPr>
        <w:t> </w:t>
      </w:r>
      <w:r>
        <w:rPr/>
        <w:t>powers. The various fiscal tools that are implemented are guided by the existing fiscal federalist</w:t>
      </w:r>
      <w:r>
        <w:rPr>
          <w:spacing w:val="1"/>
        </w:rPr>
        <w:t> </w:t>
      </w:r>
      <w:r>
        <w:rPr/>
        <w:t>structure, as contained in the Nigerian constitutions, development plans and specific frameworks</w:t>
      </w:r>
      <w:r>
        <w:rPr>
          <w:spacing w:val="1"/>
        </w:rPr>
        <w:t> </w:t>
      </w:r>
      <w:r>
        <w:rPr/>
        <w:t>such</w:t>
      </w:r>
      <w:r>
        <w:rPr>
          <w:spacing w:val="-1"/>
        </w:rPr>
        <w:t> </w:t>
      </w:r>
      <w:r>
        <w:rPr/>
        <w:t>as the Fiscal Responsibility</w:t>
      </w:r>
      <w:r>
        <w:rPr>
          <w:spacing w:val="-8"/>
        </w:rPr>
        <w:t> </w:t>
      </w:r>
      <w:r>
        <w:rPr/>
        <w:t>Act of 2007.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line="360" w:lineRule="auto" w:before="74"/>
        <w:ind w:left="500" w:right="494"/>
        <w:jc w:val="both"/>
      </w:pPr>
      <w:r>
        <w:rPr/>
        <w:t>The</w:t>
      </w:r>
      <w:r>
        <w:rPr>
          <w:spacing w:val="-7"/>
        </w:rPr>
        <w:t> </w:t>
      </w:r>
      <w:r>
        <w:rPr/>
        <w:t>various</w:t>
      </w:r>
      <w:r>
        <w:rPr>
          <w:spacing w:val="-5"/>
        </w:rPr>
        <w:t> </w:t>
      </w:r>
      <w:r>
        <w:rPr/>
        <w:t>Nigerian</w:t>
      </w:r>
      <w:r>
        <w:rPr>
          <w:spacing w:val="-4"/>
        </w:rPr>
        <w:t> </w:t>
      </w:r>
      <w:r>
        <w:rPr/>
        <w:t>Constitutions</w:t>
      </w:r>
      <w:r>
        <w:rPr>
          <w:spacing w:val="-5"/>
        </w:rPr>
        <w:t> </w:t>
      </w:r>
      <w:r>
        <w:rPr/>
        <w:t>explicitly</w:t>
      </w:r>
      <w:r>
        <w:rPr>
          <w:spacing w:val="-11"/>
        </w:rPr>
        <w:t> </w:t>
      </w:r>
      <w:r>
        <w:rPr/>
        <w:t>allocates</w:t>
      </w:r>
      <w:r>
        <w:rPr>
          <w:spacing w:val="-5"/>
        </w:rPr>
        <w:t> </w:t>
      </w:r>
      <w:r>
        <w:rPr/>
        <w:t>taxation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expenditure</w:t>
      </w:r>
      <w:r>
        <w:rPr>
          <w:spacing w:val="-7"/>
        </w:rPr>
        <w:t> </w:t>
      </w:r>
      <w:r>
        <w:rPr/>
        <w:t>power</w:t>
      </w:r>
      <w:r>
        <w:rPr>
          <w:spacing w:val="-7"/>
        </w:rPr>
        <w:t> </w:t>
      </w:r>
      <w:r>
        <w:rPr/>
        <w:t>among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existing tiers of government. For instance, the Richard Constitution of 1946 divided Nigeria into</w:t>
      </w:r>
      <w:r>
        <w:rPr>
          <w:spacing w:val="1"/>
        </w:rPr>
        <w:t> </w:t>
      </w:r>
      <w:r>
        <w:rPr/>
        <w:t>the Northern, Western and Eastern regions alongside the Federal Government. Under this era, the</w:t>
      </w:r>
      <w:r>
        <w:rPr>
          <w:spacing w:val="-57"/>
        </w:rPr>
        <w:t> </w:t>
      </w:r>
      <w:r>
        <w:rPr/>
        <w:t>Philipson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appointed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assign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duties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governments, stipulated that regional governments be entitled to revenues that included personal</w:t>
      </w:r>
      <w:r>
        <w:rPr>
          <w:spacing w:val="1"/>
        </w:rPr>
        <w:t> </w:t>
      </w:r>
      <w:r>
        <w:rPr/>
        <w:t>income</w:t>
      </w:r>
      <w:r>
        <w:rPr>
          <w:spacing w:val="-7"/>
        </w:rPr>
        <w:t> </w:t>
      </w:r>
      <w:r>
        <w:rPr/>
        <w:t>tax,</w:t>
      </w:r>
      <w:r>
        <w:rPr>
          <w:spacing w:val="-5"/>
        </w:rPr>
        <w:t> </w:t>
      </w:r>
      <w:r>
        <w:rPr/>
        <w:t>property</w:t>
      </w:r>
      <w:r>
        <w:rPr>
          <w:spacing w:val="-11"/>
        </w:rPr>
        <w:t> </w:t>
      </w:r>
      <w:r>
        <w:rPr/>
        <w:t>tax,</w:t>
      </w:r>
      <w:r>
        <w:rPr>
          <w:spacing w:val="-3"/>
        </w:rPr>
        <w:t> </w:t>
      </w:r>
      <w:r>
        <w:rPr/>
        <w:t>licenses,</w:t>
      </w:r>
      <w:r>
        <w:rPr>
          <w:spacing w:val="-5"/>
        </w:rPr>
        <w:t> </w:t>
      </w:r>
      <w:r>
        <w:rPr/>
        <w:t>etc</w:t>
      </w:r>
      <w:r>
        <w:rPr>
          <w:spacing w:val="-5"/>
        </w:rPr>
        <w:t> </w:t>
      </w:r>
      <w:r>
        <w:rPr/>
        <w:t>while</w:t>
      </w:r>
      <w:r>
        <w:rPr>
          <w:spacing w:val="-6"/>
        </w:rPr>
        <w:t> </w:t>
      </w:r>
      <w:r>
        <w:rPr/>
        <w:t>revenue</w:t>
      </w:r>
      <w:r>
        <w:rPr>
          <w:spacing w:val="-7"/>
        </w:rPr>
        <w:t> </w:t>
      </w:r>
      <w:r>
        <w:rPr/>
        <w:t>accruing</w:t>
      </w:r>
      <w:r>
        <w:rPr>
          <w:spacing w:val="-8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federal</w:t>
      </w:r>
      <w:r>
        <w:rPr>
          <w:spacing w:val="-2"/>
        </w:rPr>
        <w:t> </w:t>
      </w:r>
      <w:r>
        <w:rPr/>
        <w:t>government</w:t>
      </w:r>
      <w:r>
        <w:rPr>
          <w:spacing w:val="-6"/>
        </w:rPr>
        <w:t> </w:t>
      </w:r>
      <w:r>
        <w:rPr/>
        <w:t>was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58"/>
        </w:rPr>
        <w:t> </w:t>
      </w:r>
      <w:r>
        <w:rPr/>
        <w:t>shared using the derivation principle. The Philipson Commission arrangement was discarded as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Richard Constitution</w:t>
      </w:r>
      <w:r>
        <w:rPr>
          <w:spacing w:val="-3"/>
        </w:rPr>
        <w:t> </w:t>
      </w:r>
      <w:r>
        <w:rPr/>
        <w:t>of 1946 was replaced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the Macpherson Constitution of</w:t>
      </w:r>
      <w:r>
        <w:rPr>
          <w:spacing w:val="-1"/>
        </w:rPr>
        <w:t> </w:t>
      </w:r>
      <w:r>
        <w:rPr/>
        <w:t>1951.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500" w:right="497"/>
        <w:jc w:val="both"/>
      </w:pPr>
      <w:r>
        <w:rPr/>
        <w:t>Under the Macpherson Constitution of 1951, the Macpherson Arrangements, Hicks Philipson</w:t>
      </w:r>
      <w:r>
        <w:rPr>
          <w:spacing w:val="1"/>
        </w:rPr>
        <w:t> </w:t>
      </w:r>
      <w:r>
        <w:rPr/>
        <w:t>Commission, Chick Commission and Raisman Commission were appointed respectively. Some</w:t>
      </w:r>
      <w:r>
        <w:rPr>
          <w:spacing w:val="1"/>
        </w:rPr>
        <w:t> </w:t>
      </w:r>
      <w:r>
        <w:rPr/>
        <w:t>important fiscal reviews under these regimes include the allocation of more taxing power to the</w:t>
      </w:r>
      <w:r>
        <w:rPr>
          <w:spacing w:val="1"/>
        </w:rPr>
        <w:t> </w:t>
      </w:r>
      <w:r>
        <w:rPr/>
        <w:t>regional government. The Raisman commission also created a distributable pool account where a</w:t>
      </w:r>
      <w:r>
        <w:rPr>
          <w:spacing w:val="-57"/>
        </w:rPr>
        <w:t> </w:t>
      </w:r>
      <w:r>
        <w:rPr/>
        <w:t>certain per cent of federally-collected revenue was paid and shared among the regions using the</w:t>
      </w:r>
      <w:r>
        <w:rPr>
          <w:spacing w:val="1"/>
        </w:rPr>
        <w:t> </w:t>
      </w:r>
      <w:r>
        <w:rPr/>
        <w:t>sharing formula: 40 per cent to the North, 31 per cent to the East, 24 per cent to the West and 5</w:t>
      </w:r>
      <w:r>
        <w:rPr>
          <w:spacing w:val="1"/>
        </w:rPr>
        <w:t> </w:t>
      </w:r>
      <w:r>
        <w:rPr/>
        <w:t>per cent to Southern Cameroon. The Macpherson Constitution of 1951 was replaced by the 1960</w:t>
      </w:r>
      <w:r>
        <w:rPr>
          <w:spacing w:val="1"/>
        </w:rPr>
        <w:t> </w:t>
      </w:r>
      <w:r>
        <w:rPr/>
        <w:t>Constitution and then, the 1963 Constitution, when Nigeria became a Republic. Under the 1963</w:t>
      </w:r>
      <w:r>
        <w:rPr>
          <w:spacing w:val="1"/>
        </w:rPr>
        <w:t> </w:t>
      </w:r>
      <w:r>
        <w:rPr/>
        <w:t>Constitution, the Binns Commission was created to review existing fiscal procedures. The Binns</w:t>
      </w:r>
      <w:r>
        <w:rPr>
          <w:spacing w:val="1"/>
        </w:rPr>
        <w:t> </w:t>
      </w:r>
      <w:r>
        <w:rPr/>
        <w:t>Commission recommended an increase of federal contribution to the distributable pool account</w:t>
      </w:r>
      <w:r>
        <w:rPr>
          <w:spacing w:val="1"/>
        </w:rPr>
        <w:t> </w:t>
      </w:r>
      <w:r>
        <w:rPr/>
        <w:t>from 30 to 35 per cent. With the creation of a fourth region, the Mid Western region, the revenue</w:t>
      </w:r>
      <w:r>
        <w:rPr>
          <w:spacing w:val="-57"/>
        </w:rPr>
        <w:t> </w:t>
      </w:r>
      <w:r>
        <w:rPr/>
        <w:t>sharing</w:t>
      </w:r>
      <w:r>
        <w:rPr>
          <w:spacing w:val="-2"/>
        </w:rPr>
        <w:t> </w:t>
      </w:r>
      <w:r>
        <w:rPr/>
        <w:t>formula</w:t>
      </w:r>
      <w:r>
        <w:rPr>
          <w:spacing w:val="-1"/>
        </w:rPr>
        <w:t> </w:t>
      </w:r>
      <w:r>
        <w:rPr/>
        <w:t>was also</w:t>
      </w:r>
      <w:r>
        <w:rPr>
          <w:spacing w:val="2"/>
        </w:rPr>
        <w:t> </w:t>
      </w:r>
      <w:r>
        <w:rPr/>
        <w:t>reviewed.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500" w:right="496"/>
        <w:jc w:val="both"/>
      </w:pPr>
      <w:r>
        <w:rPr/>
        <w:t>A slight change to the federal structure occurred after the military government seized power in</w:t>
      </w:r>
      <w:r>
        <w:rPr>
          <w:spacing w:val="1"/>
        </w:rPr>
        <w:t> </w:t>
      </w:r>
      <w:r>
        <w:rPr/>
        <w:t>1966. The four regions were transformed into a 12-state structure by General Yakubu Gowon in</w:t>
      </w:r>
      <w:r>
        <w:rPr>
          <w:spacing w:val="1"/>
        </w:rPr>
        <w:t> </w:t>
      </w:r>
      <w:r>
        <w:rPr/>
        <w:t>1967.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regimes,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decrees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promulgated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responsibilities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powers</w:t>
      </w:r>
      <w:r>
        <w:rPr>
          <w:spacing w:val="-4"/>
        </w:rPr>
        <w:t> </w:t>
      </w:r>
      <w:r>
        <w:rPr/>
        <w:t>among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states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government.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example,</w:t>
      </w:r>
      <w:r>
        <w:rPr>
          <w:spacing w:val="-4"/>
        </w:rPr>
        <w:t> </w:t>
      </w:r>
      <w:r>
        <w:rPr/>
        <w:t>Decree</w:t>
      </w:r>
      <w:r>
        <w:rPr>
          <w:spacing w:val="-5"/>
        </w:rPr>
        <w:t> </w:t>
      </w:r>
      <w:r>
        <w:rPr/>
        <w:t>No.13</w:t>
      </w:r>
      <w:r>
        <w:rPr>
          <w:spacing w:val="-58"/>
        </w:rPr>
        <w:t> </w:t>
      </w:r>
      <w:r>
        <w:rPr/>
        <w:t>of 1970 adopted population and equality of states as revenue sharing formula. Other reputable</w:t>
      </w:r>
      <w:r>
        <w:rPr>
          <w:spacing w:val="1"/>
        </w:rPr>
        <w:t> </w:t>
      </w:r>
      <w:r>
        <w:rPr/>
        <w:t>commissions adopted include the Aboyade Technical Committee on Revenue Allocation and the</w:t>
      </w:r>
      <w:r>
        <w:rPr>
          <w:spacing w:val="1"/>
        </w:rPr>
        <w:t> </w:t>
      </w:r>
      <w:r>
        <w:rPr/>
        <w:t>Okigbo</w:t>
      </w:r>
      <w:r>
        <w:rPr>
          <w:spacing w:val="1"/>
        </w:rPr>
        <w:t> </w:t>
      </w:r>
      <w:r>
        <w:rPr/>
        <w:t>Commission.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1999</w:t>
      </w:r>
      <w:r>
        <w:rPr>
          <w:spacing w:val="1"/>
        </w:rPr>
        <w:t> </w:t>
      </w:r>
      <w:r>
        <w:rPr/>
        <w:t>Constitution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guide</w:t>
      </w:r>
      <w:r>
        <w:rPr>
          <w:spacing w:val="-57"/>
        </w:rPr>
        <w:t> </w:t>
      </w:r>
      <w:r>
        <w:rPr>
          <w:spacing w:val="-1"/>
        </w:rPr>
        <w:t>government’s</w:t>
      </w:r>
      <w:r>
        <w:rPr>
          <w:spacing w:val="-12"/>
        </w:rPr>
        <w:t> </w:t>
      </w:r>
      <w:r>
        <w:rPr/>
        <w:t>fiscal</w:t>
      </w:r>
      <w:r>
        <w:rPr>
          <w:spacing w:val="-12"/>
        </w:rPr>
        <w:t> </w:t>
      </w:r>
      <w:r>
        <w:rPr/>
        <w:t>actions.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instance,</w:t>
      </w:r>
      <w:r>
        <w:rPr>
          <w:spacing w:val="-12"/>
        </w:rPr>
        <w:t> </w:t>
      </w:r>
      <w:r>
        <w:rPr/>
        <w:t>expenditure</w:t>
      </w:r>
      <w:r>
        <w:rPr>
          <w:spacing w:val="-14"/>
        </w:rPr>
        <w:t> </w:t>
      </w:r>
      <w:r>
        <w:rPr/>
        <w:t>responsibility</w:t>
      </w:r>
      <w:r>
        <w:rPr>
          <w:spacing w:val="-17"/>
        </w:rPr>
        <w:t> </w:t>
      </w:r>
      <w:r>
        <w:rPr/>
        <w:t>is</w:t>
      </w:r>
      <w:r>
        <w:rPr>
          <w:spacing w:val="-12"/>
        </w:rPr>
        <w:t> </w:t>
      </w:r>
      <w:r>
        <w:rPr/>
        <w:t>assigned</w:t>
      </w:r>
      <w:r>
        <w:rPr>
          <w:spacing w:val="-11"/>
        </w:rPr>
        <w:t> </w:t>
      </w:r>
      <w:r>
        <w:rPr/>
        <w:t>among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various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line="360" w:lineRule="auto" w:before="74"/>
        <w:ind w:left="500" w:right="506"/>
        <w:jc w:val="both"/>
      </w:pPr>
      <w:r>
        <w:rPr/>
        <w:t>level of government as contained in the exclusive, concurrent legislative list, the residual list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establishment of</w:t>
      </w:r>
      <w:r>
        <w:rPr>
          <w:spacing w:val="-1"/>
        </w:rPr>
        <w:t> </w:t>
      </w:r>
      <w:r>
        <w:rPr/>
        <w:t>local government.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500" w:right="499"/>
        <w:jc w:val="both"/>
      </w:pPr>
      <w:r>
        <w:rPr/>
        <w:t>Tables 3.4 and 3.5 illustrate the allocation of tax and expenditure powers among the three tiers of</w:t>
      </w:r>
      <w:r>
        <w:rPr>
          <w:spacing w:val="-57"/>
        </w:rPr>
        <w:t> </w:t>
      </w:r>
      <w:r>
        <w:rPr/>
        <w:t>government-</w:t>
      </w:r>
      <w:r>
        <w:rPr>
          <w:spacing w:val="-10"/>
        </w:rPr>
        <w:t> </w:t>
      </w:r>
      <w:r>
        <w:rPr/>
        <w:t>Federal,</w:t>
      </w:r>
      <w:r>
        <w:rPr>
          <w:spacing w:val="-10"/>
        </w:rPr>
        <w:t> </w:t>
      </w:r>
      <w:r>
        <w:rPr/>
        <w:t>State</w:t>
      </w:r>
      <w:r>
        <w:rPr>
          <w:spacing w:val="-12"/>
        </w:rPr>
        <w:t> </w:t>
      </w:r>
      <w:r>
        <w:rPr/>
        <w:t>and</w:t>
      </w:r>
      <w:r>
        <w:rPr>
          <w:spacing w:val="-9"/>
        </w:rPr>
        <w:t> </w:t>
      </w:r>
      <w:r>
        <w:rPr/>
        <w:t>Local-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Nigeria.</w:t>
      </w:r>
      <w:r>
        <w:rPr>
          <w:spacing w:val="-9"/>
        </w:rPr>
        <w:t> </w:t>
      </w:r>
      <w:r>
        <w:rPr/>
        <w:t>It</w:t>
      </w:r>
      <w:r>
        <w:rPr>
          <w:spacing w:val="-11"/>
        </w:rPr>
        <w:t> </w:t>
      </w:r>
      <w:r>
        <w:rPr/>
        <w:t>can</w:t>
      </w:r>
      <w:r>
        <w:rPr>
          <w:spacing w:val="-11"/>
        </w:rPr>
        <w:t> </w:t>
      </w:r>
      <w:r>
        <w:rPr/>
        <w:t>be</w:t>
      </w:r>
      <w:r>
        <w:rPr>
          <w:spacing w:val="-12"/>
        </w:rPr>
        <w:t> </w:t>
      </w:r>
      <w:r>
        <w:rPr/>
        <w:t>implied</w:t>
      </w:r>
      <w:r>
        <w:rPr>
          <w:spacing w:val="-11"/>
        </w:rPr>
        <w:t> </w:t>
      </w:r>
      <w:r>
        <w:rPr/>
        <w:t>from</w:t>
      </w:r>
      <w:r>
        <w:rPr>
          <w:spacing w:val="-11"/>
        </w:rPr>
        <w:t> </w:t>
      </w:r>
      <w:r>
        <w:rPr/>
        <w:t>Table</w:t>
      </w:r>
      <w:r>
        <w:rPr>
          <w:spacing w:val="-12"/>
        </w:rPr>
        <w:t> </w:t>
      </w:r>
      <w:r>
        <w:rPr/>
        <w:t>3.4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Federal</w:t>
      </w:r>
      <w:r>
        <w:rPr>
          <w:spacing w:val="-58"/>
        </w:rPr>
        <w:t> </w:t>
      </w:r>
      <w:r>
        <w:rPr/>
        <w:t>Government collects revenue from major sources such as the Import and Excise duties, Mining</w:t>
      </w:r>
      <w:r>
        <w:rPr>
          <w:spacing w:val="1"/>
        </w:rPr>
        <w:t> </w:t>
      </w:r>
      <w:r>
        <w:rPr/>
        <w:t>rents and royalties; and the petroleum profits tax, while the State and Local Government have</w:t>
      </w:r>
      <w:r>
        <w:rPr>
          <w:spacing w:val="1"/>
        </w:rPr>
        <w:t> </w:t>
      </w:r>
      <w:r>
        <w:rPr>
          <w:spacing w:val="-1"/>
        </w:rPr>
        <w:t>jurisdiction</w:t>
      </w:r>
      <w:r>
        <w:rPr>
          <w:spacing w:val="-15"/>
        </w:rPr>
        <w:t> </w:t>
      </w:r>
      <w:r>
        <w:rPr>
          <w:spacing w:val="-1"/>
        </w:rPr>
        <w:t>over</w:t>
      </w:r>
      <w:r>
        <w:rPr>
          <w:spacing w:val="-16"/>
        </w:rPr>
        <w:t> </w:t>
      </w:r>
      <w:r>
        <w:rPr/>
        <w:t>low</w:t>
      </w:r>
      <w:r>
        <w:rPr>
          <w:spacing w:val="-12"/>
        </w:rPr>
        <w:t> </w:t>
      </w:r>
      <w:r>
        <w:rPr/>
        <w:t>yielding</w:t>
      </w:r>
      <w:r>
        <w:rPr>
          <w:spacing w:val="-17"/>
        </w:rPr>
        <w:t> </w:t>
      </w:r>
      <w:r>
        <w:rPr/>
        <w:t>sources.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Federal</w:t>
      </w:r>
      <w:r>
        <w:rPr>
          <w:spacing w:val="-12"/>
        </w:rPr>
        <w:t> </w:t>
      </w:r>
      <w:r>
        <w:rPr/>
        <w:t>Government</w:t>
      </w:r>
      <w:r>
        <w:rPr>
          <w:spacing w:val="-13"/>
        </w:rPr>
        <w:t> </w:t>
      </w:r>
      <w:r>
        <w:rPr/>
        <w:t>is,</w:t>
      </w:r>
      <w:r>
        <w:rPr>
          <w:spacing w:val="-14"/>
        </w:rPr>
        <w:t> </w:t>
      </w:r>
      <w:r>
        <w:rPr/>
        <w:t>then,</w:t>
      </w:r>
      <w:r>
        <w:rPr>
          <w:spacing w:val="-15"/>
        </w:rPr>
        <w:t> </w:t>
      </w:r>
      <w:r>
        <w:rPr/>
        <w:t>able</w:t>
      </w:r>
      <w:r>
        <w:rPr>
          <w:spacing w:val="-16"/>
        </w:rPr>
        <w:t> </w:t>
      </w:r>
      <w:r>
        <w:rPr/>
        <w:t>to</w:t>
      </w:r>
      <w:r>
        <w:rPr>
          <w:spacing w:val="-14"/>
        </w:rPr>
        <w:t> </w:t>
      </w:r>
      <w:r>
        <w:rPr/>
        <w:t>raise</w:t>
      </w:r>
      <w:r>
        <w:rPr>
          <w:spacing w:val="-15"/>
        </w:rPr>
        <w:t> </w:t>
      </w:r>
      <w:r>
        <w:rPr/>
        <w:t>more</w:t>
      </w:r>
      <w:r>
        <w:rPr>
          <w:spacing w:val="-16"/>
        </w:rPr>
        <w:t> </w:t>
      </w:r>
      <w:r>
        <w:rPr/>
        <w:t>revenue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meet its expenses (Anyanwu, 1999).</w:t>
      </w:r>
    </w:p>
    <w:p>
      <w:pPr>
        <w:pStyle w:val="BodyText"/>
        <w:spacing w:before="200" w:after="8"/>
        <w:ind w:left="3373"/>
        <w:jc w:val="both"/>
      </w:pPr>
      <w:r>
        <w:rPr/>
        <w:t>Table</w:t>
      </w:r>
      <w:r>
        <w:rPr>
          <w:spacing w:val="-1"/>
        </w:rPr>
        <w:t> </w:t>
      </w:r>
      <w:r>
        <w:rPr/>
        <w:t>3.4:</w:t>
      </w:r>
      <w:r>
        <w:rPr>
          <w:spacing w:val="-1"/>
        </w:rPr>
        <w:t> </w:t>
      </w:r>
      <w:r>
        <w:rPr/>
        <w:t>Tax</w:t>
      </w:r>
      <w:r>
        <w:rPr>
          <w:spacing w:val="1"/>
        </w:rPr>
        <w:t> </w:t>
      </w:r>
      <w:r>
        <w:rPr/>
        <w:t>Jurisdiction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</w:p>
    <w:tbl>
      <w:tblPr>
        <w:tblW w:w="0" w:type="auto"/>
        <w:jc w:val="left"/>
        <w:tblInd w:w="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2"/>
        <w:gridCol w:w="3497"/>
        <w:gridCol w:w="2970"/>
      </w:tblGrid>
      <w:tr>
        <w:trPr>
          <w:trHeight w:val="313" w:hRule="atLeast"/>
        </w:trPr>
        <w:tc>
          <w:tcPr>
            <w:tcW w:w="254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Federal</w:t>
            </w:r>
          </w:p>
        </w:tc>
        <w:tc>
          <w:tcPr>
            <w:tcW w:w="349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State</w:t>
            </w:r>
          </w:p>
        </w:tc>
        <w:tc>
          <w:tcPr>
            <w:tcW w:w="29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Local</w:t>
            </w:r>
          </w:p>
        </w:tc>
      </w:tr>
      <w:tr>
        <w:trPr>
          <w:trHeight w:val="3045" w:hRule="atLeast"/>
        </w:trPr>
        <w:tc>
          <w:tcPr>
            <w:tcW w:w="254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15" w:right="786"/>
              <w:rPr>
                <w:sz w:val="24"/>
              </w:rPr>
            </w:pPr>
            <w:r>
              <w:rPr>
                <w:sz w:val="24"/>
              </w:rPr>
              <w:t>Import Tariffs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Excise duties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Export duties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Mining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rents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royalties</w:t>
            </w:r>
          </w:p>
          <w:p>
            <w:pPr>
              <w:pStyle w:val="TableParagraph"/>
              <w:ind w:left="115" w:right="223"/>
              <w:rPr>
                <w:sz w:val="24"/>
              </w:rPr>
            </w:pPr>
            <w:r>
              <w:rPr>
                <w:sz w:val="24"/>
              </w:rPr>
              <w:t>Petroleum profits tax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Companies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income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tax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Capital gains tax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Personal income tax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added tax</w:t>
            </w:r>
          </w:p>
        </w:tc>
        <w:tc>
          <w:tcPr>
            <w:tcW w:w="349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228" w:right="107"/>
              <w:rPr>
                <w:sz w:val="24"/>
              </w:rPr>
            </w:pPr>
            <w:r>
              <w:rPr>
                <w:sz w:val="24"/>
              </w:rPr>
              <w:t>Football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pools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betting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taxes</w:t>
            </w:r>
          </w:p>
          <w:p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Entertainment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taxes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estate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duties</w:t>
            </w:r>
          </w:p>
          <w:p>
            <w:pPr>
              <w:pStyle w:val="TableParagraph"/>
              <w:ind w:left="228" w:right="2417"/>
              <w:rPr>
                <w:sz w:val="24"/>
              </w:rPr>
            </w:pPr>
            <w:r>
              <w:rPr>
                <w:sz w:val="24"/>
              </w:rPr>
              <w:t>Gift tax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tax</w:t>
            </w:r>
          </w:p>
          <w:p>
            <w:pPr>
              <w:pStyle w:val="TableParagraph"/>
              <w:ind w:left="228" w:right="1175"/>
              <w:rPr>
                <w:sz w:val="24"/>
              </w:rPr>
            </w:pPr>
            <w:r>
              <w:rPr>
                <w:sz w:val="24"/>
              </w:rPr>
              <w:t>Land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registration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fees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Capital gains tax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Personal income tax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Stamp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duties</w:t>
            </w:r>
          </w:p>
        </w:tc>
        <w:tc>
          <w:tcPr>
            <w:tcW w:w="29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08" w:right="1476"/>
              <w:rPr>
                <w:sz w:val="24"/>
              </w:rPr>
            </w:pPr>
            <w:r>
              <w:rPr>
                <w:sz w:val="24"/>
              </w:rPr>
              <w:t>Rates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Tenement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  <w:p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Market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trading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licenses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fees</w:t>
            </w:r>
          </w:p>
          <w:p>
            <w:pPr>
              <w:pStyle w:val="TableParagraph"/>
              <w:ind w:left="108" w:right="464"/>
              <w:rPr>
                <w:sz w:val="24"/>
              </w:rPr>
            </w:pPr>
            <w:r>
              <w:rPr>
                <w:sz w:val="24"/>
              </w:rPr>
              <w:t>Motor park duties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Advertisement fees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Entertainment tax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Radio/television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licenses</w:t>
            </w:r>
          </w:p>
        </w:tc>
      </w:tr>
    </w:tbl>
    <w:p>
      <w:pPr>
        <w:pStyle w:val="BodyText"/>
        <w:ind w:left="500"/>
        <w:jc w:val="both"/>
      </w:pPr>
      <w:r>
        <w:rPr/>
        <w:t>Sources:</w:t>
      </w:r>
      <w:r>
        <w:rPr>
          <w:spacing w:val="-2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Constitution</w:t>
      </w:r>
      <w:r>
        <w:rPr>
          <w:spacing w:val="-2"/>
        </w:rPr>
        <w:t> </w:t>
      </w:r>
      <w:r>
        <w:rPr/>
        <w:t>(1999),</w:t>
      </w:r>
      <w:r>
        <w:rPr>
          <w:spacing w:val="-1"/>
        </w:rPr>
        <w:t> </w:t>
      </w:r>
      <w:r>
        <w:rPr/>
        <w:t>Olayiwola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Osabuhien</w:t>
      </w:r>
      <w:r>
        <w:rPr>
          <w:spacing w:val="-2"/>
        </w:rPr>
        <w:t> </w:t>
      </w:r>
      <w:r>
        <w:rPr/>
        <w:t>(2011)</w:t>
      </w:r>
    </w:p>
    <w:p>
      <w:pPr>
        <w:spacing w:after="0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Heading3"/>
        <w:spacing w:after="4"/>
        <w:ind w:left="1335" w:right="1335"/>
        <w:jc w:val="center"/>
      </w:pPr>
      <w:r>
        <w:rPr/>
        <w:t>Table</w:t>
      </w:r>
      <w:r>
        <w:rPr>
          <w:spacing w:val="-2"/>
        </w:rPr>
        <w:t> </w:t>
      </w:r>
      <w:r>
        <w:rPr/>
        <w:t>3.5:</w:t>
      </w:r>
      <w:r>
        <w:rPr>
          <w:spacing w:val="-4"/>
        </w:rPr>
        <w:t> </w:t>
      </w:r>
      <w:r>
        <w:rPr/>
        <w:t>Expenditure</w:t>
      </w:r>
      <w:r>
        <w:rPr>
          <w:spacing w:val="-3"/>
        </w:rPr>
        <w:t> </w:t>
      </w:r>
      <w:r>
        <w:rPr/>
        <w:t>Responsibilities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</w:p>
    <w:tbl>
      <w:tblPr>
        <w:tblW w:w="0" w:type="auto"/>
        <w:jc w:val="left"/>
        <w:tblInd w:w="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5"/>
        <w:gridCol w:w="2204"/>
        <w:gridCol w:w="1894"/>
        <w:gridCol w:w="2573"/>
      </w:tblGrid>
      <w:tr>
        <w:trPr>
          <w:trHeight w:val="551" w:hRule="atLeast"/>
        </w:trPr>
        <w:tc>
          <w:tcPr>
            <w:tcW w:w="219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Federal only</w:t>
            </w:r>
          </w:p>
        </w:tc>
        <w:tc>
          <w:tcPr>
            <w:tcW w:w="220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54"/>
              <w:rPr>
                <w:sz w:val="24"/>
              </w:rPr>
            </w:pPr>
            <w:r>
              <w:rPr>
                <w:sz w:val="24"/>
              </w:rPr>
              <w:t>Federal-State</w:t>
            </w:r>
          </w:p>
          <w:p>
            <w:pPr>
              <w:pStyle w:val="TableParagraph"/>
              <w:spacing w:line="264" w:lineRule="exact"/>
              <w:ind w:left="154"/>
              <w:rPr>
                <w:sz w:val="24"/>
              </w:rPr>
            </w:pPr>
            <w:r>
              <w:rPr>
                <w:sz w:val="24"/>
              </w:rPr>
              <w:t>(shared)</w:t>
            </w:r>
          </w:p>
        </w:tc>
        <w:tc>
          <w:tcPr>
            <w:tcW w:w="189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only</w:t>
            </w:r>
          </w:p>
        </w:tc>
        <w:tc>
          <w:tcPr>
            <w:tcW w:w="25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Local government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only</w:t>
            </w:r>
          </w:p>
        </w:tc>
      </w:tr>
      <w:tr>
        <w:trPr>
          <w:trHeight w:val="5246" w:hRule="atLeast"/>
        </w:trPr>
        <w:tc>
          <w:tcPr>
            <w:tcW w:w="219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-Defence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-Foreign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affairs</w:t>
            </w:r>
          </w:p>
          <w:p>
            <w:pPr>
              <w:pStyle w:val="TableParagraph"/>
              <w:ind w:left="115" w:right="229"/>
              <w:rPr>
                <w:sz w:val="24"/>
              </w:rPr>
            </w:pPr>
            <w:r>
              <w:rPr>
                <w:sz w:val="24"/>
              </w:rPr>
              <w:t>-International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trade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including export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marketing</w:t>
            </w:r>
          </w:p>
          <w:p>
            <w:pPr>
              <w:pStyle w:val="TableParagraph"/>
              <w:ind w:left="115" w:right="148"/>
              <w:rPr>
                <w:sz w:val="24"/>
              </w:rPr>
            </w:pPr>
            <w:r>
              <w:rPr>
                <w:sz w:val="24"/>
              </w:rPr>
              <w:t>-Currency,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banking,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borrowing,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exchange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  <w:p>
            <w:pPr>
              <w:pStyle w:val="TableParagraph"/>
              <w:ind w:left="115" w:right="770"/>
              <w:rPr>
                <w:sz w:val="24"/>
              </w:rPr>
            </w:pPr>
            <w:r>
              <w:rPr>
                <w:sz w:val="24"/>
              </w:rPr>
              <w:t>-Use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resources</w:t>
            </w:r>
          </w:p>
          <w:p>
            <w:pPr>
              <w:pStyle w:val="TableParagraph"/>
              <w:spacing w:before="1"/>
              <w:ind w:left="115" w:right="338"/>
              <w:rPr>
                <w:sz w:val="24"/>
              </w:rPr>
            </w:pPr>
            <w:r>
              <w:rPr>
                <w:spacing w:val="-1"/>
                <w:sz w:val="24"/>
              </w:rPr>
              <w:t>-Shipping, </w:t>
            </w:r>
            <w:r>
              <w:rPr>
                <w:sz w:val="24"/>
              </w:rPr>
              <w:t>federal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trunk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roads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-Elections</w:t>
            </w:r>
          </w:p>
          <w:p>
            <w:pPr>
              <w:pStyle w:val="TableParagraph"/>
              <w:ind w:left="115" w:right="158"/>
              <w:rPr>
                <w:sz w:val="24"/>
              </w:rPr>
            </w:pPr>
            <w:r>
              <w:rPr>
                <w:spacing w:val="-1"/>
                <w:sz w:val="24"/>
              </w:rPr>
              <w:t>-Aviation, </w:t>
            </w:r>
            <w:r>
              <w:rPr>
                <w:sz w:val="24"/>
              </w:rPr>
              <w:t>railways,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postal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  <w:p>
            <w:pPr>
              <w:pStyle w:val="TableParagraph"/>
              <w:ind w:left="115" w:right="979"/>
              <w:rPr>
                <w:sz w:val="24"/>
              </w:rPr>
            </w:pPr>
            <w:r>
              <w:rPr>
                <w:sz w:val="24"/>
              </w:rPr>
              <w:t>-Business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registration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-Price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etc</w:t>
            </w:r>
          </w:p>
        </w:tc>
        <w:tc>
          <w:tcPr>
            <w:tcW w:w="220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532" w:val="left" w:leader="none"/>
              </w:tabs>
              <w:ind w:left="154" w:right="109"/>
              <w:rPr>
                <w:sz w:val="24"/>
              </w:rPr>
            </w:pPr>
            <w:r>
              <w:rPr>
                <w:sz w:val="24"/>
              </w:rPr>
              <w:t>-Health,</w:t>
              <w:tab/>
            </w:r>
            <w:r>
              <w:rPr>
                <w:spacing w:val="-1"/>
                <w:sz w:val="24"/>
              </w:rPr>
              <w:t>social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welfare</w:t>
            </w:r>
          </w:p>
          <w:p>
            <w:pPr>
              <w:pStyle w:val="TableParagraph"/>
              <w:tabs>
                <w:tab w:pos="1614" w:val="left" w:leader="none"/>
              </w:tabs>
              <w:ind w:left="154" w:right="107"/>
              <w:rPr>
                <w:sz w:val="24"/>
              </w:rPr>
            </w:pPr>
            <w:r>
              <w:rPr>
                <w:sz w:val="24"/>
              </w:rPr>
              <w:t>-Education</w:t>
              <w:tab/>
            </w:r>
            <w:r>
              <w:rPr>
                <w:spacing w:val="-1"/>
                <w:sz w:val="24"/>
              </w:rPr>
              <w:t>(post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primary/technology</w:t>
            </w:r>
          </w:p>
          <w:p>
            <w:pPr>
              <w:pStyle w:val="TableParagraph"/>
              <w:ind w:left="154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  <w:p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-Culture</w:t>
            </w:r>
          </w:p>
          <w:p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-Antiquities</w:t>
            </w:r>
          </w:p>
          <w:p>
            <w:pPr>
              <w:pStyle w:val="TableParagraph"/>
              <w:ind w:left="154" w:right="743"/>
              <w:rPr>
                <w:sz w:val="24"/>
              </w:rPr>
            </w:pPr>
            <w:r>
              <w:rPr>
                <w:sz w:val="24"/>
              </w:rPr>
              <w:t>-Monuments,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archives</w:t>
            </w:r>
          </w:p>
          <w:p>
            <w:pPr>
              <w:pStyle w:val="TableParagraph"/>
              <w:tabs>
                <w:tab w:pos="1522" w:val="left" w:leader="none"/>
              </w:tabs>
              <w:ind w:left="154" w:right="106"/>
              <w:rPr>
                <w:sz w:val="24"/>
              </w:rPr>
            </w:pPr>
            <w:r>
              <w:rPr>
                <w:sz w:val="24"/>
              </w:rPr>
              <w:t>-Statistics,</w:t>
              <w:tab/>
            </w:r>
            <w:r>
              <w:rPr>
                <w:spacing w:val="-1"/>
                <w:sz w:val="24"/>
              </w:rPr>
              <w:t>stamp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duties</w:t>
            </w:r>
          </w:p>
          <w:p>
            <w:pPr>
              <w:pStyle w:val="TableParagraph"/>
              <w:ind w:left="154" w:right="847"/>
              <w:rPr>
                <w:sz w:val="24"/>
              </w:rPr>
            </w:pPr>
            <w:r>
              <w:rPr>
                <w:spacing w:val="-1"/>
                <w:sz w:val="24"/>
              </w:rPr>
              <w:t>-Commerce,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industry</w:t>
            </w:r>
          </w:p>
          <w:p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-Electricity</w:t>
            </w:r>
          </w:p>
          <w:p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-Research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surveys</w:t>
            </w:r>
          </w:p>
        </w:tc>
        <w:tc>
          <w:tcPr>
            <w:tcW w:w="189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Residual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power</w:t>
            </w:r>
          </w:p>
          <w:p>
            <w:pPr>
              <w:pStyle w:val="TableParagraph"/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i.e.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subject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assigned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constitution</w:t>
            </w:r>
          </w:p>
        </w:tc>
        <w:tc>
          <w:tcPr>
            <w:tcW w:w="25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-Economic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Planning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-Health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-Land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</w:t>
            </w:r>
          </w:p>
          <w:p>
            <w:pPr>
              <w:pStyle w:val="TableParagraph"/>
              <w:ind w:left="106" w:right="108"/>
              <w:jc w:val="both"/>
              <w:rPr>
                <w:sz w:val="24"/>
              </w:rPr>
            </w:pPr>
            <w:r>
              <w:rPr>
                <w:sz w:val="24"/>
              </w:rPr>
              <w:t>-Control and regulation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advertisements, pets,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businesses</w:t>
            </w:r>
          </w:p>
          <w:p>
            <w:pPr>
              <w:pStyle w:val="TableParagraph"/>
              <w:tabs>
                <w:tab w:pos="1860" w:val="left" w:leader="none"/>
              </w:tabs>
              <w:ind w:left="106" w:right="109"/>
              <w:jc w:val="both"/>
              <w:rPr>
                <w:sz w:val="24"/>
              </w:rPr>
            </w:pPr>
            <w:r>
              <w:rPr>
                <w:sz w:val="24"/>
              </w:rPr>
              <w:t>-Market,</w:t>
              <w:tab/>
            </w:r>
            <w:r>
              <w:rPr>
                <w:spacing w:val="-1"/>
                <w:sz w:val="24"/>
              </w:rPr>
              <w:t>public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conveniences</w:t>
            </w:r>
          </w:p>
          <w:p>
            <w:pPr>
              <w:pStyle w:val="TableParagraph"/>
              <w:ind w:left="106" w:right="110"/>
              <w:jc w:val="both"/>
              <w:rPr>
                <w:sz w:val="24"/>
              </w:rPr>
            </w:pPr>
            <w:r>
              <w:rPr>
                <w:sz w:val="24"/>
              </w:rPr>
              <w:t>-Social welfare, sewage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refuse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disposal,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registration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births,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deaths</w:t>
            </w:r>
          </w:p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-Marriages</w:t>
            </w:r>
          </w:p>
          <w:p>
            <w:pPr>
              <w:pStyle w:val="TableParagraph"/>
              <w:tabs>
                <w:tab w:pos="1278" w:val="left" w:leader="none"/>
                <w:tab w:pos="2113" w:val="left" w:leader="none"/>
              </w:tabs>
              <w:ind w:left="106" w:right="111"/>
              <w:rPr>
                <w:sz w:val="24"/>
              </w:rPr>
            </w:pPr>
            <w:r>
              <w:rPr>
                <w:sz w:val="24"/>
              </w:rPr>
              <w:t>-Primary,</w:t>
              <w:tab/>
              <w:t>adults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vocational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  <w:p>
            <w:pPr>
              <w:pStyle w:val="TableParagraph"/>
              <w:tabs>
                <w:tab w:pos="2260" w:val="left" w:leader="none"/>
              </w:tabs>
              <w:ind w:left="106" w:right="110"/>
              <w:jc w:val="both"/>
              <w:rPr>
                <w:sz w:val="24"/>
              </w:rPr>
            </w:pPr>
            <w:r>
              <w:rPr>
                <w:sz w:val="24"/>
              </w:rPr>
              <w:t>-Development</w:t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agriculture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natural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resources</w:t>
            </w:r>
          </w:p>
        </w:tc>
      </w:tr>
    </w:tbl>
    <w:p>
      <w:pPr>
        <w:pStyle w:val="BodyText"/>
        <w:ind w:left="500"/>
        <w:jc w:val="both"/>
      </w:pPr>
      <w:r>
        <w:rPr/>
        <w:t>Source:</w:t>
      </w:r>
      <w:r>
        <w:rPr>
          <w:spacing w:val="-2"/>
        </w:rPr>
        <w:t> </w:t>
      </w:r>
      <w:r>
        <w:rPr/>
        <w:t>Nigerian</w:t>
      </w:r>
      <w:r>
        <w:rPr>
          <w:spacing w:val="-2"/>
        </w:rPr>
        <w:t> </w:t>
      </w:r>
      <w:r>
        <w:rPr/>
        <w:t>Constitution</w:t>
      </w:r>
      <w:r>
        <w:rPr>
          <w:spacing w:val="-2"/>
        </w:rPr>
        <w:t> </w:t>
      </w:r>
      <w:r>
        <w:rPr/>
        <w:t>(1999)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78"/>
        <w:ind w:left="500" w:right="497"/>
        <w:jc w:val="both"/>
      </w:pPr>
      <w:r>
        <w:rPr/>
        <w:t>A second channel by which fiscal policy in Nigeria is planned and implemented is through the</w:t>
      </w:r>
      <w:r>
        <w:rPr>
          <w:spacing w:val="1"/>
        </w:rPr>
        <w:t> </w:t>
      </w:r>
      <w:r>
        <w:rPr/>
        <w:t>Development Plans. The development plans are useful in delineating fiscal policies in Nigeria.</w:t>
      </w:r>
      <w:r>
        <w:rPr>
          <w:spacing w:val="1"/>
        </w:rPr>
        <w:t> </w:t>
      </w:r>
      <w:r>
        <w:rPr/>
        <w:t>Nigeria has, over the decades, adopted various forms of development planning ranging from long</w:t>
      </w:r>
      <w:r>
        <w:rPr>
          <w:spacing w:val="-57"/>
        </w:rPr>
        <w:t> </w:t>
      </w:r>
      <w:r>
        <w:rPr/>
        <w:t>term,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term,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range,</w:t>
      </w:r>
      <w:r>
        <w:rPr>
          <w:spacing w:val="1"/>
        </w:rPr>
        <w:t> </w:t>
      </w:r>
      <w:r>
        <w:rPr/>
        <w:t>perspective</w:t>
      </w:r>
      <w:r>
        <w:rPr>
          <w:spacing w:val="1"/>
        </w:rPr>
        <w:t> </w:t>
      </w:r>
      <w:r>
        <w:rPr/>
        <w:t>plans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rolling</w:t>
      </w:r>
      <w:r>
        <w:rPr>
          <w:spacing w:val="1"/>
        </w:rPr>
        <w:t> </w:t>
      </w:r>
      <w:r>
        <w:rPr/>
        <w:t>plans</w:t>
      </w:r>
      <w:r>
        <w:rPr>
          <w:spacing w:val="1"/>
        </w:rPr>
        <w:t> </w:t>
      </w:r>
      <w:r>
        <w:rPr/>
        <w:t>(Anyanwu,</w:t>
      </w:r>
      <w:r>
        <w:rPr>
          <w:spacing w:val="1"/>
        </w:rPr>
        <w:t> </w:t>
      </w:r>
      <w:r>
        <w:rPr/>
        <w:t>Oyefusi,</w:t>
      </w:r>
      <w:r>
        <w:rPr>
          <w:spacing w:val="1"/>
        </w:rPr>
        <w:t> </w:t>
      </w:r>
      <w:r>
        <w:rPr/>
        <w:t>Oaikhenan and Dimowo, 1997). In these plans, government projected expenditure strategies are</w:t>
      </w:r>
      <w:r>
        <w:rPr>
          <w:spacing w:val="1"/>
        </w:rPr>
        <w:t> </w:t>
      </w:r>
      <w:r>
        <w:rPr>
          <w:spacing w:val="-1"/>
        </w:rPr>
        <w:t>usually</w:t>
      </w:r>
      <w:r>
        <w:rPr>
          <w:spacing w:val="-15"/>
        </w:rPr>
        <w:t> </w:t>
      </w:r>
      <w:r>
        <w:rPr/>
        <w:t>outlined.</w:t>
      </w:r>
      <w:r>
        <w:rPr>
          <w:spacing w:val="43"/>
        </w:rPr>
        <w:t> </w:t>
      </w:r>
      <w:r>
        <w:rPr/>
        <w:t>Development</w:t>
      </w:r>
      <w:r>
        <w:rPr>
          <w:spacing w:val="-10"/>
        </w:rPr>
        <w:t> </w:t>
      </w:r>
      <w:r>
        <w:rPr/>
        <w:t>planning</w:t>
      </w:r>
      <w:r>
        <w:rPr>
          <w:spacing w:val="-11"/>
        </w:rPr>
        <w:t> </w:t>
      </w:r>
      <w:r>
        <w:rPr/>
        <w:t>in</w:t>
      </w:r>
      <w:r>
        <w:rPr>
          <w:spacing w:val="-7"/>
        </w:rPr>
        <w:t> </w:t>
      </w:r>
      <w:r>
        <w:rPr/>
        <w:t>Nigeria</w:t>
      </w:r>
      <w:r>
        <w:rPr>
          <w:spacing w:val="-10"/>
        </w:rPr>
        <w:t> </w:t>
      </w:r>
      <w:r>
        <w:rPr/>
        <w:t>began</w:t>
      </w:r>
      <w:r>
        <w:rPr>
          <w:spacing w:val="-8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Ten-Year</w:t>
      </w:r>
      <w:r>
        <w:rPr>
          <w:spacing w:val="-11"/>
        </w:rPr>
        <w:t> </w:t>
      </w:r>
      <w:r>
        <w:rPr/>
        <w:t>plan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Development</w:t>
      </w:r>
      <w:r>
        <w:rPr>
          <w:spacing w:val="-57"/>
        </w:rPr>
        <w:t> </w:t>
      </w:r>
      <w:r>
        <w:rPr/>
        <w:t>and</w:t>
      </w:r>
      <w:r>
        <w:rPr>
          <w:spacing w:val="-10"/>
        </w:rPr>
        <w:t> </w:t>
      </w:r>
      <w:r>
        <w:rPr/>
        <w:t>Welfare</w:t>
      </w:r>
      <w:r>
        <w:rPr>
          <w:spacing w:val="-11"/>
        </w:rPr>
        <w:t> </w:t>
      </w:r>
      <w:r>
        <w:rPr/>
        <w:t>(1945-1955)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Second</w:t>
      </w:r>
      <w:r>
        <w:rPr>
          <w:spacing w:val="-9"/>
        </w:rPr>
        <w:t> </w:t>
      </w:r>
      <w:r>
        <w:rPr/>
        <w:t>Plan</w:t>
      </w:r>
      <w:r>
        <w:rPr>
          <w:spacing w:val="-10"/>
        </w:rPr>
        <w:t> </w:t>
      </w:r>
      <w:r>
        <w:rPr/>
        <w:t>(1955-1960)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colonial</w:t>
      </w:r>
      <w:r>
        <w:rPr>
          <w:spacing w:val="-8"/>
        </w:rPr>
        <w:t> </w:t>
      </w:r>
      <w:r>
        <w:rPr/>
        <w:t>era.</w:t>
      </w:r>
      <w:r>
        <w:rPr>
          <w:spacing w:val="-10"/>
        </w:rPr>
        <w:t> </w:t>
      </w:r>
      <w:r>
        <w:rPr/>
        <w:t>Furthermore,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58"/>
        </w:rPr>
        <w:t> </w:t>
      </w:r>
      <w:r>
        <w:rPr/>
        <w:t>post-independence era, there have been four National Developments (1962-1968; 1970-1974,</w:t>
      </w:r>
      <w:r>
        <w:rPr>
          <w:spacing w:val="1"/>
        </w:rPr>
        <w:t> </w:t>
      </w:r>
      <w:r>
        <w:rPr/>
        <w:t>1975-1980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1981-1985),</w:t>
      </w:r>
      <w:r>
        <w:rPr>
          <w:spacing w:val="-4"/>
        </w:rPr>
        <w:t> </w:t>
      </w:r>
      <w:r>
        <w:rPr/>
        <w:t>five</w:t>
      </w:r>
      <w:r>
        <w:rPr>
          <w:spacing w:val="-5"/>
        </w:rPr>
        <w:t> </w:t>
      </w:r>
      <w:r>
        <w:rPr/>
        <w:t>rolling</w:t>
      </w:r>
      <w:r>
        <w:rPr>
          <w:spacing w:val="-6"/>
        </w:rPr>
        <w:t> </w:t>
      </w:r>
      <w:r>
        <w:rPr/>
        <w:t>plans</w:t>
      </w:r>
      <w:r>
        <w:rPr>
          <w:spacing w:val="-4"/>
        </w:rPr>
        <w:t> </w:t>
      </w:r>
      <w:r>
        <w:rPr/>
        <w:t>(1990-1992,1991-1993,</w:t>
      </w:r>
      <w:r>
        <w:rPr>
          <w:spacing w:val="-4"/>
        </w:rPr>
        <w:t> </w:t>
      </w:r>
      <w:r>
        <w:rPr/>
        <w:t>1993-1995,</w:t>
      </w:r>
      <w:r>
        <w:rPr>
          <w:spacing w:val="-4"/>
        </w:rPr>
        <w:t> </w:t>
      </w:r>
      <w:r>
        <w:rPr/>
        <w:t>1994-1996</w:t>
      </w:r>
      <w:r>
        <w:rPr>
          <w:spacing w:val="-4"/>
        </w:rPr>
        <w:t> </w:t>
      </w:r>
      <w:r>
        <w:rPr/>
        <w:t>and</w:t>
      </w:r>
    </w:p>
    <w:p>
      <w:pPr>
        <w:pStyle w:val="BodyText"/>
        <w:spacing w:line="360" w:lineRule="auto"/>
        <w:ind w:left="500" w:right="497"/>
        <w:jc w:val="both"/>
      </w:pPr>
      <w:r>
        <w:rPr/>
        <w:t>1997-1999), medium term plans: National Economic Empowerment and Development Strategies</w:t>
      </w:r>
      <w:r>
        <w:rPr>
          <w:spacing w:val="-57"/>
        </w:rPr>
        <w:t> </w:t>
      </w:r>
      <w:r>
        <w:rPr/>
        <w:t>(NEEDS</w:t>
      </w:r>
      <w:r>
        <w:rPr>
          <w:spacing w:val="-1"/>
        </w:rPr>
        <w:t> </w:t>
      </w:r>
      <w:r>
        <w:rPr/>
        <w:t>I</w:t>
      </w:r>
      <w:r>
        <w:rPr>
          <w:spacing w:val="-7"/>
        </w:rPr>
        <w:t> </w:t>
      </w:r>
      <w:r>
        <w:rPr/>
        <w:t>and</w:t>
      </w:r>
      <w:r>
        <w:rPr>
          <w:spacing w:val="-1"/>
        </w:rPr>
        <w:t> </w:t>
      </w:r>
      <w:r>
        <w:rPr/>
        <w:t>II)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Vision</w:t>
      </w:r>
      <w:r>
        <w:rPr>
          <w:spacing w:val="-3"/>
        </w:rPr>
        <w:t> </w:t>
      </w:r>
      <w:r>
        <w:rPr/>
        <w:t>2020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perspective</w:t>
      </w:r>
      <w:r>
        <w:rPr>
          <w:spacing w:val="-5"/>
        </w:rPr>
        <w:t> </w:t>
      </w:r>
      <w:r>
        <w:rPr/>
        <w:t>plan.</w:t>
      </w:r>
      <w:r>
        <w:rPr>
          <w:spacing w:val="-4"/>
        </w:rPr>
        <w:t> </w:t>
      </w:r>
      <w:r>
        <w:rPr/>
        <w:t>Some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policy</w:t>
      </w:r>
      <w:r>
        <w:rPr>
          <w:spacing w:val="-8"/>
        </w:rPr>
        <w:t> </w:t>
      </w:r>
      <w:r>
        <w:rPr/>
        <w:t>thrusts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these</w:t>
      </w:r>
      <w:r>
        <w:rPr>
          <w:spacing w:val="-5"/>
        </w:rPr>
        <w:t> </w:t>
      </w:r>
      <w:r>
        <w:rPr/>
        <w:t>plans</w:t>
      </w:r>
      <w:r>
        <w:rPr>
          <w:spacing w:val="-57"/>
        </w:rPr>
        <w:t> </w:t>
      </w:r>
      <w:r>
        <w:rPr/>
        <w:t>are</w:t>
      </w:r>
      <w:r>
        <w:rPr>
          <w:spacing w:val="1"/>
        </w:rPr>
        <w:t> </w:t>
      </w:r>
      <w:r>
        <w:rPr/>
        <w:t>summarised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Anyanwu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(1997)</w:t>
      </w:r>
      <w:r>
        <w:rPr>
          <w:spacing w:val="1"/>
        </w:rPr>
        <w:t> </w:t>
      </w:r>
      <w:r>
        <w:rPr/>
        <w:t>as:</w:t>
      </w:r>
      <w:r>
        <w:rPr>
          <w:spacing w:val="1"/>
        </w:rPr>
        <w:t> </w:t>
      </w:r>
      <w:r>
        <w:rPr/>
        <w:t>generating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revenue,</w:t>
      </w:r>
      <w:r>
        <w:rPr>
          <w:spacing w:val="1"/>
        </w:rPr>
        <w:t> </w:t>
      </w:r>
      <w:r>
        <w:rPr/>
        <w:t>diversification of the revenue base, achieve macroeconomic stability, attain job creation and</w:t>
      </w:r>
      <w:r>
        <w:rPr>
          <w:spacing w:val="1"/>
        </w:rPr>
        <w:t> </w:t>
      </w:r>
      <w:r>
        <w:rPr/>
        <w:t>employment</w:t>
      </w:r>
      <w:r>
        <w:rPr>
          <w:spacing w:val="-1"/>
        </w:rPr>
        <w:t> </w:t>
      </w:r>
      <w:r>
        <w:rPr/>
        <w:t>opportunities, promote self-reliant development among</w:t>
      </w:r>
      <w:r>
        <w:rPr>
          <w:spacing w:val="-4"/>
        </w:rPr>
        <w:t> </w:t>
      </w:r>
      <w:r>
        <w:rPr/>
        <w:t>others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 w:before="90"/>
        <w:ind w:left="500" w:right="495"/>
        <w:jc w:val="both"/>
      </w:pPr>
      <w:r>
        <w:rPr/>
        <w:t>The</w:t>
      </w:r>
      <w:r>
        <w:rPr>
          <w:spacing w:val="-5"/>
        </w:rPr>
        <w:t> </w:t>
      </w:r>
      <w:r>
        <w:rPr/>
        <w:t>conduct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fiscal</w:t>
      </w:r>
      <w:r>
        <w:rPr>
          <w:spacing w:val="-1"/>
        </w:rPr>
        <w:t> </w:t>
      </w:r>
      <w:r>
        <w:rPr/>
        <w:t>policy</w:t>
      </w:r>
      <w:r>
        <w:rPr>
          <w:spacing w:val="-8"/>
        </w:rPr>
        <w:t> </w:t>
      </w:r>
      <w:r>
        <w:rPr/>
        <w:t>in Nigeria</w:t>
      </w:r>
      <w:r>
        <w:rPr>
          <w:spacing w:val="-4"/>
        </w:rPr>
        <w:t> </w:t>
      </w:r>
      <w:r>
        <w:rPr/>
        <w:t>can</w:t>
      </w:r>
      <w:r>
        <w:rPr>
          <w:spacing w:val="-1"/>
        </w:rPr>
        <w:t> </w:t>
      </w:r>
      <w:r>
        <w:rPr/>
        <w:t>also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deciphered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frameworks</w:t>
      </w:r>
      <w:r>
        <w:rPr>
          <w:spacing w:val="-3"/>
        </w:rPr>
        <w:t> </w:t>
      </w:r>
      <w:r>
        <w:rPr/>
        <w:t>such as</w:t>
      </w:r>
      <w:r>
        <w:rPr>
          <w:spacing w:val="-4"/>
        </w:rPr>
        <w:t> </w:t>
      </w:r>
      <w:r>
        <w:rPr/>
        <w:t>the</w:t>
      </w:r>
      <w:r>
        <w:rPr>
          <w:spacing w:val="-57"/>
        </w:rPr>
        <w:t> </w:t>
      </w:r>
      <w:r>
        <w:rPr/>
        <w:t>Fiscal Responsibility Act of 2007. The Medium Term Expenditure Framework (MTEF) sprang</w:t>
      </w:r>
      <w:r>
        <w:rPr>
          <w:spacing w:val="1"/>
        </w:rPr>
        <w:t> </w:t>
      </w:r>
      <w:r>
        <w:rPr/>
        <w:t>from this act. The MTEF is a three-year rolling plan which articulates government’s proposed</w:t>
      </w:r>
      <w:r>
        <w:rPr>
          <w:spacing w:val="1"/>
        </w:rPr>
        <w:t> </w:t>
      </w:r>
      <w:r>
        <w:rPr/>
        <w:t>expenditure and revenue and its fiscal policy goals. It comprises a macroeconomic framework, a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paper,</w:t>
      </w:r>
      <w:r>
        <w:rPr>
          <w:spacing w:val="1"/>
        </w:rPr>
        <w:t> </w:t>
      </w:r>
      <w:r>
        <w:rPr/>
        <w:t>expenditure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framework,</w:t>
      </w:r>
      <w:r>
        <w:rPr>
          <w:spacing w:val="1"/>
        </w:rPr>
        <w:t> </w:t>
      </w:r>
      <w:r>
        <w:rPr/>
        <w:t>consolidated</w:t>
      </w:r>
      <w:r>
        <w:rPr>
          <w:spacing w:val="1"/>
        </w:rPr>
        <w:t> </w:t>
      </w:r>
      <w:r>
        <w:rPr/>
        <w:t>debt</w:t>
      </w:r>
      <w:r>
        <w:rPr>
          <w:spacing w:val="1"/>
        </w:rPr>
        <w:t> </w:t>
      </w:r>
      <w:r>
        <w:rPr/>
        <w:t>statement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statement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contingent</w:t>
      </w:r>
      <w:r>
        <w:rPr>
          <w:spacing w:val="-4"/>
        </w:rPr>
        <w:t> </w:t>
      </w:r>
      <w:r>
        <w:rPr/>
        <w:t>liability</w:t>
      </w:r>
      <w:r>
        <w:rPr>
          <w:spacing w:val="-11"/>
        </w:rPr>
        <w:t> </w:t>
      </w:r>
      <w:r>
        <w:rPr/>
        <w:t>(Fiscal</w:t>
      </w:r>
      <w:r>
        <w:rPr>
          <w:spacing w:val="-3"/>
        </w:rPr>
        <w:t> </w:t>
      </w:r>
      <w:r>
        <w:rPr/>
        <w:t>Responsibility</w:t>
      </w:r>
      <w:r>
        <w:rPr>
          <w:spacing w:val="-11"/>
        </w:rPr>
        <w:t> </w:t>
      </w:r>
      <w:r>
        <w:rPr/>
        <w:t>Act,</w:t>
      </w:r>
      <w:r>
        <w:rPr>
          <w:spacing w:val="-4"/>
        </w:rPr>
        <w:t> </w:t>
      </w:r>
      <w:r>
        <w:rPr/>
        <w:t>2007).</w:t>
      </w:r>
      <w:r>
        <w:rPr>
          <w:spacing w:val="-4"/>
        </w:rPr>
        <w:t> </w:t>
      </w:r>
      <w:r>
        <w:rPr/>
        <w:t>Furthermore,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MTEF</w:t>
      </w:r>
      <w:r>
        <w:rPr>
          <w:spacing w:val="-6"/>
        </w:rPr>
        <w:t> </w:t>
      </w:r>
      <w:r>
        <w:rPr/>
        <w:t>serves</w:t>
      </w:r>
      <w:r>
        <w:rPr>
          <w:spacing w:val="-58"/>
        </w:rPr>
        <w:t> </w:t>
      </w:r>
      <w:r>
        <w:rPr/>
        <w:t>as a framework for preparing the annual budgets. Some examples of MTEF include: 2009-2011,</w:t>
      </w:r>
      <w:r>
        <w:rPr>
          <w:spacing w:val="1"/>
        </w:rPr>
        <w:t> </w:t>
      </w:r>
      <w:r>
        <w:rPr/>
        <w:t>2011-2013, 2013-2015, 2014-2016 and currently, 2015-2017. Recently, the Federal Government</w:t>
      </w:r>
      <w:r>
        <w:rPr>
          <w:spacing w:val="1"/>
        </w:rPr>
        <w:t> </w:t>
      </w:r>
      <w:r>
        <w:rPr/>
        <w:t>launched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Economic</w:t>
      </w:r>
      <w:r>
        <w:rPr>
          <w:spacing w:val="-9"/>
        </w:rPr>
        <w:t> </w:t>
      </w:r>
      <w:r>
        <w:rPr/>
        <w:t>Recovery</w:t>
      </w:r>
      <w:r>
        <w:rPr>
          <w:spacing w:val="-10"/>
        </w:rPr>
        <w:t> </w:t>
      </w:r>
      <w:r>
        <w:rPr/>
        <w:t>Growth</w:t>
      </w:r>
      <w:r>
        <w:rPr>
          <w:spacing w:val="-8"/>
        </w:rPr>
        <w:t> </w:t>
      </w:r>
      <w:r>
        <w:rPr/>
        <w:t>Plan</w:t>
      </w:r>
      <w:r>
        <w:rPr>
          <w:spacing w:val="-7"/>
        </w:rPr>
        <w:t> </w:t>
      </w:r>
      <w:r>
        <w:rPr/>
        <w:t>(ERGP),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medium-</w:t>
      </w:r>
      <w:r>
        <w:rPr>
          <w:spacing w:val="-8"/>
        </w:rPr>
        <w:t> </w:t>
      </w:r>
      <w:r>
        <w:rPr/>
        <w:t>term</w:t>
      </w:r>
      <w:r>
        <w:rPr>
          <w:spacing w:val="-7"/>
        </w:rPr>
        <w:t> </w:t>
      </w:r>
      <w:r>
        <w:rPr/>
        <w:t>plan</w:t>
      </w:r>
      <w:r>
        <w:rPr>
          <w:spacing w:val="-7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period</w:t>
      </w:r>
      <w:r>
        <w:rPr>
          <w:spacing w:val="-8"/>
        </w:rPr>
        <w:t> </w:t>
      </w:r>
      <w:r>
        <w:rPr/>
        <w:t>2017-</w:t>
      </w:r>
      <w:r>
        <w:rPr>
          <w:spacing w:val="-57"/>
        </w:rPr>
        <w:t> </w:t>
      </w:r>
      <w:r>
        <w:rPr/>
        <w:t>2020</w:t>
      </w:r>
      <w:r>
        <w:rPr>
          <w:spacing w:val="-4"/>
        </w:rPr>
        <w:t> </w:t>
      </w:r>
      <w:r>
        <w:rPr/>
        <w:t>(Ministry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Budget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National</w:t>
      </w:r>
      <w:r>
        <w:rPr>
          <w:spacing w:val="-3"/>
        </w:rPr>
        <w:t> </w:t>
      </w:r>
      <w:r>
        <w:rPr/>
        <w:t>Planning,</w:t>
      </w:r>
      <w:r>
        <w:rPr>
          <w:spacing w:val="-4"/>
        </w:rPr>
        <w:t> </w:t>
      </w:r>
      <w:r>
        <w:rPr/>
        <w:t>2017).</w:t>
      </w:r>
      <w:r>
        <w:rPr>
          <w:spacing w:val="-5"/>
        </w:rPr>
        <w:t> </w:t>
      </w:r>
      <w:r>
        <w:rPr/>
        <w:t>This</w:t>
      </w:r>
      <w:r>
        <w:rPr>
          <w:spacing w:val="-2"/>
        </w:rPr>
        <w:t> </w:t>
      </w:r>
      <w:r>
        <w:rPr/>
        <w:t>plan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geared</w:t>
      </w:r>
      <w:r>
        <w:rPr>
          <w:spacing w:val="1"/>
        </w:rPr>
        <w:t> </w:t>
      </w:r>
      <w:r>
        <w:rPr/>
        <w:t>towards</w:t>
      </w:r>
      <w:r>
        <w:rPr>
          <w:spacing w:val="-3"/>
        </w:rPr>
        <w:t> </w:t>
      </w:r>
      <w:r>
        <w:rPr/>
        <w:t>resuscitating</w:t>
      </w:r>
      <w:r>
        <w:rPr>
          <w:spacing w:val="-58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Nigerian</w:t>
      </w:r>
      <w:r>
        <w:rPr>
          <w:spacing w:val="-13"/>
        </w:rPr>
        <w:t> </w:t>
      </w:r>
      <w:r>
        <w:rPr/>
        <w:t>economy</w:t>
      </w:r>
      <w:r>
        <w:rPr>
          <w:spacing w:val="-16"/>
        </w:rPr>
        <w:t> </w:t>
      </w:r>
      <w:r>
        <w:rPr/>
        <w:t>after</w:t>
      </w:r>
      <w:r>
        <w:rPr>
          <w:spacing w:val="-16"/>
        </w:rPr>
        <w:t> </w:t>
      </w:r>
      <w:r>
        <w:rPr/>
        <w:t>a</w:t>
      </w:r>
      <w:r>
        <w:rPr>
          <w:spacing w:val="-13"/>
        </w:rPr>
        <w:t> </w:t>
      </w:r>
      <w:r>
        <w:rPr/>
        <w:t>short</w:t>
      </w:r>
      <w:r>
        <w:rPr>
          <w:spacing w:val="-15"/>
        </w:rPr>
        <w:t> </w:t>
      </w:r>
      <w:r>
        <w:rPr/>
        <w:t>bout</w:t>
      </w:r>
      <w:r>
        <w:rPr>
          <w:spacing w:val="-13"/>
        </w:rPr>
        <w:t> </w:t>
      </w:r>
      <w:r>
        <w:rPr/>
        <w:t>of</w:t>
      </w:r>
      <w:r>
        <w:rPr>
          <w:spacing w:val="-16"/>
        </w:rPr>
        <w:t> </w:t>
      </w:r>
      <w:r>
        <w:rPr/>
        <w:t>recession,</w:t>
      </w:r>
      <w:r>
        <w:rPr>
          <w:spacing w:val="-14"/>
        </w:rPr>
        <w:t> </w:t>
      </w:r>
      <w:r>
        <w:rPr/>
        <w:t>investing</w:t>
      </w:r>
      <w:r>
        <w:rPr>
          <w:spacing w:val="-17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5"/>
        </w:rPr>
        <w:t> </w:t>
      </w:r>
      <w:r>
        <w:rPr/>
        <w:t>human</w:t>
      </w:r>
      <w:r>
        <w:rPr>
          <w:spacing w:val="-10"/>
        </w:rPr>
        <w:t> </w:t>
      </w:r>
      <w:r>
        <w:rPr/>
        <w:t>capital</w:t>
      </w:r>
      <w:r>
        <w:rPr>
          <w:spacing w:val="-14"/>
        </w:rPr>
        <w:t> </w:t>
      </w:r>
      <w:r>
        <w:rPr/>
        <w:t>base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Nigeria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enhancing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global</w:t>
      </w:r>
      <w:r>
        <w:rPr>
          <w:spacing w:val="2"/>
        </w:rPr>
        <w:t> </w:t>
      </w:r>
      <w:r>
        <w:rPr/>
        <w:t>competitiveness of the nation.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 w:before="1"/>
        <w:ind w:left="500" w:right="506"/>
        <w:jc w:val="both"/>
      </w:pPr>
      <w:r>
        <w:rPr/>
        <w:t>Lastly, the annual budget is the fourth framework that has been used to guide fiscal policy 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3.6, the annual</w:t>
      </w:r>
      <w:r>
        <w:rPr>
          <w:spacing w:val="-1"/>
        </w:rPr>
        <w:t> </w:t>
      </w:r>
      <w:r>
        <w:rPr/>
        <w:t>budget</w:t>
      </w:r>
      <w:r>
        <w:rPr>
          <w:spacing w:val="-1"/>
        </w:rPr>
        <w:t> </w:t>
      </w:r>
      <w:r>
        <w:rPr/>
        <w:t>projections for</w:t>
      </w:r>
      <w:r>
        <w:rPr>
          <w:spacing w:val="-3"/>
        </w:rPr>
        <w:t> </w:t>
      </w:r>
      <w:r>
        <w:rPr/>
        <w:t>some</w:t>
      </w:r>
      <w:r>
        <w:rPr>
          <w:spacing w:val="-2"/>
        </w:rPr>
        <w:t> </w:t>
      </w:r>
      <w:r>
        <w:rPr/>
        <w:t>selected</w:t>
      </w:r>
      <w:r>
        <w:rPr>
          <w:spacing w:val="3"/>
        </w:rPr>
        <w:t> </w:t>
      </w:r>
      <w:r>
        <w:rPr/>
        <w:t>years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presented.</w:t>
      </w:r>
    </w:p>
    <w:p>
      <w:pPr>
        <w:spacing w:after="0" w:line="360" w:lineRule="auto"/>
        <w:jc w:val="both"/>
        <w:sectPr>
          <w:pgSz w:w="12240" w:h="15840"/>
          <w:pgMar w:header="0" w:footer="935" w:top="1500" w:bottom="1200" w:left="940" w:right="940"/>
        </w:sectPr>
      </w:pPr>
    </w:p>
    <w:p>
      <w:pPr>
        <w:pStyle w:val="BodyText"/>
        <w:spacing w:before="72" w:after="8"/>
        <w:ind w:left="1335" w:right="1335"/>
        <w:jc w:val="center"/>
      </w:pPr>
      <w:r>
        <w:rPr/>
        <w:t>Table</w:t>
      </w:r>
      <w:r>
        <w:rPr>
          <w:spacing w:val="-2"/>
        </w:rPr>
        <w:t> </w:t>
      </w:r>
      <w:r>
        <w:rPr/>
        <w:t>3.6:</w:t>
      </w:r>
      <w:r>
        <w:rPr>
          <w:spacing w:val="-2"/>
        </w:rPr>
        <w:t> </w:t>
      </w:r>
      <w:r>
        <w:rPr/>
        <w:t>Nigerian Annual</w:t>
      </w:r>
      <w:r>
        <w:rPr>
          <w:spacing w:val="-1"/>
        </w:rPr>
        <w:t> </w:t>
      </w:r>
      <w:r>
        <w:rPr/>
        <w:t>Budgets</w:t>
      </w:r>
    </w:p>
    <w:tbl>
      <w:tblPr>
        <w:tblW w:w="0" w:type="auto"/>
        <w:jc w:val="left"/>
        <w:tblInd w:w="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6"/>
        <w:gridCol w:w="2784"/>
        <w:gridCol w:w="1413"/>
        <w:gridCol w:w="1826"/>
        <w:gridCol w:w="1077"/>
        <w:gridCol w:w="1393"/>
      </w:tblGrid>
      <w:tr>
        <w:trPr>
          <w:trHeight w:val="929" w:hRule="atLeast"/>
        </w:trPr>
        <w:tc>
          <w:tcPr>
            <w:tcW w:w="62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Year</w:t>
            </w:r>
          </w:p>
        </w:tc>
        <w:tc>
          <w:tcPr>
            <w:tcW w:w="278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Thrust</w:t>
            </w:r>
          </w:p>
        </w:tc>
        <w:tc>
          <w:tcPr>
            <w:tcW w:w="141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7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Revenue</w:t>
            </w:r>
          </w:p>
          <w:p>
            <w:pPr>
              <w:pStyle w:val="TableParagraph"/>
              <w:spacing w:before="105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(</w:t>
            </w:r>
            <w:r>
              <w:rPr>
                <w:b/>
                <w:strike/>
                <w:spacing w:val="-4"/>
                <w:sz w:val="18"/>
                <w:shd w:fill="FAFCFB" w:color="auto" w:val="clear"/>
              </w:rPr>
              <w:t> </w:t>
            </w:r>
            <w:r>
              <w:rPr>
                <w:b/>
                <w:strike/>
                <w:sz w:val="18"/>
                <w:shd w:fill="FAFCFB" w:color="auto" w:val="clear"/>
              </w:rPr>
              <w:t>N</w:t>
            </w:r>
            <w:r>
              <w:rPr>
                <w:b/>
                <w:strike w:val="0"/>
                <w:sz w:val="18"/>
              </w:rPr>
              <w:t>’billion)</w:t>
            </w:r>
          </w:p>
        </w:tc>
        <w:tc>
          <w:tcPr>
            <w:tcW w:w="182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362" w:lineRule="auto"/>
              <w:ind w:left="155" w:right="727" w:hanging="46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Expenditure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</w:t>
            </w:r>
            <w:r>
              <w:rPr>
                <w:b/>
                <w:strike/>
                <w:spacing w:val="-3"/>
                <w:sz w:val="18"/>
                <w:shd w:fill="FAFCFB" w:color="auto" w:val="clear"/>
              </w:rPr>
              <w:t> </w:t>
            </w:r>
            <w:r>
              <w:rPr>
                <w:b/>
                <w:strike/>
                <w:sz w:val="18"/>
                <w:shd w:fill="FAFCFB" w:color="auto" w:val="clear"/>
              </w:rPr>
              <w:t>N</w:t>
            </w:r>
            <w:r>
              <w:rPr>
                <w:b/>
                <w:strike w:val="0"/>
                <w:sz w:val="18"/>
              </w:rPr>
              <w:t>’billion)</w:t>
            </w:r>
          </w:p>
        </w:tc>
        <w:tc>
          <w:tcPr>
            <w:tcW w:w="10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362" w:lineRule="auto"/>
              <w:ind w:left="109" w:right="259"/>
              <w:rPr>
                <w:b/>
                <w:sz w:val="18"/>
              </w:rPr>
            </w:pPr>
            <w:r>
              <w:rPr>
                <w:b/>
                <w:sz w:val="18"/>
              </w:rPr>
              <w:t>Fiscal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deficit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as</w:t>
            </w:r>
          </w:p>
          <w:p>
            <w:pPr>
              <w:pStyle w:val="TableParagraph"/>
              <w:spacing w:line="203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%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GDP</w:t>
            </w:r>
          </w:p>
        </w:tc>
        <w:tc>
          <w:tcPr>
            <w:tcW w:w="139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362" w:lineRule="auto"/>
              <w:ind w:left="111" w:right="302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Debt </w:t>
            </w:r>
            <w:r>
              <w:rPr>
                <w:b/>
                <w:sz w:val="18"/>
              </w:rPr>
              <w:t>service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</w:t>
            </w:r>
            <w:r>
              <w:rPr>
                <w:b/>
                <w:strike/>
                <w:spacing w:val="-3"/>
                <w:sz w:val="18"/>
                <w:shd w:fill="FAFCFB" w:color="auto" w:val="clear"/>
              </w:rPr>
              <w:t> </w:t>
            </w:r>
            <w:r>
              <w:rPr>
                <w:b/>
                <w:strike/>
                <w:sz w:val="18"/>
                <w:shd w:fill="FAFCFB" w:color="auto" w:val="clear"/>
              </w:rPr>
              <w:t>N</w:t>
            </w:r>
            <w:r>
              <w:rPr>
                <w:b/>
                <w:strike w:val="0"/>
                <w:sz w:val="18"/>
              </w:rPr>
              <w:t>’billion)</w:t>
            </w:r>
          </w:p>
        </w:tc>
      </w:tr>
      <w:tr>
        <w:trPr>
          <w:trHeight w:val="2175" w:hRule="atLeast"/>
        </w:trPr>
        <w:tc>
          <w:tcPr>
            <w:tcW w:w="62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  <w:r>
              <w:rPr>
                <w:b/>
                <w:sz w:val="18"/>
              </w:rPr>
              <w:t>2000</w:t>
            </w:r>
          </w:p>
        </w:tc>
        <w:tc>
          <w:tcPr>
            <w:tcW w:w="278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  <w:shd w:fill="FAFCFB" w:color="auto" w:val="clear"/>
              </w:rPr>
              <w:t>-reduce</w:t>
            </w:r>
            <w:r>
              <w:rPr>
                <w:spacing w:val="-2"/>
                <w:sz w:val="18"/>
                <w:shd w:fill="FAFCFB" w:color="auto" w:val="clear"/>
              </w:rPr>
              <w:t> </w:t>
            </w:r>
            <w:r>
              <w:rPr>
                <w:sz w:val="18"/>
                <w:shd w:fill="FAFCFB" w:color="auto" w:val="clear"/>
              </w:rPr>
              <w:t>inflationary</w:t>
            </w:r>
            <w:r>
              <w:rPr>
                <w:spacing w:val="-4"/>
                <w:sz w:val="18"/>
                <w:shd w:fill="FAFCFB" w:color="auto" w:val="clear"/>
              </w:rPr>
              <w:t> </w:t>
            </w:r>
            <w:r>
              <w:rPr>
                <w:sz w:val="18"/>
                <w:shd w:fill="FAFCFB" w:color="auto" w:val="clear"/>
              </w:rPr>
              <w:t>trend</w:t>
            </w:r>
          </w:p>
          <w:p>
            <w:pPr>
              <w:pStyle w:val="TableParagraph"/>
              <w:spacing w:line="360" w:lineRule="auto" w:before="105"/>
              <w:ind w:right="100"/>
              <w:rPr>
                <w:sz w:val="18"/>
              </w:rPr>
            </w:pPr>
            <w:r>
              <w:rPr>
                <w:sz w:val="18"/>
                <w:shd w:fill="FAFCFB" w:color="auto" w:val="clear"/>
              </w:rPr>
              <w:t>-provide enabling factors 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  <w:shd w:fill="FAFCFB" w:color="auto" w:val="clear"/>
              </w:rPr>
              <w:t>private-sector</w:t>
            </w:r>
            <w:r>
              <w:rPr>
                <w:spacing w:val="-6"/>
                <w:sz w:val="18"/>
                <w:shd w:fill="FAFCFB" w:color="auto" w:val="clear"/>
              </w:rPr>
              <w:t> </w:t>
            </w:r>
            <w:r>
              <w:rPr>
                <w:sz w:val="18"/>
                <w:shd w:fill="FAFCFB" w:color="auto" w:val="clear"/>
              </w:rPr>
              <w:t>led</w:t>
            </w:r>
            <w:r>
              <w:rPr>
                <w:spacing w:val="-4"/>
                <w:sz w:val="18"/>
                <w:shd w:fill="FAFCFB" w:color="auto" w:val="clear"/>
              </w:rPr>
              <w:t> </w:t>
            </w:r>
            <w:r>
              <w:rPr>
                <w:sz w:val="18"/>
                <w:shd w:fill="FAFCFB" w:color="auto" w:val="clear"/>
              </w:rPr>
              <w:t>economic</w:t>
            </w:r>
            <w:r>
              <w:rPr>
                <w:spacing w:val="-5"/>
                <w:sz w:val="18"/>
                <w:shd w:fill="FAFCFB" w:color="auto" w:val="clear"/>
              </w:rPr>
              <w:t> </w:t>
            </w:r>
            <w:r>
              <w:rPr>
                <w:sz w:val="18"/>
                <w:shd w:fill="FAFCFB" w:color="auto" w:val="clear"/>
              </w:rPr>
              <w:t>growth</w:t>
            </w:r>
          </w:p>
          <w:p>
            <w:pPr>
              <w:pStyle w:val="TableParagraph"/>
              <w:spacing w:line="362" w:lineRule="auto"/>
              <w:ind w:right="927"/>
              <w:rPr>
                <w:sz w:val="18"/>
              </w:rPr>
            </w:pPr>
            <w:r>
              <w:rPr>
                <w:sz w:val="18"/>
                <w:shd w:fill="FAFCFB" w:color="auto" w:val="clear"/>
              </w:rPr>
              <w:t>-improve education and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  <w:shd w:fill="FAFCFB" w:color="auto" w:val="clear"/>
              </w:rPr>
              <w:t>agricultural</w:t>
            </w:r>
            <w:r>
              <w:rPr>
                <w:spacing w:val="-4"/>
                <w:sz w:val="18"/>
                <w:shd w:fill="FAFCFB" w:color="auto" w:val="clear"/>
              </w:rPr>
              <w:t> </w:t>
            </w:r>
            <w:r>
              <w:rPr>
                <w:sz w:val="18"/>
                <w:shd w:fill="FAFCFB" w:color="auto" w:val="clear"/>
              </w:rPr>
              <w:t>production</w:t>
            </w:r>
          </w:p>
          <w:p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  <w:shd w:fill="FAFCFB" w:color="auto" w:val="clear"/>
              </w:rPr>
              <w:t>-reduce</w:t>
            </w:r>
            <w:r>
              <w:rPr>
                <w:spacing w:val="-8"/>
                <w:sz w:val="18"/>
                <w:shd w:fill="FAFCFB" w:color="auto" w:val="clear"/>
              </w:rPr>
              <w:t> </w:t>
            </w:r>
            <w:r>
              <w:rPr>
                <w:sz w:val="18"/>
                <w:shd w:fill="FAFCFB" w:color="auto" w:val="clear"/>
              </w:rPr>
              <w:t>unemployment</w:t>
            </w:r>
          </w:p>
        </w:tc>
        <w:tc>
          <w:tcPr>
            <w:tcW w:w="14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362" w:lineRule="auto"/>
              <w:ind w:left="108" w:right="216"/>
              <w:rPr>
                <w:sz w:val="18"/>
              </w:rPr>
            </w:pPr>
            <w:r>
              <w:rPr>
                <w:spacing w:val="-1"/>
                <w:sz w:val="18"/>
                <w:shd w:fill="FAFCFB" w:color="auto" w:val="clear"/>
              </w:rPr>
              <w:t>Total </w:t>
            </w:r>
            <w:r>
              <w:rPr>
                <w:sz w:val="18"/>
                <w:shd w:fill="FAFCFB" w:color="auto" w:val="clear"/>
              </w:rPr>
              <w:t>revenue-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  <w:shd w:fill="FAFCFB" w:color="auto" w:val="clear"/>
              </w:rPr>
              <w:t>1,686</w:t>
            </w:r>
          </w:p>
          <w:p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  <w:shd w:fill="FAFCFB" w:color="auto" w:val="clear"/>
              </w:rPr>
              <w:t>Oil</w:t>
            </w:r>
            <w:r>
              <w:rPr>
                <w:spacing w:val="-1"/>
                <w:sz w:val="18"/>
                <w:shd w:fill="FAFCFB" w:color="auto" w:val="clear"/>
              </w:rPr>
              <w:t> </w:t>
            </w:r>
            <w:r>
              <w:rPr>
                <w:sz w:val="18"/>
                <w:shd w:fill="FAFCFB" w:color="auto" w:val="clear"/>
              </w:rPr>
              <w:t>revenue-</w:t>
            </w:r>
          </w:p>
          <w:p>
            <w:pPr>
              <w:pStyle w:val="TableParagraph"/>
              <w:spacing w:before="99"/>
              <w:ind w:left="108"/>
              <w:rPr>
                <w:sz w:val="18"/>
              </w:rPr>
            </w:pPr>
            <w:r>
              <w:rPr>
                <w:sz w:val="18"/>
                <w:shd w:fill="FAFCFB" w:color="auto" w:val="clear"/>
              </w:rPr>
              <w:t> </w:t>
            </w:r>
            <w:r>
              <w:rPr>
                <w:sz w:val="18"/>
                <w:shd w:fill="FAFCFB" w:color="auto" w:val="clear"/>
              </w:rPr>
              <w:t>1,</w:t>
            </w:r>
            <w:r>
              <w:rPr>
                <w:spacing w:val="-2"/>
                <w:sz w:val="18"/>
                <w:shd w:fill="FAFCFB" w:color="auto" w:val="clear"/>
              </w:rPr>
              <w:t> </w:t>
            </w:r>
            <w:r>
              <w:rPr>
                <w:sz w:val="18"/>
                <w:shd w:fill="FAFCFB" w:color="auto" w:val="clear"/>
              </w:rPr>
              <w:t>340</w:t>
            </w:r>
          </w:p>
          <w:p>
            <w:pPr>
              <w:pStyle w:val="TableParagraph"/>
              <w:spacing w:line="360" w:lineRule="auto" w:before="105"/>
              <w:ind w:left="108" w:right="201"/>
              <w:rPr>
                <w:sz w:val="18"/>
              </w:rPr>
            </w:pPr>
            <w:r>
              <w:rPr>
                <w:sz w:val="18"/>
                <w:shd w:fill="FAFCFB" w:color="auto" w:val="clear"/>
              </w:rPr>
              <w:t>Non-oil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  <w:shd w:fill="FAFCFB" w:color="auto" w:val="clear"/>
              </w:rPr>
              <w:t>revenue-</w:t>
            </w:r>
            <w:r>
              <w:rPr>
                <w:spacing w:val="-11"/>
                <w:sz w:val="18"/>
                <w:shd w:fill="FAFCFB" w:color="auto" w:val="clear"/>
              </w:rPr>
              <w:t> </w:t>
            </w:r>
            <w:r>
              <w:rPr>
                <w:sz w:val="18"/>
                <w:shd w:fill="FAFCFB" w:color="auto" w:val="clear"/>
              </w:rPr>
              <w:t>345.6</w:t>
            </w:r>
          </w:p>
        </w:tc>
        <w:tc>
          <w:tcPr>
            <w:tcW w:w="182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362" w:lineRule="auto"/>
              <w:ind w:left="109" w:right="202"/>
              <w:rPr>
                <w:sz w:val="18"/>
              </w:rPr>
            </w:pPr>
            <w:r>
              <w:rPr>
                <w:sz w:val="18"/>
                <w:shd w:fill="FAFCFB" w:color="auto" w:val="clear"/>
              </w:rPr>
              <w:t>Capital expenditure-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  <w:shd w:fill="FAFCFB" w:color="auto" w:val="clear"/>
              </w:rPr>
              <w:t>31.6;</w:t>
            </w:r>
          </w:p>
          <w:p>
            <w:pPr>
              <w:pStyle w:val="TableParagraph"/>
              <w:spacing w:line="360" w:lineRule="auto"/>
              <w:ind w:left="109" w:right="244"/>
              <w:rPr>
                <w:sz w:val="18"/>
              </w:rPr>
            </w:pPr>
            <w:r>
              <w:rPr>
                <w:sz w:val="18"/>
                <w:shd w:fill="FAFCFB" w:color="auto" w:val="clear"/>
              </w:rPr>
              <w:t>Recurrent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  <w:shd w:fill="FAFCFB" w:color="auto" w:val="clear"/>
              </w:rPr>
              <w:t>expenditure-</w:t>
            </w:r>
            <w:r>
              <w:rPr>
                <w:spacing w:val="-4"/>
                <w:sz w:val="18"/>
                <w:shd w:fill="FAFCFB" w:color="auto" w:val="clear"/>
              </w:rPr>
              <w:t> </w:t>
            </w:r>
            <w:r>
              <w:rPr>
                <w:sz w:val="18"/>
                <w:shd w:fill="FAFCFB" w:color="auto" w:val="clear"/>
              </w:rPr>
              <w:t>341.53</w:t>
            </w:r>
          </w:p>
        </w:tc>
        <w:tc>
          <w:tcPr>
            <w:tcW w:w="10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9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360" w:lineRule="auto"/>
              <w:ind w:left="111" w:right="216"/>
              <w:rPr>
                <w:sz w:val="18"/>
              </w:rPr>
            </w:pPr>
            <w:r>
              <w:rPr>
                <w:spacing w:val="-1"/>
                <w:sz w:val="18"/>
                <w:shd w:fill="FAFCFB" w:color="auto" w:val="clear"/>
              </w:rPr>
              <w:t>Domestic </w:t>
            </w:r>
            <w:r>
              <w:rPr>
                <w:sz w:val="18"/>
                <w:shd w:fill="FAFCFB" w:color="auto" w:val="clear"/>
              </w:rPr>
              <w:t>debt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  <w:shd w:fill="FAFCFB" w:color="auto" w:val="clear"/>
              </w:rPr>
              <w:t>servicing- 100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  <w:shd w:fill="FAFCFB" w:color="auto" w:val="clear"/>
              </w:rPr>
              <w:t>External debt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  <w:shd w:fill="FAFCFB" w:color="auto" w:val="clear"/>
              </w:rPr>
              <w:t>servicing-</w:t>
            </w:r>
            <w:r>
              <w:rPr>
                <w:spacing w:val="-2"/>
                <w:sz w:val="18"/>
                <w:shd w:fill="FAFCFB" w:color="auto" w:val="clear"/>
              </w:rPr>
              <w:t> </w:t>
            </w:r>
            <w:r>
              <w:rPr>
                <w:sz w:val="18"/>
                <w:shd w:fill="FAFCFB" w:color="auto" w:val="clear"/>
              </w:rPr>
              <w:t>150</w:t>
            </w:r>
          </w:p>
        </w:tc>
      </w:tr>
      <w:tr>
        <w:trPr>
          <w:trHeight w:val="2174" w:hRule="atLeast"/>
        </w:trPr>
        <w:tc>
          <w:tcPr>
            <w:tcW w:w="626" w:type="dxa"/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2003</w:t>
            </w:r>
          </w:p>
        </w:tc>
        <w:tc>
          <w:tcPr>
            <w:tcW w:w="2784" w:type="dxa"/>
          </w:tcPr>
          <w:p>
            <w:pPr>
              <w:pStyle w:val="TableParagraph"/>
              <w:spacing w:line="360" w:lineRule="auto"/>
              <w:ind w:right="197"/>
              <w:rPr>
                <w:sz w:val="18"/>
              </w:rPr>
            </w:pPr>
            <w:r>
              <w:rPr>
                <w:sz w:val="18"/>
                <w:shd w:fill="FAFCFB" w:color="auto" w:val="clear"/>
              </w:rPr>
              <w:t>Embark on a growth strategy that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  <w:shd w:fill="FAFCFB" w:color="auto" w:val="clear"/>
              </w:rPr>
              <w:t>would achieve fiscal stability;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  <w:shd w:fill="FAFCFB" w:color="auto" w:val="clear"/>
              </w:rPr>
              <w:t>improve non-oil sector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  <w:shd w:fill="FAFCFB" w:color="auto" w:val="clear"/>
              </w:rPr>
              <w:t>competitiveness; reduce inflation;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  <w:shd w:fill="FAFCFB" w:color="auto" w:val="clear"/>
              </w:rPr>
              <w:t>maintain a fiscal deficit not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  <w:shd w:fill="FAFCFB" w:color="auto" w:val="clear"/>
              </w:rPr>
              <w:t>exceeding</w:t>
            </w:r>
            <w:r>
              <w:rPr>
                <w:spacing w:val="-2"/>
                <w:sz w:val="18"/>
                <w:shd w:fill="FAFCFB" w:color="auto" w:val="clear"/>
              </w:rPr>
              <w:t> </w:t>
            </w:r>
            <w:r>
              <w:rPr>
                <w:sz w:val="18"/>
                <w:shd w:fill="FAFCFB" w:color="auto" w:val="clear"/>
              </w:rPr>
              <w:t>2.5</w:t>
            </w:r>
            <w:r>
              <w:rPr>
                <w:spacing w:val="-1"/>
                <w:sz w:val="18"/>
                <w:shd w:fill="FAFCFB" w:color="auto" w:val="clear"/>
              </w:rPr>
              <w:t> </w:t>
            </w:r>
            <w:r>
              <w:rPr>
                <w:sz w:val="18"/>
                <w:shd w:fill="FAFCFB" w:color="auto" w:val="clear"/>
              </w:rPr>
              <w:t>percent</w:t>
            </w:r>
            <w:r>
              <w:rPr>
                <w:spacing w:val="-3"/>
                <w:sz w:val="18"/>
                <w:shd w:fill="FAFCFB" w:color="auto" w:val="clear"/>
              </w:rPr>
              <w:t> </w:t>
            </w:r>
            <w:r>
              <w:rPr>
                <w:sz w:val="18"/>
                <w:shd w:fill="FAFCFB" w:color="auto" w:val="clear"/>
              </w:rPr>
              <w:t>of</w:t>
            </w:r>
            <w:r>
              <w:rPr>
                <w:spacing w:val="-2"/>
                <w:sz w:val="18"/>
                <w:shd w:fill="FAFCFB" w:color="auto" w:val="clear"/>
              </w:rPr>
              <w:t> </w:t>
            </w:r>
            <w:r>
              <w:rPr>
                <w:sz w:val="18"/>
                <w:shd w:fill="FAFCFB" w:color="auto" w:val="clear"/>
              </w:rPr>
              <w:t>GDP</w:t>
            </w:r>
            <w:r>
              <w:rPr>
                <w:spacing w:val="5"/>
                <w:sz w:val="18"/>
                <w:shd w:fill="FAFCFB" w:color="auto" w:val="clear"/>
              </w:rPr>
              <w:t> </w:t>
            </w:r>
          </w:p>
        </w:tc>
        <w:tc>
          <w:tcPr>
            <w:tcW w:w="1413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  <w:shd w:fill="FAFCFB" w:color="auto" w:val="clear"/>
              </w:rPr>
              <w:t>685.4</w:t>
            </w:r>
          </w:p>
        </w:tc>
        <w:tc>
          <w:tcPr>
            <w:tcW w:w="1826" w:type="dxa"/>
          </w:tcPr>
          <w:p>
            <w:pPr>
              <w:pStyle w:val="TableParagraph"/>
              <w:spacing w:line="360" w:lineRule="auto"/>
              <w:ind w:left="109" w:right="267"/>
              <w:rPr>
                <w:sz w:val="18"/>
              </w:rPr>
            </w:pPr>
            <w:r>
              <w:rPr>
                <w:sz w:val="18"/>
                <w:shd w:fill="FAFCFB" w:color="auto" w:val="clear"/>
              </w:rPr>
              <w:t>Total expenditure –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  <w:shd w:fill="FAFCFB" w:color="auto" w:val="clear"/>
              </w:rPr>
              <w:t>765.1</w:t>
            </w:r>
          </w:p>
          <w:p>
            <w:pPr>
              <w:pStyle w:val="TableParagraph"/>
              <w:spacing w:line="360" w:lineRule="auto"/>
              <w:ind w:left="109" w:right="218"/>
              <w:rPr>
                <w:sz w:val="18"/>
              </w:rPr>
            </w:pPr>
            <w:r>
              <w:rPr>
                <w:sz w:val="18"/>
                <w:shd w:fill="FAFCFB" w:color="auto" w:val="clear"/>
              </w:rPr>
              <w:t>Recurrent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  <w:shd w:fill="FAFCFB" w:color="auto" w:val="clear"/>
              </w:rPr>
              <w:t>expenditure- 508.8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  <w:shd w:fill="FAFCFB" w:color="auto" w:val="clear"/>
              </w:rPr>
              <w:t>Capital expenditure-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  <w:shd w:fill="FAFCFB" w:color="auto" w:val="clear"/>
              </w:rPr>
              <w:t>256.4</w:t>
            </w:r>
          </w:p>
        </w:tc>
        <w:tc>
          <w:tcPr>
            <w:tcW w:w="1077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w w:val="99"/>
                <w:sz w:val="18"/>
                <w:shd w:fill="FAFCFB" w:color="auto" w:val="clear"/>
              </w:rPr>
              <w:t>-</w:t>
            </w:r>
          </w:p>
        </w:tc>
        <w:tc>
          <w:tcPr>
            <w:tcW w:w="1393" w:type="dxa"/>
          </w:tcPr>
          <w:p>
            <w:pPr>
              <w:pStyle w:val="TableParagraph"/>
              <w:spacing w:line="360" w:lineRule="auto"/>
              <w:ind w:left="111" w:right="223"/>
              <w:rPr>
                <w:sz w:val="18"/>
              </w:rPr>
            </w:pPr>
            <w:r>
              <w:rPr>
                <w:sz w:val="18"/>
                <w:shd w:fill="FAFCFB" w:color="auto" w:val="clear"/>
              </w:rPr>
              <w:t>External debt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  <w:shd w:fill="FAFCFB" w:color="auto" w:val="clear"/>
              </w:rPr>
              <w:t>servicing-</w:t>
            </w:r>
            <w:r>
              <w:rPr>
                <w:spacing w:val="-11"/>
                <w:sz w:val="18"/>
                <w:shd w:fill="FAFCFB" w:color="auto" w:val="clear"/>
              </w:rPr>
              <w:t> </w:t>
            </w:r>
            <w:r>
              <w:rPr>
                <w:sz w:val="18"/>
                <w:shd w:fill="FAFCFB" w:color="auto" w:val="clear"/>
              </w:rPr>
              <w:t>252</w:t>
            </w:r>
          </w:p>
        </w:tc>
      </w:tr>
      <w:tr>
        <w:trPr>
          <w:trHeight w:val="2171" w:hRule="atLeast"/>
        </w:trPr>
        <w:tc>
          <w:tcPr>
            <w:tcW w:w="626" w:type="dxa"/>
          </w:tcPr>
          <w:p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2014</w:t>
            </w:r>
          </w:p>
        </w:tc>
        <w:tc>
          <w:tcPr>
            <w:tcW w:w="2784" w:type="dxa"/>
          </w:tcPr>
          <w:p>
            <w:pPr>
              <w:pStyle w:val="TableParagraph"/>
              <w:spacing w:line="360" w:lineRule="auto"/>
              <w:ind w:right="136"/>
              <w:rPr>
                <w:sz w:val="18"/>
              </w:rPr>
            </w:pPr>
            <w:r>
              <w:rPr>
                <w:sz w:val="18"/>
              </w:rPr>
              <w:t>Continuation of prudent economic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management in order to build 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recent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economic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growth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support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job creation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 more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infrastructure</w:t>
            </w:r>
          </w:p>
        </w:tc>
        <w:tc>
          <w:tcPr>
            <w:tcW w:w="1413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3,730</w:t>
            </w:r>
          </w:p>
        </w:tc>
        <w:tc>
          <w:tcPr>
            <w:tcW w:w="1826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4,642</w:t>
            </w:r>
          </w:p>
          <w:p>
            <w:pPr>
              <w:pStyle w:val="TableParagraph"/>
              <w:spacing w:line="362" w:lineRule="auto" w:before="102"/>
              <w:ind w:left="109" w:right="162"/>
              <w:rPr>
                <w:sz w:val="18"/>
              </w:rPr>
            </w:pPr>
            <w:r>
              <w:rPr>
                <w:sz w:val="18"/>
              </w:rPr>
              <w:t>Recurrent (non-debt)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2,430</w:t>
            </w:r>
          </w:p>
          <w:p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Capital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1,101</w:t>
            </w:r>
          </w:p>
          <w:p>
            <w:pPr>
              <w:pStyle w:val="TableParagraph"/>
              <w:spacing w:before="103"/>
              <w:ind w:left="109"/>
              <w:rPr>
                <w:sz w:val="18"/>
              </w:rPr>
            </w:pPr>
            <w:r>
              <w:rPr>
                <w:sz w:val="18"/>
              </w:rPr>
              <w:t>Debt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service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712</w:t>
            </w:r>
          </w:p>
          <w:p>
            <w:pPr>
              <w:pStyle w:val="TableParagraph"/>
              <w:spacing w:line="310" w:lineRule="atLeast" w:before="2"/>
              <w:ind w:left="109" w:right="362"/>
              <w:rPr>
                <w:sz w:val="18"/>
              </w:rPr>
            </w:pPr>
            <w:r>
              <w:rPr>
                <w:spacing w:val="-1"/>
                <w:sz w:val="18"/>
              </w:rPr>
              <w:t>Statutory </w:t>
            </w:r>
            <w:r>
              <w:rPr>
                <w:sz w:val="18"/>
              </w:rPr>
              <w:t>transfers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399</w:t>
            </w:r>
          </w:p>
        </w:tc>
        <w:tc>
          <w:tcPr>
            <w:tcW w:w="1077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1.90</w:t>
            </w:r>
          </w:p>
          <w:p>
            <w:pPr>
              <w:pStyle w:val="TableParagraph"/>
              <w:spacing w:before="102"/>
              <w:ind w:left="109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1393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  <w:shd w:fill="FAFCFB" w:color="auto" w:val="clear"/>
              </w:rPr>
              <w:t>712</w:t>
            </w:r>
          </w:p>
        </w:tc>
      </w:tr>
      <w:tr>
        <w:trPr>
          <w:trHeight w:val="3417" w:hRule="atLeast"/>
        </w:trPr>
        <w:tc>
          <w:tcPr>
            <w:tcW w:w="626" w:type="dxa"/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2015</w:t>
            </w:r>
          </w:p>
        </w:tc>
        <w:tc>
          <w:tcPr>
            <w:tcW w:w="2784" w:type="dxa"/>
          </w:tcPr>
          <w:p>
            <w:pPr>
              <w:pStyle w:val="TableParagraph"/>
              <w:spacing w:line="360" w:lineRule="auto"/>
              <w:ind w:right="126"/>
              <w:rPr>
                <w:sz w:val="18"/>
              </w:rPr>
            </w:pPr>
            <w:r>
              <w:rPr>
                <w:sz w:val="18"/>
              </w:rPr>
              <w:t>Described as “A Transition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Budget”,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focuses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managing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the declining revenue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transiting to a non-oil based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economy.</w:t>
            </w:r>
          </w:p>
        </w:tc>
        <w:tc>
          <w:tcPr>
            <w:tcW w:w="1413" w:type="dxa"/>
          </w:tcPr>
          <w:p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3,602</w:t>
            </w:r>
          </w:p>
        </w:tc>
        <w:tc>
          <w:tcPr>
            <w:tcW w:w="1826" w:type="dxa"/>
          </w:tcPr>
          <w:p>
            <w:pPr>
              <w:pStyle w:val="TableParagraph"/>
              <w:spacing w:line="360" w:lineRule="auto"/>
              <w:ind w:left="109" w:right="162"/>
              <w:rPr>
                <w:sz w:val="18"/>
              </w:rPr>
            </w:pPr>
            <w:r>
              <w:rPr>
                <w:sz w:val="18"/>
              </w:rPr>
              <w:t>Recurrent (non-debt)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2,616</w:t>
            </w:r>
          </w:p>
          <w:p>
            <w:pPr>
              <w:pStyle w:val="TableParagraph"/>
              <w:spacing w:line="360" w:lineRule="auto"/>
              <w:ind w:left="109" w:right="380"/>
              <w:rPr>
                <w:sz w:val="18"/>
              </w:rPr>
            </w:pPr>
            <w:r>
              <w:rPr>
                <w:spacing w:val="-1"/>
                <w:sz w:val="18"/>
              </w:rPr>
              <w:t>Capital </w:t>
            </w:r>
            <w:r>
              <w:rPr>
                <w:sz w:val="18"/>
              </w:rPr>
              <w:t>(including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SURE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P)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634</w:t>
            </w:r>
          </w:p>
          <w:p>
            <w:pPr>
              <w:pStyle w:val="TableParagraph"/>
              <w:spacing w:line="360" w:lineRule="auto"/>
              <w:ind w:left="109" w:right="362"/>
              <w:rPr>
                <w:sz w:val="18"/>
              </w:rPr>
            </w:pPr>
            <w:r>
              <w:rPr>
                <w:sz w:val="18"/>
              </w:rPr>
              <w:t>Debt service 943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Statutory </w:t>
            </w:r>
            <w:r>
              <w:rPr>
                <w:sz w:val="18"/>
              </w:rPr>
              <w:t>transfers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412</w:t>
            </w:r>
          </w:p>
          <w:p>
            <w:pPr>
              <w:pStyle w:val="TableParagraph"/>
              <w:spacing w:line="360" w:lineRule="auto"/>
              <w:ind w:left="109" w:right="130"/>
              <w:rPr>
                <w:sz w:val="18"/>
              </w:rPr>
            </w:pPr>
            <w:r>
              <w:rPr>
                <w:spacing w:val="-1"/>
                <w:sz w:val="18"/>
              </w:rPr>
              <w:t>Subsidy </w:t>
            </w:r>
            <w:r>
              <w:rPr>
                <w:sz w:val="18"/>
              </w:rPr>
              <w:t>reinvestment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program (SURE P)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103</w:t>
            </w:r>
          </w:p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Aggregate</w:t>
            </w:r>
          </w:p>
        </w:tc>
        <w:tc>
          <w:tcPr>
            <w:tcW w:w="1077" w:type="dxa"/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0.7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percent</w:t>
            </w:r>
          </w:p>
        </w:tc>
        <w:tc>
          <w:tcPr>
            <w:tcW w:w="1393" w:type="dxa"/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  <w:shd w:fill="FAFCFB" w:color="auto" w:val="clear"/>
              </w:rPr>
              <w:t>943</w:t>
            </w:r>
          </w:p>
        </w:tc>
      </w:tr>
      <w:tr>
        <w:trPr>
          <w:trHeight w:val="1259" w:hRule="atLeast"/>
        </w:trPr>
        <w:tc>
          <w:tcPr>
            <w:tcW w:w="626" w:type="dxa"/>
          </w:tcPr>
          <w:p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2017</w:t>
            </w:r>
          </w:p>
        </w:tc>
        <w:tc>
          <w:tcPr>
            <w:tcW w:w="2784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  <w:shd w:fill="FAFCFB" w:color="auto" w:val="clear"/>
              </w:rPr>
              <w:t>Budget</w:t>
            </w:r>
            <w:r>
              <w:rPr>
                <w:spacing w:val="-2"/>
                <w:sz w:val="18"/>
                <w:shd w:fill="FAFCFB" w:color="auto" w:val="clear"/>
              </w:rPr>
              <w:t> </w:t>
            </w:r>
            <w:r>
              <w:rPr>
                <w:sz w:val="18"/>
                <w:shd w:fill="FAFCFB" w:color="auto" w:val="clear"/>
              </w:rPr>
              <w:t>of</w:t>
            </w:r>
            <w:r>
              <w:rPr>
                <w:spacing w:val="-4"/>
                <w:sz w:val="18"/>
                <w:shd w:fill="FAFCFB" w:color="auto" w:val="clear"/>
              </w:rPr>
              <w:t> </w:t>
            </w:r>
            <w:r>
              <w:rPr>
                <w:sz w:val="18"/>
                <w:shd w:fill="FAFCFB" w:color="auto" w:val="clear"/>
              </w:rPr>
              <w:t>Economic</w:t>
            </w:r>
            <w:r>
              <w:rPr>
                <w:spacing w:val="-2"/>
                <w:sz w:val="18"/>
                <w:shd w:fill="FAFCFB" w:color="auto" w:val="clear"/>
              </w:rPr>
              <w:t> </w:t>
            </w:r>
            <w:r>
              <w:rPr>
                <w:sz w:val="18"/>
                <w:shd w:fill="FAFCFB" w:color="auto" w:val="clear"/>
              </w:rPr>
              <w:t>Recovery</w:t>
            </w:r>
          </w:p>
        </w:tc>
        <w:tc>
          <w:tcPr>
            <w:tcW w:w="1413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4,940</w:t>
            </w:r>
          </w:p>
        </w:tc>
        <w:tc>
          <w:tcPr>
            <w:tcW w:w="1826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Expenditure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4,358</w:t>
            </w:r>
          </w:p>
          <w:p>
            <w:pPr>
              <w:pStyle w:val="TableParagraph"/>
              <w:ind w:left="0"/>
              <w:rPr>
                <w:sz w:val="27"/>
              </w:rPr>
            </w:pPr>
          </w:p>
          <w:p>
            <w:pPr>
              <w:pStyle w:val="TableParagraph"/>
              <w:spacing w:line="207" w:lineRule="exact" w:before="1"/>
              <w:ind w:left="109"/>
              <w:rPr>
                <w:sz w:val="18"/>
              </w:rPr>
            </w:pPr>
            <w:r>
              <w:rPr>
                <w:sz w:val="18"/>
              </w:rPr>
              <w:t>Recurrent-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2,980</w:t>
            </w:r>
          </w:p>
          <w:p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Capital-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2,240</w:t>
            </w:r>
          </w:p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Total-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7.289</w:t>
            </w:r>
          </w:p>
        </w:tc>
        <w:tc>
          <w:tcPr>
            <w:tcW w:w="1077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2.18</w:t>
            </w:r>
          </w:p>
          <w:p>
            <w:pPr>
              <w:pStyle w:val="TableParagraph"/>
              <w:spacing w:before="105"/>
              <w:ind w:left="109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1393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  <w:shd w:fill="FAFCFB" w:color="auto" w:val="clear"/>
              </w:rPr>
              <w:t>1,841.3</w:t>
            </w:r>
          </w:p>
        </w:tc>
      </w:tr>
    </w:tbl>
    <w:p>
      <w:pPr>
        <w:pStyle w:val="BodyText"/>
        <w:ind w:left="500"/>
      </w:pPr>
      <w:r>
        <w:rPr/>
        <w:t>Source:</w:t>
      </w:r>
      <w:r>
        <w:rPr>
          <w:spacing w:val="-2"/>
        </w:rPr>
        <w:t> </w:t>
      </w:r>
      <w:r>
        <w:rPr/>
        <w:t>Central</w:t>
      </w:r>
      <w:r>
        <w:rPr>
          <w:spacing w:val="1"/>
        </w:rPr>
        <w:t> </w:t>
      </w:r>
      <w:r>
        <w:rPr/>
        <w:t>Bank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(2015b)</w:t>
      </w:r>
      <w:r>
        <w:rPr>
          <w:spacing w:val="-1"/>
        </w:rPr>
        <w:t> </w:t>
      </w:r>
      <w:r>
        <w:rPr/>
        <w:t>and Budget</w:t>
      </w:r>
      <w:r>
        <w:rPr>
          <w:spacing w:val="-1"/>
        </w:rPr>
        <w:t> </w:t>
      </w:r>
      <w:r>
        <w:rPr/>
        <w:t>Office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Federation</w:t>
      </w:r>
      <w:r>
        <w:rPr>
          <w:spacing w:val="-1"/>
        </w:rPr>
        <w:t> </w:t>
      </w:r>
      <w:r>
        <w:rPr/>
        <w:t>(2017)</w:t>
      </w:r>
    </w:p>
    <w:p>
      <w:pPr>
        <w:spacing w:after="0"/>
        <w:sectPr>
          <w:pgSz w:w="12240" w:h="15840"/>
          <w:pgMar w:header="0" w:footer="935" w:top="1360" w:bottom="1200" w:left="940" w:right="940"/>
        </w:sectPr>
      </w:pPr>
    </w:p>
    <w:p>
      <w:pPr>
        <w:pStyle w:val="Heading1"/>
        <w:numPr>
          <w:ilvl w:val="2"/>
          <w:numId w:val="18"/>
        </w:numPr>
        <w:tabs>
          <w:tab w:pos="1084" w:val="left" w:leader="none"/>
        </w:tabs>
        <w:spacing w:line="240" w:lineRule="auto" w:before="60" w:after="0"/>
        <w:ind w:left="1083" w:right="0" w:hanging="584"/>
        <w:jc w:val="both"/>
      </w:pPr>
      <w:bookmarkStart w:name="_TOC_250032" w:id="28"/>
      <w:r>
        <w:rPr/>
        <w:t>Monetary and</w:t>
      </w:r>
      <w:r>
        <w:rPr>
          <w:spacing w:val="-3"/>
        </w:rPr>
        <w:t> </w:t>
      </w:r>
      <w:r>
        <w:rPr/>
        <w:t>Fiscal</w:t>
      </w:r>
      <w:r>
        <w:rPr>
          <w:spacing w:val="-2"/>
        </w:rPr>
        <w:t> </w:t>
      </w:r>
      <w:r>
        <w:rPr/>
        <w:t>Policy</w:t>
      </w:r>
      <w:r>
        <w:rPr>
          <w:spacing w:val="-1"/>
        </w:rPr>
        <w:t> </w:t>
      </w:r>
      <w:r>
        <w:rPr/>
        <w:t>Coordination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bookmarkEnd w:id="28"/>
      <w:r>
        <w:rPr/>
        <w:t>Nigeria</w:t>
      </w:r>
    </w:p>
    <w:p>
      <w:pPr>
        <w:pStyle w:val="BodyText"/>
        <w:spacing w:line="360" w:lineRule="auto" w:before="144"/>
        <w:ind w:left="500" w:right="498"/>
        <w:jc w:val="both"/>
      </w:pPr>
      <w:r>
        <w:rPr/>
        <w:t>The Central Bank of Nigeria and the Federal Ministry of Finance are two independent bodies in</w:t>
      </w:r>
      <w:r>
        <w:rPr>
          <w:spacing w:val="1"/>
        </w:rPr>
        <w:t> </w:t>
      </w:r>
      <w:r>
        <w:rPr/>
        <w:t>charge</w:t>
      </w:r>
      <w:r>
        <w:rPr>
          <w:spacing w:val="-2"/>
        </w:rPr>
        <w:t> </w:t>
      </w:r>
      <w:r>
        <w:rPr/>
        <w:t>of respectively</w:t>
      </w:r>
      <w:r>
        <w:rPr>
          <w:spacing w:val="-5"/>
        </w:rPr>
        <w:t> </w:t>
      </w:r>
      <w:r>
        <w:rPr/>
        <w:t>conducting</w:t>
      </w:r>
      <w:r>
        <w:rPr>
          <w:spacing w:val="-3"/>
        </w:rPr>
        <w:t> </w:t>
      </w:r>
      <w:r>
        <w:rPr/>
        <w:t>monetary</w:t>
      </w:r>
      <w:r>
        <w:rPr>
          <w:spacing w:val="-6"/>
        </w:rPr>
        <w:t> </w:t>
      </w:r>
      <w:r>
        <w:rPr/>
        <w:t>and fiscal policy</w:t>
      </w:r>
      <w:r>
        <w:rPr>
          <w:spacing w:val="-5"/>
        </w:rPr>
        <w:t> </w:t>
      </w:r>
      <w:r>
        <w:rPr/>
        <w:t>in Nigeria. However, by</w:t>
      </w:r>
      <w:r>
        <w:rPr>
          <w:spacing w:val="-5"/>
        </w:rPr>
        <w:t> </w:t>
      </w:r>
      <w:r>
        <w:rPr/>
        <w:t>the Central</w:t>
      </w:r>
      <w:r>
        <w:rPr>
          <w:spacing w:val="-57"/>
        </w:rPr>
        <w:t> </w:t>
      </w:r>
      <w:r>
        <w:rPr/>
        <w:t>Bank of Nigeria (CBN) Act of 2007, the CBN is granted operational independence to direct</w:t>
      </w:r>
      <w:r>
        <w:rPr>
          <w:spacing w:val="1"/>
        </w:rPr>
        <w:t> </w:t>
      </w:r>
      <w:r>
        <w:rPr/>
        <w:t>monetary policy using policy instruments and variables such as the policy rates and broad money</w:t>
      </w:r>
      <w:r>
        <w:rPr>
          <w:spacing w:val="-57"/>
        </w:rPr>
        <w:t> </w:t>
      </w:r>
      <w:r>
        <w:rPr/>
        <w:t>supply. Its primary macroeconomic objective is to attain price stability. Conversely, the Federal</w:t>
      </w:r>
      <w:r>
        <w:rPr>
          <w:spacing w:val="1"/>
        </w:rPr>
        <w:t> </w:t>
      </w:r>
      <w:r>
        <w:rPr/>
        <w:t>Ministry of Finance (FMF) alongside adjunct parastatals such as the Debt Management Office</w:t>
      </w:r>
      <w:r>
        <w:rPr>
          <w:spacing w:val="1"/>
        </w:rPr>
        <w:t> </w:t>
      </w:r>
      <w:r>
        <w:rPr/>
        <w:t>(DMO) oversees fiscal policy using instruments such as taxes and expenditure, usually with the</w:t>
      </w:r>
      <w:r>
        <w:rPr>
          <w:spacing w:val="1"/>
        </w:rPr>
        <w:t> </w:t>
      </w:r>
      <w:r>
        <w:rPr/>
        <w:t>focal</w:t>
      </w:r>
      <w:r>
        <w:rPr>
          <w:spacing w:val="-1"/>
        </w:rPr>
        <w:t> </w:t>
      </w:r>
      <w:r>
        <w:rPr/>
        <w:t>objective</w:t>
      </w:r>
      <w:r>
        <w:rPr>
          <w:spacing w:val="-1"/>
        </w:rPr>
        <w:t> </w:t>
      </w:r>
      <w:r>
        <w:rPr/>
        <w:t>of long</w:t>
      </w:r>
      <w:r>
        <w:rPr>
          <w:spacing w:val="-4"/>
        </w:rPr>
        <w:t> </w:t>
      </w:r>
      <w:r>
        <w:rPr/>
        <w:t>term economic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fiscal policy</w:t>
      </w:r>
      <w:r>
        <w:rPr>
          <w:spacing w:val="-5"/>
        </w:rPr>
        <w:t> </w:t>
      </w:r>
      <w:r>
        <w:rPr/>
        <w:t>sustainability.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500" w:right="498"/>
        <w:jc w:val="both"/>
      </w:pPr>
      <w:r>
        <w:rPr/>
        <w:t>Often</w:t>
      </w:r>
      <w:r>
        <w:rPr>
          <w:spacing w:val="-4"/>
        </w:rPr>
        <w:t> </w:t>
      </w:r>
      <w:r>
        <w:rPr/>
        <w:t>times</w:t>
      </w:r>
      <w:r>
        <w:rPr>
          <w:spacing w:val="-4"/>
        </w:rPr>
        <w:t> </w:t>
      </w:r>
      <w:r>
        <w:rPr/>
        <w:t>conflicts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externalities</w:t>
      </w:r>
      <w:r>
        <w:rPr>
          <w:spacing w:val="-4"/>
        </w:rPr>
        <w:t> </w:t>
      </w:r>
      <w:r>
        <w:rPr/>
        <w:t>arise</w:t>
      </w:r>
      <w:r>
        <w:rPr>
          <w:spacing w:val="-5"/>
        </w:rPr>
        <w:t> </w:t>
      </w:r>
      <w:r>
        <w:rPr/>
        <w:t>when</w:t>
      </w:r>
      <w:r>
        <w:rPr>
          <w:spacing w:val="-2"/>
        </w:rPr>
        <w:t> </w:t>
      </w:r>
      <w:r>
        <w:rPr/>
        <w:t>monetary</w:t>
      </w:r>
      <w:r>
        <w:rPr>
          <w:spacing w:val="-8"/>
        </w:rPr>
        <w:t> </w:t>
      </w:r>
      <w:r>
        <w:rPr/>
        <w:t>and</w:t>
      </w:r>
      <w:r>
        <w:rPr>
          <w:spacing w:val="-4"/>
        </w:rPr>
        <w:t> </w:t>
      </w:r>
      <w:r>
        <w:rPr/>
        <w:t>fiscal</w:t>
      </w:r>
      <w:r>
        <w:rPr>
          <w:spacing w:val="-3"/>
        </w:rPr>
        <w:t> </w:t>
      </w:r>
      <w:r>
        <w:rPr/>
        <w:t>policy</w:t>
      </w:r>
      <w:r>
        <w:rPr>
          <w:spacing w:val="-6"/>
        </w:rPr>
        <w:t> </w:t>
      </w:r>
      <w:r>
        <w:rPr/>
        <w:t>variables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targets</w:t>
      </w:r>
      <w:r>
        <w:rPr>
          <w:spacing w:val="-58"/>
        </w:rPr>
        <w:t> </w:t>
      </w:r>
      <w:r>
        <w:rPr/>
        <w:t>are</w:t>
      </w:r>
      <w:r>
        <w:rPr>
          <w:spacing w:val="1"/>
        </w:rPr>
        <w:t> </w:t>
      </w:r>
      <w:r>
        <w:rPr/>
        <w:t>independently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threatens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consistency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macroeconomy and leads to suboptimal policy outcomes (Garba, 2004). As a result, there is need</w:t>
      </w:r>
      <w:r>
        <w:rPr>
          <w:spacing w:val="-57"/>
        </w:rPr>
        <w:t> </w:t>
      </w:r>
      <w:r>
        <w:rPr/>
        <w:t>to</w:t>
      </w:r>
      <w:r>
        <w:rPr>
          <w:spacing w:val="59"/>
        </w:rPr>
        <w:t> </w:t>
      </w:r>
      <w:r>
        <w:rPr/>
        <w:t>harmonise</w:t>
      </w:r>
      <w:r>
        <w:rPr>
          <w:spacing w:val="58"/>
        </w:rPr>
        <w:t> </w:t>
      </w:r>
      <w:r>
        <w:rPr/>
        <w:t>both</w:t>
      </w:r>
      <w:r>
        <w:rPr>
          <w:spacing w:val="59"/>
        </w:rPr>
        <w:t> </w:t>
      </w:r>
      <w:r>
        <w:rPr/>
        <w:t>policies,</w:t>
      </w:r>
      <w:r>
        <w:rPr>
          <w:spacing w:val="58"/>
        </w:rPr>
        <w:t> </w:t>
      </w:r>
      <w:r>
        <w:rPr/>
        <w:t>necessitating</w:t>
      </w:r>
      <w:r>
        <w:rPr>
          <w:spacing w:val="56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both</w:t>
      </w:r>
      <w:r>
        <w:rPr>
          <w:spacing w:val="59"/>
        </w:rPr>
        <w:t> </w:t>
      </w:r>
      <w:r>
        <w:rPr/>
        <w:t>institutional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operational</w:t>
      </w:r>
      <w:r>
        <w:rPr>
          <w:spacing w:val="-58"/>
        </w:rPr>
        <w:t> </w:t>
      </w:r>
      <w:r>
        <w:rPr/>
        <w:t>frameworks</w:t>
      </w:r>
      <w:r>
        <w:rPr>
          <w:spacing w:val="-1"/>
        </w:rPr>
        <w:t> </w:t>
      </w:r>
      <w:r>
        <w:rPr/>
        <w:t>for harmonising</w:t>
      </w:r>
      <w:r>
        <w:rPr>
          <w:spacing w:val="-3"/>
        </w:rPr>
        <w:t> </w:t>
      </w:r>
      <w:r>
        <w:rPr/>
        <w:t>these</w:t>
      </w:r>
      <w:r>
        <w:rPr>
          <w:spacing w:val="-2"/>
        </w:rPr>
        <w:t> </w:t>
      </w:r>
      <w:r>
        <w:rPr/>
        <w:t>policies in Nigeria.</w:t>
      </w:r>
    </w:p>
    <w:p>
      <w:pPr>
        <w:pStyle w:val="BodyText"/>
        <w:rPr>
          <w:sz w:val="26"/>
        </w:rPr>
      </w:pPr>
    </w:p>
    <w:p>
      <w:pPr>
        <w:pStyle w:val="Heading1"/>
        <w:spacing w:before="157"/>
      </w:pPr>
      <w:r>
        <w:rPr/>
        <w:t>Institutional</w:t>
      </w:r>
      <w:r>
        <w:rPr>
          <w:spacing w:val="-7"/>
        </w:rPr>
        <w:t> </w:t>
      </w:r>
      <w:r>
        <w:rPr/>
        <w:t>Framework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Policy</w:t>
      </w:r>
      <w:r>
        <w:rPr>
          <w:spacing w:val="-4"/>
        </w:rPr>
        <w:t> </w:t>
      </w:r>
      <w:r>
        <w:rPr/>
        <w:t>Coordination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Nigeria</w:t>
      </w:r>
    </w:p>
    <w:p>
      <w:pPr>
        <w:pStyle w:val="BodyText"/>
        <w:spacing w:line="360" w:lineRule="auto" w:before="142"/>
        <w:ind w:left="500" w:right="497"/>
        <w:jc w:val="both"/>
      </w:pPr>
      <w:r>
        <w:rPr/>
        <w:t>The</w:t>
      </w:r>
      <w:r>
        <w:rPr>
          <w:spacing w:val="-10"/>
        </w:rPr>
        <w:t> </w:t>
      </w:r>
      <w:r>
        <w:rPr/>
        <w:t>institutional</w:t>
      </w:r>
      <w:r>
        <w:rPr>
          <w:spacing w:val="-7"/>
        </w:rPr>
        <w:t> </w:t>
      </w:r>
      <w:r>
        <w:rPr/>
        <w:t>framework</w:t>
      </w:r>
      <w:r>
        <w:rPr>
          <w:spacing w:val="-8"/>
        </w:rPr>
        <w:t> </w:t>
      </w:r>
      <w:r>
        <w:rPr/>
        <w:t>creates</w:t>
      </w:r>
      <w:r>
        <w:rPr>
          <w:spacing w:val="-6"/>
        </w:rPr>
        <w:t> </w:t>
      </w:r>
      <w:r>
        <w:rPr/>
        <w:t>avenue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joint</w:t>
      </w:r>
      <w:r>
        <w:rPr>
          <w:spacing w:val="-8"/>
        </w:rPr>
        <w:t> </w:t>
      </w:r>
      <w:r>
        <w:rPr/>
        <w:t>decision</w:t>
      </w:r>
      <w:r>
        <w:rPr>
          <w:spacing w:val="-8"/>
        </w:rPr>
        <w:t> </w:t>
      </w:r>
      <w:r>
        <w:rPr/>
        <w:t>making</w:t>
      </w:r>
      <w:r>
        <w:rPr>
          <w:spacing w:val="-10"/>
        </w:rPr>
        <w:t> </w:t>
      </w:r>
      <w:r>
        <w:rPr/>
        <w:t>between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Central</w:t>
      </w:r>
      <w:r>
        <w:rPr>
          <w:spacing w:val="-5"/>
        </w:rPr>
        <w:t> </w:t>
      </w:r>
      <w:r>
        <w:rPr/>
        <w:t>Bank</w:t>
      </w:r>
      <w:r>
        <w:rPr>
          <w:spacing w:val="-9"/>
        </w:rPr>
        <w:t> </w:t>
      </w:r>
      <w:r>
        <w:rPr/>
        <w:t>of</w:t>
      </w:r>
      <w:r>
        <w:rPr>
          <w:spacing w:val="-57"/>
        </w:rPr>
        <w:t> </w:t>
      </w:r>
      <w:r>
        <w:rPr/>
        <w:t>Nigeria and the Federal Ministry of Finance through formal or informal committees. Firstly, on a</w:t>
      </w:r>
      <w:r>
        <w:rPr>
          <w:spacing w:val="-57"/>
        </w:rPr>
        <w:t> </w:t>
      </w:r>
      <w:r>
        <w:rPr/>
        <w:t>high level, the joint decision making occurs through a bilateral interaction between head of the</w:t>
      </w:r>
      <w:r>
        <w:rPr>
          <w:spacing w:val="1"/>
        </w:rPr>
        <w:t> </w:t>
      </w:r>
      <w:r>
        <w:rPr/>
        <w:t>fiscal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monetary</w:t>
      </w:r>
      <w:r>
        <w:rPr>
          <w:spacing w:val="-11"/>
        </w:rPr>
        <w:t> </w:t>
      </w:r>
      <w:r>
        <w:rPr/>
        <w:t>institutions.</w:t>
      </w:r>
      <w:r>
        <w:rPr>
          <w:spacing w:val="-5"/>
        </w:rPr>
        <w:t> </w:t>
      </w:r>
      <w:r>
        <w:rPr/>
        <w:t>Secondly,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joint</w:t>
      </w:r>
      <w:r>
        <w:rPr>
          <w:spacing w:val="-6"/>
        </w:rPr>
        <w:t> </w:t>
      </w:r>
      <w:r>
        <w:rPr/>
        <w:t>interaction</w:t>
      </w:r>
      <w:r>
        <w:rPr>
          <w:spacing w:val="-5"/>
        </w:rPr>
        <w:t> </w:t>
      </w:r>
      <w:r>
        <w:rPr/>
        <w:t>takes</w:t>
      </w:r>
      <w:r>
        <w:rPr>
          <w:spacing w:val="-4"/>
        </w:rPr>
        <w:t> </w:t>
      </w:r>
      <w:r>
        <w:rPr/>
        <w:t>place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formal</w:t>
      </w:r>
      <w:r>
        <w:rPr>
          <w:spacing w:val="-5"/>
        </w:rPr>
        <w:t> </w:t>
      </w:r>
      <w:r>
        <w:rPr/>
        <w:t>committee</w:t>
      </w:r>
      <w:r>
        <w:rPr>
          <w:spacing w:val="-58"/>
        </w:rPr>
        <w:t> </w:t>
      </w:r>
      <w:r>
        <w:rPr>
          <w:spacing w:val="-1"/>
        </w:rPr>
        <w:t>meeting.</w:t>
      </w:r>
      <w:r>
        <w:rPr>
          <w:spacing w:val="-8"/>
        </w:rPr>
        <w:t> </w:t>
      </w:r>
      <w:r>
        <w:rPr/>
        <w:t>Some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them</w:t>
      </w:r>
      <w:r>
        <w:rPr>
          <w:spacing w:val="-10"/>
        </w:rPr>
        <w:t> </w:t>
      </w:r>
      <w:r>
        <w:rPr/>
        <w:t>include: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Fiscal</w:t>
      </w:r>
      <w:r>
        <w:rPr>
          <w:spacing w:val="-7"/>
        </w:rPr>
        <w:t> </w:t>
      </w:r>
      <w:r>
        <w:rPr/>
        <w:t>Liquidity</w:t>
      </w:r>
      <w:r>
        <w:rPr>
          <w:spacing w:val="-15"/>
        </w:rPr>
        <w:t> </w:t>
      </w:r>
      <w:r>
        <w:rPr/>
        <w:t>Assessment</w:t>
      </w:r>
      <w:r>
        <w:rPr>
          <w:spacing w:val="-10"/>
        </w:rPr>
        <w:t> </w:t>
      </w:r>
      <w:r>
        <w:rPr/>
        <w:t>Committee</w:t>
      </w:r>
      <w:r>
        <w:rPr>
          <w:spacing w:val="-12"/>
        </w:rPr>
        <w:t> </w:t>
      </w:r>
      <w:r>
        <w:rPr/>
        <w:t>(FLAC)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CBN,</w:t>
      </w:r>
      <w:r>
        <w:rPr>
          <w:spacing w:val="-58"/>
        </w:rPr>
        <w:t> </w:t>
      </w:r>
      <w:r>
        <w:rPr/>
        <w:t>Monetary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Coordinating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(MFPCC)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DMO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Cash</w:t>
      </w:r>
      <w:r>
        <w:rPr>
          <w:spacing w:val="1"/>
        </w:rPr>
        <w:t> </w:t>
      </w:r>
      <w:r>
        <w:rPr/>
        <w:t>Management Committee of the Federal Ministry of Finance. FLAC comprise of members from</w:t>
      </w:r>
      <w:r>
        <w:rPr>
          <w:spacing w:val="1"/>
        </w:rPr>
        <w:t> </w:t>
      </w:r>
      <w:r>
        <w:rPr/>
        <w:t>Federal</w:t>
      </w:r>
      <w:r>
        <w:rPr>
          <w:spacing w:val="-9"/>
        </w:rPr>
        <w:t> </w:t>
      </w:r>
      <w:r>
        <w:rPr/>
        <w:t>Ministry</w:t>
      </w:r>
      <w:r>
        <w:rPr>
          <w:spacing w:val="-13"/>
        </w:rPr>
        <w:t> </w:t>
      </w:r>
      <w:r>
        <w:rPr/>
        <w:t>of</w:t>
      </w:r>
      <w:r>
        <w:rPr>
          <w:spacing w:val="-7"/>
        </w:rPr>
        <w:t> </w:t>
      </w:r>
      <w:r>
        <w:rPr/>
        <w:t>Finance,</w:t>
      </w:r>
      <w:r>
        <w:rPr>
          <w:spacing w:val="-9"/>
        </w:rPr>
        <w:t> </w:t>
      </w:r>
      <w:r>
        <w:rPr/>
        <w:t>Debt</w:t>
      </w:r>
      <w:r>
        <w:rPr>
          <w:spacing w:val="-8"/>
        </w:rPr>
        <w:t> </w:t>
      </w:r>
      <w:r>
        <w:rPr/>
        <w:t>Management</w:t>
      </w:r>
      <w:r>
        <w:rPr>
          <w:spacing w:val="-9"/>
        </w:rPr>
        <w:t> </w:t>
      </w:r>
      <w:r>
        <w:rPr/>
        <w:t>Office</w:t>
      </w:r>
      <w:r>
        <w:rPr>
          <w:spacing w:val="-11"/>
        </w:rPr>
        <w:t> </w:t>
      </w:r>
      <w:r>
        <w:rPr/>
        <w:t>(DMO),</w:t>
      </w:r>
      <w:r>
        <w:rPr>
          <w:spacing w:val="-9"/>
        </w:rPr>
        <w:t> </w:t>
      </w:r>
      <w:r>
        <w:rPr/>
        <w:t>Office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Accountant-</w:t>
      </w:r>
      <w:r>
        <w:rPr>
          <w:spacing w:val="-9"/>
        </w:rPr>
        <w:t> </w:t>
      </w:r>
      <w:r>
        <w:rPr/>
        <w:t>General</w:t>
      </w:r>
      <w:r>
        <w:rPr>
          <w:spacing w:val="-58"/>
        </w:rPr>
        <w:t> </w:t>
      </w:r>
      <w:r>
        <w:rPr/>
        <w:t>of the Federation (OAGF), Budget Office of the Federation (BOF), Nigerian National Petroleum</w:t>
      </w:r>
      <w:r>
        <w:rPr>
          <w:spacing w:val="1"/>
        </w:rPr>
        <w:t> </w:t>
      </w:r>
      <w:r>
        <w:rPr/>
        <w:t>Corporation (NNPC), Nigeria Customs Service (NCS), Federal Inland Revenue Service (FIRS),</w:t>
      </w:r>
      <w:r>
        <w:rPr>
          <w:spacing w:val="1"/>
        </w:rPr>
        <w:t> </w:t>
      </w:r>
      <w:r>
        <w:rPr/>
        <w:t>the Department of Petroleum Resources (DPR) and relevant departments of the Central Bank of</w:t>
      </w:r>
      <w:r>
        <w:rPr>
          <w:spacing w:val="1"/>
        </w:rPr>
        <w:t> </w:t>
      </w:r>
      <w:r>
        <w:rPr/>
        <w:t>Nigeria, who meet weekly to deliberate on the government fiscal operates affects CBN’s goal of</w:t>
      </w:r>
      <w:r>
        <w:rPr>
          <w:spacing w:val="1"/>
        </w:rPr>
        <w:t> </w:t>
      </w:r>
      <w:r>
        <w:rPr/>
        <w:t>price</w:t>
      </w:r>
      <w:r>
        <w:rPr>
          <w:spacing w:val="24"/>
        </w:rPr>
        <w:t> </w:t>
      </w:r>
      <w:r>
        <w:rPr/>
        <w:t>stability.</w:t>
      </w:r>
      <w:r>
        <w:rPr>
          <w:spacing w:val="25"/>
        </w:rPr>
        <w:t> </w:t>
      </w:r>
      <w:r>
        <w:rPr/>
        <w:t>FLAC</w:t>
      </w:r>
      <w:r>
        <w:rPr>
          <w:spacing w:val="25"/>
        </w:rPr>
        <w:t> </w:t>
      </w:r>
      <w:r>
        <w:rPr/>
        <w:t>has</w:t>
      </w:r>
      <w:r>
        <w:rPr>
          <w:spacing w:val="25"/>
        </w:rPr>
        <w:t> </w:t>
      </w:r>
      <w:r>
        <w:rPr/>
        <w:t>developed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database</w:t>
      </w:r>
      <w:r>
        <w:rPr>
          <w:spacing w:val="26"/>
        </w:rPr>
        <w:t> </w:t>
      </w:r>
      <w:r>
        <w:rPr/>
        <w:t>on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operations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relevant</w:t>
      </w:r>
      <w:r>
        <w:rPr>
          <w:spacing w:val="25"/>
        </w:rPr>
        <w:t> </w:t>
      </w:r>
      <w:r>
        <w:rPr/>
        <w:t>MDAs</w:t>
      </w:r>
      <w:r>
        <w:rPr>
          <w:spacing w:val="25"/>
        </w:rPr>
        <w:t> </w:t>
      </w:r>
      <w:r>
        <w:rPr/>
        <w:t>and</w:t>
      </w:r>
      <w:r>
        <w:rPr>
          <w:spacing w:val="27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2240" w:h="15840"/>
          <w:pgMar w:header="0" w:footer="935" w:top="1380" w:bottom="1200" w:left="940" w:right="940"/>
        </w:sectPr>
      </w:pPr>
    </w:p>
    <w:p>
      <w:pPr>
        <w:pStyle w:val="BodyText"/>
        <w:spacing w:line="360" w:lineRule="auto" w:before="74"/>
        <w:ind w:left="500" w:right="506"/>
        <w:jc w:val="both"/>
      </w:pPr>
      <w:r>
        <w:rPr/>
        <w:t>template for forecasting the Treasury’s operations as input to the Bank’s Liquidity Assessment</w:t>
      </w:r>
      <w:r>
        <w:rPr>
          <w:spacing w:val="1"/>
        </w:rPr>
        <w:t> </w:t>
      </w:r>
      <w:r>
        <w:rPr/>
        <w:t>Model</w:t>
      </w:r>
      <w:r>
        <w:rPr>
          <w:spacing w:val="-1"/>
        </w:rPr>
        <w:t> </w:t>
      </w:r>
      <w:r>
        <w:rPr/>
        <w:t>(Central Bank of</w:t>
      </w:r>
      <w:r>
        <w:rPr>
          <w:spacing w:val="1"/>
        </w:rPr>
        <w:t> </w:t>
      </w:r>
      <w:r>
        <w:rPr/>
        <w:t>Nigeria, 2011b).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500" w:right="495"/>
        <w:jc w:val="both"/>
      </w:pPr>
      <w:r>
        <w:rPr/>
        <w:t>Secondly,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Monetary</w:t>
      </w:r>
      <w:r>
        <w:rPr>
          <w:spacing w:val="-10"/>
        </w:rPr>
        <w:t> </w:t>
      </w:r>
      <w:r>
        <w:rPr/>
        <w:t>and</w:t>
      </w:r>
      <w:r>
        <w:rPr>
          <w:spacing w:val="-5"/>
        </w:rPr>
        <w:t> </w:t>
      </w:r>
      <w:r>
        <w:rPr/>
        <w:t>Fiscal</w:t>
      </w:r>
      <w:r>
        <w:rPr>
          <w:spacing w:val="-5"/>
        </w:rPr>
        <w:t> </w:t>
      </w:r>
      <w:r>
        <w:rPr/>
        <w:t>Policy</w:t>
      </w:r>
      <w:r>
        <w:rPr>
          <w:spacing w:val="-10"/>
        </w:rPr>
        <w:t> </w:t>
      </w:r>
      <w:r>
        <w:rPr/>
        <w:t>Coordinating</w:t>
      </w:r>
      <w:r>
        <w:rPr>
          <w:spacing w:val="-8"/>
        </w:rPr>
        <w:t> </w:t>
      </w:r>
      <w:r>
        <w:rPr/>
        <w:t>Committee</w:t>
      </w:r>
      <w:r>
        <w:rPr>
          <w:spacing w:val="-7"/>
        </w:rPr>
        <w:t> </w:t>
      </w:r>
      <w:r>
        <w:rPr/>
        <w:t>(MFPCC)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DMO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bi-</w:t>
      </w:r>
      <w:r>
        <w:rPr>
          <w:spacing w:val="-57"/>
        </w:rPr>
        <w:t> </w:t>
      </w:r>
      <w:r>
        <w:rPr/>
        <w:t>monthly committee meeting that was created in 2003 to handle matters relating to the way</w:t>
      </w:r>
      <w:r>
        <w:rPr>
          <w:spacing w:val="1"/>
        </w:rPr>
        <w:t> </w:t>
      </w:r>
      <w:r>
        <w:rPr/>
        <w:t>monetary activities of the CBN affects budget deficit financing and management of the public</w:t>
      </w:r>
      <w:r>
        <w:rPr>
          <w:spacing w:val="1"/>
        </w:rPr>
        <w:t> </w:t>
      </w:r>
      <w:r>
        <w:rPr/>
        <w:t>debt. This is because monetary policy decisions influences government’s capacity to finance</w:t>
      </w:r>
      <w:r>
        <w:rPr>
          <w:spacing w:val="1"/>
        </w:rPr>
        <w:t> </w:t>
      </w:r>
      <w:r>
        <w:rPr/>
        <w:t>budget</w:t>
      </w:r>
      <w:r>
        <w:rPr>
          <w:spacing w:val="-3"/>
        </w:rPr>
        <w:t> </w:t>
      </w:r>
      <w:r>
        <w:rPr/>
        <w:t>deficits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it</w:t>
      </w:r>
      <w:r>
        <w:rPr>
          <w:spacing w:val="-3"/>
        </w:rPr>
        <w:t> </w:t>
      </w:r>
      <w:r>
        <w:rPr/>
        <w:t>determines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cost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obtaining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servicing</w:t>
      </w:r>
      <w:r>
        <w:rPr>
          <w:spacing w:val="-5"/>
        </w:rPr>
        <w:t> </w:t>
      </w:r>
      <w:r>
        <w:rPr/>
        <w:t>its</w:t>
      </w:r>
      <w:r>
        <w:rPr>
          <w:spacing w:val="-4"/>
        </w:rPr>
        <w:t> </w:t>
      </w:r>
      <w:r>
        <w:rPr/>
        <w:t>debts.</w:t>
      </w:r>
      <w:r>
        <w:rPr>
          <w:spacing w:val="-3"/>
        </w:rPr>
        <w:t> </w:t>
      </w:r>
      <w:r>
        <w:rPr/>
        <w:t>Her</w:t>
      </w:r>
      <w:r>
        <w:rPr>
          <w:spacing w:val="-5"/>
        </w:rPr>
        <w:t> </w:t>
      </w:r>
      <w:r>
        <w:rPr/>
        <w:t>members</w:t>
      </w:r>
      <w:r>
        <w:rPr>
          <w:spacing w:val="-3"/>
        </w:rPr>
        <w:t> </w:t>
      </w:r>
      <w:r>
        <w:rPr/>
        <w:t>include</w:t>
      </w:r>
      <w:r>
        <w:rPr>
          <w:spacing w:val="-58"/>
        </w:rPr>
        <w:t> </w:t>
      </w:r>
      <w:r>
        <w:rPr/>
        <w:t>delegates from Federal Ministry of Finance, Budget office of the Federation (BOF), Office of the</w:t>
      </w:r>
      <w:r>
        <w:rPr>
          <w:spacing w:val="-57"/>
        </w:rPr>
        <w:t> </w:t>
      </w:r>
      <w:r>
        <w:rPr/>
        <w:t>Accountant-General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Federation</w:t>
      </w:r>
      <w:r>
        <w:rPr>
          <w:spacing w:val="-6"/>
        </w:rPr>
        <w:t> </w:t>
      </w:r>
      <w:r>
        <w:rPr/>
        <w:t>(OAGF),</w:t>
      </w:r>
      <w:r>
        <w:rPr>
          <w:spacing w:val="-8"/>
        </w:rPr>
        <w:t> </w:t>
      </w:r>
      <w:r>
        <w:rPr/>
        <w:t>National</w:t>
      </w:r>
      <w:r>
        <w:rPr>
          <w:spacing w:val="-7"/>
        </w:rPr>
        <w:t> </w:t>
      </w:r>
      <w:r>
        <w:rPr/>
        <w:t>Planning</w:t>
      </w:r>
      <w:r>
        <w:rPr>
          <w:spacing w:val="-10"/>
        </w:rPr>
        <w:t> </w:t>
      </w:r>
      <w:r>
        <w:rPr/>
        <w:t>Commission</w:t>
      </w:r>
      <w:r>
        <w:rPr>
          <w:spacing w:val="-6"/>
        </w:rPr>
        <w:t> </w:t>
      </w:r>
      <w:r>
        <w:rPr/>
        <w:t>(NPC),</w:t>
      </w:r>
      <w:r>
        <w:rPr>
          <w:spacing w:val="-8"/>
        </w:rPr>
        <w:t> </w:t>
      </w:r>
      <w:r>
        <w:rPr/>
        <w:t>Securities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(SEC),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Stock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(NSE),</w:t>
      </w:r>
      <w:r>
        <w:rPr>
          <w:spacing w:val="1"/>
        </w:rPr>
        <w:t> </w:t>
      </w:r>
      <w:r>
        <w:rPr/>
        <w:t>Pension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(PENCOM),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Inland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(FIRS),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Insurance</w:t>
      </w:r>
      <w:r>
        <w:rPr>
          <w:spacing w:val="1"/>
        </w:rPr>
        <w:t> </w:t>
      </w:r>
      <w:r>
        <w:rPr/>
        <w:t>Commission</w:t>
      </w:r>
      <w:r>
        <w:rPr>
          <w:spacing w:val="-57"/>
        </w:rPr>
        <w:t> </w:t>
      </w:r>
      <w:r>
        <w:rPr/>
        <w:t>(NAICOM),</w:t>
      </w:r>
      <w:r>
        <w:rPr>
          <w:spacing w:val="-1"/>
        </w:rPr>
        <w:t> </w:t>
      </w:r>
      <w:r>
        <w:rPr/>
        <w:t>National Assembly</w:t>
      </w:r>
      <w:r>
        <w:rPr>
          <w:spacing w:val="-5"/>
        </w:rPr>
        <w:t> </w:t>
      </w:r>
      <w:r>
        <w:rPr/>
        <w:t>and the Central</w:t>
      </w:r>
      <w:r>
        <w:rPr>
          <w:spacing w:val="1"/>
        </w:rPr>
        <w:t> </w:t>
      </w:r>
      <w:r>
        <w:rPr/>
        <w:t>Bank of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(CBN).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500" w:right="498"/>
        <w:jc w:val="both"/>
      </w:pPr>
      <w:r>
        <w:rPr/>
        <w:t>Thirdly, the Cash Management Committee of the Federal Ministry of Finance is charged to</w:t>
      </w:r>
      <w:r>
        <w:rPr>
          <w:spacing w:val="1"/>
        </w:rPr>
        <w:t> </w:t>
      </w:r>
      <w:r>
        <w:rPr/>
        <w:t>monitor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project</w:t>
      </w:r>
      <w:r>
        <w:rPr>
          <w:spacing w:val="-6"/>
        </w:rPr>
        <w:t> </w:t>
      </w:r>
      <w:r>
        <w:rPr/>
        <w:t>revenue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expenditure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Federal</w:t>
      </w:r>
      <w:r>
        <w:rPr>
          <w:spacing w:val="-3"/>
        </w:rPr>
        <w:t> </w:t>
      </w:r>
      <w:r>
        <w:rPr/>
        <w:t>Government.</w:t>
      </w:r>
      <w:r>
        <w:rPr>
          <w:spacing w:val="-6"/>
        </w:rPr>
        <w:t> </w:t>
      </w:r>
      <w:r>
        <w:rPr/>
        <w:t>Her</w:t>
      </w:r>
      <w:r>
        <w:rPr>
          <w:spacing w:val="-5"/>
        </w:rPr>
        <w:t> </w:t>
      </w:r>
      <w:r>
        <w:rPr/>
        <w:t>members</w:t>
      </w:r>
      <w:r>
        <w:rPr>
          <w:spacing w:val="-7"/>
        </w:rPr>
        <w:t> </w:t>
      </w:r>
      <w:r>
        <w:rPr/>
        <w:t>meet</w:t>
      </w:r>
      <w:r>
        <w:rPr>
          <w:spacing w:val="-6"/>
        </w:rPr>
        <w:t> </w:t>
      </w:r>
      <w:r>
        <w:rPr/>
        <w:t>monthly</w:t>
      </w:r>
      <w:r>
        <w:rPr>
          <w:spacing w:val="-58"/>
        </w:rPr>
        <w:t> </w:t>
      </w:r>
      <w:r>
        <w:rPr/>
        <w:t>and include representatives of Office of the Accountant-General of the Federation (OAGF),</w:t>
      </w:r>
      <w:r>
        <w:rPr>
          <w:spacing w:val="1"/>
        </w:rPr>
        <w:t> </w:t>
      </w:r>
      <w:r>
        <w:rPr/>
        <w:t>Budget</w:t>
      </w:r>
      <w:r>
        <w:rPr>
          <w:spacing w:val="-2"/>
        </w:rPr>
        <w:t> </w:t>
      </w:r>
      <w:r>
        <w:rPr/>
        <w:t>office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Federation</w:t>
      </w:r>
      <w:r>
        <w:rPr>
          <w:spacing w:val="-1"/>
        </w:rPr>
        <w:t> </w:t>
      </w:r>
      <w:r>
        <w:rPr/>
        <w:t>(BOF),</w:t>
      </w:r>
      <w:r>
        <w:rPr>
          <w:spacing w:val="-1"/>
        </w:rPr>
        <w:t> </w:t>
      </w:r>
      <w:r>
        <w:rPr/>
        <w:t>Revenue</w:t>
      </w:r>
      <w:r>
        <w:rPr>
          <w:spacing w:val="-3"/>
        </w:rPr>
        <w:t> </w:t>
      </w:r>
      <w:r>
        <w:rPr/>
        <w:t>Generating</w:t>
      </w:r>
      <w:r>
        <w:rPr>
          <w:spacing w:val="-4"/>
        </w:rPr>
        <w:t> </w:t>
      </w:r>
      <w:r>
        <w:rPr/>
        <w:t>Agencies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58"/>
        </w:rPr>
        <w:t> </w:t>
      </w:r>
      <w:r>
        <w:rPr/>
        <w:t>CBN.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18"/>
        </w:numPr>
        <w:tabs>
          <w:tab w:pos="1084" w:val="left" w:leader="none"/>
        </w:tabs>
        <w:spacing w:line="240" w:lineRule="auto" w:before="0" w:after="0"/>
        <w:ind w:left="1083" w:right="0" w:hanging="584"/>
        <w:jc w:val="both"/>
      </w:pPr>
      <w:bookmarkStart w:name="_TOC_250031" w:id="29"/>
      <w:r>
        <w:rPr/>
        <w:t>Trend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Fiscal and</w:t>
      </w:r>
      <w:r>
        <w:rPr>
          <w:spacing w:val="-2"/>
        </w:rPr>
        <w:t> </w:t>
      </w:r>
      <w:r>
        <w:rPr/>
        <w:t>Monetary</w:t>
      </w:r>
      <w:r>
        <w:rPr>
          <w:spacing w:val="1"/>
        </w:rPr>
        <w:t> </w:t>
      </w:r>
      <w:r>
        <w:rPr/>
        <w:t>Policy in</w:t>
      </w:r>
      <w:r>
        <w:rPr>
          <w:spacing w:val="-2"/>
        </w:rPr>
        <w:t> </w:t>
      </w:r>
      <w:bookmarkEnd w:id="29"/>
      <w:r>
        <w:rPr/>
        <w:t>Nigeria</w:t>
      </w:r>
    </w:p>
    <w:p>
      <w:pPr>
        <w:pStyle w:val="BodyText"/>
        <w:spacing w:line="360" w:lineRule="auto" w:before="144"/>
        <w:ind w:left="500" w:right="499"/>
        <w:jc w:val="both"/>
      </w:pP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this</w:t>
      </w:r>
      <w:r>
        <w:rPr>
          <w:spacing w:val="-12"/>
        </w:rPr>
        <w:t> </w:t>
      </w:r>
      <w:r>
        <w:rPr>
          <w:spacing w:val="-1"/>
        </w:rPr>
        <w:t>section,</w:t>
      </w:r>
      <w:r>
        <w:rPr>
          <w:spacing w:val="-11"/>
        </w:rPr>
        <w:t> </w:t>
      </w:r>
      <w:r>
        <w:rPr/>
        <w:t>trend</w:t>
      </w:r>
      <w:r>
        <w:rPr>
          <w:spacing w:val="-12"/>
        </w:rPr>
        <w:t> </w:t>
      </w:r>
      <w:r>
        <w:rPr/>
        <w:t>analyses</w:t>
      </w:r>
      <w:r>
        <w:rPr>
          <w:spacing w:val="-12"/>
        </w:rPr>
        <w:t> </w:t>
      </w:r>
      <w:r>
        <w:rPr/>
        <w:t>underlying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relevant</w:t>
      </w:r>
      <w:r>
        <w:rPr>
          <w:spacing w:val="-11"/>
        </w:rPr>
        <w:t> </w:t>
      </w:r>
      <w:r>
        <w:rPr/>
        <w:t>variables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this</w:t>
      </w:r>
      <w:r>
        <w:rPr>
          <w:spacing w:val="-11"/>
        </w:rPr>
        <w:t> </w:t>
      </w:r>
      <w:r>
        <w:rPr/>
        <w:t>study</w:t>
      </w:r>
      <w:r>
        <w:rPr>
          <w:spacing w:val="-15"/>
        </w:rPr>
        <w:t> </w:t>
      </w:r>
      <w:r>
        <w:rPr/>
        <w:t>are</w:t>
      </w:r>
      <w:r>
        <w:rPr>
          <w:spacing w:val="-14"/>
        </w:rPr>
        <w:t> </w:t>
      </w:r>
      <w:r>
        <w:rPr/>
        <w:t>outlined.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trend</w:t>
      </w:r>
      <w:r>
        <w:rPr>
          <w:spacing w:val="-57"/>
        </w:rPr>
        <w:t> </w:t>
      </w:r>
      <w:r>
        <w:rPr/>
        <w:t>analysis involves eye-balling the long-term data on relevant fiscal and monetary variables, using</w:t>
      </w:r>
      <w:r>
        <w:rPr>
          <w:spacing w:val="1"/>
        </w:rPr>
        <w:t> </w:t>
      </w:r>
      <w:r>
        <w:rPr/>
        <w:t>statistical tools such as tables and charts, in order to generate some statistical facts. These range</w:t>
      </w:r>
      <w:r>
        <w:rPr>
          <w:spacing w:val="1"/>
        </w:rPr>
        <w:t> </w:t>
      </w:r>
      <w:r>
        <w:rPr/>
        <w:t>from</w:t>
      </w:r>
      <w:r>
        <w:rPr>
          <w:spacing w:val="58"/>
        </w:rPr>
        <w:t> </w:t>
      </w:r>
      <w:r>
        <w:rPr/>
        <w:t>those</w:t>
      </w:r>
      <w:r>
        <w:rPr>
          <w:spacing w:val="58"/>
        </w:rPr>
        <w:t> </w:t>
      </w:r>
      <w:r>
        <w:rPr/>
        <w:t>describing</w:t>
      </w:r>
      <w:r>
        <w:rPr>
          <w:spacing w:val="58"/>
        </w:rPr>
        <w:t> </w:t>
      </w:r>
      <w:r>
        <w:rPr/>
        <w:t>macroeconomic</w:t>
      </w:r>
      <w:r>
        <w:rPr>
          <w:spacing w:val="56"/>
        </w:rPr>
        <w:t> </w:t>
      </w:r>
      <w:r>
        <w:rPr/>
        <w:t>outcomes</w:t>
      </w:r>
      <w:r>
        <w:rPr>
          <w:spacing w:val="59"/>
        </w:rPr>
        <w:t> </w:t>
      </w:r>
      <w:r>
        <w:rPr/>
        <w:t>in</w:t>
      </w:r>
      <w:r>
        <w:rPr>
          <w:spacing w:val="59"/>
        </w:rPr>
        <w:t> </w:t>
      </w:r>
      <w:r>
        <w:rPr/>
        <w:t>Nigeria,</w:t>
      </w:r>
      <w:r>
        <w:rPr>
          <w:spacing w:val="57"/>
        </w:rPr>
        <w:t> </w:t>
      </w:r>
      <w:r>
        <w:rPr/>
        <w:t>to</w:t>
      </w:r>
      <w:r>
        <w:rPr>
          <w:spacing w:val="59"/>
        </w:rPr>
        <w:t> </w:t>
      </w:r>
      <w:r>
        <w:rPr/>
        <w:t>separate</w:t>
      </w:r>
      <w:r>
        <w:rPr>
          <w:spacing w:val="58"/>
        </w:rPr>
        <w:t> </w:t>
      </w:r>
      <w:r>
        <w:rPr/>
        <w:t>facts</w:t>
      </w:r>
      <w:r>
        <w:rPr>
          <w:spacing w:val="58"/>
        </w:rPr>
        <w:t> </w:t>
      </w:r>
      <w:r>
        <w:rPr/>
        <w:t>on</w:t>
      </w:r>
      <w:r>
        <w:rPr>
          <w:spacing w:val="58"/>
        </w:rPr>
        <w:t> </w:t>
      </w:r>
      <w:r>
        <w:rPr/>
        <w:t>fiscal</w:t>
      </w:r>
      <w:r>
        <w:rPr>
          <w:spacing w:val="59"/>
        </w:rPr>
        <w:t> </w:t>
      </w:r>
      <w:r>
        <w:rPr/>
        <w:t>and</w:t>
      </w:r>
      <w:r>
        <w:rPr>
          <w:spacing w:val="-58"/>
        </w:rPr>
        <w:t> </w:t>
      </w:r>
      <w:r>
        <w:rPr/>
        <w:t>monetary</w:t>
      </w:r>
      <w:r>
        <w:rPr>
          <w:spacing w:val="-6"/>
        </w:rPr>
        <w:t> </w:t>
      </w:r>
      <w:r>
        <w:rPr/>
        <w:t>policies, and the</w:t>
      </w:r>
      <w:r>
        <w:rPr>
          <w:spacing w:val="-1"/>
        </w:rPr>
        <w:t> </w:t>
      </w:r>
      <w:r>
        <w:rPr/>
        <w:t>interaction between both policies.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Heading1"/>
        <w:numPr>
          <w:ilvl w:val="2"/>
          <w:numId w:val="18"/>
        </w:numPr>
        <w:tabs>
          <w:tab w:pos="1084" w:val="left" w:leader="none"/>
        </w:tabs>
        <w:spacing w:line="240" w:lineRule="auto" w:before="62" w:after="0"/>
        <w:ind w:left="1083" w:right="0" w:hanging="584"/>
        <w:jc w:val="left"/>
      </w:pPr>
      <w:r>
        <w:rPr/>
        <w:t>Trend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Macroeconomic Outcomes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ListParagraph"/>
        <w:numPr>
          <w:ilvl w:val="3"/>
          <w:numId w:val="18"/>
        </w:numPr>
        <w:tabs>
          <w:tab w:pos="1221" w:val="left" w:leader="none"/>
        </w:tabs>
        <w:spacing w:line="240" w:lineRule="auto" w:before="0" w:after="0"/>
        <w:ind w:left="1220" w:right="0" w:hanging="361"/>
        <w:jc w:val="both"/>
        <w:rPr>
          <w:b/>
          <w:sz w:val="26"/>
        </w:rPr>
      </w:pPr>
      <w:r>
        <w:rPr>
          <w:b/>
          <w:sz w:val="26"/>
        </w:rPr>
        <w:t>Output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growth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rate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has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been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fluctuating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over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time</w:t>
      </w:r>
    </w:p>
    <w:p>
      <w:pPr>
        <w:pStyle w:val="BodyText"/>
        <w:spacing w:line="360" w:lineRule="auto" w:before="144"/>
        <w:ind w:left="1220" w:right="495"/>
        <w:jc w:val="both"/>
      </w:pPr>
      <w:r>
        <w:rPr/>
        <w:t>The Nigerian economy grew at an average rate of 6.22 per cent in the 60s. The average</w:t>
      </w:r>
      <w:r>
        <w:rPr>
          <w:spacing w:val="1"/>
        </w:rPr>
        <w:t> </w:t>
      </w:r>
      <w:r>
        <w:rPr/>
        <w:t>output growth rate rose to 31.05 per cent and 57.91 per cent between the periods 1971-80</w:t>
      </w:r>
      <w:r>
        <w:rPr>
          <w:spacing w:val="1"/>
        </w:rPr>
        <w:t> </w:t>
      </w:r>
      <w:r>
        <w:rPr/>
        <w:t>and 1981-90 respectively. In the 90s however, the average growth rate in that decade</w:t>
      </w:r>
      <w:r>
        <w:rPr>
          <w:spacing w:val="1"/>
        </w:rPr>
        <w:t> </w:t>
      </w:r>
      <w:r>
        <w:rPr/>
        <w:t>declined to 2.11 per cent and later rebounded to 8.56 per cent in the period 2000-2013. At</w:t>
      </w:r>
      <w:r>
        <w:rPr>
          <w:spacing w:val="-57"/>
        </w:rPr>
        <w:t> </w:t>
      </w:r>
      <w:r>
        <w:rPr>
          <w:spacing w:val="-1"/>
        </w:rPr>
        <w:t>6.22,</w:t>
      </w:r>
      <w:r>
        <w:rPr>
          <w:spacing w:val="-12"/>
        </w:rPr>
        <w:t> </w:t>
      </w:r>
      <w:r>
        <w:rPr>
          <w:spacing w:val="-1"/>
        </w:rPr>
        <w:t>2.11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8.56</w:t>
      </w:r>
      <w:r>
        <w:rPr>
          <w:spacing w:val="-15"/>
        </w:rPr>
        <w:t> </w:t>
      </w:r>
      <w:r>
        <w:rPr/>
        <w:t>per</w:t>
      </w:r>
      <w:r>
        <w:rPr>
          <w:spacing w:val="-13"/>
        </w:rPr>
        <w:t> </w:t>
      </w:r>
      <w:r>
        <w:rPr/>
        <w:t>cent,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output</w:t>
      </w:r>
      <w:r>
        <w:rPr>
          <w:spacing w:val="-14"/>
        </w:rPr>
        <w:t> </w:t>
      </w:r>
      <w:r>
        <w:rPr/>
        <w:t>growth</w:t>
      </w:r>
      <w:r>
        <w:rPr>
          <w:spacing w:val="-12"/>
        </w:rPr>
        <w:t> </w:t>
      </w:r>
      <w:r>
        <w:rPr/>
        <w:t>rate</w:t>
      </w:r>
      <w:r>
        <w:rPr>
          <w:spacing w:val="-13"/>
        </w:rPr>
        <w:t> </w:t>
      </w:r>
      <w:r>
        <w:rPr/>
        <w:t>for</w:t>
      </w:r>
      <w:r>
        <w:rPr>
          <w:spacing w:val="-14"/>
        </w:rPr>
        <w:t> </w:t>
      </w:r>
      <w:r>
        <w:rPr/>
        <w:t>three</w:t>
      </w:r>
      <w:r>
        <w:rPr>
          <w:spacing w:val="-13"/>
        </w:rPr>
        <w:t> </w:t>
      </w:r>
      <w:r>
        <w:rPr/>
        <w:t>sub-periods:</w:t>
      </w:r>
      <w:r>
        <w:rPr>
          <w:spacing w:val="-12"/>
        </w:rPr>
        <w:t> </w:t>
      </w:r>
      <w:r>
        <w:rPr/>
        <w:t>1961-1970,</w:t>
      </w:r>
      <w:r>
        <w:rPr>
          <w:spacing w:val="-12"/>
        </w:rPr>
        <w:t> </w:t>
      </w:r>
      <w:r>
        <w:rPr/>
        <w:t>1991-</w:t>
      </w:r>
      <w:r>
        <w:rPr>
          <w:spacing w:val="-57"/>
        </w:rPr>
        <w:t> </w:t>
      </w:r>
      <w:r>
        <w:rPr/>
        <w:t>2000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2001-2013</w:t>
      </w:r>
      <w:r>
        <w:rPr>
          <w:spacing w:val="-10"/>
        </w:rPr>
        <w:t> </w:t>
      </w:r>
      <w:r>
        <w:rPr/>
        <w:t>are</w:t>
      </w:r>
      <w:r>
        <w:rPr>
          <w:spacing w:val="-12"/>
        </w:rPr>
        <w:t> </w:t>
      </w:r>
      <w:r>
        <w:rPr/>
        <w:t>below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mean</w:t>
      </w:r>
      <w:r>
        <w:rPr>
          <w:spacing w:val="-8"/>
        </w:rPr>
        <w:t> </w:t>
      </w:r>
      <w:r>
        <w:rPr/>
        <w:t>growth</w:t>
      </w:r>
      <w:r>
        <w:rPr>
          <w:spacing w:val="-11"/>
        </w:rPr>
        <w:t> </w:t>
      </w:r>
      <w:r>
        <w:rPr/>
        <w:t>rate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entire</w:t>
      </w:r>
      <w:r>
        <w:rPr>
          <w:spacing w:val="-12"/>
        </w:rPr>
        <w:t> </w:t>
      </w:r>
      <w:r>
        <w:rPr/>
        <w:t>period</w:t>
      </w:r>
      <w:r>
        <w:rPr>
          <w:spacing w:val="-11"/>
        </w:rPr>
        <w:t> </w:t>
      </w:r>
      <w:r>
        <w:rPr/>
        <w:t>1961-2013,</w:t>
      </w:r>
      <w:r>
        <w:rPr>
          <w:spacing w:val="-10"/>
        </w:rPr>
        <w:t> </w:t>
      </w:r>
      <w:r>
        <w:rPr/>
        <w:t>which</w:t>
      </w:r>
      <w:r>
        <w:rPr>
          <w:spacing w:val="-58"/>
        </w:rPr>
        <w:t> </w:t>
      </w:r>
      <w:r>
        <w:rPr/>
        <w:t>stands at 20.46 per cent. On the other hand, the average growth rate for only two sub-</w:t>
      </w:r>
      <w:r>
        <w:rPr>
          <w:spacing w:val="1"/>
        </w:rPr>
        <w:t> </w:t>
      </w:r>
      <w:r>
        <w:rPr/>
        <w:t>periods:1971-80 and 1981-90 are above the mean growth rate for the entire period. This</w:t>
      </w:r>
      <w:r>
        <w:rPr>
          <w:spacing w:val="1"/>
        </w:rPr>
        <w:t> </w:t>
      </w:r>
      <w:r>
        <w:rPr/>
        <w:t>implies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mix</w:t>
      </w:r>
      <w:r>
        <w:rPr>
          <w:spacing w:val="-8"/>
        </w:rPr>
        <w:t> </w:t>
      </w:r>
      <w:r>
        <w:rPr/>
        <w:t>of</w:t>
      </w:r>
      <w:r>
        <w:rPr>
          <w:spacing w:val="-12"/>
        </w:rPr>
        <w:t> </w:t>
      </w:r>
      <w:r>
        <w:rPr/>
        <w:t>rise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decline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aggregate</w:t>
      </w:r>
      <w:r>
        <w:rPr>
          <w:spacing w:val="-9"/>
        </w:rPr>
        <w:t> </w:t>
      </w:r>
      <w:r>
        <w:rPr/>
        <w:t>economic</w:t>
      </w:r>
      <w:r>
        <w:rPr>
          <w:spacing w:val="-11"/>
        </w:rPr>
        <w:t> </w:t>
      </w:r>
      <w:r>
        <w:rPr/>
        <w:t>performance</w:t>
      </w:r>
      <w:r>
        <w:rPr>
          <w:spacing w:val="-10"/>
        </w:rPr>
        <w:t> </w:t>
      </w:r>
      <w:r>
        <w:rPr/>
        <w:t>over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period</w:t>
      </w:r>
      <w:r>
        <w:rPr>
          <w:spacing w:val="-10"/>
        </w:rPr>
        <w:t> </w:t>
      </w:r>
      <w:r>
        <w:rPr/>
        <w:t>1961-</w:t>
      </w:r>
      <w:r>
        <w:rPr>
          <w:spacing w:val="-58"/>
        </w:rPr>
        <w:t> </w:t>
      </w:r>
      <w:r>
        <w:rPr/>
        <w:t>2013.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figures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 in Table 3.7.</w:t>
      </w:r>
    </w:p>
    <w:p>
      <w:pPr>
        <w:pStyle w:val="BodyText"/>
        <w:spacing w:before="198" w:after="8"/>
        <w:ind w:left="1973"/>
        <w:jc w:val="both"/>
      </w:pPr>
      <w:r>
        <w:rPr/>
        <w:t>Table</w:t>
      </w:r>
      <w:r>
        <w:rPr>
          <w:spacing w:val="-2"/>
        </w:rPr>
        <w:t> </w:t>
      </w:r>
      <w:r>
        <w:rPr/>
        <w:t>3.7: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Real</w:t>
      </w:r>
      <w:r>
        <w:rPr>
          <w:spacing w:val="-2"/>
        </w:rPr>
        <w:t> </w:t>
      </w:r>
      <w:r>
        <w:rPr/>
        <w:t>Output</w:t>
      </w:r>
      <w:r>
        <w:rPr>
          <w:spacing w:val="-1"/>
        </w:rPr>
        <w:t> </w:t>
      </w:r>
      <w:r>
        <w:rPr/>
        <w:t>Growth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(percent)</w:t>
      </w:r>
    </w:p>
    <w:tbl>
      <w:tblPr>
        <w:tblW w:w="0" w:type="auto"/>
        <w:jc w:val="left"/>
        <w:tblInd w:w="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1199"/>
        <w:gridCol w:w="1110"/>
        <w:gridCol w:w="1036"/>
        <w:gridCol w:w="1112"/>
        <w:gridCol w:w="1110"/>
        <w:gridCol w:w="1257"/>
      </w:tblGrid>
      <w:tr>
        <w:trPr>
          <w:trHeight w:val="829" w:hRule="atLeast"/>
        </w:trPr>
        <w:tc>
          <w:tcPr>
            <w:tcW w:w="170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Period</w:t>
            </w:r>
          </w:p>
        </w:tc>
        <w:tc>
          <w:tcPr>
            <w:tcW w:w="119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1961-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2013*</w:t>
            </w:r>
          </w:p>
        </w:tc>
        <w:tc>
          <w:tcPr>
            <w:tcW w:w="111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1961-</w:t>
            </w:r>
          </w:p>
          <w:p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1970</w:t>
            </w:r>
          </w:p>
        </w:tc>
        <w:tc>
          <w:tcPr>
            <w:tcW w:w="10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1971-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1980</w:t>
            </w:r>
          </w:p>
        </w:tc>
        <w:tc>
          <w:tcPr>
            <w:tcW w:w="111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1981-</w:t>
            </w:r>
          </w:p>
          <w:p>
            <w:pPr>
              <w:pStyle w:val="TableParagraph"/>
              <w:spacing w:before="137"/>
              <w:ind w:left="103"/>
              <w:rPr>
                <w:sz w:val="24"/>
              </w:rPr>
            </w:pPr>
            <w:r>
              <w:rPr>
                <w:sz w:val="24"/>
              </w:rPr>
              <w:t>1990</w:t>
            </w:r>
          </w:p>
        </w:tc>
        <w:tc>
          <w:tcPr>
            <w:tcW w:w="111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1991-</w:t>
            </w:r>
          </w:p>
          <w:p>
            <w:pPr>
              <w:pStyle w:val="TableParagraph"/>
              <w:spacing w:before="137"/>
              <w:ind w:left="103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2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72" w:lineRule="exact"/>
              <w:ind w:left="101"/>
              <w:rPr>
                <w:sz w:val="24"/>
              </w:rPr>
            </w:pPr>
            <w:r>
              <w:rPr>
                <w:sz w:val="24"/>
              </w:rPr>
              <w:t>2001-2013</w:t>
            </w:r>
          </w:p>
        </w:tc>
      </w:tr>
      <w:tr>
        <w:trPr>
          <w:trHeight w:val="1242" w:hRule="atLeast"/>
        </w:trPr>
        <w:tc>
          <w:tcPr>
            <w:tcW w:w="170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  <w:p>
            <w:pPr>
              <w:pStyle w:val="TableParagraph"/>
              <w:spacing w:line="410" w:lineRule="atLeast" w:before="5"/>
              <w:ind w:right="86"/>
              <w:rPr>
                <w:sz w:val="24"/>
              </w:rPr>
            </w:pPr>
            <w:r>
              <w:rPr>
                <w:sz w:val="24"/>
              </w:rPr>
              <w:t>Output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Growth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19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20.46</w:t>
            </w:r>
          </w:p>
        </w:tc>
        <w:tc>
          <w:tcPr>
            <w:tcW w:w="111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6.22</w:t>
            </w:r>
          </w:p>
        </w:tc>
        <w:tc>
          <w:tcPr>
            <w:tcW w:w="10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31.05</w:t>
            </w:r>
          </w:p>
        </w:tc>
        <w:tc>
          <w:tcPr>
            <w:tcW w:w="111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57.91</w:t>
            </w:r>
          </w:p>
        </w:tc>
        <w:tc>
          <w:tcPr>
            <w:tcW w:w="111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12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101"/>
              <w:rPr>
                <w:sz w:val="24"/>
              </w:rPr>
            </w:pPr>
            <w:r>
              <w:rPr>
                <w:sz w:val="24"/>
              </w:rPr>
              <w:t>8.56</w:t>
            </w:r>
          </w:p>
        </w:tc>
      </w:tr>
    </w:tbl>
    <w:p>
      <w:pPr>
        <w:pStyle w:val="BodyText"/>
        <w:ind w:left="1002"/>
      </w:pPr>
      <w:r>
        <w:rPr/>
        <w:t>Source:</w:t>
      </w:r>
      <w:r>
        <w:rPr>
          <w:spacing w:val="-2"/>
        </w:rPr>
        <w:t> </w:t>
      </w:r>
      <w:r>
        <w:rPr/>
        <w:t>CBN</w:t>
      </w:r>
      <w:r>
        <w:rPr>
          <w:spacing w:val="-2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Bulletin</w:t>
      </w:r>
      <w:r>
        <w:rPr>
          <w:spacing w:val="-2"/>
        </w:rPr>
        <w:t> </w:t>
      </w:r>
      <w:r>
        <w:rPr/>
        <w:t>(2011,</w:t>
      </w:r>
      <w:r>
        <w:rPr>
          <w:spacing w:val="-2"/>
        </w:rPr>
        <w:t> </w:t>
      </w:r>
      <w:r>
        <w:rPr/>
        <w:t>2013)</w:t>
      </w:r>
    </w:p>
    <w:p>
      <w:pPr>
        <w:pStyle w:val="BodyText"/>
        <w:spacing w:before="4"/>
        <w:rPr>
          <w:sz w:val="29"/>
        </w:rPr>
      </w:pPr>
    </w:p>
    <w:p>
      <w:pPr>
        <w:pStyle w:val="Heading3"/>
        <w:numPr>
          <w:ilvl w:val="3"/>
          <w:numId w:val="18"/>
        </w:numPr>
        <w:tabs>
          <w:tab w:pos="1221" w:val="left" w:leader="none"/>
        </w:tabs>
        <w:spacing w:line="240" w:lineRule="auto" w:before="0" w:after="0"/>
        <w:ind w:left="1220" w:right="0" w:hanging="361"/>
        <w:jc w:val="both"/>
      </w:pPr>
      <w:r>
        <w:rPr/>
        <w:t>There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an upward</w:t>
      </w:r>
      <w:r>
        <w:rPr>
          <w:spacing w:val="-2"/>
        </w:rPr>
        <w:t> </w:t>
      </w:r>
      <w:r>
        <w:rPr/>
        <w:t>inflationary</w:t>
      </w:r>
      <w:r>
        <w:rPr>
          <w:spacing w:val="-1"/>
        </w:rPr>
        <w:t> </w:t>
      </w:r>
      <w:r>
        <w:rPr/>
        <w:t>trend</w:t>
      </w:r>
      <w:r>
        <w:rPr>
          <w:spacing w:val="-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1961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2015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500" w:right="496"/>
        <w:jc w:val="both"/>
      </w:pPr>
      <w:r>
        <w:rPr/>
        <w:t>The</w:t>
      </w:r>
      <w:r>
        <w:rPr>
          <w:spacing w:val="-11"/>
        </w:rPr>
        <w:t> </w:t>
      </w:r>
      <w:r>
        <w:rPr/>
        <w:t>graph</w:t>
      </w:r>
      <w:r>
        <w:rPr>
          <w:spacing w:val="-9"/>
        </w:rPr>
        <w:t> </w:t>
      </w:r>
      <w:r>
        <w:rPr/>
        <w:t>on</w:t>
      </w:r>
      <w:r>
        <w:rPr>
          <w:spacing w:val="-11"/>
        </w:rPr>
        <w:t> </w:t>
      </w:r>
      <w:r>
        <w:rPr/>
        <w:t>Consumer</w:t>
      </w:r>
      <w:r>
        <w:rPr>
          <w:spacing w:val="-9"/>
        </w:rPr>
        <w:t> </w:t>
      </w:r>
      <w:r>
        <w:rPr/>
        <w:t>Price</w:t>
      </w:r>
      <w:r>
        <w:rPr>
          <w:spacing w:val="-10"/>
        </w:rPr>
        <w:t> </w:t>
      </w:r>
      <w:r>
        <w:rPr/>
        <w:t>Inflation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Figure</w:t>
      </w:r>
      <w:r>
        <w:rPr>
          <w:spacing w:val="-8"/>
        </w:rPr>
        <w:t> </w:t>
      </w:r>
      <w:r>
        <w:rPr/>
        <w:t>3.1</w:t>
      </w:r>
      <w:r>
        <w:rPr>
          <w:spacing w:val="-12"/>
        </w:rPr>
        <w:t> </w:t>
      </w:r>
      <w:r>
        <w:rPr/>
        <w:t>shows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average</w:t>
      </w:r>
      <w:r>
        <w:rPr>
          <w:spacing w:val="-12"/>
        </w:rPr>
        <w:t> </w:t>
      </w:r>
      <w:r>
        <w:rPr/>
        <w:t>inflation</w:t>
      </w:r>
      <w:r>
        <w:rPr>
          <w:spacing w:val="-11"/>
        </w:rPr>
        <w:t> </w:t>
      </w:r>
      <w:r>
        <w:rPr/>
        <w:t>rate</w:t>
      </w:r>
      <w:r>
        <w:rPr>
          <w:spacing w:val="-7"/>
        </w:rPr>
        <w:t> </w:t>
      </w:r>
      <w:r>
        <w:rPr/>
        <w:t>was</w:t>
      </w:r>
      <w:r>
        <w:rPr>
          <w:spacing w:val="-9"/>
        </w:rPr>
        <w:t> </w:t>
      </w:r>
      <w:r>
        <w:rPr/>
        <w:t>4.33</w:t>
      </w:r>
      <w:r>
        <w:rPr>
          <w:spacing w:val="-58"/>
        </w:rPr>
        <w:t> </w:t>
      </w:r>
      <w:r>
        <w:rPr/>
        <w:t>per cent between 1961-1970 but trended upwards to 15.43 per cent in the 70s and 20.63 43 per</w:t>
      </w:r>
      <w:r>
        <w:rPr>
          <w:spacing w:val="1"/>
        </w:rPr>
        <w:t> </w:t>
      </w:r>
      <w:r>
        <w:rPr/>
        <w:t>cent in the 80s. The average inflation rate continued to rise, it increased to 30.60 per cent in the</w:t>
      </w:r>
      <w:r>
        <w:rPr>
          <w:spacing w:val="1"/>
        </w:rPr>
        <w:t> </w:t>
      </w:r>
      <w:r>
        <w:rPr/>
        <w:t>1990s. However, between the period 2001 and 2015, the rate of inflation declined to 13.67 per</w:t>
      </w:r>
      <w:r>
        <w:rPr>
          <w:spacing w:val="1"/>
        </w:rPr>
        <w:t> </w:t>
      </w:r>
      <w:r>
        <w:rPr/>
        <w:t>cent. One notable reason for this decline stems from the improved macroeconomic outcomes as a</w:t>
      </w:r>
      <w:r>
        <w:rPr>
          <w:spacing w:val="-57"/>
        </w:rPr>
        <w:t> </w:t>
      </w:r>
      <w:r>
        <w:rPr/>
        <w:t>result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policy</w:t>
      </w:r>
      <w:r>
        <w:rPr>
          <w:spacing w:val="-6"/>
        </w:rPr>
        <w:t> </w:t>
      </w:r>
      <w:r>
        <w:rPr/>
        <w:t>choices</w:t>
      </w:r>
      <w:r>
        <w:rPr>
          <w:spacing w:val="-2"/>
        </w:rPr>
        <w:t> </w:t>
      </w:r>
      <w:r>
        <w:rPr/>
        <w:t>embarked</w:t>
      </w:r>
      <w:r>
        <w:rPr>
          <w:spacing w:val="-4"/>
        </w:rPr>
        <w:t> </w:t>
      </w:r>
      <w:r>
        <w:rPr/>
        <w:t>upon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that</w:t>
      </w:r>
      <w:r>
        <w:rPr>
          <w:spacing w:val="-4"/>
        </w:rPr>
        <w:t> </w:t>
      </w:r>
      <w:r>
        <w:rPr/>
        <w:t>decade</w:t>
      </w:r>
      <w:r>
        <w:rPr>
          <w:spacing w:val="-5"/>
        </w:rPr>
        <w:t> </w:t>
      </w:r>
      <w:r>
        <w:rPr/>
        <w:t>which</w:t>
      </w:r>
      <w:r>
        <w:rPr>
          <w:spacing w:val="-2"/>
        </w:rPr>
        <w:t> </w:t>
      </w:r>
      <w:r>
        <w:rPr/>
        <w:t>came</w:t>
      </w:r>
      <w:r>
        <w:rPr>
          <w:spacing w:val="-4"/>
        </w:rPr>
        <w:t> </w:t>
      </w:r>
      <w:r>
        <w:rPr/>
        <w:t>along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Nigeria’s</w:t>
      </w:r>
      <w:r>
        <w:rPr>
          <w:spacing w:val="-4"/>
        </w:rPr>
        <w:t> </w:t>
      </w:r>
      <w:r>
        <w:rPr/>
        <w:t>transition</w:t>
      </w:r>
      <w:r>
        <w:rPr>
          <w:spacing w:val="-58"/>
        </w:rPr>
        <w:t> </w:t>
      </w:r>
      <w:r>
        <w:rPr/>
        <w:t>from military</w:t>
      </w:r>
      <w:r>
        <w:rPr>
          <w:spacing w:val="-6"/>
        </w:rPr>
        <w:t> </w:t>
      </w:r>
      <w:r>
        <w:rPr/>
        <w:t>to civilian rule.</w:t>
      </w:r>
    </w:p>
    <w:p>
      <w:pPr>
        <w:spacing w:after="0" w:line="360" w:lineRule="auto"/>
        <w:jc w:val="both"/>
        <w:sectPr>
          <w:pgSz w:w="12240" w:h="15840"/>
          <w:pgMar w:header="0" w:footer="935" w:top="1380" w:bottom="1200" w:left="940" w:right="940"/>
        </w:sectPr>
      </w:pPr>
    </w:p>
    <w:p>
      <w:pPr>
        <w:pStyle w:val="BodyText"/>
        <w:spacing w:line="360" w:lineRule="auto" w:before="74"/>
        <w:ind w:left="500" w:right="498"/>
        <w:jc w:val="both"/>
      </w:pPr>
      <w:r>
        <w:rPr/>
        <w:pict>
          <v:group style="position:absolute;margin-left:71.760002pt;margin-top:75.863144pt;width:386.8pt;height:258.5pt;mso-position-horizontal-relative:page;mso-position-vertical-relative:paragraph;z-index:15729152" coordorigin="1435,1517" coordsize="7736,5170">
            <v:shape style="position:absolute;left:2383;top:4037;width:2688;height:1145" coordorigin="2383,4037" coordsize="2688,1145" path="m2383,5182l3902,5182m4368,5182l5071,5182m2383,4611l3902,4611m4368,4611l5071,4611m2383,4037l3902,4037m4368,4037l5071,4037e" filled="false" stroked="true" strokeweight=".48pt" strokecolor="#888888">
              <v:path arrowok="t"/>
              <v:stroke dashstyle="solid"/>
            </v:shape>
            <v:rect style="position:absolute;left:3902;top:3986;width:466;height:1769" filled="true" fillcolor="#5b9bd4" stroked="false">
              <v:fill type="solid"/>
            </v:rect>
            <v:shape style="position:absolute;left:2383;top:3463;width:3855;height:1719" coordorigin="2383,3464" coordsize="3855,1719" path="m5537,5182l6238,5182m5537,4611l6238,4611m5537,4037l6238,4037m2383,3464l5071,3464m5537,3464l6238,3464e" filled="false" stroked="true" strokeweight=".48pt" strokecolor="#888888">
              <v:path arrowok="t"/>
              <v:stroke dashstyle="solid"/>
            </v:shape>
            <v:rect style="position:absolute;left:5071;top:3391;width:466;height:2364" filled="true" fillcolor="#5b9bd4" stroked="false">
              <v:fill type="solid"/>
            </v:rect>
            <v:shape style="position:absolute;left:2383;top:2316;width:5842;height:2866" coordorigin="2383,2316" coordsize="5842,2866" path="m6706,5182l7406,5182m6706,4611l7406,4611m6706,4037l8225,4037m6706,3464l8225,3464m2383,2890l6238,2890m6706,2890l8225,2890m2383,2316l6238,2316m6706,2316l8225,2316e" filled="false" stroked="true" strokeweight=".48pt" strokecolor="#888888">
              <v:path arrowok="t"/>
              <v:stroke dashstyle="solid"/>
            </v:shape>
            <v:rect style="position:absolute;left:6237;top:2249;width:468;height:3507" filled="true" fillcolor="#5b9bd4" stroked="false">
              <v:fill type="solid"/>
            </v:rect>
            <v:shape style="position:absolute;left:7874;top:4610;width:351;height:572" coordorigin="7874,4611" coordsize="351,572" path="m7874,5182l8225,5182m7874,4611l8225,4611e" filled="false" stroked="true" strokeweight=".48pt" strokecolor="#888888">
              <v:path arrowok="t"/>
              <v:stroke dashstyle="solid"/>
            </v:shape>
            <v:rect style="position:absolute;left:7406;top:4188;width:468;height:1568" filled="true" fillcolor="#5b9bd4" stroked="false">
              <v:fill type="solid"/>
            </v:rect>
            <v:shape style="position:absolute;left:2318;top:1742;width:5907;height:4013" coordorigin="2318,1743" coordsize="5907,4013" path="m2383,1743l8225,1743m2383,5756l2383,1743m2318,5756l2383,5756m2318,5182l2383,5182m2318,4611l2383,4611m2318,4037l2383,4037m2318,3464l2383,3464m2318,2890l2383,2890m2318,2316l2383,2316m2318,1743l2383,1743e" filled="false" stroked="true" strokeweight=".48pt" strokecolor="#888888">
              <v:path arrowok="t"/>
              <v:stroke dashstyle="solid"/>
            </v:shape>
            <v:rect style="position:absolute;left:2733;top:5258;width:466;height:497" filled="true" fillcolor="#5b9bd4" stroked="false">
              <v:fill type="solid"/>
            </v:rect>
            <v:shape style="position:absolute;left:2383;top:5755;width:5842;height:65" coordorigin="2383,5756" coordsize="5842,65" path="m2383,5756l8225,5756m2383,5756l2383,5820m3552,5756l3552,5820m4718,5756l4718,5820m5887,5756l5887,5820m7056,5756l7056,5820m8225,5756l8225,5820e" filled="false" stroked="true" strokeweight=".48pt" strokecolor="#888888">
              <v:path arrowok="t"/>
              <v:stroke dashstyle="solid"/>
            </v:shape>
            <v:rect style="position:absolute;left:8544;top:4046;width:111;height:111" filled="true" fillcolor="#5b9bd4" stroked="false">
              <v:fill type="solid"/>
            </v:rect>
            <v:rect style="position:absolute;left:1440;top:1522;width:7726;height:5160" filled="false" stroked="true" strokeweight=".48pt" strokecolor="#888888">
              <v:stroke dashstyle="solid"/>
            </v:rect>
            <v:shape style="position:absolute;left:1994;top:1651;width:222;height:249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</w:t>
                    </w:r>
                  </w:p>
                  <w:p>
                    <w:pPr>
                      <w:spacing w:line="240" w:lineRule="auto" w:before="12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40" w:lineRule="auto" w:before="12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8703;top:4009;width:28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CPI</w:t>
                    </w:r>
                  </w:p>
                </w:txbxContent>
              </v:textbox>
              <w10:wrap type="none"/>
            </v:shape>
            <v:shape style="position:absolute;left:1994;top:4518;width:223;height:134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before="0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7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531;top:5924;width:2061;height:200" type="#_x0000_t202" filled="false" stroked="false">
              <v:textbox inset="0,0,0,0">
                <w:txbxContent>
                  <w:p>
                    <w:pPr>
                      <w:tabs>
                        <w:tab w:pos="1168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1961-1970</w:t>
                      <w:tab/>
                      <w:t>1971-1980</w:t>
                    </w:r>
                  </w:p>
                </w:txbxContent>
              </v:textbox>
              <w10:wrap type="none"/>
            </v:shape>
            <v:shape style="position:absolute;left:4868;top:5924;width:892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1981-1990</w:t>
                    </w:r>
                  </w:p>
                  <w:p>
                    <w:pPr>
                      <w:spacing w:line="240" w:lineRule="exact" w:before="60"/>
                      <w:ind w:left="0" w:right="20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Year</w:t>
                    </w:r>
                  </w:p>
                </w:txbxContent>
              </v:textbox>
              <w10:wrap type="none"/>
            </v:shape>
            <v:shape style="position:absolute;left:6037;top:5924;width:2061;height:200" type="#_x0000_t202" filled="false" stroked="false">
              <v:textbox inset="0,0,0,0">
                <w:txbxContent>
                  <w:p>
                    <w:pPr>
                      <w:tabs>
                        <w:tab w:pos="1168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1991-2000</w:t>
                      <w:tab/>
                      <w:t>2001-2015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7994pt;margin-top:135.599960pt;width:12pt;height:104.2pt;mso-position-horizontal-relative:page;mso-position-vertical-relative:paragraph;z-index:1572966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Consumer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Price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Inflation</w:t>
                  </w:r>
                </w:p>
              </w:txbxContent>
            </v:textbox>
            <w10:wrap type="none"/>
          </v:shape>
        </w:pict>
      </w:r>
      <w:r>
        <w:rPr/>
        <w:t>In addition, over the period 1985-2015, the inflation rate hovered more in the double-digits than</w:t>
      </w:r>
      <w:r>
        <w:rPr>
          <w:spacing w:val="1"/>
        </w:rPr>
        <w:t> </w:t>
      </w:r>
      <w:r>
        <w:rPr/>
        <w:t>single-digit range. This implies that the Central Bank has found it rather tasking to control the</w:t>
      </w:r>
      <w:r>
        <w:rPr>
          <w:spacing w:val="1"/>
        </w:rPr>
        <w:t> </w:t>
      </w:r>
      <w:r>
        <w:rPr/>
        <w:t>price</w:t>
      </w:r>
      <w:r>
        <w:rPr>
          <w:spacing w:val="-2"/>
        </w:rPr>
        <w:t> </w:t>
      </w:r>
      <w:r>
        <w:rPr/>
        <w:t>level within the</w:t>
      </w:r>
      <w:r>
        <w:rPr>
          <w:spacing w:val="-1"/>
        </w:rPr>
        <w:t> </w:t>
      </w:r>
      <w:r>
        <w:rPr/>
        <w:t>desired range.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7"/>
        <w:ind w:left="500" w:right="3627"/>
      </w:pPr>
      <w:r>
        <w:rPr/>
        <w:t>Figure 3.1: Consumer Price Inflation over the period 1961-2015.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World Development</w:t>
      </w:r>
      <w:r>
        <w:rPr>
          <w:spacing w:val="2"/>
        </w:rPr>
        <w:t> </w:t>
      </w:r>
      <w:r>
        <w:rPr/>
        <w:t>Indicators</w:t>
      </w:r>
      <w:r>
        <w:rPr>
          <w:spacing w:val="-1"/>
        </w:rPr>
        <w:t> </w:t>
      </w:r>
      <w:r>
        <w:rPr/>
        <w:t>(2016)</w:t>
      </w:r>
    </w:p>
    <w:p>
      <w:pPr>
        <w:pStyle w:val="BodyText"/>
        <w:spacing w:before="8"/>
      </w:pPr>
    </w:p>
    <w:p>
      <w:pPr>
        <w:pStyle w:val="Heading1"/>
        <w:numPr>
          <w:ilvl w:val="2"/>
          <w:numId w:val="18"/>
        </w:numPr>
        <w:tabs>
          <w:tab w:pos="1277" w:val="left" w:leader="none"/>
          <w:tab w:pos="1279" w:val="left" w:leader="none"/>
        </w:tabs>
        <w:spacing w:line="240" w:lineRule="auto" w:before="0" w:after="0"/>
        <w:ind w:left="1278" w:right="0" w:hanging="779"/>
        <w:jc w:val="left"/>
      </w:pPr>
      <w:r>
        <w:rPr/>
        <w:t>Trend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Fiscal</w:t>
      </w:r>
      <w:r>
        <w:rPr>
          <w:spacing w:val="-2"/>
        </w:rPr>
        <w:t> </w:t>
      </w:r>
      <w:r>
        <w:rPr/>
        <w:t>and Monetary</w:t>
      </w:r>
      <w:r>
        <w:rPr>
          <w:spacing w:val="1"/>
        </w:rPr>
        <w:t> </w:t>
      </w:r>
      <w:r>
        <w:rPr/>
        <w:t>Outcomes</w:t>
      </w:r>
      <w:r>
        <w:rPr>
          <w:spacing w:val="-2"/>
        </w:rPr>
        <w:t> </w:t>
      </w:r>
      <w:r>
        <w:rPr/>
        <w:t>in Nigeria</w:t>
      </w:r>
    </w:p>
    <w:p>
      <w:pPr>
        <w:pStyle w:val="ListParagraph"/>
        <w:numPr>
          <w:ilvl w:val="0"/>
          <w:numId w:val="19"/>
        </w:numPr>
        <w:tabs>
          <w:tab w:pos="1221" w:val="left" w:leader="none"/>
        </w:tabs>
        <w:spacing w:line="240" w:lineRule="auto" w:before="246" w:after="0"/>
        <w:ind w:left="1220" w:right="0" w:hanging="361"/>
        <w:jc w:val="left"/>
        <w:rPr>
          <w:b/>
          <w:sz w:val="26"/>
        </w:rPr>
      </w:pPr>
      <w:r>
        <w:rPr>
          <w:b/>
          <w:sz w:val="26"/>
        </w:rPr>
        <w:t>There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is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a persistent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rise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in monetary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aggregates</w:t>
      </w:r>
    </w:p>
    <w:p>
      <w:pPr>
        <w:pStyle w:val="BodyText"/>
        <w:spacing w:line="360" w:lineRule="auto" w:before="238"/>
        <w:ind w:left="500" w:right="496"/>
        <w:jc w:val="both"/>
      </w:pPr>
      <w:r>
        <w:rPr/>
        <w:t>There</w:t>
      </w:r>
      <w:r>
        <w:rPr>
          <w:spacing w:val="-6"/>
        </w:rPr>
        <w:t> </w:t>
      </w:r>
      <w:r>
        <w:rPr/>
        <w:t>has</w:t>
      </w:r>
      <w:r>
        <w:rPr>
          <w:spacing w:val="-3"/>
        </w:rPr>
        <w:t> </w:t>
      </w:r>
      <w:r>
        <w:rPr/>
        <w:t>been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persistent</w:t>
      </w:r>
      <w:r>
        <w:rPr>
          <w:spacing w:val="-3"/>
        </w:rPr>
        <w:t> </w:t>
      </w:r>
      <w:r>
        <w:rPr/>
        <w:t>rising</w:t>
      </w:r>
      <w:r>
        <w:rPr>
          <w:spacing w:val="-5"/>
        </w:rPr>
        <w:t> </w:t>
      </w:r>
      <w:r>
        <w:rPr/>
        <w:t>trend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monetary</w:t>
      </w:r>
      <w:r>
        <w:rPr>
          <w:spacing w:val="-6"/>
        </w:rPr>
        <w:t> </w:t>
      </w:r>
      <w:r>
        <w:rPr/>
        <w:t>variables. In</w:t>
      </w:r>
      <w:r>
        <w:rPr>
          <w:spacing w:val="-2"/>
        </w:rPr>
        <w:t> </w:t>
      </w:r>
      <w:r>
        <w:rPr/>
        <w:t>Table</w:t>
      </w:r>
      <w:r>
        <w:rPr>
          <w:spacing w:val="-3"/>
        </w:rPr>
        <w:t> </w:t>
      </w:r>
      <w:r>
        <w:rPr/>
        <w:t>3.8,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persistent</w:t>
      </w:r>
      <w:r>
        <w:rPr>
          <w:spacing w:val="-3"/>
        </w:rPr>
        <w:t> </w:t>
      </w:r>
      <w:r>
        <w:rPr/>
        <w:t>rise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>
          <w:spacing w:val="-1"/>
        </w:rPr>
        <w:t>levels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base</w:t>
      </w:r>
      <w:r>
        <w:rPr>
          <w:spacing w:val="-13"/>
        </w:rPr>
        <w:t> </w:t>
      </w:r>
      <w:r>
        <w:rPr/>
        <w:t>money,</w:t>
      </w:r>
      <w:r>
        <w:rPr>
          <w:spacing w:val="-9"/>
        </w:rPr>
        <w:t> </w:t>
      </w:r>
      <w:r>
        <w:rPr/>
        <w:t>narrow</w:t>
      </w:r>
      <w:r>
        <w:rPr>
          <w:spacing w:val="-14"/>
        </w:rPr>
        <w:t> </w:t>
      </w:r>
      <w:r>
        <w:rPr/>
        <w:t>money</w:t>
      </w:r>
      <w:r>
        <w:rPr>
          <w:spacing w:val="-15"/>
        </w:rPr>
        <w:t> </w:t>
      </w:r>
      <w:r>
        <w:rPr/>
        <w:t>and</w:t>
      </w:r>
      <w:r>
        <w:rPr>
          <w:spacing w:val="-12"/>
        </w:rPr>
        <w:t> </w:t>
      </w:r>
      <w:r>
        <w:rPr/>
        <w:t>broad</w:t>
      </w:r>
      <w:r>
        <w:rPr>
          <w:spacing w:val="-11"/>
        </w:rPr>
        <w:t> </w:t>
      </w:r>
      <w:r>
        <w:rPr/>
        <w:t>money</w:t>
      </w:r>
      <w:r>
        <w:rPr>
          <w:spacing w:val="-15"/>
        </w:rPr>
        <w:t> </w:t>
      </w:r>
      <w:r>
        <w:rPr/>
        <w:t>is</w:t>
      </w:r>
      <w:r>
        <w:rPr>
          <w:spacing w:val="-12"/>
        </w:rPr>
        <w:t> </w:t>
      </w:r>
      <w:r>
        <w:rPr/>
        <w:t>observed.</w:t>
      </w:r>
      <w:r>
        <w:rPr>
          <w:spacing w:val="-12"/>
        </w:rPr>
        <w:t> </w:t>
      </w:r>
      <w:r>
        <w:rPr/>
        <w:t>All</w:t>
      </w:r>
      <w:r>
        <w:rPr>
          <w:spacing w:val="-11"/>
        </w:rPr>
        <w:t> </w:t>
      </w:r>
      <w:r>
        <w:rPr/>
        <w:t>three</w:t>
      </w:r>
      <w:r>
        <w:rPr>
          <w:spacing w:val="-11"/>
        </w:rPr>
        <w:t> </w:t>
      </w:r>
      <w:r>
        <w:rPr/>
        <w:t>variables</w:t>
      </w:r>
      <w:r>
        <w:rPr>
          <w:spacing w:val="-11"/>
        </w:rPr>
        <w:t> </w:t>
      </w:r>
      <w:r>
        <w:rPr/>
        <w:t>skyrocketed</w:t>
      </w:r>
      <w:r>
        <w:rPr>
          <w:spacing w:val="-57"/>
        </w:rPr>
        <w:t> </w:t>
      </w:r>
      <w:r>
        <w:rPr/>
        <w:t>by more than 1000 per cent in the period 1960 and 2015. This closely mirrors the extent of the</w:t>
      </w:r>
      <w:r>
        <w:rPr>
          <w:spacing w:val="1"/>
        </w:rPr>
        <w:t> </w:t>
      </w:r>
      <w:r>
        <w:rPr/>
        <w:t>volume of money which has been injected into the economy over the last five decades. This fact</w:t>
      </w:r>
      <w:r>
        <w:rPr>
          <w:spacing w:val="1"/>
        </w:rPr>
        <w:t> </w:t>
      </w:r>
      <w:r>
        <w:rPr/>
        <w:t>indicates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over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last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five</w:t>
      </w:r>
      <w:r>
        <w:rPr>
          <w:spacing w:val="-2"/>
        </w:rPr>
        <w:t> </w:t>
      </w:r>
      <w:r>
        <w:rPr/>
        <w:t>decades,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Bank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Nigeria</w:t>
      </w:r>
      <w:r>
        <w:rPr>
          <w:spacing w:val="-2"/>
        </w:rPr>
        <w:t> </w:t>
      </w:r>
      <w:r>
        <w:rPr/>
        <w:t>implemented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loose</w:t>
      </w:r>
      <w:r>
        <w:rPr>
          <w:spacing w:val="-58"/>
        </w:rPr>
        <w:t> </w:t>
      </w:r>
      <w:r>
        <w:rPr/>
        <w:t>monetary</w:t>
      </w:r>
      <w:r>
        <w:rPr>
          <w:spacing w:val="-5"/>
        </w:rPr>
        <w:t> </w:t>
      </w:r>
      <w:r>
        <w:rPr/>
        <w:t>stance.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72"/>
        <w:ind w:left="1335" w:right="1335"/>
        <w:jc w:val="center"/>
      </w:pPr>
      <w:r>
        <w:rPr/>
        <w:t>Table</w:t>
      </w:r>
      <w:r>
        <w:rPr>
          <w:spacing w:val="-1"/>
        </w:rPr>
        <w:t> </w:t>
      </w:r>
      <w:r>
        <w:rPr/>
        <w:t>3.8: Trend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levels of</w:t>
      </w:r>
      <w:r>
        <w:rPr>
          <w:spacing w:val="-1"/>
        </w:rPr>
        <w:t> </w:t>
      </w:r>
      <w:r>
        <w:rPr/>
        <w:t>Base</w:t>
      </w:r>
      <w:r>
        <w:rPr>
          <w:spacing w:val="-1"/>
        </w:rPr>
        <w:t> </w:t>
      </w:r>
      <w:r>
        <w:rPr/>
        <w:t>Money,</w:t>
      </w:r>
      <w:r>
        <w:rPr>
          <w:spacing w:val="-1"/>
        </w:rPr>
        <w:t> </w:t>
      </w:r>
      <w:r>
        <w:rPr/>
        <w:t>M1 and</w:t>
      </w:r>
      <w:r>
        <w:rPr>
          <w:spacing w:val="-1"/>
        </w:rPr>
        <w:t> </w:t>
      </w:r>
      <w:r>
        <w:rPr/>
        <w:t>M2 (</w:t>
      </w:r>
      <w:r>
        <w:rPr>
          <w:dstrike/>
        </w:rPr>
        <w:t>N</w:t>
      </w:r>
      <w:r>
        <w:rPr>
          <w:strike w:val="0"/>
        </w:rPr>
        <w:t>’Million)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2"/>
        <w:gridCol w:w="2355"/>
        <w:gridCol w:w="2259"/>
        <w:gridCol w:w="2257"/>
      </w:tblGrid>
      <w:tr>
        <w:trPr>
          <w:trHeight w:val="1102" w:hRule="atLeast"/>
        </w:trPr>
        <w:tc>
          <w:tcPr>
            <w:tcW w:w="198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235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Money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dstrike/>
                <w:sz w:val="24"/>
              </w:rPr>
              <w:t>N</w:t>
            </w:r>
            <w:r>
              <w:rPr>
                <w:strike w:val="0"/>
                <w:sz w:val="24"/>
              </w:rPr>
              <w:t>’Million)</w:t>
            </w:r>
          </w:p>
        </w:tc>
        <w:tc>
          <w:tcPr>
            <w:tcW w:w="225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M1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dstrike/>
                <w:sz w:val="24"/>
              </w:rPr>
              <w:t>N</w:t>
            </w:r>
            <w:r>
              <w:rPr>
                <w:strike w:val="0"/>
                <w:sz w:val="24"/>
              </w:rPr>
              <w:t>’Million)</w:t>
            </w:r>
          </w:p>
        </w:tc>
        <w:tc>
          <w:tcPr>
            <w:tcW w:w="22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M2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dstrike/>
                <w:sz w:val="24"/>
              </w:rPr>
              <w:t>N</w:t>
            </w:r>
            <w:r>
              <w:rPr>
                <w:strike w:val="0"/>
                <w:sz w:val="24"/>
              </w:rPr>
              <w:t>’Million)</w:t>
            </w:r>
          </w:p>
        </w:tc>
      </w:tr>
      <w:tr>
        <w:trPr>
          <w:trHeight w:val="569" w:hRule="atLeast"/>
        </w:trPr>
        <w:tc>
          <w:tcPr>
            <w:tcW w:w="198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1960</w:t>
            </w:r>
          </w:p>
        </w:tc>
        <w:tc>
          <w:tcPr>
            <w:tcW w:w="235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157.05</w:t>
            </w:r>
          </w:p>
        </w:tc>
        <w:tc>
          <w:tcPr>
            <w:tcW w:w="225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217.61</w:t>
            </w:r>
          </w:p>
        </w:tc>
        <w:tc>
          <w:tcPr>
            <w:tcW w:w="22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272.40</w:t>
            </w:r>
          </w:p>
        </w:tc>
      </w:tr>
      <w:tr>
        <w:trPr>
          <w:trHeight w:val="568" w:hRule="atLeast"/>
        </w:trPr>
        <w:tc>
          <w:tcPr>
            <w:tcW w:w="19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1970</w:t>
            </w:r>
          </w:p>
        </w:tc>
        <w:tc>
          <w:tcPr>
            <w:tcW w:w="235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388.90</w:t>
            </w:r>
          </w:p>
        </w:tc>
        <w:tc>
          <w:tcPr>
            <w:tcW w:w="225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641.5</w:t>
            </w:r>
          </w:p>
        </w:tc>
        <w:tc>
          <w:tcPr>
            <w:tcW w:w="225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978.2</w:t>
            </w:r>
          </w:p>
        </w:tc>
      </w:tr>
      <w:tr>
        <w:trPr>
          <w:trHeight w:val="570" w:hRule="atLeast"/>
        </w:trPr>
        <w:tc>
          <w:tcPr>
            <w:tcW w:w="198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1980</w:t>
            </w:r>
          </w:p>
        </w:tc>
        <w:tc>
          <w:tcPr>
            <w:tcW w:w="235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4,797.5</w:t>
            </w:r>
          </w:p>
        </w:tc>
        <w:tc>
          <w:tcPr>
            <w:tcW w:w="225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9,650.7</w:t>
            </w:r>
          </w:p>
        </w:tc>
        <w:tc>
          <w:tcPr>
            <w:tcW w:w="225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15,100.00</w:t>
            </w:r>
          </w:p>
        </w:tc>
      </w:tr>
      <w:tr>
        <w:trPr>
          <w:trHeight w:val="568" w:hRule="atLeast"/>
        </w:trPr>
        <w:tc>
          <w:tcPr>
            <w:tcW w:w="19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1990</w:t>
            </w:r>
          </w:p>
        </w:tc>
        <w:tc>
          <w:tcPr>
            <w:tcW w:w="235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18,341.00</w:t>
            </w:r>
          </w:p>
        </w:tc>
        <w:tc>
          <w:tcPr>
            <w:tcW w:w="225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39,156.2</w:t>
            </w:r>
          </w:p>
        </w:tc>
        <w:tc>
          <w:tcPr>
            <w:tcW w:w="225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68,662.50</w:t>
            </w:r>
          </w:p>
        </w:tc>
      </w:tr>
      <w:tr>
        <w:trPr>
          <w:trHeight w:val="570" w:hRule="atLeast"/>
        </w:trPr>
        <w:tc>
          <w:tcPr>
            <w:tcW w:w="198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235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354,674.28</w:t>
            </w:r>
          </w:p>
        </w:tc>
        <w:tc>
          <w:tcPr>
            <w:tcW w:w="225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637,731.14</w:t>
            </w:r>
          </w:p>
        </w:tc>
        <w:tc>
          <w:tcPr>
            <w:tcW w:w="225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1,036,079.55</w:t>
            </w:r>
          </w:p>
        </w:tc>
      </w:tr>
      <w:tr>
        <w:trPr>
          <w:trHeight w:val="582" w:hRule="atLeast"/>
        </w:trPr>
        <w:tc>
          <w:tcPr>
            <w:tcW w:w="19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235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1,845,714.52</w:t>
            </w:r>
          </w:p>
        </w:tc>
        <w:tc>
          <w:tcPr>
            <w:tcW w:w="225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5,571,269.89</w:t>
            </w:r>
          </w:p>
        </w:tc>
        <w:tc>
          <w:tcPr>
            <w:tcW w:w="225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11,525,530.3</w:t>
            </w:r>
          </w:p>
        </w:tc>
      </w:tr>
      <w:tr>
        <w:trPr>
          <w:trHeight w:val="570" w:hRule="atLeast"/>
        </w:trPr>
        <w:tc>
          <w:tcPr>
            <w:tcW w:w="198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235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5863489.2</w:t>
            </w:r>
          </w:p>
        </w:tc>
        <w:tc>
          <w:tcPr>
            <w:tcW w:w="225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7,311,652.4</w:t>
            </w:r>
          </w:p>
        </w:tc>
        <w:tc>
          <w:tcPr>
            <w:tcW w:w="225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19,172,906.7</w:t>
            </w:r>
          </w:p>
        </w:tc>
      </w:tr>
    </w:tbl>
    <w:p>
      <w:pPr>
        <w:pStyle w:val="BodyText"/>
        <w:ind w:left="550"/>
        <w:jc w:val="both"/>
      </w:pPr>
      <w:r>
        <w:rPr/>
        <w:t>Source:</w:t>
      </w:r>
      <w:r>
        <w:rPr>
          <w:spacing w:val="-3"/>
        </w:rPr>
        <w:t> </w:t>
      </w:r>
      <w:r>
        <w:rPr/>
        <w:t>CBN</w:t>
      </w:r>
      <w:r>
        <w:rPr>
          <w:spacing w:val="-2"/>
        </w:rPr>
        <w:t> </w:t>
      </w:r>
      <w:r>
        <w:rPr/>
        <w:t>Statistical</w:t>
      </w:r>
      <w:r>
        <w:rPr>
          <w:spacing w:val="-2"/>
        </w:rPr>
        <w:t> </w:t>
      </w:r>
      <w:r>
        <w:rPr/>
        <w:t>Bulletin</w:t>
      </w:r>
      <w:r>
        <w:rPr>
          <w:spacing w:val="-3"/>
        </w:rPr>
        <w:t> </w:t>
      </w:r>
      <w:r>
        <w:rPr/>
        <w:t>(2013,2015)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numPr>
          <w:ilvl w:val="0"/>
          <w:numId w:val="19"/>
        </w:numPr>
        <w:tabs>
          <w:tab w:pos="1221" w:val="left" w:leader="none"/>
        </w:tabs>
        <w:spacing w:line="240" w:lineRule="auto" w:before="0" w:after="0"/>
        <w:ind w:left="1220" w:right="0" w:hanging="361"/>
        <w:jc w:val="both"/>
      </w:pPr>
      <w:r>
        <w:rPr/>
        <w:t>The</w:t>
      </w:r>
      <w:r>
        <w:rPr>
          <w:spacing w:val="-3"/>
        </w:rPr>
        <w:t> </w:t>
      </w:r>
      <w:r>
        <w:rPr/>
        <w:t>value of</w:t>
      </w:r>
      <w:r>
        <w:rPr>
          <w:spacing w:val="-2"/>
        </w:rPr>
        <w:t> </w:t>
      </w:r>
      <w:r>
        <w:rPr/>
        <w:t>the Real</w:t>
      </w:r>
      <w:r>
        <w:rPr>
          <w:spacing w:val="1"/>
        </w:rPr>
        <w:t> </w:t>
      </w:r>
      <w:r>
        <w:rPr/>
        <w:t>Interest</w:t>
      </w:r>
      <w:r>
        <w:rPr>
          <w:spacing w:val="-2"/>
        </w:rPr>
        <w:t> </w:t>
      </w:r>
      <w:r>
        <w:rPr/>
        <w:t>Rate</w:t>
      </w:r>
      <w:r>
        <w:rPr>
          <w:spacing w:val="-3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easy than</w:t>
      </w:r>
      <w:r>
        <w:rPr>
          <w:spacing w:val="-2"/>
        </w:rPr>
        <w:t> </w:t>
      </w:r>
      <w:r>
        <w:rPr/>
        <w:t>tight</w:t>
      </w:r>
    </w:p>
    <w:p>
      <w:pPr>
        <w:pStyle w:val="BodyText"/>
        <w:spacing w:line="360" w:lineRule="auto" w:before="145"/>
        <w:ind w:left="500" w:right="498"/>
        <w:jc w:val="both"/>
      </w:pPr>
      <w:r>
        <w:rPr/>
        <w:t>The</w:t>
      </w:r>
      <w:r>
        <w:rPr>
          <w:spacing w:val="-6"/>
        </w:rPr>
        <w:t> </w:t>
      </w:r>
      <w:r>
        <w:rPr/>
        <w:t>real</w:t>
      </w:r>
      <w:r>
        <w:rPr>
          <w:spacing w:val="-5"/>
        </w:rPr>
        <w:t> </w:t>
      </w:r>
      <w:r>
        <w:rPr/>
        <w:t>interest</w:t>
      </w:r>
      <w:r>
        <w:rPr>
          <w:spacing w:val="-5"/>
        </w:rPr>
        <w:t> </w:t>
      </w:r>
      <w:r>
        <w:rPr/>
        <w:t>rate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selected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explain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monetary</w:t>
      </w:r>
      <w:r>
        <w:rPr>
          <w:spacing w:val="-10"/>
        </w:rPr>
        <w:t> </w:t>
      </w:r>
      <w:r>
        <w:rPr/>
        <w:t>policy</w:t>
      </w:r>
      <w:r>
        <w:rPr>
          <w:spacing w:val="-10"/>
        </w:rPr>
        <w:t> </w:t>
      </w:r>
      <w:r>
        <w:rPr/>
        <w:t>stance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Nigeria,</w:t>
      </w:r>
      <w:r>
        <w:rPr>
          <w:spacing w:val="-6"/>
        </w:rPr>
        <w:t> </w:t>
      </w:r>
      <w:r>
        <w:rPr/>
        <w:t>since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serves</w:t>
      </w:r>
      <w:r>
        <w:rPr>
          <w:spacing w:val="-3"/>
        </w:rPr>
        <w:t> </w:t>
      </w:r>
      <w:r>
        <w:rPr/>
        <w:t>as</w:t>
      </w:r>
      <w:r>
        <w:rPr>
          <w:spacing w:val="-57"/>
        </w:rPr>
        <w:t> </w:t>
      </w:r>
      <w:r>
        <w:rPr/>
        <w:t>an operating target that the Central Bank of Nigeria directly controls. The monetary policy stance</w:t>
      </w:r>
      <w:r>
        <w:rPr>
          <w:spacing w:val="-57"/>
        </w:rPr>
        <w:t> </w:t>
      </w:r>
      <w:r>
        <w:rPr/>
        <w:t>can be tight, neutral and loose. A tight, neutral and loose monetary policy means that the real</w:t>
      </w:r>
      <w:r>
        <w:rPr>
          <w:spacing w:val="1"/>
        </w:rPr>
        <w:t> </w:t>
      </w:r>
      <w:r>
        <w:rPr/>
        <w:t>interest rate is respectively decreasing, constant and increasing. In Table 3.9, it is shown that of</w:t>
      </w:r>
      <w:r>
        <w:rPr>
          <w:spacing w:val="1"/>
        </w:rPr>
        <w:t> </w:t>
      </w:r>
      <w:r>
        <w:rPr/>
        <w:t>the 46 observations over the period 1970-2015, the monetary stance was loose/easy in 24 years</w:t>
      </w:r>
      <w:r>
        <w:rPr>
          <w:spacing w:val="1"/>
        </w:rPr>
        <w:t> </w:t>
      </w:r>
      <w:r>
        <w:rPr/>
        <w:t>and tight for 22 years. Moreover, the average for the sample period indicates a loose monetary</w:t>
      </w:r>
      <w:r>
        <w:rPr>
          <w:spacing w:val="1"/>
        </w:rPr>
        <w:t> </w:t>
      </w:r>
      <w:r>
        <w:rPr/>
        <w:t>policy stance. The loose monetary policy stance of the Central Bank, over this period, means that</w:t>
      </w:r>
      <w:r>
        <w:rPr>
          <w:spacing w:val="-57"/>
        </w:rPr>
        <w:t> </w:t>
      </w:r>
      <w:r>
        <w:rPr/>
        <w:t>the CBN pursued primarily, the policy of lowering real interest rates in order to stimulate credit</w:t>
      </w:r>
      <w:r>
        <w:rPr>
          <w:spacing w:val="1"/>
        </w:rPr>
        <w:t> </w:t>
      </w:r>
      <w:r>
        <w:rPr/>
        <w:t>creation and investment borrowing in the economy. It also may reflect in a cursory manner, a</w:t>
      </w:r>
      <w:r>
        <w:rPr>
          <w:spacing w:val="1"/>
        </w:rPr>
        <w:t> </w:t>
      </w:r>
      <w:r>
        <w:rPr/>
        <w:t>loophole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Central Bank’s attempt</w:t>
      </w:r>
      <w:r>
        <w:rPr>
          <w:spacing w:val="-1"/>
        </w:rPr>
        <w:t> </w:t>
      </w:r>
      <w:r>
        <w:rPr/>
        <w:t>to combat inflationary</w:t>
      </w:r>
      <w:r>
        <w:rPr>
          <w:spacing w:val="-5"/>
        </w:rPr>
        <w:t> </w:t>
      </w:r>
      <w:r>
        <w:rPr/>
        <w:t>trend.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72" w:after="8"/>
        <w:ind w:left="1331" w:right="1335"/>
        <w:jc w:val="center"/>
      </w:pPr>
      <w:r>
        <w:rPr/>
        <w:t>Table</w:t>
      </w:r>
      <w:r>
        <w:rPr>
          <w:spacing w:val="-1"/>
        </w:rPr>
        <w:t> </w:t>
      </w:r>
      <w:r>
        <w:rPr/>
        <w:t>3.9: Monetary</w:t>
      </w:r>
      <w:r>
        <w:rPr>
          <w:spacing w:val="-5"/>
        </w:rPr>
        <w:t> </w:t>
      </w:r>
      <w:r>
        <w:rPr/>
        <w:t>Policy</w:t>
      </w:r>
      <w:r>
        <w:rPr>
          <w:spacing w:val="-5"/>
        </w:rPr>
        <w:t> </w:t>
      </w:r>
      <w:r>
        <w:rPr/>
        <w:t>Stance</w:t>
      </w:r>
      <w:r>
        <w:rPr>
          <w:spacing w:val="-1"/>
        </w:rPr>
        <w:t> </w:t>
      </w:r>
      <w:r>
        <w:rPr/>
        <w:t>in Some Selected Years</w:t>
      </w:r>
    </w:p>
    <w:tbl>
      <w:tblPr>
        <w:tblW w:w="0" w:type="auto"/>
        <w:jc w:val="left"/>
        <w:tblInd w:w="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4"/>
        <w:gridCol w:w="3115"/>
        <w:gridCol w:w="1085"/>
      </w:tblGrid>
      <w:tr>
        <w:trPr>
          <w:trHeight w:val="325" w:hRule="atLeast"/>
        </w:trPr>
        <w:tc>
          <w:tcPr>
            <w:tcW w:w="416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196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4200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2373"/>
              <w:rPr>
                <w:sz w:val="24"/>
              </w:rPr>
            </w:pPr>
            <w:r>
              <w:rPr>
                <w:sz w:val="24"/>
              </w:rPr>
              <w:t>RIR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Stance</w:t>
            </w:r>
          </w:p>
        </w:tc>
      </w:tr>
      <w:tr>
        <w:trPr>
          <w:trHeight w:val="297" w:hRule="atLeast"/>
        </w:trPr>
        <w:tc>
          <w:tcPr>
            <w:tcW w:w="41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0" w:right="2372"/>
              <w:jc w:val="right"/>
              <w:rPr>
                <w:sz w:val="24"/>
              </w:rPr>
            </w:pPr>
            <w:r>
              <w:rPr>
                <w:sz w:val="24"/>
              </w:rPr>
              <w:t>1970</w:t>
            </w:r>
          </w:p>
        </w:tc>
        <w:tc>
          <w:tcPr>
            <w:tcW w:w="31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-29.27</w:t>
            </w:r>
          </w:p>
        </w:tc>
        <w:tc>
          <w:tcPr>
            <w:tcW w:w="10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</w:tr>
      <w:tr>
        <w:trPr>
          <w:trHeight w:val="326" w:hRule="atLeast"/>
        </w:trPr>
        <w:tc>
          <w:tcPr>
            <w:tcW w:w="4164" w:type="dxa"/>
          </w:tcPr>
          <w:p>
            <w:pPr>
              <w:pStyle w:val="TableParagraph"/>
              <w:spacing w:before="20"/>
              <w:ind w:left="0" w:right="2372"/>
              <w:jc w:val="right"/>
              <w:rPr>
                <w:sz w:val="24"/>
              </w:rPr>
            </w:pPr>
            <w:r>
              <w:rPr>
                <w:sz w:val="24"/>
              </w:rPr>
              <w:t>1975</w:t>
            </w:r>
          </w:p>
        </w:tc>
        <w:tc>
          <w:tcPr>
            <w:tcW w:w="3115" w:type="dxa"/>
          </w:tcPr>
          <w:p>
            <w:pPr>
              <w:pStyle w:val="TableParagraph"/>
              <w:spacing w:before="20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-13.97</w:t>
            </w:r>
          </w:p>
        </w:tc>
        <w:tc>
          <w:tcPr>
            <w:tcW w:w="1085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</w:tr>
      <w:tr>
        <w:trPr>
          <w:trHeight w:val="326" w:hRule="atLeast"/>
        </w:trPr>
        <w:tc>
          <w:tcPr>
            <w:tcW w:w="4164" w:type="dxa"/>
          </w:tcPr>
          <w:p>
            <w:pPr>
              <w:pStyle w:val="TableParagraph"/>
              <w:spacing w:before="20"/>
              <w:ind w:left="0" w:right="2372"/>
              <w:jc w:val="right"/>
              <w:rPr>
                <w:sz w:val="24"/>
              </w:rPr>
            </w:pPr>
            <w:r>
              <w:rPr>
                <w:sz w:val="24"/>
              </w:rPr>
              <w:t>1980</w:t>
            </w:r>
          </w:p>
        </w:tc>
        <w:tc>
          <w:tcPr>
            <w:tcW w:w="3115" w:type="dxa"/>
          </w:tcPr>
          <w:p>
            <w:pPr>
              <w:pStyle w:val="TableParagraph"/>
              <w:spacing w:before="20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-3.55</w:t>
            </w:r>
          </w:p>
        </w:tc>
        <w:tc>
          <w:tcPr>
            <w:tcW w:w="1085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</w:tr>
      <w:tr>
        <w:trPr>
          <w:trHeight w:val="326" w:hRule="atLeast"/>
        </w:trPr>
        <w:tc>
          <w:tcPr>
            <w:tcW w:w="4164" w:type="dxa"/>
          </w:tcPr>
          <w:p>
            <w:pPr>
              <w:pStyle w:val="TableParagraph"/>
              <w:spacing w:before="20"/>
              <w:ind w:left="0" w:right="2372"/>
              <w:jc w:val="right"/>
              <w:rPr>
                <w:sz w:val="24"/>
              </w:rPr>
            </w:pPr>
            <w:r>
              <w:rPr>
                <w:sz w:val="24"/>
              </w:rPr>
              <w:t>1985</w:t>
            </w:r>
          </w:p>
        </w:tc>
        <w:tc>
          <w:tcPr>
            <w:tcW w:w="3115" w:type="dxa"/>
          </w:tcPr>
          <w:p>
            <w:pPr>
              <w:pStyle w:val="TableParagraph"/>
              <w:spacing w:before="20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3.69</w:t>
            </w:r>
          </w:p>
        </w:tc>
        <w:tc>
          <w:tcPr>
            <w:tcW w:w="1085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Tight</w:t>
            </w:r>
          </w:p>
        </w:tc>
      </w:tr>
      <w:tr>
        <w:trPr>
          <w:trHeight w:val="326" w:hRule="atLeast"/>
        </w:trPr>
        <w:tc>
          <w:tcPr>
            <w:tcW w:w="4164" w:type="dxa"/>
          </w:tcPr>
          <w:p>
            <w:pPr>
              <w:pStyle w:val="TableParagraph"/>
              <w:spacing w:before="20"/>
              <w:ind w:left="0" w:right="2372"/>
              <w:jc w:val="right"/>
              <w:rPr>
                <w:sz w:val="24"/>
              </w:rPr>
            </w:pPr>
            <w:r>
              <w:rPr>
                <w:sz w:val="24"/>
              </w:rPr>
              <w:t>1990</w:t>
            </w:r>
          </w:p>
        </w:tc>
        <w:tc>
          <w:tcPr>
            <w:tcW w:w="3115" w:type="dxa"/>
          </w:tcPr>
          <w:p>
            <w:pPr>
              <w:pStyle w:val="TableParagraph"/>
              <w:spacing w:before="20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14.65</w:t>
            </w:r>
          </w:p>
        </w:tc>
        <w:tc>
          <w:tcPr>
            <w:tcW w:w="1085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Tight</w:t>
            </w:r>
          </w:p>
        </w:tc>
      </w:tr>
      <w:tr>
        <w:trPr>
          <w:trHeight w:val="325" w:hRule="atLeast"/>
        </w:trPr>
        <w:tc>
          <w:tcPr>
            <w:tcW w:w="4164" w:type="dxa"/>
          </w:tcPr>
          <w:p>
            <w:pPr>
              <w:pStyle w:val="TableParagraph"/>
              <w:spacing w:before="20"/>
              <w:ind w:left="0" w:right="2372"/>
              <w:jc w:val="right"/>
              <w:rPr>
                <w:sz w:val="24"/>
              </w:rPr>
            </w:pPr>
            <w:r>
              <w:rPr>
                <w:sz w:val="24"/>
              </w:rPr>
              <w:t>1995</w:t>
            </w:r>
          </w:p>
        </w:tc>
        <w:tc>
          <w:tcPr>
            <w:tcW w:w="3115" w:type="dxa"/>
          </w:tcPr>
          <w:p>
            <w:pPr>
              <w:pStyle w:val="TableParagraph"/>
              <w:spacing w:before="20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-43.57</w:t>
            </w:r>
          </w:p>
        </w:tc>
        <w:tc>
          <w:tcPr>
            <w:tcW w:w="1085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</w:tr>
      <w:tr>
        <w:trPr>
          <w:trHeight w:val="325" w:hRule="atLeast"/>
        </w:trPr>
        <w:tc>
          <w:tcPr>
            <w:tcW w:w="4164" w:type="dxa"/>
          </w:tcPr>
          <w:p>
            <w:pPr>
              <w:pStyle w:val="TableParagraph"/>
              <w:spacing w:before="19"/>
              <w:ind w:left="0" w:right="2372"/>
              <w:jc w:val="right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3115" w:type="dxa"/>
          </w:tcPr>
          <w:p>
            <w:pPr>
              <w:pStyle w:val="TableParagraph"/>
              <w:spacing w:before="19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-10.32</w:t>
            </w:r>
          </w:p>
        </w:tc>
        <w:tc>
          <w:tcPr>
            <w:tcW w:w="1085" w:type="dxa"/>
          </w:tcPr>
          <w:p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</w:tr>
      <w:tr>
        <w:trPr>
          <w:trHeight w:val="326" w:hRule="atLeast"/>
        </w:trPr>
        <w:tc>
          <w:tcPr>
            <w:tcW w:w="4164" w:type="dxa"/>
          </w:tcPr>
          <w:p>
            <w:pPr>
              <w:pStyle w:val="TableParagraph"/>
              <w:spacing w:before="20"/>
              <w:ind w:left="0" w:right="2372"/>
              <w:jc w:val="right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3115" w:type="dxa"/>
          </w:tcPr>
          <w:p>
            <w:pPr>
              <w:pStyle w:val="TableParagraph"/>
              <w:spacing w:before="20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-3.34</w:t>
            </w:r>
          </w:p>
        </w:tc>
        <w:tc>
          <w:tcPr>
            <w:tcW w:w="1085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</w:tr>
      <w:tr>
        <w:trPr>
          <w:trHeight w:val="326" w:hRule="atLeast"/>
        </w:trPr>
        <w:tc>
          <w:tcPr>
            <w:tcW w:w="4164" w:type="dxa"/>
          </w:tcPr>
          <w:p>
            <w:pPr>
              <w:pStyle w:val="TableParagraph"/>
              <w:spacing w:before="20"/>
              <w:ind w:left="0" w:right="2372"/>
              <w:jc w:val="righ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3115" w:type="dxa"/>
          </w:tcPr>
          <w:p>
            <w:pPr>
              <w:pStyle w:val="TableParagraph"/>
              <w:spacing w:before="20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-42.31</w:t>
            </w:r>
          </w:p>
        </w:tc>
        <w:tc>
          <w:tcPr>
            <w:tcW w:w="1085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</w:tr>
      <w:tr>
        <w:trPr>
          <w:trHeight w:val="326" w:hRule="atLeast"/>
        </w:trPr>
        <w:tc>
          <w:tcPr>
            <w:tcW w:w="4164" w:type="dxa"/>
          </w:tcPr>
          <w:p>
            <w:pPr>
              <w:pStyle w:val="TableParagraph"/>
              <w:spacing w:before="20"/>
              <w:ind w:left="0" w:right="2372"/>
              <w:jc w:val="right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  <w:tc>
          <w:tcPr>
            <w:tcW w:w="3115" w:type="dxa"/>
          </w:tcPr>
          <w:p>
            <w:pPr>
              <w:pStyle w:val="TableParagraph"/>
              <w:spacing w:before="20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-0.37</w:t>
            </w:r>
          </w:p>
        </w:tc>
        <w:tc>
          <w:tcPr>
            <w:tcW w:w="1085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</w:tr>
      <w:tr>
        <w:trPr>
          <w:trHeight w:val="326" w:hRule="atLeast"/>
        </w:trPr>
        <w:tc>
          <w:tcPr>
            <w:tcW w:w="4164" w:type="dxa"/>
          </w:tcPr>
          <w:p>
            <w:pPr>
              <w:pStyle w:val="TableParagraph"/>
              <w:spacing w:before="20"/>
              <w:ind w:left="0" w:right="2372"/>
              <w:jc w:val="right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3115" w:type="dxa"/>
          </w:tcPr>
          <w:p>
            <w:pPr>
              <w:pStyle w:val="TableParagraph"/>
              <w:spacing w:before="20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10.25</w:t>
            </w:r>
          </w:p>
        </w:tc>
        <w:tc>
          <w:tcPr>
            <w:tcW w:w="1085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Tight</w:t>
            </w:r>
          </w:p>
        </w:tc>
      </w:tr>
      <w:tr>
        <w:trPr>
          <w:trHeight w:val="325" w:hRule="atLeast"/>
        </w:trPr>
        <w:tc>
          <w:tcPr>
            <w:tcW w:w="4164" w:type="dxa"/>
          </w:tcPr>
          <w:p>
            <w:pPr>
              <w:pStyle w:val="TableParagraph"/>
              <w:spacing w:before="20"/>
              <w:ind w:left="0" w:right="2372"/>
              <w:jc w:val="right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3115" w:type="dxa"/>
          </w:tcPr>
          <w:p>
            <w:pPr>
              <w:pStyle w:val="TableParagraph"/>
              <w:spacing w:before="20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1085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Tight</w:t>
            </w:r>
          </w:p>
        </w:tc>
      </w:tr>
      <w:tr>
        <w:trPr>
          <w:trHeight w:val="355" w:hRule="atLeast"/>
        </w:trPr>
        <w:tc>
          <w:tcPr>
            <w:tcW w:w="41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9"/>
              <w:ind w:left="896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  <w:tc>
          <w:tcPr>
            <w:tcW w:w="31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9"/>
              <w:ind w:left="0" w:right="10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-2.01</w:t>
            </w:r>
          </w:p>
        </w:tc>
        <w:tc>
          <w:tcPr>
            <w:tcW w:w="10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</w:tr>
    </w:tbl>
    <w:p>
      <w:pPr>
        <w:pStyle w:val="BodyText"/>
        <w:ind w:left="500" w:right="729"/>
      </w:pPr>
      <w:r>
        <w:rPr/>
        <w:t>Source:</w:t>
      </w:r>
      <w:r>
        <w:rPr>
          <w:spacing w:val="-1"/>
        </w:rPr>
        <w:t> </w:t>
      </w:r>
      <w:r>
        <w:rPr/>
        <w:t>CBN</w:t>
      </w:r>
      <w:r>
        <w:rPr>
          <w:spacing w:val="-1"/>
        </w:rPr>
        <w:t> </w:t>
      </w:r>
      <w:r>
        <w:rPr/>
        <w:t>Statistical</w:t>
      </w:r>
      <w:r>
        <w:rPr>
          <w:spacing w:val="2"/>
        </w:rPr>
        <w:t> </w:t>
      </w:r>
      <w:r>
        <w:rPr/>
        <w:t>Bulletin</w:t>
      </w:r>
      <w:r>
        <w:rPr>
          <w:spacing w:val="-1"/>
        </w:rPr>
        <w:t> </w:t>
      </w:r>
      <w:r>
        <w:rPr/>
        <w:t>(2015).</w:t>
      </w:r>
      <w:r>
        <w:rPr>
          <w:spacing w:val="-1"/>
        </w:rPr>
        <w:t> </w:t>
      </w:r>
      <w:r>
        <w:rPr/>
        <w:t>*Easy</w:t>
      </w:r>
      <w:r>
        <w:rPr>
          <w:spacing w:val="-5"/>
        </w:rPr>
        <w:t> </w:t>
      </w:r>
      <w:r>
        <w:rPr/>
        <w:t>monetary</w:t>
      </w:r>
      <w:r>
        <w:rPr>
          <w:spacing w:val="-6"/>
        </w:rPr>
        <w:t> </w:t>
      </w:r>
      <w:r>
        <w:rPr/>
        <w:t>policy</w:t>
      </w:r>
      <w:r>
        <w:rPr>
          <w:spacing w:val="-6"/>
        </w:rPr>
        <w:t> </w:t>
      </w:r>
      <w:r>
        <w:rPr/>
        <w:t>is associated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negative</w:t>
      </w:r>
      <w:r>
        <w:rPr>
          <w:spacing w:val="-57"/>
        </w:rPr>
        <w:t> </w:t>
      </w:r>
      <w:r>
        <w:rPr/>
        <w:t>values</w:t>
      </w:r>
    </w:p>
    <w:p>
      <w:pPr>
        <w:pStyle w:val="BodyText"/>
        <w:spacing w:before="4"/>
        <w:rPr>
          <w:sz w:val="23"/>
        </w:rPr>
      </w:pPr>
    </w:p>
    <w:p>
      <w:pPr>
        <w:pStyle w:val="Heading1"/>
        <w:numPr>
          <w:ilvl w:val="0"/>
          <w:numId w:val="19"/>
        </w:numPr>
        <w:tabs>
          <w:tab w:pos="1221" w:val="left" w:leader="none"/>
        </w:tabs>
        <w:spacing w:line="240" w:lineRule="auto" w:before="0" w:after="0"/>
        <w:ind w:left="1220" w:right="0" w:hanging="361"/>
        <w:jc w:val="left"/>
      </w:pPr>
      <w:r>
        <w:rPr/>
        <w:t>Total</w:t>
      </w:r>
      <w:r>
        <w:rPr>
          <w:spacing w:val="-7"/>
        </w:rPr>
        <w:t> </w:t>
      </w:r>
      <w:r>
        <w:rPr/>
        <w:t>Government</w:t>
      </w:r>
      <w:r>
        <w:rPr>
          <w:spacing w:val="-6"/>
        </w:rPr>
        <w:t> </w:t>
      </w:r>
      <w:r>
        <w:rPr/>
        <w:t>Expenditure</w:t>
      </w:r>
      <w:r>
        <w:rPr>
          <w:spacing w:val="-3"/>
        </w:rPr>
        <w:t> </w:t>
      </w:r>
      <w:r>
        <w:rPr/>
        <w:t>has</w:t>
      </w:r>
      <w:r>
        <w:rPr>
          <w:spacing w:val="-6"/>
        </w:rPr>
        <w:t> </w:t>
      </w:r>
      <w:r>
        <w:rPr/>
        <w:t>been</w:t>
      </w:r>
      <w:r>
        <w:rPr>
          <w:spacing w:val="-6"/>
        </w:rPr>
        <w:t> </w:t>
      </w:r>
      <w:r>
        <w:rPr/>
        <w:t>increasing</w:t>
      </w:r>
      <w:r>
        <w:rPr>
          <w:spacing w:val="-6"/>
        </w:rPr>
        <w:t> </w:t>
      </w:r>
      <w:r>
        <w:rPr/>
        <w:t>over</w:t>
      </w:r>
      <w:r>
        <w:rPr>
          <w:spacing w:val="-6"/>
        </w:rPr>
        <w:t> </w:t>
      </w:r>
      <w:r>
        <w:rPr/>
        <w:t>time</w:t>
      </w:r>
    </w:p>
    <w:p>
      <w:pPr>
        <w:pStyle w:val="BodyText"/>
        <w:spacing w:line="360" w:lineRule="auto" w:before="238"/>
        <w:ind w:left="500" w:right="496"/>
        <w:jc w:val="both"/>
      </w:pPr>
      <w:r>
        <w:rPr/>
        <w:t>The</w:t>
      </w:r>
      <w:r>
        <w:rPr>
          <w:spacing w:val="-6"/>
        </w:rPr>
        <w:t> </w:t>
      </w:r>
      <w:r>
        <w:rPr/>
        <w:t>trend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Total</w:t>
      </w:r>
      <w:r>
        <w:rPr>
          <w:spacing w:val="-3"/>
        </w:rPr>
        <w:t> </w:t>
      </w:r>
      <w:r>
        <w:rPr/>
        <w:t>Government</w:t>
      </w:r>
      <w:r>
        <w:rPr>
          <w:spacing w:val="-3"/>
        </w:rPr>
        <w:t> </w:t>
      </w:r>
      <w:r>
        <w:rPr/>
        <w:t>spending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shown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Figure</w:t>
      </w:r>
      <w:r>
        <w:rPr>
          <w:spacing w:val="-6"/>
        </w:rPr>
        <w:t> </w:t>
      </w:r>
      <w:r>
        <w:rPr/>
        <w:t>3.2</w:t>
      </w:r>
      <w:r>
        <w:rPr>
          <w:spacing w:val="-4"/>
        </w:rPr>
        <w:t> </w:t>
      </w:r>
      <w:r>
        <w:rPr/>
        <w:t>provides</w:t>
      </w:r>
      <w:r>
        <w:rPr>
          <w:spacing w:val="-1"/>
        </w:rPr>
        <w:t> </w:t>
      </w:r>
      <w:r>
        <w:rPr/>
        <w:t>preliminary</w:t>
      </w:r>
      <w:r>
        <w:rPr>
          <w:spacing w:val="-9"/>
        </w:rPr>
        <w:t> </w:t>
      </w:r>
      <w:r>
        <w:rPr/>
        <w:t>evidence</w:t>
      </w:r>
      <w:r>
        <w:rPr>
          <w:spacing w:val="-5"/>
        </w:rPr>
        <w:t> </w:t>
      </w:r>
      <w:r>
        <w:rPr/>
        <w:t>of</w:t>
      </w:r>
      <w:r>
        <w:rPr>
          <w:spacing w:val="-58"/>
        </w:rPr>
        <w:t> </w:t>
      </w:r>
      <w:r>
        <w:rPr/>
        <w:t>the expansionary nature of fiscal policy in Nigeria. Figure 3.2 reveals that since 1961, there has</w:t>
      </w:r>
      <w:r>
        <w:rPr>
          <w:spacing w:val="1"/>
        </w:rPr>
        <w:t> </w:t>
      </w:r>
      <w:r>
        <w:rPr/>
        <w:t>been a rising trend in Government spending pattern. For example, government expenditure stood</w:t>
      </w:r>
      <w:r>
        <w:rPr>
          <w:spacing w:val="-57"/>
        </w:rPr>
        <w:t> </w:t>
      </w:r>
      <w:r>
        <w:rPr/>
        <w:t>at N163.90 million in 1961, but by 2013 and 2015, it had spiralled upwards to N 5.1 and N4.98</w:t>
      </w:r>
      <w:r>
        <w:rPr>
          <w:spacing w:val="1"/>
        </w:rPr>
        <w:t> </w:t>
      </w:r>
      <w:r>
        <w:rPr/>
        <w:t>trillion. This reflects the increased intervention of government in the Nigerian economy and that</w:t>
      </w:r>
      <w:r>
        <w:rPr>
          <w:spacing w:val="1"/>
        </w:rPr>
        <w:t> </w:t>
      </w:r>
      <w:r>
        <w:rPr/>
        <w:t>indicates</w:t>
      </w:r>
      <w:r>
        <w:rPr>
          <w:spacing w:val="-1"/>
        </w:rPr>
        <w:t> </w:t>
      </w:r>
      <w:r>
        <w:rPr/>
        <w:t>a growing</w:t>
      </w:r>
      <w:r>
        <w:rPr>
          <w:spacing w:val="-1"/>
        </w:rPr>
        <w:t> </w:t>
      </w:r>
      <w:r>
        <w:rPr/>
        <w:t>government sector.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0"/>
        <w:ind w:left="500" w:right="3748"/>
      </w:pPr>
      <w:r>
        <w:rPr/>
        <w:pict>
          <v:group style="position:absolute;margin-left:76.615326pt;margin-top:-288.949615pt;width:380.35pt;height:276.45pt;mso-position-horizontal-relative:page;mso-position-vertical-relative:paragraph;z-index:15730176" coordorigin="1532,-5779" coordsize="7607,5529">
            <v:rect style="position:absolute;left:1532;top:-5779;width:7607;height:5529" filled="true" fillcolor="#eaf1f3" stroked="false">
              <v:fill type="solid"/>
            </v:rect>
            <v:rect style="position:absolute;left:2284;top:-5586;width:6660;height:4583" filled="true" fillcolor="#ffffff" stroked="false">
              <v:fill type="solid"/>
            </v:rect>
            <v:shape style="position:absolute;left:2284;top:-5318;width:6665;height:4209" coordorigin="2285,-5318" coordsize="6665,4209" path="m8949,-1127l2285,-1127,2285,-1109,8949,-1109,8949,-1127xm8949,-1967l2285,-1967,2285,-1948,8949,-1948,8949,-1967xm8949,-2802l2285,-2802,2285,-2784,8949,-2784,8949,-2802xm8949,-3642l2285,-3642,2285,-3624,8949,-3624,8949,-3642xm8949,-4478l2285,-4478,2285,-4459,8949,-4459,8949,-4478xm8949,-5318l2285,-5318,2285,-5299,8949,-5299,8949,-5318xe" filled="true" fillcolor="#eaf1f3" stroked="false">
              <v:path arrowok="t"/>
              <v:fill type="solid"/>
            </v:shape>
            <v:shape style="position:absolute;left:2510;top:-5466;width:5784;height:4348" coordorigin="2511,-5465" coordsize="5784,4348" path="m2511,-1118l2617,-1118,2728,-1118,2834,-1118,2940,-1118,3046,-1118,3152,-1118,3263,-1118,3369,-1118,3475,-1118,3581,-1118,3688,-1118,3799,-1118,3905,-1123,4011,-1123,4117,-1123,4223,-1127,4334,-1127,4440,-1123,4546,-1132,4652,-1127,4758,-1127,4865,-1127,4975,-1127,5082,-1127,5188,-1132,5294,-1137,5400,-1141,5511,-1155,5617,-1169,5723,-1173,5829,-1196,5935,-1279,6046,-1252,6152,-1325,6259,-1400,6365,-1478,6471,-1524,6581,-1912,6688,-1704,6794,-1972,6900,-1972,7006,-2147,7112,-2313,7223,-2646,7329,-2742,7435,-3172,7542,-3836,7648,-4011,7758,-4635,7864,-4722,7971,-4976,8077,-5465,8183,-4962,8294,-5299e" filled="false" stroked="true" strokeweight=".923234pt" strokecolor="#1a466e">
              <v:path arrowok="t"/>
              <v:stroke dashstyle="solid"/>
            </v:shape>
            <v:shape style="position:absolute;left:2206;top:-5586;width:6744;height:4666" coordorigin="2206,-5585" coordsize="6744,4666" path="m2285,-998l2285,-5585m2285,-1118l2206,-1118m2285,-1958l2206,-1958m2285,-2793l2206,-2793m2285,-3633l2206,-3633m2285,-4468l2206,-4468m2285,-5308l2206,-5308m2285,-998l8949,-998m2405,-998l2405,-919m4546,-998l4546,-919m6688,-998l6688,-919m8829,-998l8829,-919e" filled="false" stroked="true" strokeweight=".461599pt" strokecolor="#000000">
              <v:path arrowok="t"/>
              <v:stroke dashstyle="solid"/>
            </v:shape>
            <v:shape style="position:absolute;left:2192;top:-883;width:445;height:217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1960</w:t>
                    </w:r>
                  </w:p>
                </w:txbxContent>
              </v:textbox>
              <w10:wrap type="none"/>
            </v:shape>
            <v:shape style="position:absolute;left:4333;top:-883;width:445;height:217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1980</w:t>
                    </w:r>
                  </w:p>
                </w:txbxContent>
              </v:textbox>
              <w10:wrap type="none"/>
            </v:shape>
            <v:shape style="position:absolute;left:6475;top:-883;width:445;height:217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8616;top:-883;width:445;height:217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5413;top:-694;width:427;height:217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Year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6.610374pt;margin-top:-59.736553pt;width:12.85pt;height:7.4pt;mso-position-horizontal-relative:page;mso-position-vertical-relative:paragraph;z-index:15730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9"/>
                    </w:rPr>
                  </w:pPr>
                  <w:r>
                    <w:rPr>
                      <w:rFonts w:ascii="Arial MT"/>
                      <w:w w:val="102"/>
                      <w:sz w:val="19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t>Figure 3.2: Trend in Total Government Expenditure 1960-2015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CBN Statistical</w:t>
      </w:r>
      <w:r>
        <w:rPr>
          <w:spacing w:val="2"/>
        </w:rPr>
        <w:t> </w:t>
      </w:r>
      <w:r>
        <w:rPr/>
        <w:t>Bulletin</w:t>
      </w:r>
      <w:r>
        <w:rPr>
          <w:spacing w:val="-1"/>
        </w:rPr>
        <w:t> </w:t>
      </w:r>
      <w:r>
        <w:rPr/>
        <w:t>(2013, 2015)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60" w:lineRule="auto"/>
        <w:ind w:left="500" w:right="492"/>
        <w:jc w:val="both"/>
      </w:pPr>
      <w:r>
        <w:rPr/>
        <w:t>In</w:t>
      </w:r>
      <w:r>
        <w:rPr>
          <w:spacing w:val="-10"/>
        </w:rPr>
        <w:t> </w:t>
      </w:r>
      <w:r>
        <w:rPr/>
        <w:t>terms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per</w:t>
      </w:r>
      <w:r>
        <w:rPr>
          <w:spacing w:val="-10"/>
        </w:rPr>
        <w:t> </w:t>
      </w:r>
      <w:r>
        <w:rPr/>
        <w:t>cent</w:t>
      </w:r>
      <w:r>
        <w:rPr>
          <w:spacing w:val="-8"/>
        </w:rPr>
        <w:t> </w:t>
      </w:r>
      <w:r>
        <w:rPr/>
        <w:t>growth,</w:t>
      </w:r>
      <w:r>
        <w:rPr>
          <w:spacing w:val="-11"/>
        </w:rPr>
        <w:t> </w:t>
      </w:r>
      <w:r>
        <w:rPr/>
        <w:t>Total</w:t>
      </w:r>
      <w:r>
        <w:rPr>
          <w:spacing w:val="-9"/>
        </w:rPr>
        <w:t> </w:t>
      </w:r>
      <w:r>
        <w:rPr/>
        <w:t>Government</w:t>
      </w:r>
      <w:r>
        <w:rPr>
          <w:spacing w:val="-11"/>
        </w:rPr>
        <w:t> </w:t>
      </w:r>
      <w:r>
        <w:rPr/>
        <w:t>Expenditure</w:t>
      </w:r>
      <w:r>
        <w:rPr>
          <w:spacing w:val="-10"/>
        </w:rPr>
        <w:t> </w:t>
      </w:r>
      <w:r>
        <w:rPr/>
        <w:t>grew</w:t>
      </w:r>
      <w:r>
        <w:rPr>
          <w:spacing w:val="-12"/>
        </w:rPr>
        <w:t> </w:t>
      </w:r>
      <w:r>
        <w:rPr/>
        <w:t>from</w:t>
      </w:r>
      <w:r>
        <w:rPr>
          <w:spacing w:val="-11"/>
        </w:rPr>
        <w:t> </w:t>
      </w:r>
      <w:r>
        <w:rPr/>
        <w:t>22.81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cent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period</w:t>
      </w:r>
      <w:r>
        <w:rPr>
          <w:spacing w:val="-58"/>
        </w:rPr>
        <w:t> </w:t>
      </w:r>
      <w:r>
        <w:rPr/>
        <w:t>1961-1970 to 38.25 per cent in the 70s. This upward trend is closely linked to revenue accrued</w:t>
      </w:r>
      <w:r>
        <w:rPr>
          <w:spacing w:val="1"/>
        </w:rPr>
        <w:t> </w:t>
      </w:r>
      <w:r>
        <w:rPr/>
        <w:t>from the oil boom of the early 1970s. In the period from 1981 to 1990, government expenditure</w:t>
      </w:r>
      <w:r>
        <w:rPr>
          <w:spacing w:val="1"/>
        </w:rPr>
        <w:t> </w:t>
      </w:r>
      <w:r>
        <w:rPr/>
        <w:t>declined to 17.68 per cent largely due to the austerity measures in the 80s. By the period 1991-</w:t>
      </w:r>
      <w:r>
        <w:rPr>
          <w:spacing w:val="1"/>
        </w:rPr>
        <w:t> </w:t>
      </w:r>
      <w:r>
        <w:rPr/>
        <w:t>2000, Total Government Expenditure rebounded to 33.95 per cent before it reduced to 14.82 per</w:t>
      </w:r>
      <w:r>
        <w:rPr>
          <w:spacing w:val="1"/>
        </w:rPr>
        <w:t> </w:t>
      </w:r>
      <w:r>
        <w:rPr/>
        <w:t>cent over the period of 2000-2015, as shown in Table 3.10. The pattern of growth in the total</w:t>
      </w:r>
      <w:r>
        <w:rPr>
          <w:spacing w:val="1"/>
        </w:rPr>
        <w:t> </w:t>
      </w:r>
      <w:r>
        <w:rPr/>
        <w:t>Government Expenditure across the various decades, especially in the 70s and 80s, mirrors the</w:t>
      </w:r>
      <w:r>
        <w:rPr>
          <w:spacing w:val="1"/>
        </w:rPr>
        <w:t> </w:t>
      </w:r>
      <w:r>
        <w:rPr/>
        <w:t>procyclical nature of fiscal policy in Nigeria. The procyclical stance shows that the direction of</w:t>
      </w:r>
      <w:r>
        <w:rPr>
          <w:spacing w:val="1"/>
        </w:rPr>
        <w:t> </w:t>
      </w:r>
      <w:r>
        <w:rPr>
          <w:spacing w:val="-1"/>
        </w:rPr>
        <w:t>government</w:t>
      </w:r>
      <w:r>
        <w:rPr>
          <w:spacing w:val="-12"/>
        </w:rPr>
        <w:t> </w:t>
      </w:r>
      <w:r>
        <w:rPr>
          <w:spacing w:val="-1"/>
        </w:rPr>
        <w:t>spending</w:t>
      </w:r>
      <w:r>
        <w:rPr>
          <w:spacing w:val="-15"/>
        </w:rPr>
        <w:t> </w:t>
      </w:r>
      <w:r>
        <w:rPr/>
        <w:t>correlates</w:t>
      </w:r>
      <w:r>
        <w:rPr>
          <w:spacing w:val="-12"/>
        </w:rPr>
        <w:t> </w:t>
      </w:r>
      <w:r>
        <w:rPr/>
        <w:t>positively</w:t>
      </w:r>
      <w:r>
        <w:rPr>
          <w:spacing w:val="-16"/>
        </w:rPr>
        <w:t> </w:t>
      </w:r>
      <w:r>
        <w:rPr/>
        <w:t>with</w:t>
      </w:r>
      <w:r>
        <w:rPr>
          <w:spacing w:val="-12"/>
        </w:rPr>
        <w:t> </w:t>
      </w:r>
      <w:r>
        <w:rPr/>
        <w:t>movements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oil</w:t>
      </w:r>
      <w:r>
        <w:rPr>
          <w:spacing w:val="-11"/>
        </w:rPr>
        <w:t> </w:t>
      </w:r>
      <w:r>
        <w:rPr/>
        <w:t>prices</w:t>
      </w:r>
      <w:r>
        <w:rPr>
          <w:spacing w:val="-12"/>
        </w:rPr>
        <w:t> </w:t>
      </w:r>
      <w:r>
        <w:rPr/>
        <w:t>and</w:t>
      </w:r>
      <w:r>
        <w:rPr>
          <w:spacing w:val="-15"/>
        </w:rPr>
        <w:t> </w:t>
      </w:r>
      <w:r>
        <w:rPr/>
        <w:t>thus,</w:t>
      </w:r>
      <w:r>
        <w:rPr>
          <w:spacing w:val="-11"/>
        </w:rPr>
        <w:t> </w:t>
      </w:r>
      <w:r>
        <w:rPr/>
        <w:t>oil</w:t>
      </w:r>
      <w:r>
        <w:rPr>
          <w:spacing w:val="-12"/>
        </w:rPr>
        <w:t> </w:t>
      </w:r>
      <w:r>
        <w:rPr/>
        <w:t>revenue.</w:t>
      </w:r>
      <w:r>
        <w:rPr>
          <w:spacing w:val="-12"/>
        </w:rPr>
        <w:t> </w:t>
      </w:r>
      <w:r>
        <w:rPr/>
        <w:t>This</w:t>
      </w:r>
      <w:r>
        <w:rPr>
          <w:spacing w:val="-57"/>
        </w:rPr>
        <w:t> </w:t>
      </w:r>
      <w:r>
        <w:rPr/>
        <w:t>means that government spending rises with increased oil revenue and falls when the oil revenue</w:t>
      </w:r>
      <w:r>
        <w:rPr>
          <w:spacing w:val="1"/>
        </w:rPr>
        <w:t> </w:t>
      </w:r>
      <w:r>
        <w:rPr/>
        <w:t>dwindles.</w:t>
      </w:r>
    </w:p>
    <w:p>
      <w:pPr>
        <w:spacing w:after="0" w:line="360" w:lineRule="auto"/>
        <w:jc w:val="both"/>
        <w:sectPr>
          <w:pgSz w:w="12240" w:h="15840"/>
          <w:pgMar w:header="0" w:footer="935" w:top="1500" w:bottom="1200" w:left="940" w:right="940"/>
        </w:sectPr>
      </w:pPr>
    </w:p>
    <w:p>
      <w:pPr>
        <w:pStyle w:val="BodyText"/>
        <w:spacing w:before="72" w:after="8"/>
        <w:ind w:left="2120"/>
      </w:pPr>
      <w:r>
        <w:rPr/>
        <w:t>Table</w:t>
      </w:r>
      <w:r>
        <w:rPr>
          <w:spacing w:val="-1"/>
        </w:rPr>
        <w:t> </w:t>
      </w:r>
      <w:r>
        <w:rPr/>
        <w:t>3.10:</w:t>
      </w:r>
      <w:r>
        <w:rPr>
          <w:spacing w:val="-1"/>
        </w:rPr>
        <w:t> </w:t>
      </w:r>
      <w:r>
        <w:rPr/>
        <w:t>Growth</w:t>
      </w:r>
      <w:r>
        <w:rPr>
          <w:spacing w:val="-1"/>
        </w:rPr>
        <w:t> </w:t>
      </w:r>
      <w:r>
        <w:rPr/>
        <w:t>in Total</w:t>
      </w:r>
      <w:r>
        <w:rPr>
          <w:spacing w:val="-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Expenditure</w:t>
      </w:r>
      <w:r>
        <w:rPr>
          <w:spacing w:val="-3"/>
        </w:rPr>
        <w:t> </w:t>
      </w:r>
      <w:r>
        <w:rPr/>
        <w:t>(percent)</w:t>
      </w:r>
    </w:p>
    <w:tbl>
      <w:tblPr>
        <w:tblW w:w="0" w:type="auto"/>
        <w:jc w:val="left"/>
        <w:tblInd w:w="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8"/>
        <w:gridCol w:w="1303"/>
        <w:gridCol w:w="1259"/>
        <w:gridCol w:w="1439"/>
        <w:gridCol w:w="1439"/>
        <w:gridCol w:w="1708"/>
      </w:tblGrid>
      <w:tr>
        <w:trPr>
          <w:trHeight w:val="413" w:hRule="atLeast"/>
        </w:trPr>
        <w:tc>
          <w:tcPr>
            <w:tcW w:w="18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Period</w:t>
            </w:r>
          </w:p>
        </w:tc>
        <w:tc>
          <w:tcPr>
            <w:tcW w:w="130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1962-1970</w:t>
            </w:r>
          </w:p>
        </w:tc>
        <w:tc>
          <w:tcPr>
            <w:tcW w:w="125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1971-1980</w:t>
            </w:r>
          </w:p>
        </w:tc>
        <w:tc>
          <w:tcPr>
            <w:tcW w:w="14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1981-1990</w:t>
            </w:r>
          </w:p>
        </w:tc>
        <w:tc>
          <w:tcPr>
            <w:tcW w:w="14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1991-2000</w:t>
            </w:r>
          </w:p>
        </w:tc>
        <w:tc>
          <w:tcPr>
            <w:tcW w:w="170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2001-2015</w:t>
            </w:r>
          </w:p>
        </w:tc>
      </w:tr>
      <w:tr>
        <w:trPr>
          <w:trHeight w:val="1035" w:hRule="atLeast"/>
        </w:trPr>
        <w:tc>
          <w:tcPr>
            <w:tcW w:w="18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357" w:lineRule="auto"/>
              <w:ind w:right="87"/>
              <w:rPr>
                <w:sz w:val="20"/>
              </w:rPr>
            </w:pPr>
            <w:r>
              <w:rPr>
                <w:sz w:val="20"/>
              </w:rPr>
              <w:t>Average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Growth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Total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Government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Expenditure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  <w:tc>
          <w:tcPr>
            <w:tcW w:w="130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22.81</w:t>
            </w:r>
          </w:p>
        </w:tc>
        <w:tc>
          <w:tcPr>
            <w:tcW w:w="125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38.25</w:t>
            </w:r>
          </w:p>
        </w:tc>
        <w:tc>
          <w:tcPr>
            <w:tcW w:w="14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17.68</w:t>
            </w:r>
          </w:p>
        </w:tc>
        <w:tc>
          <w:tcPr>
            <w:tcW w:w="14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33.95</w:t>
            </w:r>
          </w:p>
        </w:tc>
        <w:tc>
          <w:tcPr>
            <w:tcW w:w="170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14.82</w:t>
            </w:r>
          </w:p>
        </w:tc>
      </w:tr>
    </w:tbl>
    <w:p>
      <w:pPr>
        <w:pStyle w:val="BodyText"/>
        <w:ind w:left="500"/>
        <w:jc w:val="both"/>
      </w:pPr>
      <w:r>
        <w:rPr/>
        <w:t>Source:</w:t>
      </w:r>
      <w:r>
        <w:rPr>
          <w:spacing w:val="-2"/>
        </w:rPr>
        <w:t> </w:t>
      </w:r>
      <w:r>
        <w:rPr/>
        <w:t>CBN</w:t>
      </w:r>
      <w:r>
        <w:rPr>
          <w:spacing w:val="-2"/>
        </w:rPr>
        <w:t> </w:t>
      </w:r>
      <w:r>
        <w:rPr/>
        <w:t>Statistical Bulletin</w:t>
      </w:r>
      <w:r>
        <w:rPr>
          <w:spacing w:val="-2"/>
        </w:rPr>
        <w:t> </w:t>
      </w:r>
      <w:r>
        <w:rPr/>
        <w:t>(2011,</w:t>
      </w:r>
      <w:r>
        <w:rPr>
          <w:spacing w:val="-2"/>
        </w:rPr>
        <w:t> </w:t>
      </w:r>
      <w:r>
        <w:rPr/>
        <w:t>2015)</w:t>
      </w:r>
    </w:p>
    <w:p>
      <w:pPr>
        <w:pStyle w:val="BodyText"/>
        <w:spacing w:before="7"/>
        <w:rPr>
          <w:sz w:val="29"/>
        </w:rPr>
      </w:pPr>
    </w:p>
    <w:p>
      <w:pPr>
        <w:pStyle w:val="Heading1"/>
        <w:numPr>
          <w:ilvl w:val="0"/>
          <w:numId w:val="19"/>
        </w:numPr>
        <w:tabs>
          <w:tab w:pos="1220" w:val="left" w:leader="none"/>
          <w:tab w:pos="1221" w:val="left" w:leader="none"/>
        </w:tabs>
        <w:spacing w:line="240" w:lineRule="auto" w:before="0" w:after="0"/>
        <w:ind w:left="1220" w:right="0" w:hanging="361"/>
        <w:jc w:val="left"/>
        <w:rPr>
          <w:sz w:val="24"/>
        </w:rPr>
      </w:pPr>
      <w:r>
        <w:rPr/>
        <w:t>Nigeria</w:t>
      </w:r>
      <w:r>
        <w:rPr>
          <w:spacing w:val="-3"/>
        </w:rPr>
        <w:t> </w:t>
      </w:r>
      <w:r>
        <w:rPr/>
        <w:t>has</w:t>
      </w:r>
      <w:r>
        <w:rPr>
          <w:spacing w:val="-2"/>
        </w:rPr>
        <w:t> </w:t>
      </w:r>
      <w:r>
        <w:rPr/>
        <w:t>had</w:t>
      </w:r>
      <w:r>
        <w:rPr>
          <w:spacing w:val="-1"/>
        </w:rPr>
        <w:t> </w:t>
      </w:r>
      <w:r>
        <w:rPr/>
        <w:t>more budget</w:t>
      </w:r>
      <w:r>
        <w:rPr>
          <w:spacing w:val="-2"/>
        </w:rPr>
        <w:t> </w:t>
      </w:r>
      <w:r>
        <w:rPr/>
        <w:t>deficits</w:t>
      </w:r>
      <w:r>
        <w:rPr>
          <w:spacing w:val="-3"/>
        </w:rPr>
        <w:t> </w:t>
      </w:r>
      <w:r>
        <w:rPr/>
        <w:t>than</w:t>
      </w:r>
      <w:r>
        <w:rPr>
          <w:spacing w:val="-2"/>
        </w:rPr>
        <w:t> </w:t>
      </w:r>
      <w:r>
        <w:rPr/>
        <w:t>surplus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360" w:lineRule="auto" w:before="1"/>
        <w:ind w:left="500" w:right="495"/>
        <w:jc w:val="both"/>
      </w:pPr>
      <w:r>
        <w:rPr/>
        <w:pict>
          <v:group style="position:absolute;margin-left:92.519997pt;margin-top:130.393143pt;width:353.8pt;height:257.9pt;mso-position-horizontal-relative:page;mso-position-vertical-relative:paragraph;z-index:15731200" coordorigin="1850,2608" coordsize="7076,5158">
            <v:rect style="position:absolute;left:1850;top:2619;width:7071;height:5144" filled="true" fillcolor="#eaf1f3" stroked="false">
              <v:fill type="solid"/>
            </v:rect>
            <v:rect style="position:absolute;left:1902;top:2611;width:7020;height:5151" filled="false" stroked="true" strokeweight=".36pt" strokecolor="#eaf1f3">
              <v:stroke dashstyle="solid"/>
            </v:rect>
            <v:rect style="position:absolute;left:2482;top:2839;width:6180;height:4253" filled="true" fillcolor="#ffffff" stroked="false">
              <v:fill type="solid"/>
            </v:rect>
            <v:rect style="position:absolute;left:2482;top:2839;width:6180;height:4253" filled="false" stroked="true" strokeweight=".36pt" strokecolor="#ffffff">
              <v:stroke dashstyle="solid"/>
            </v:rect>
            <v:shape style="position:absolute;left:2478;top:2837;width:6184;height:2489" coordorigin="2478,2837" coordsize="6184,2489" path="m2478,5326l8662,5326m2478,4085l8662,4085m2478,2837l8662,2837e" filled="false" stroked="true" strokeweight=".84pt" strokecolor="#eaf1f3">
              <v:path arrowok="t"/>
              <v:stroke dashstyle="solid"/>
            </v:shape>
            <v:shape style="position:absolute;left:2686;top:3535;width:5367;height:3336" coordorigin="2687,3535" coordsize="5367,3336" path="m2687,5009l2785,3839,2888,3904,2987,3891,3085,3655,3184,4006,3282,3535,3385,4298,3483,4623,3582,6396,3680,5004,3779,5428,3882,5086,3980,4139,4079,5574,4177,5835,4276,5634,4379,6340,4477,4893,4576,5818,4674,6345,4773,6871,4871,6113,4974,5878,5072,5882,5171,6807,5269,6019,5368,6413,5471,6190,5569,6353,5668,6747,5766,6246,5865,6507,5967,6298,6066,5317,6164,5176,6263,5347,6361,5938,6464,6435,6563,5604,6661,5908,6760,5865,6858,5621,6957,5514,7060,5462,7158,5394,7257,5394,7355,5351,7454,5732,7556,5578,7655,5081,7753,5497,7852,5505,7950,5441,8053,5531e" filled="false" stroked="true" strokeweight=".84pt" strokecolor="#1a466e">
              <v:path arrowok="t"/>
              <v:stroke dashstyle="solid"/>
            </v:shape>
            <v:shape style="position:absolute;left:2406;top:2726;width:6437;height:4331" coordorigin="2406,2727" coordsize="6437,4331" path="m2581,5379l3014,5396m2526,5357l8843,5357m2478,6983l2478,2727m2479,6569l2406,6569m2479,5326l2406,5326m2479,4085l2406,4085m2479,2837l2406,2837m2478,7013l8662,7013m2588,6984l2588,7057m4576,6984l4576,7057m6563,6984l6563,7057m8550,6984l8550,7057e" filled="false" stroked="true" strokeweight=".36pt" strokecolor="#000000">
              <v:path arrowok="t"/>
              <v:stroke dashstyle="solid"/>
            </v:shape>
            <v:line style="position:absolute" from="2478,6569" to="8662,6569" stroked="true" strokeweight=".84pt" strokecolor="#eaf1f3">
              <v:stroke dashstyle="solid"/>
            </v:line>
            <v:shape style="position:absolute;left:2390;top:7095;width:424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1960</w:t>
                    </w:r>
                  </w:p>
                </w:txbxContent>
              </v:textbox>
              <w10:wrap type="none"/>
            </v:shape>
            <v:shape style="position:absolute;left:4378;top:7095;width:424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1980</w:t>
                    </w:r>
                  </w:p>
                </w:txbxContent>
              </v:textbox>
              <w10:wrap type="none"/>
            </v:shape>
            <v:shape style="position:absolute;left:6366;top:7095;width:424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8353;top:7095;width:424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5381;top:7268;width:399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Year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9.455994pt;margin-top:211.211227pt;width:13.25pt;height:71.350pt;mso-position-horizontal-relative:page;mso-position-vertical-relative:paragraph;z-index:15731712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Arial MT"/>
                      <w:position w:val="-1"/>
                      <w:sz w:val="18"/>
                    </w:rPr>
                    <w:t>0</w:t>
                  </w:r>
                  <w:r>
                    <w:rPr>
                      <w:rFonts w:ascii="Arial MT"/>
                      <w:spacing w:val="1"/>
                      <w:position w:val="-1"/>
                      <w:sz w:val="18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Fiscal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balance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.662537pt;margin-top:205.813141pt;width:12.1pt;height:12.1pt;mso-position-horizontal-relative:page;mso-position-vertical-relative:paragraph;z-index:15732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z w:val="18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.662537pt;margin-top:143.413147pt;width:12.1pt;height:12.1pt;mso-position-horizontal-relative:page;mso-position-vertical-relative:paragraph;z-index:1573273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z w:val="18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059998pt;margin-top:219.403717pt;width:13.05pt;height:55.45pt;mso-position-horizontal-relative:page;mso-position-vertical-relative:paragraph;z-index:15733760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as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%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of GDP</w:t>
                  </w:r>
                </w:p>
              </w:txbxContent>
            </v:textbox>
            <w10:wrap type="none"/>
          </v:shape>
        </w:pict>
      </w:r>
      <w:r>
        <w:rPr/>
        <w:t>Figure 3.3 reveals that Nigeria has experienced more episodes of budget deficit than surplus over</w:t>
      </w:r>
      <w:r>
        <w:rPr>
          <w:spacing w:val="-57"/>
        </w:rPr>
        <w:t> </w:t>
      </w:r>
      <w:r>
        <w:rPr/>
        <w:t>the period from 1961 to 2015. There are more points in the negative zone (beneath the straight</w:t>
      </w:r>
      <w:r>
        <w:rPr>
          <w:spacing w:val="1"/>
        </w:rPr>
        <w:t> </w:t>
      </w:r>
      <w:r>
        <w:rPr/>
        <w:t>line) than in the positive zone in Figure 3.3. An economy is deduced to have an expansionary</w:t>
      </w:r>
      <w:r>
        <w:rPr>
          <w:spacing w:val="1"/>
        </w:rPr>
        <w:t> </w:t>
      </w:r>
      <w:r>
        <w:rPr/>
        <w:t>stance when its fiscal balance is in deficit and a tight stance when its balance is in surplus. The</w:t>
      </w:r>
      <w:r>
        <w:rPr>
          <w:spacing w:val="1"/>
        </w:rPr>
        <w:t> </w:t>
      </w:r>
      <w:r>
        <w:rPr/>
        <w:t>implication of the fact displayed in Figure 3.3 is that the fiscal stance of the Nigerian government</w:t>
      </w:r>
      <w:r>
        <w:rPr>
          <w:spacing w:val="-57"/>
        </w:rPr>
        <w:t> </w:t>
      </w:r>
      <w:r>
        <w:rPr/>
        <w:t>has</w:t>
      </w:r>
      <w:r>
        <w:rPr>
          <w:spacing w:val="-1"/>
        </w:rPr>
        <w:t> </w:t>
      </w:r>
      <w:r>
        <w:rPr/>
        <w:t>been more</w:t>
      </w:r>
      <w:r>
        <w:rPr>
          <w:spacing w:val="-1"/>
        </w:rPr>
        <w:t> </w:t>
      </w:r>
      <w:r>
        <w:rPr/>
        <w:t>expansionary</w:t>
      </w:r>
      <w:r>
        <w:rPr>
          <w:spacing w:val="-5"/>
        </w:rPr>
        <w:t> </w:t>
      </w:r>
      <w:r>
        <w:rPr/>
        <w:t>than</w:t>
      </w:r>
      <w:r>
        <w:rPr>
          <w:spacing w:val="1"/>
        </w:rPr>
        <w:t> </w:t>
      </w:r>
      <w:r>
        <w:rPr/>
        <w:t>tight.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7"/>
        </w:rPr>
      </w:pPr>
    </w:p>
    <w:p>
      <w:pPr>
        <w:pStyle w:val="BodyText"/>
        <w:ind w:left="2120" w:right="2488"/>
      </w:pPr>
      <w:r>
        <w:rPr/>
        <w:pict>
          <v:shape style="position:absolute;margin-left:98.662537pt;margin-top:-74.73687pt;width:12.1pt;height:15.1pt;mso-position-horizontal-relative:page;mso-position-vertical-relative:paragraph;z-index:15733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z w:val="18"/>
                    </w:rPr>
                    <w:t>-10</w:t>
                  </w:r>
                </w:p>
              </w:txbxContent>
            </v:textbox>
            <w10:wrap type="none"/>
          </v:shape>
        </w:pict>
      </w:r>
      <w:r>
        <w:rPr/>
        <w:t>Figure 3.3: Fiscal balance as a percent of GDP (1961-2015)</w:t>
      </w:r>
      <w:r>
        <w:rPr>
          <w:spacing w:val="-57"/>
        </w:rPr>
        <w:t> </w:t>
      </w:r>
      <w:r>
        <w:rPr/>
        <w:t>Source:</w:t>
      </w:r>
      <w:r>
        <w:rPr>
          <w:spacing w:val="1"/>
        </w:rPr>
        <w:t> </w:t>
      </w:r>
      <w:r>
        <w:rPr/>
        <w:t>CBN Statistical</w:t>
      </w:r>
      <w:r>
        <w:rPr>
          <w:spacing w:val="-1"/>
        </w:rPr>
        <w:t> </w:t>
      </w:r>
      <w:r>
        <w:rPr/>
        <w:t>Bulletin (2011,</w:t>
      </w:r>
      <w:r>
        <w:rPr>
          <w:spacing w:val="-1"/>
        </w:rPr>
        <w:t> </w:t>
      </w:r>
      <w:r>
        <w:rPr/>
        <w:t>2015)</w:t>
      </w:r>
    </w:p>
    <w:p>
      <w:pPr>
        <w:spacing w:after="0"/>
        <w:sectPr>
          <w:pgSz w:w="12240" w:h="15840"/>
          <w:pgMar w:header="0" w:footer="935" w:top="1360" w:bottom="1200" w:left="940" w:right="940"/>
        </w:sectPr>
      </w:pPr>
    </w:p>
    <w:p>
      <w:pPr>
        <w:pStyle w:val="Heading1"/>
        <w:numPr>
          <w:ilvl w:val="0"/>
          <w:numId w:val="19"/>
        </w:numPr>
        <w:tabs>
          <w:tab w:pos="1221" w:val="left" w:leader="none"/>
        </w:tabs>
        <w:spacing w:line="240" w:lineRule="auto" w:before="60" w:after="0"/>
        <w:ind w:left="1220" w:right="0" w:hanging="361"/>
        <w:jc w:val="both"/>
      </w:pPr>
      <w:r>
        <w:rPr/>
        <w:t>Nigeria</w:t>
      </w:r>
      <w:r>
        <w:rPr>
          <w:spacing w:val="-3"/>
        </w:rPr>
        <w:t> </w:t>
      </w:r>
      <w:r>
        <w:rPr/>
        <w:t>has</w:t>
      </w:r>
      <w:r>
        <w:rPr>
          <w:spacing w:val="-2"/>
        </w:rPr>
        <w:t> </w:t>
      </w:r>
      <w:r>
        <w:rPr/>
        <w:t>had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expansionary</w:t>
      </w:r>
      <w:r>
        <w:rPr>
          <w:spacing w:val="-1"/>
        </w:rPr>
        <w:t> </w:t>
      </w:r>
      <w:r>
        <w:rPr/>
        <w:t>fiscal</w:t>
      </w:r>
      <w:r>
        <w:rPr>
          <w:spacing w:val="-2"/>
        </w:rPr>
        <w:t> </w:t>
      </w:r>
      <w:r>
        <w:rPr/>
        <w:t>stance</w:t>
      </w:r>
    </w:p>
    <w:p>
      <w:pPr>
        <w:pStyle w:val="BodyText"/>
        <w:spacing w:line="360" w:lineRule="auto" w:before="144"/>
        <w:ind w:left="500" w:right="495"/>
        <w:jc w:val="both"/>
      </w:pPr>
      <w:r>
        <w:rPr/>
        <w:t>This buttress the fact examined in the preceding Sub-section (f). The fiscal balance is considered</w:t>
      </w:r>
      <w:r>
        <w:rPr>
          <w:spacing w:val="1"/>
        </w:rPr>
        <w:t> </w:t>
      </w:r>
      <w:r>
        <w:rPr/>
        <w:t>to be a measure of the fiscal policy stance. Table 3.11, therefore, provides further evidence that</w:t>
      </w:r>
      <w:r>
        <w:rPr>
          <w:spacing w:val="1"/>
        </w:rPr>
        <w:t> </w:t>
      </w:r>
      <w:r>
        <w:rPr/>
        <w:t>fiscal policy in Nigeria can be concluded to have been easy or expansionary in its stance over the</w:t>
      </w:r>
      <w:r>
        <w:rPr>
          <w:spacing w:val="-57"/>
        </w:rPr>
        <w:t> </w:t>
      </w:r>
      <w:r>
        <w:rPr/>
        <w:t>period 1970- 2015. The stances displayed in Table 3.11, for example, show that fiscal policy in</w:t>
      </w:r>
      <w:r>
        <w:rPr>
          <w:spacing w:val="1"/>
        </w:rPr>
        <w:t> </w:t>
      </w:r>
      <w:r>
        <w:rPr/>
        <w:t>1995</w:t>
      </w:r>
      <w:r>
        <w:rPr>
          <w:spacing w:val="-1"/>
        </w:rPr>
        <w:t> </w:t>
      </w:r>
      <w:r>
        <w:rPr/>
        <w:t>alone was tight while</w:t>
      </w:r>
      <w:r>
        <w:rPr>
          <w:spacing w:val="-1"/>
        </w:rPr>
        <w:t> </w:t>
      </w:r>
      <w:r>
        <w:rPr/>
        <w:t>it was easy</w:t>
      </w:r>
      <w:r>
        <w:rPr>
          <w:spacing w:val="-5"/>
        </w:rPr>
        <w:t> </w:t>
      </w:r>
      <w:r>
        <w:rPr/>
        <w:t>in the</w:t>
      </w:r>
      <w:r>
        <w:rPr>
          <w:spacing w:val="-2"/>
        </w:rPr>
        <w:t> </w:t>
      </w:r>
      <w:r>
        <w:rPr/>
        <w:t>other</w:t>
      </w:r>
      <w:r>
        <w:rPr>
          <w:spacing w:val="3"/>
        </w:rPr>
        <w:t> </w:t>
      </w:r>
      <w:r>
        <w:rPr/>
        <w:t>years.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after="9"/>
        <w:ind w:left="1335" w:right="1335"/>
        <w:jc w:val="center"/>
      </w:pPr>
      <w:r>
        <w:rPr/>
        <w:t>Table</w:t>
      </w:r>
      <w:r>
        <w:rPr>
          <w:spacing w:val="-1"/>
        </w:rPr>
        <w:t> </w:t>
      </w:r>
      <w:r>
        <w:rPr/>
        <w:t>3.11: Fiscal</w:t>
      </w:r>
      <w:r>
        <w:rPr>
          <w:spacing w:val="-1"/>
        </w:rPr>
        <w:t> </w:t>
      </w:r>
      <w:r>
        <w:rPr/>
        <w:t>Policy</w:t>
      </w:r>
      <w:r>
        <w:rPr>
          <w:spacing w:val="-3"/>
        </w:rPr>
        <w:t> </w:t>
      </w:r>
      <w:r>
        <w:rPr/>
        <w:t>Stance</w:t>
      </w:r>
      <w:r>
        <w:rPr>
          <w:spacing w:val="-2"/>
        </w:rPr>
        <w:t> </w:t>
      </w:r>
      <w:r>
        <w:rPr/>
        <w:t>in Nigeria</w:t>
      </w:r>
      <w:r>
        <w:rPr>
          <w:spacing w:val="-1"/>
        </w:rPr>
        <w:t> </w:t>
      </w:r>
      <w:r>
        <w:rPr/>
        <w:t>in some</w:t>
      </w:r>
      <w:r>
        <w:rPr>
          <w:spacing w:val="-2"/>
        </w:rPr>
        <w:t> </w:t>
      </w:r>
      <w:r>
        <w:rPr/>
        <w:t>selected</w:t>
      </w:r>
      <w:r>
        <w:rPr>
          <w:spacing w:val="4"/>
        </w:rPr>
        <w:t> </w:t>
      </w:r>
      <w:r>
        <w:rPr/>
        <w:t>years</w:t>
      </w:r>
      <w:r>
        <w:rPr>
          <w:spacing w:val="-1"/>
        </w:rPr>
        <w:t> </w:t>
      </w:r>
      <w:r>
        <w:rPr/>
        <w:t>(1970-</w:t>
      </w:r>
      <w:r>
        <w:rPr>
          <w:spacing w:val="-1"/>
        </w:rPr>
        <w:t> </w:t>
      </w:r>
      <w:r>
        <w:rPr/>
        <w:t>2015)</w:t>
      </w:r>
    </w:p>
    <w:tbl>
      <w:tblPr>
        <w:tblW w:w="0" w:type="auto"/>
        <w:jc w:val="left"/>
        <w:tblInd w:w="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0"/>
        <w:gridCol w:w="3241"/>
        <w:gridCol w:w="2377"/>
      </w:tblGrid>
      <w:tr>
        <w:trPr>
          <w:trHeight w:val="397" w:hRule="atLeast"/>
        </w:trPr>
        <w:tc>
          <w:tcPr>
            <w:tcW w:w="216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324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Budget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deficit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GDP</w:t>
            </w:r>
          </w:p>
        </w:tc>
        <w:tc>
          <w:tcPr>
            <w:tcW w:w="23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Stance</w:t>
            </w:r>
          </w:p>
        </w:tc>
      </w:tr>
      <w:tr>
        <w:trPr>
          <w:trHeight w:val="394" w:hRule="atLeast"/>
        </w:trPr>
        <w:tc>
          <w:tcPr>
            <w:tcW w:w="216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7" w:lineRule="exact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1970</w:t>
            </w:r>
          </w:p>
        </w:tc>
        <w:tc>
          <w:tcPr>
            <w:tcW w:w="324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7" w:lineRule="exact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-8.62</w:t>
            </w:r>
          </w:p>
        </w:tc>
        <w:tc>
          <w:tcPr>
            <w:tcW w:w="23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</w:tr>
      <w:tr>
        <w:trPr>
          <w:trHeight w:val="397" w:hRule="atLeast"/>
        </w:trPr>
        <w:tc>
          <w:tcPr>
            <w:tcW w:w="2160" w:type="dxa"/>
          </w:tcPr>
          <w:p>
            <w:pPr>
              <w:pStyle w:val="TableParagraph"/>
              <w:spacing w:line="270" w:lineRule="exact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1975</w:t>
            </w:r>
          </w:p>
        </w:tc>
        <w:tc>
          <w:tcPr>
            <w:tcW w:w="3241" w:type="dxa"/>
          </w:tcPr>
          <w:p>
            <w:pPr>
              <w:pStyle w:val="TableParagraph"/>
              <w:spacing w:line="270" w:lineRule="exact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-1.99</w:t>
            </w:r>
          </w:p>
        </w:tc>
        <w:tc>
          <w:tcPr>
            <w:tcW w:w="23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</w:tr>
      <w:tr>
        <w:trPr>
          <w:trHeight w:val="395" w:hRule="atLeast"/>
        </w:trPr>
        <w:tc>
          <w:tcPr>
            <w:tcW w:w="2160" w:type="dxa"/>
          </w:tcPr>
          <w:p>
            <w:pPr>
              <w:pStyle w:val="TableParagraph"/>
              <w:spacing w:line="268" w:lineRule="exact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1980</w:t>
            </w:r>
          </w:p>
        </w:tc>
        <w:tc>
          <w:tcPr>
            <w:tcW w:w="3241" w:type="dxa"/>
          </w:tcPr>
          <w:p>
            <w:pPr>
              <w:pStyle w:val="TableParagraph"/>
              <w:spacing w:line="268" w:lineRule="exact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-3.98</w:t>
            </w:r>
          </w:p>
        </w:tc>
        <w:tc>
          <w:tcPr>
            <w:tcW w:w="23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</w:tr>
      <w:tr>
        <w:trPr>
          <w:trHeight w:val="395" w:hRule="atLeast"/>
        </w:trPr>
        <w:tc>
          <w:tcPr>
            <w:tcW w:w="2160" w:type="dxa"/>
          </w:tcPr>
          <w:p>
            <w:pPr>
              <w:pStyle w:val="TableParagraph"/>
              <w:spacing w:line="268" w:lineRule="exact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1985</w:t>
            </w:r>
          </w:p>
        </w:tc>
        <w:tc>
          <w:tcPr>
            <w:tcW w:w="3241" w:type="dxa"/>
          </w:tcPr>
          <w:p>
            <w:pPr>
              <w:pStyle w:val="TableParagraph"/>
              <w:spacing w:line="268" w:lineRule="exact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-4.48</w:t>
            </w:r>
          </w:p>
        </w:tc>
        <w:tc>
          <w:tcPr>
            <w:tcW w:w="23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</w:tr>
      <w:tr>
        <w:trPr>
          <w:trHeight w:val="397" w:hRule="atLeast"/>
        </w:trPr>
        <w:tc>
          <w:tcPr>
            <w:tcW w:w="2160" w:type="dxa"/>
          </w:tcPr>
          <w:p>
            <w:pPr>
              <w:pStyle w:val="TableParagraph"/>
              <w:spacing w:line="270" w:lineRule="exact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1990</w:t>
            </w:r>
          </w:p>
        </w:tc>
        <w:tc>
          <w:tcPr>
            <w:tcW w:w="3241" w:type="dxa"/>
          </w:tcPr>
          <w:p>
            <w:pPr>
              <w:pStyle w:val="TableParagraph"/>
              <w:spacing w:line="270" w:lineRule="exact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-8.27</w:t>
            </w:r>
          </w:p>
        </w:tc>
        <w:tc>
          <w:tcPr>
            <w:tcW w:w="23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</w:tr>
      <w:tr>
        <w:trPr>
          <w:trHeight w:val="395" w:hRule="atLeast"/>
        </w:trPr>
        <w:tc>
          <w:tcPr>
            <w:tcW w:w="2160" w:type="dxa"/>
          </w:tcPr>
          <w:p>
            <w:pPr>
              <w:pStyle w:val="TableParagraph"/>
              <w:spacing w:line="268" w:lineRule="exact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1995</w:t>
            </w:r>
          </w:p>
        </w:tc>
        <w:tc>
          <w:tcPr>
            <w:tcW w:w="3241" w:type="dxa"/>
          </w:tcPr>
          <w:p>
            <w:pPr>
              <w:pStyle w:val="TableParagraph"/>
              <w:spacing w:line="268" w:lineRule="exact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23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Tight</w:t>
            </w:r>
          </w:p>
        </w:tc>
      </w:tr>
      <w:tr>
        <w:trPr>
          <w:trHeight w:val="395" w:hRule="atLeast"/>
        </w:trPr>
        <w:tc>
          <w:tcPr>
            <w:tcW w:w="2160" w:type="dxa"/>
          </w:tcPr>
          <w:p>
            <w:pPr>
              <w:pStyle w:val="TableParagraph"/>
              <w:spacing w:line="268" w:lineRule="exact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3241" w:type="dxa"/>
          </w:tcPr>
          <w:p>
            <w:pPr>
              <w:pStyle w:val="TableParagraph"/>
              <w:spacing w:line="268" w:lineRule="exact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-2.26</w:t>
            </w:r>
          </w:p>
        </w:tc>
        <w:tc>
          <w:tcPr>
            <w:tcW w:w="23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</w:tr>
      <w:tr>
        <w:trPr>
          <w:trHeight w:val="397" w:hRule="atLeast"/>
        </w:trPr>
        <w:tc>
          <w:tcPr>
            <w:tcW w:w="2160" w:type="dxa"/>
          </w:tcPr>
          <w:p>
            <w:pPr>
              <w:pStyle w:val="TableParagraph"/>
              <w:spacing w:line="270" w:lineRule="exact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3241" w:type="dxa"/>
          </w:tcPr>
          <w:p>
            <w:pPr>
              <w:pStyle w:val="TableParagraph"/>
              <w:spacing w:line="270" w:lineRule="exact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-1.11</w:t>
            </w:r>
          </w:p>
        </w:tc>
        <w:tc>
          <w:tcPr>
            <w:tcW w:w="23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</w:tr>
      <w:tr>
        <w:trPr>
          <w:trHeight w:val="395" w:hRule="atLeast"/>
        </w:trPr>
        <w:tc>
          <w:tcPr>
            <w:tcW w:w="2160" w:type="dxa"/>
          </w:tcPr>
          <w:p>
            <w:pPr>
              <w:pStyle w:val="TableParagraph"/>
              <w:spacing w:line="268" w:lineRule="exact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3241" w:type="dxa"/>
          </w:tcPr>
          <w:p>
            <w:pPr>
              <w:pStyle w:val="TableParagraph"/>
              <w:spacing w:line="268" w:lineRule="exact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-2.04</w:t>
            </w:r>
          </w:p>
        </w:tc>
        <w:tc>
          <w:tcPr>
            <w:tcW w:w="23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</w:tr>
      <w:tr>
        <w:trPr>
          <w:trHeight w:val="395" w:hRule="atLeast"/>
        </w:trPr>
        <w:tc>
          <w:tcPr>
            <w:tcW w:w="2160" w:type="dxa"/>
          </w:tcPr>
          <w:p>
            <w:pPr>
              <w:pStyle w:val="TableParagraph"/>
              <w:spacing w:line="268" w:lineRule="exact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3241" w:type="dxa"/>
          </w:tcPr>
          <w:p>
            <w:pPr>
              <w:pStyle w:val="TableParagraph"/>
              <w:spacing w:line="268" w:lineRule="exact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-1.44</w:t>
            </w:r>
          </w:p>
        </w:tc>
        <w:tc>
          <w:tcPr>
            <w:tcW w:w="23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</w:tr>
      <w:tr>
        <w:trPr>
          <w:trHeight w:val="397" w:hRule="atLeast"/>
        </w:trPr>
        <w:tc>
          <w:tcPr>
            <w:tcW w:w="2160" w:type="dxa"/>
          </w:tcPr>
          <w:p>
            <w:pPr>
              <w:pStyle w:val="TableParagraph"/>
              <w:spacing w:line="270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3241" w:type="dxa"/>
          </w:tcPr>
          <w:p>
            <w:pPr>
              <w:pStyle w:val="TableParagraph"/>
              <w:spacing w:line="270" w:lineRule="exact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-1.65</w:t>
            </w:r>
          </w:p>
        </w:tc>
        <w:tc>
          <w:tcPr>
            <w:tcW w:w="23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</w:tr>
      <w:tr>
        <w:trPr>
          <w:trHeight w:val="395" w:hRule="atLeast"/>
        </w:trPr>
        <w:tc>
          <w:tcPr>
            <w:tcW w:w="2160" w:type="dxa"/>
          </w:tcPr>
          <w:p>
            <w:pPr>
              <w:pStyle w:val="TableParagraph"/>
              <w:spacing w:line="268" w:lineRule="exact"/>
              <w:ind w:left="671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  <w:tc>
          <w:tcPr>
            <w:tcW w:w="3241" w:type="dxa"/>
          </w:tcPr>
          <w:p>
            <w:pPr>
              <w:pStyle w:val="TableParagraph"/>
              <w:spacing w:line="268" w:lineRule="exact"/>
              <w:ind w:left="0" w:right="8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-3.60</w:t>
            </w:r>
          </w:p>
        </w:tc>
        <w:tc>
          <w:tcPr>
            <w:tcW w:w="23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</w:tr>
    </w:tbl>
    <w:p>
      <w:pPr>
        <w:pStyle w:val="BodyText"/>
        <w:ind w:left="500" w:right="500"/>
        <w:jc w:val="both"/>
      </w:pPr>
      <w:r>
        <w:rPr/>
        <w:t>Source:</w:t>
      </w:r>
      <w:r>
        <w:rPr>
          <w:spacing w:val="-6"/>
        </w:rPr>
        <w:t> </w:t>
      </w:r>
      <w:r>
        <w:rPr/>
        <w:t>CBN</w:t>
      </w:r>
      <w:r>
        <w:rPr>
          <w:spacing w:val="-5"/>
        </w:rPr>
        <w:t> </w:t>
      </w:r>
      <w:r>
        <w:rPr/>
        <w:t>Statistical</w:t>
      </w:r>
      <w:r>
        <w:rPr>
          <w:spacing w:val="-3"/>
        </w:rPr>
        <w:t> </w:t>
      </w:r>
      <w:r>
        <w:rPr/>
        <w:t>Bulletin</w:t>
      </w:r>
      <w:r>
        <w:rPr>
          <w:spacing w:val="-6"/>
        </w:rPr>
        <w:t> </w:t>
      </w:r>
      <w:r>
        <w:rPr/>
        <w:t>(2015).</w:t>
      </w:r>
      <w:r>
        <w:rPr>
          <w:spacing w:val="-5"/>
        </w:rPr>
        <w:t> </w:t>
      </w:r>
      <w:r>
        <w:rPr/>
        <w:t>*Easy</w:t>
      </w:r>
      <w:r>
        <w:rPr>
          <w:spacing w:val="-9"/>
        </w:rPr>
        <w:t> </w:t>
      </w:r>
      <w:r>
        <w:rPr/>
        <w:t>fiscal</w:t>
      </w:r>
      <w:r>
        <w:rPr>
          <w:spacing w:val="-6"/>
        </w:rPr>
        <w:t> </w:t>
      </w:r>
      <w:r>
        <w:rPr/>
        <w:t>policy</w:t>
      </w:r>
      <w:r>
        <w:rPr>
          <w:spacing w:val="-11"/>
        </w:rPr>
        <w:t> </w:t>
      </w:r>
      <w:r>
        <w:rPr/>
        <w:t>is</w:t>
      </w:r>
      <w:r>
        <w:rPr>
          <w:spacing w:val="-3"/>
        </w:rPr>
        <w:t> </w:t>
      </w:r>
      <w:r>
        <w:rPr/>
        <w:t>associated</w:t>
      </w:r>
      <w:r>
        <w:rPr>
          <w:spacing w:val="-2"/>
        </w:rPr>
        <w:t> </w:t>
      </w:r>
      <w:r>
        <w:rPr/>
        <w:t>with</w:t>
      </w:r>
      <w:r>
        <w:rPr>
          <w:spacing w:val="-6"/>
        </w:rPr>
        <w:t> </w:t>
      </w:r>
      <w:r>
        <w:rPr/>
        <w:t>lower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negative</w:t>
      </w:r>
      <w:r>
        <w:rPr>
          <w:spacing w:val="-57"/>
        </w:rPr>
        <w:t> </w:t>
      </w:r>
      <w:r>
        <w:rPr/>
        <w:t>values.</w:t>
      </w:r>
      <w:r>
        <w:rPr>
          <w:spacing w:val="-1"/>
        </w:rPr>
        <w:t> </w:t>
      </w:r>
      <w:r>
        <w:rPr/>
        <w:t>For instance, negative</w:t>
      </w:r>
      <w:r>
        <w:rPr>
          <w:spacing w:val="-2"/>
        </w:rPr>
        <w:t> </w:t>
      </w:r>
      <w:r>
        <w:rPr/>
        <w:t>fiscal balance</w:t>
      </w:r>
      <w:r>
        <w:rPr>
          <w:spacing w:val="-1"/>
        </w:rPr>
        <w:t> </w:t>
      </w:r>
      <w:r>
        <w:rPr/>
        <w:t>depicts deficits</w:t>
      </w:r>
      <w:r>
        <w:rPr>
          <w:spacing w:val="-1"/>
        </w:rPr>
        <w:t> </w:t>
      </w:r>
      <w:r>
        <w:rPr/>
        <w:t>which are</w:t>
      </w:r>
      <w:r>
        <w:rPr>
          <w:spacing w:val="-1"/>
        </w:rPr>
        <w:t> </w:t>
      </w:r>
      <w:r>
        <w:rPr/>
        <w:t>expansionary</w:t>
      </w:r>
      <w:r>
        <w:rPr>
          <w:spacing w:val="-6"/>
        </w:rPr>
        <w:t> </w:t>
      </w:r>
      <w:r>
        <w:rPr/>
        <w:t>in nature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18"/>
        </w:numPr>
        <w:tabs>
          <w:tab w:pos="1343" w:val="left" w:leader="none"/>
        </w:tabs>
        <w:spacing w:line="240" w:lineRule="auto" w:before="0" w:after="0"/>
        <w:ind w:left="1342" w:right="0" w:hanging="843"/>
        <w:jc w:val="both"/>
      </w:pPr>
      <w:r>
        <w:rPr/>
        <w:t>Trend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Interaction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Fiscal</w:t>
      </w:r>
      <w:r>
        <w:rPr>
          <w:spacing w:val="-1"/>
        </w:rPr>
        <w:t> </w:t>
      </w:r>
      <w:r>
        <w:rPr/>
        <w:t>and Monetary</w:t>
      </w:r>
      <w:r>
        <w:rPr>
          <w:spacing w:val="1"/>
        </w:rPr>
        <w:t> </w:t>
      </w:r>
      <w:r>
        <w:rPr/>
        <w:t>Policy</w:t>
      </w:r>
    </w:p>
    <w:p>
      <w:pPr>
        <w:pStyle w:val="ListParagraph"/>
        <w:numPr>
          <w:ilvl w:val="0"/>
          <w:numId w:val="19"/>
        </w:numPr>
        <w:tabs>
          <w:tab w:pos="904" w:val="left" w:leader="none"/>
        </w:tabs>
        <w:spacing w:line="276" w:lineRule="auto" w:before="246" w:after="0"/>
        <w:ind w:left="500" w:right="809" w:firstLine="0"/>
        <w:jc w:val="both"/>
        <w:rPr>
          <w:b/>
          <w:sz w:val="26"/>
        </w:rPr>
      </w:pPr>
      <w:r>
        <w:rPr>
          <w:b/>
          <w:sz w:val="26"/>
        </w:rPr>
        <w:t>There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is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positive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correlation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between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Government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Expenditure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and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Monetary</w:t>
      </w:r>
      <w:r>
        <w:rPr>
          <w:b/>
          <w:spacing w:val="-63"/>
          <w:sz w:val="26"/>
        </w:rPr>
        <w:t> </w:t>
      </w:r>
      <w:r>
        <w:rPr>
          <w:b/>
          <w:sz w:val="26"/>
        </w:rPr>
        <w:t>Policy Rate</w:t>
      </w:r>
    </w:p>
    <w:p>
      <w:pPr>
        <w:pStyle w:val="BodyText"/>
        <w:spacing w:line="360" w:lineRule="auto" w:before="193"/>
        <w:ind w:left="500" w:right="496"/>
        <w:jc w:val="both"/>
      </w:pPr>
      <w:r>
        <w:rPr/>
        <w:t>The correlation matrix in Table 3.12 displays the correlation between fiscal and monetary policy</w:t>
      </w:r>
      <w:r>
        <w:rPr>
          <w:spacing w:val="1"/>
        </w:rPr>
        <w:t> </w:t>
      </w:r>
      <w:r>
        <w:rPr/>
        <w:t>over the period 1970-2015. The correlation coefficient linking the fiscal variable proxied by</w:t>
      </w:r>
      <w:r>
        <w:rPr>
          <w:spacing w:val="1"/>
        </w:rPr>
        <w:t> </w:t>
      </w:r>
      <w:r>
        <w:rPr/>
        <w:t>government expenditure (GE) and the monetary variable proxied by monetary policy rate (MPR)</w:t>
      </w:r>
      <w:r>
        <w:rPr>
          <w:spacing w:val="1"/>
        </w:rPr>
        <w:t> </w:t>
      </w:r>
      <w:r>
        <w:rPr/>
        <w:t>is</w:t>
      </w:r>
      <w:r>
        <w:rPr>
          <w:spacing w:val="36"/>
        </w:rPr>
        <w:t> </w:t>
      </w:r>
      <w:r>
        <w:rPr/>
        <w:t>0.603.</w:t>
      </w:r>
      <w:r>
        <w:rPr>
          <w:spacing w:val="37"/>
        </w:rPr>
        <w:t> </w:t>
      </w:r>
      <w:r>
        <w:rPr/>
        <w:t>This</w:t>
      </w:r>
      <w:r>
        <w:rPr>
          <w:spacing w:val="37"/>
        </w:rPr>
        <w:t> </w:t>
      </w:r>
      <w:r>
        <w:rPr/>
        <w:t>means</w:t>
      </w:r>
      <w:r>
        <w:rPr>
          <w:spacing w:val="37"/>
        </w:rPr>
        <w:t> </w:t>
      </w:r>
      <w:r>
        <w:rPr/>
        <w:t>that</w:t>
      </w:r>
      <w:r>
        <w:rPr>
          <w:spacing w:val="37"/>
        </w:rPr>
        <w:t> </w:t>
      </w:r>
      <w:r>
        <w:rPr/>
        <w:t>there</w:t>
      </w:r>
      <w:r>
        <w:rPr>
          <w:spacing w:val="36"/>
        </w:rPr>
        <w:t> </w:t>
      </w:r>
      <w:r>
        <w:rPr/>
        <w:t>is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positive</w:t>
      </w:r>
      <w:r>
        <w:rPr>
          <w:spacing w:val="36"/>
        </w:rPr>
        <w:t> </w:t>
      </w:r>
      <w:r>
        <w:rPr/>
        <w:t>correlation</w:t>
      </w:r>
      <w:r>
        <w:rPr>
          <w:spacing w:val="37"/>
        </w:rPr>
        <w:t> </w:t>
      </w:r>
      <w:r>
        <w:rPr/>
        <w:t>between</w:t>
      </w:r>
      <w:r>
        <w:rPr>
          <w:spacing w:val="37"/>
        </w:rPr>
        <w:t> </w:t>
      </w:r>
      <w:r>
        <w:rPr/>
        <w:t>both</w:t>
      </w:r>
      <w:r>
        <w:rPr>
          <w:spacing w:val="37"/>
        </w:rPr>
        <w:t> </w:t>
      </w:r>
      <w:r>
        <w:rPr/>
        <w:t>variables.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positive</w:t>
      </w:r>
    </w:p>
    <w:p>
      <w:pPr>
        <w:spacing w:after="0" w:line="360" w:lineRule="auto"/>
        <w:jc w:val="both"/>
        <w:sectPr>
          <w:pgSz w:w="12240" w:h="15840"/>
          <w:pgMar w:header="0" w:footer="935" w:top="1380" w:bottom="1200" w:left="940" w:right="940"/>
        </w:sectPr>
      </w:pPr>
    </w:p>
    <w:p>
      <w:pPr>
        <w:pStyle w:val="BodyText"/>
        <w:spacing w:line="360" w:lineRule="auto" w:before="74"/>
        <w:ind w:left="500" w:right="499"/>
        <w:jc w:val="both"/>
      </w:pPr>
      <w:r>
        <w:rPr/>
        <w:t>correlation can be interpreted that fiscal and monetary policies over the last five decades have</w:t>
      </w:r>
      <w:r>
        <w:rPr>
          <w:spacing w:val="1"/>
        </w:rPr>
        <w:t> </w:t>
      </w:r>
      <w:r>
        <w:rPr/>
        <w:t>interacted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complementary</w:t>
      </w:r>
      <w:r>
        <w:rPr>
          <w:spacing w:val="-10"/>
        </w:rPr>
        <w:t> </w:t>
      </w:r>
      <w:r>
        <w:rPr/>
        <w:t>manner.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implies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an</w:t>
      </w:r>
      <w:r>
        <w:rPr>
          <w:spacing w:val="-6"/>
        </w:rPr>
        <w:t> </w:t>
      </w:r>
      <w:r>
        <w:rPr/>
        <w:t>expansionary</w:t>
      </w:r>
      <w:r>
        <w:rPr>
          <w:spacing w:val="-11"/>
        </w:rPr>
        <w:t> </w:t>
      </w:r>
      <w:r>
        <w:rPr/>
        <w:t>fiscal</w:t>
      </w:r>
      <w:r>
        <w:rPr>
          <w:spacing w:val="-6"/>
        </w:rPr>
        <w:t> </w:t>
      </w:r>
      <w:r>
        <w:rPr/>
        <w:t>(monetary)</w:t>
      </w:r>
      <w:r>
        <w:rPr>
          <w:spacing w:val="-4"/>
        </w:rPr>
        <w:t> </w:t>
      </w:r>
      <w:r>
        <w:rPr/>
        <w:t>policy</w:t>
      </w:r>
      <w:r>
        <w:rPr>
          <w:spacing w:val="-58"/>
        </w:rPr>
        <w:t> </w:t>
      </w:r>
      <w:r>
        <w:rPr/>
        <w:t>has been accompanied by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corresponding</w:t>
      </w:r>
      <w:r>
        <w:rPr>
          <w:spacing w:val="-3"/>
        </w:rPr>
        <w:t> </w:t>
      </w:r>
      <w:r>
        <w:rPr/>
        <w:t>expansionary</w:t>
      </w:r>
      <w:r>
        <w:rPr>
          <w:spacing w:val="-5"/>
        </w:rPr>
        <w:t> </w:t>
      </w:r>
      <w:r>
        <w:rPr/>
        <w:t>monetary</w:t>
      </w:r>
      <w:r>
        <w:rPr>
          <w:spacing w:val="-5"/>
        </w:rPr>
        <w:t> </w:t>
      </w:r>
      <w:r>
        <w:rPr/>
        <w:t>(fiscal)</w:t>
      </w:r>
      <w:r>
        <w:rPr>
          <w:spacing w:val="1"/>
        </w:rPr>
        <w:t> </w:t>
      </w:r>
      <w:r>
        <w:rPr/>
        <w:t>policy.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before="1" w:after="8"/>
        <w:ind w:left="1334" w:right="1335"/>
        <w:jc w:val="center"/>
      </w:pPr>
      <w:r>
        <w:rPr/>
        <w:t>Table</w:t>
      </w:r>
      <w:r>
        <w:rPr>
          <w:spacing w:val="-1"/>
        </w:rPr>
        <w:t> </w:t>
      </w:r>
      <w:r>
        <w:rPr/>
        <w:t>3.12:</w:t>
      </w:r>
      <w:r>
        <w:rPr>
          <w:spacing w:val="-1"/>
        </w:rPr>
        <w:t> </w:t>
      </w:r>
      <w:r>
        <w:rPr/>
        <w:t>Correlation</w:t>
      </w:r>
      <w:r>
        <w:rPr>
          <w:spacing w:val="2"/>
        </w:rPr>
        <w:t> </w:t>
      </w:r>
      <w:r>
        <w:rPr/>
        <w:t>Matrix-</w:t>
      </w:r>
      <w:r>
        <w:rPr>
          <w:spacing w:val="-2"/>
        </w:rPr>
        <w:t> </w:t>
      </w:r>
      <w:r>
        <w:rPr/>
        <w:t>government spending</w:t>
      </w:r>
      <w:r>
        <w:rPr>
          <w:spacing w:val="-3"/>
        </w:rPr>
        <w:t> </w:t>
      </w:r>
      <w:r>
        <w:rPr/>
        <w:t>and policy</w:t>
      </w:r>
      <w:r>
        <w:rPr>
          <w:spacing w:val="-6"/>
        </w:rPr>
        <w:t> </w:t>
      </w:r>
      <w:r>
        <w:rPr/>
        <w:t>rate</w:t>
      </w:r>
    </w:p>
    <w:tbl>
      <w:tblPr>
        <w:tblW w:w="0" w:type="auto"/>
        <w:jc w:val="left"/>
        <w:tblInd w:w="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6"/>
        <w:gridCol w:w="2098"/>
        <w:gridCol w:w="5205"/>
      </w:tblGrid>
      <w:tr>
        <w:trPr>
          <w:trHeight w:val="443" w:hRule="atLeast"/>
        </w:trPr>
        <w:tc>
          <w:tcPr>
            <w:tcW w:w="12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602"/>
              <w:rPr>
                <w:sz w:val="24"/>
              </w:rPr>
            </w:pPr>
            <w:r>
              <w:rPr>
                <w:sz w:val="24"/>
              </w:rPr>
              <w:t>GE</w:t>
            </w:r>
          </w:p>
        </w:tc>
        <w:tc>
          <w:tcPr>
            <w:tcW w:w="520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679"/>
              <w:rPr>
                <w:sz w:val="24"/>
              </w:rPr>
            </w:pPr>
            <w:r>
              <w:rPr>
                <w:sz w:val="24"/>
              </w:rPr>
              <w:t>MPR</w:t>
            </w:r>
          </w:p>
        </w:tc>
      </w:tr>
      <w:tr>
        <w:trPr>
          <w:trHeight w:val="689" w:hRule="atLeast"/>
        </w:trPr>
        <w:tc>
          <w:tcPr>
            <w:tcW w:w="12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GE</w:t>
            </w:r>
          </w:p>
        </w:tc>
        <w:tc>
          <w:tcPr>
            <w:tcW w:w="20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602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  <w:tc>
          <w:tcPr>
            <w:tcW w:w="52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679"/>
              <w:rPr>
                <w:sz w:val="24"/>
              </w:rPr>
            </w:pPr>
            <w:r>
              <w:rPr>
                <w:sz w:val="24"/>
              </w:rPr>
              <w:t>0.6030</w:t>
            </w:r>
          </w:p>
          <w:p>
            <w:pPr>
              <w:pStyle w:val="TableParagraph"/>
              <w:spacing w:before="5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(0.0000)</w:t>
            </w:r>
          </w:p>
        </w:tc>
      </w:tr>
      <w:tr>
        <w:trPr>
          <w:trHeight w:val="690" w:hRule="atLeast"/>
        </w:trPr>
        <w:tc>
          <w:tcPr>
            <w:tcW w:w="12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MPR</w:t>
            </w:r>
          </w:p>
        </w:tc>
        <w:tc>
          <w:tcPr>
            <w:tcW w:w="20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0"/>
              <w:ind w:left="602"/>
              <w:rPr>
                <w:sz w:val="24"/>
              </w:rPr>
            </w:pPr>
            <w:r>
              <w:rPr>
                <w:sz w:val="24"/>
              </w:rPr>
              <w:t>0.6030*</w:t>
            </w:r>
          </w:p>
          <w:p>
            <w:pPr>
              <w:pStyle w:val="TableParagraph"/>
              <w:spacing w:line="259" w:lineRule="exact" w:before="6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(0.0000)</w:t>
            </w:r>
          </w:p>
        </w:tc>
        <w:tc>
          <w:tcPr>
            <w:tcW w:w="52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679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</w:tr>
    </w:tbl>
    <w:p>
      <w:pPr>
        <w:pStyle w:val="BodyText"/>
        <w:ind w:left="500"/>
        <w:jc w:val="both"/>
      </w:pPr>
      <w:r>
        <w:rPr/>
        <w:t>Significant</w:t>
      </w:r>
      <w:r>
        <w:rPr>
          <w:spacing w:val="-2"/>
        </w:rPr>
        <w:t> </w:t>
      </w:r>
      <w:r>
        <w:rPr/>
        <w:t>values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brackets</w:t>
      </w:r>
      <w:r>
        <w:rPr>
          <w:spacing w:val="-1"/>
        </w:rPr>
        <w:t> </w:t>
      </w:r>
      <w:r>
        <w:rPr/>
        <w:t>(</w:t>
      </w:r>
      <w:r>
        <w:rPr>
          <w:spacing w:val="-1"/>
        </w:rPr>
        <w:t> </w:t>
      </w:r>
      <w:r>
        <w:rPr/>
        <w:t>).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9"/>
        </w:numPr>
        <w:tabs>
          <w:tab w:pos="702" w:val="left" w:leader="none"/>
        </w:tabs>
        <w:spacing w:line="360" w:lineRule="auto" w:before="185" w:after="0"/>
        <w:ind w:left="500" w:right="1181" w:firstLine="0"/>
        <w:jc w:val="both"/>
      </w:pPr>
      <w:r>
        <w:rPr/>
        <w:t>There</w:t>
      </w:r>
      <w:r>
        <w:rPr>
          <w:spacing w:val="-4"/>
        </w:rPr>
        <w:t> </w:t>
      </w:r>
      <w:r>
        <w:rPr/>
        <w:t>is bi-directional</w:t>
      </w:r>
      <w:r>
        <w:rPr>
          <w:spacing w:val="-1"/>
        </w:rPr>
        <w:t> </w:t>
      </w:r>
      <w:r>
        <w:rPr/>
        <w:t>causality</w:t>
      </w:r>
      <w:r>
        <w:rPr>
          <w:spacing w:val="-1"/>
        </w:rPr>
        <w:t> </w:t>
      </w:r>
      <w:r>
        <w:rPr/>
        <w:t>between</w:t>
      </w:r>
      <w:r>
        <w:rPr>
          <w:spacing w:val="-5"/>
        </w:rPr>
        <w:t> </w:t>
      </w:r>
      <w:r>
        <w:rPr/>
        <w:t>Government</w:t>
      </w:r>
      <w:r>
        <w:rPr>
          <w:spacing w:val="-3"/>
        </w:rPr>
        <w:t> </w:t>
      </w:r>
      <w:r>
        <w:rPr/>
        <w:t>Expenditure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Base</w:t>
      </w:r>
      <w:r>
        <w:rPr>
          <w:spacing w:val="-63"/>
        </w:rPr>
        <w:t> </w:t>
      </w:r>
      <w:r>
        <w:rPr/>
        <w:t>Money</w:t>
      </w:r>
    </w:p>
    <w:p>
      <w:pPr>
        <w:pStyle w:val="BodyText"/>
        <w:spacing w:line="360" w:lineRule="auto"/>
        <w:ind w:left="500" w:right="494"/>
        <w:jc w:val="both"/>
      </w:pPr>
      <w:r>
        <w:rPr/>
        <w:t>This evidence is seen in the result of the Granger Causality test on output, inflation, government</w:t>
      </w:r>
      <w:r>
        <w:rPr>
          <w:spacing w:val="1"/>
        </w:rPr>
        <w:t> </w:t>
      </w:r>
      <w:r>
        <w:rPr/>
        <w:t>expenditure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reserve</w:t>
      </w:r>
      <w:r>
        <w:rPr>
          <w:spacing w:val="-5"/>
        </w:rPr>
        <w:t> </w:t>
      </w:r>
      <w:r>
        <w:rPr/>
        <w:t>money</w:t>
      </w:r>
      <w:r>
        <w:rPr>
          <w:spacing w:val="-12"/>
        </w:rPr>
        <w:t> </w:t>
      </w:r>
      <w:r>
        <w:rPr/>
        <w:t>over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period</w:t>
      </w:r>
      <w:r>
        <w:rPr>
          <w:spacing w:val="-8"/>
        </w:rPr>
        <w:t> </w:t>
      </w:r>
      <w:r>
        <w:rPr/>
        <w:t>1960-2015.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result</w:t>
      </w:r>
      <w:r>
        <w:rPr>
          <w:spacing w:val="-7"/>
        </w:rPr>
        <w:t> </w:t>
      </w:r>
      <w:r>
        <w:rPr/>
        <w:t>which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reported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Table</w:t>
      </w:r>
      <w:r>
        <w:rPr>
          <w:spacing w:val="-57"/>
        </w:rPr>
        <w:t> </w:t>
      </w:r>
      <w:r>
        <w:rPr/>
        <w:t>3.13, there is a bi-directional causality between the fiscal and monetary variable that implies that</w:t>
      </w:r>
      <w:r>
        <w:rPr>
          <w:spacing w:val="1"/>
        </w:rPr>
        <w:t> </w:t>
      </w:r>
      <w:r>
        <w:rPr/>
        <w:t>both policies interacted in a way that each influences the stance of each other. A complementary</w:t>
      </w:r>
      <w:r>
        <w:rPr>
          <w:spacing w:val="1"/>
        </w:rPr>
        <w:t> </w:t>
      </w:r>
      <w:r>
        <w:rPr/>
        <w:t>VAR</w:t>
      </w:r>
      <w:r>
        <w:rPr>
          <w:spacing w:val="1"/>
        </w:rPr>
        <w:t> </w:t>
      </w:r>
      <w:r>
        <w:rPr/>
        <w:t>Granger</w:t>
      </w:r>
      <w:r>
        <w:rPr>
          <w:spacing w:val="1"/>
        </w:rPr>
        <w:t> </w:t>
      </w:r>
      <w:r>
        <w:rPr/>
        <w:t>Causality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budget</w:t>
      </w:r>
      <w:r>
        <w:rPr>
          <w:spacing w:val="1"/>
        </w:rPr>
        <w:t> </w:t>
      </w:r>
      <w:r>
        <w:rPr/>
        <w:t>deficit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rate</w:t>
      </w:r>
      <w:r>
        <w:rPr>
          <w:spacing w:val="-57"/>
        </w:rPr>
        <w:t> </w:t>
      </w:r>
      <w:r>
        <w:rPr/>
        <w:t>corroborated the existence of a bi-directional causality between the fiscal and monetary policy.</w:t>
      </w:r>
      <w:r>
        <w:rPr>
          <w:spacing w:val="1"/>
        </w:rPr>
        <w:t> </w:t>
      </w:r>
      <w:r>
        <w:rPr/>
        <w:t>The bi-directional causality between the fiscal and monetary variable shows that spill-overs exist</w:t>
      </w:r>
      <w:r>
        <w:rPr>
          <w:spacing w:val="1"/>
        </w:rPr>
        <w:t> </w:t>
      </w:r>
      <w:r>
        <w:rPr/>
        <w:t>between both policies. There are policy spill-overs or externality when one policy influences the</w:t>
      </w:r>
      <w:r>
        <w:rPr>
          <w:spacing w:val="1"/>
        </w:rPr>
        <w:t> </w:t>
      </w:r>
      <w:r>
        <w:rPr/>
        <w:t>behaviour of the other i.e. fiscal (monetary) policy influences the outcome of monetary (fiscal)</w:t>
      </w:r>
      <w:r>
        <w:rPr>
          <w:spacing w:val="1"/>
        </w:rPr>
        <w:t> </w:t>
      </w:r>
      <w:r>
        <w:rPr/>
        <w:t>policy. It can then be concluded that the policy decisions taken by the Central Bank of Nigeria is</w:t>
      </w:r>
      <w:r>
        <w:rPr>
          <w:spacing w:val="1"/>
        </w:rPr>
        <w:t> </w:t>
      </w:r>
      <w:r>
        <w:rPr/>
        <w:t>able to influence the policy decisions and outcome of the Federal Ministry of Finance, and vice-</w:t>
      </w:r>
      <w:r>
        <w:rPr>
          <w:spacing w:val="1"/>
        </w:rPr>
        <w:t> </w:t>
      </w:r>
      <w:r>
        <w:rPr/>
        <w:t>versa.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74"/>
        <w:ind w:left="1333" w:right="1335"/>
        <w:jc w:val="center"/>
      </w:pPr>
      <w:r>
        <w:rPr/>
        <w:t>Table</w:t>
      </w:r>
      <w:r>
        <w:rPr>
          <w:spacing w:val="-1"/>
        </w:rPr>
        <w:t> </w:t>
      </w:r>
      <w:r>
        <w:rPr/>
        <w:t>3.13:</w:t>
      </w:r>
      <w:r>
        <w:rPr>
          <w:spacing w:val="-1"/>
        </w:rPr>
        <w:t> </w:t>
      </w:r>
      <w:r>
        <w:rPr/>
        <w:t>Pair-wise</w:t>
      </w:r>
      <w:r>
        <w:rPr>
          <w:spacing w:val="-1"/>
        </w:rPr>
        <w:t> </w:t>
      </w:r>
      <w:r>
        <w:rPr/>
        <w:t>Granger</w:t>
      </w:r>
      <w:r>
        <w:rPr>
          <w:spacing w:val="-1"/>
        </w:rPr>
        <w:t> </w:t>
      </w:r>
      <w:r>
        <w:rPr/>
        <w:t>Causality</w:t>
      </w:r>
      <w:r>
        <w:rPr>
          <w:spacing w:val="-5"/>
        </w:rPr>
        <w:t> </w:t>
      </w:r>
      <w:r>
        <w:rPr/>
        <w:t>Test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6"/>
        <w:gridCol w:w="4549"/>
      </w:tblGrid>
      <w:tr>
        <w:trPr>
          <w:trHeight w:val="416" w:hRule="atLeast"/>
        </w:trPr>
        <w:tc>
          <w:tcPr>
            <w:tcW w:w="454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Null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Hypothesis</w:t>
            </w:r>
          </w:p>
        </w:tc>
        <w:tc>
          <w:tcPr>
            <w:tcW w:w="454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</w:tr>
      <w:tr>
        <w:trPr>
          <w:trHeight w:val="413" w:hRule="atLeast"/>
        </w:trPr>
        <w:tc>
          <w:tcPr>
            <w:tcW w:w="454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 Granger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</w:t>
            </w:r>
          </w:p>
        </w:tc>
        <w:tc>
          <w:tcPr>
            <w:tcW w:w="454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1.9E-6</w:t>
            </w:r>
          </w:p>
        </w:tc>
      </w:tr>
      <w:tr>
        <w:trPr>
          <w:trHeight w:val="416" w:hRule="atLeast"/>
        </w:trPr>
        <w:tc>
          <w:tcPr>
            <w:tcW w:w="4546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does 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Granger Cause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RM</w:t>
            </w:r>
          </w:p>
        </w:tc>
        <w:tc>
          <w:tcPr>
            <w:tcW w:w="4549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0.00013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18"/>
        </w:numPr>
        <w:tabs>
          <w:tab w:pos="1279" w:val="left" w:leader="none"/>
        </w:tabs>
        <w:spacing w:line="276" w:lineRule="auto" w:before="0" w:after="0"/>
        <w:ind w:left="500" w:right="1282" w:firstLine="0"/>
        <w:jc w:val="both"/>
      </w:pPr>
      <w:r>
        <w:rPr/>
        <w:t>Trend Analysis on the Interaction between Policy and Macroeconomic</w:t>
      </w:r>
      <w:r>
        <w:rPr>
          <w:spacing w:val="-63"/>
        </w:rPr>
        <w:t> </w:t>
      </w:r>
      <w:r>
        <w:rPr/>
        <w:t>Outcome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</w:p>
    <w:p>
      <w:pPr>
        <w:pStyle w:val="ListParagraph"/>
        <w:numPr>
          <w:ilvl w:val="0"/>
          <w:numId w:val="19"/>
        </w:numPr>
        <w:tabs>
          <w:tab w:pos="1221" w:val="left" w:leader="none"/>
        </w:tabs>
        <w:spacing w:line="360" w:lineRule="auto" w:before="198" w:after="0"/>
        <w:ind w:left="1220" w:right="506" w:hanging="360"/>
        <w:jc w:val="both"/>
        <w:rPr>
          <w:b/>
          <w:sz w:val="26"/>
        </w:rPr>
      </w:pPr>
      <w:r>
        <w:rPr>
          <w:b/>
          <w:sz w:val="26"/>
        </w:rPr>
        <w:t>Government Expenditure and Monetary Policy Rate are positively correlated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with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Output</w:t>
      </w:r>
    </w:p>
    <w:p>
      <w:pPr>
        <w:pStyle w:val="BodyText"/>
        <w:spacing w:line="360" w:lineRule="auto"/>
        <w:ind w:left="500" w:right="496"/>
        <w:jc w:val="both"/>
      </w:pPr>
      <w:r>
        <w:rPr/>
        <w:t>Table 3.14 shows that the trend in both policy variables (government expenditure and monetary</w:t>
      </w:r>
      <w:r>
        <w:rPr>
          <w:spacing w:val="1"/>
        </w:rPr>
        <w:t> </w:t>
      </w:r>
      <w:r>
        <w:rPr/>
        <w:t>policy rate) are positively and significantly correlated with output at 0.88 and 0.70, respectively.</w:t>
      </w:r>
      <w:r>
        <w:rPr>
          <w:spacing w:val="1"/>
        </w:rPr>
        <w:t> </w:t>
      </w:r>
      <w:r>
        <w:rPr/>
        <w:t>This reflects the significance of both fiscal and monetary policy in influencing the long-term</w:t>
      </w:r>
      <w:r>
        <w:rPr>
          <w:spacing w:val="1"/>
        </w:rPr>
        <w:t> </w:t>
      </w:r>
      <w:r>
        <w:rPr/>
        <w:t>outcome</w:t>
      </w:r>
      <w:r>
        <w:rPr>
          <w:spacing w:val="-2"/>
        </w:rPr>
        <w:t> </w:t>
      </w:r>
      <w:r>
        <w:rPr/>
        <w:t>of output level in Nigeria.</w:t>
      </w:r>
    </w:p>
    <w:p>
      <w:pPr>
        <w:pStyle w:val="BodyText"/>
        <w:spacing w:before="2"/>
        <w:rPr>
          <w:sz w:val="36"/>
        </w:rPr>
      </w:pPr>
    </w:p>
    <w:p>
      <w:pPr>
        <w:pStyle w:val="Heading1"/>
        <w:numPr>
          <w:ilvl w:val="0"/>
          <w:numId w:val="19"/>
        </w:numPr>
        <w:tabs>
          <w:tab w:pos="1221" w:val="left" w:leader="none"/>
        </w:tabs>
        <w:spacing w:line="357" w:lineRule="auto" w:before="0" w:after="0"/>
        <w:ind w:left="1220" w:right="502" w:hanging="360"/>
        <w:jc w:val="both"/>
      </w:pPr>
      <w:r>
        <w:rPr/>
        <w:t>Government Expenditure and Monetary Policy Rate are weakly correlated</w:t>
      </w:r>
      <w:r>
        <w:rPr>
          <w:spacing w:val="1"/>
        </w:rPr>
        <w:t> </w:t>
      </w:r>
      <w:r>
        <w:rPr/>
        <w:t>with</w:t>
      </w:r>
      <w:r>
        <w:rPr>
          <w:spacing w:val="-2"/>
        </w:rPr>
        <w:t> </w:t>
      </w:r>
      <w:r>
        <w:rPr/>
        <w:t>Inflation</w:t>
      </w:r>
    </w:p>
    <w:p>
      <w:pPr>
        <w:pStyle w:val="BodyText"/>
        <w:spacing w:line="360" w:lineRule="auto"/>
        <w:ind w:left="500" w:right="499"/>
        <w:jc w:val="both"/>
      </w:pPr>
      <w:r>
        <w:rPr/>
        <w:t>Table</w:t>
      </w:r>
      <w:r>
        <w:rPr>
          <w:spacing w:val="1"/>
        </w:rPr>
        <w:t> </w:t>
      </w:r>
      <w:r>
        <w:rPr/>
        <w:t>3.14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reveal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expenditure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monetary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insignificantly</w:t>
      </w:r>
      <w:r>
        <w:rPr>
          <w:spacing w:val="1"/>
        </w:rPr>
        <w:t> </w:t>
      </w:r>
      <w:r>
        <w:rPr/>
        <w:t>correlated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inflation</w:t>
      </w:r>
      <w:r>
        <w:rPr>
          <w:spacing w:val="1"/>
        </w:rPr>
        <w:t> </w:t>
      </w:r>
      <w:r>
        <w:rPr/>
        <w:t>rates.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expenditure</w:t>
      </w:r>
      <w:r>
        <w:rPr>
          <w:spacing w:val="-1"/>
        </w:rPr>
        <w:t> </w:t>
      </w:r>
      <w:r>
        <w:rPr/>
        <w:t>with</w:t>
      </w:r>
      <w:r>
        <w:rPr>
          <w:spacing w:val="2"/>
        </w:rPr>
        <w:t> </w:t>
      </w:r>
      <w:r>
        <w:rPr/>
        <w:t>inflation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negative</w:t>
      </w:r>
      <w:r>
        <w:rPr>
          <w:spacing w:val="3"/>
        </w:rPr>
        <w:t> </w:t>
      </w:r>
      <w:r>
        <w:rPr/>
        <w:t>at</w:t>
      </w:r>
      <w:r>
        <w:rPr>
          <w:spacing w:val="6"/>
        </w:rPr>
        <w:t> </w:t>
      </w:r>
      <w:r>
        <w:rPr/>
        <w:t>-0.09</w:t>
      </w:r>
      <w:r>
        <w:rPr>
          <w:spacing w:val="2"/>
        </w:rPr>
        <w:t> </w:t>
      </w:r>
      <w:r>
        <w:rPr/>
        <w:t>while that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monetary</w:t>
      </w:r>
      <w:r>
        <w:rPr>
          <w:spacing w:val="-3"/>
        </w:rPr>
        <w:t> </w:t>
      </w:r>
      <w:r>
        <w:rPr/>
        <w:t>policy</w:t>
      </w:r>
      <w:r>
        <w:rPr>
          <w:spacing w:val="-3"/>
        </w:rPr>
        <w:t> </w:t>
      </w:r>
      <w:r>
        <w:rPr/>
        <w:t>rate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positive at</w:t>
      </w:r>
    </w:p>
    <w:p>
      <w:pPr>
        <w:pStyle w:val="BodyText"/>
        <w:spacing w:line="360" w:lineRule="auto" w:before="1"/>
        <w:ind w:left="500" w:right="493"/>
        <w:jc w:val="both"/>
      </w:pPr>
      <w:r>
        <w:rPr/>
        <w:t>0.18.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presents</w:t>
      </w:r>
      <w:r>
        <w:rPr>
          <w:spacing w:val="-5"/>
        </w:rPr>
        <w:t> </w:t>
      </w:r>
      <w:r>
        <w:rPr/>
        <w:t>preliminary</w:t>
      </w:r>
      <w:r>
        <w:rPr>
          <w:spacing w:val="-10"/>
        </w:rPr>
        <w:t> </w:t>
      </w:r>
      <w:r>
        <w:rPr/>
        <w:t>facts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fiscal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monetary</w:t>
      </w:r>
      <w:r>
        <w:rPr>
          <w:spacing w:val="-10"/>
        </w:rPr>
        <w:t> </w:t>
      </w:r>
      <w:r>
        <w:rPr/>
        <w:t>policy</w:t>
      </w:r>
      <w:r>
        <w:rPr>
          <w:spacing w:val="-10"/>
        </w:rPr>
        <w:t> </w:t>
      </w:r>
      <w:r>
        <w:rPr/>
        <w:t>variables</w:t>
      </w:r>
      <w:r>
        <w:rPr>
          <w:spacing w:val="-6"/>
        </w:rPr>
        <w:t> </w:t>
      </w:r>
      <w:r>
        <w:rPr/>
        <w:t>weakly</w:t>
      </w:r>
      <w:r>
        <w:rPr>
          <w:spacing w:val="-10"/>
        </w:rPr>
        <w:t> </w:t>
      </w:r>
      <w:r>
        <w:rPr/>
        <w:t>explains the</w:t>
      </w:r>
      <w:r>
        <w:rPr>
          <w:spacing w:val="-57"/>
        </w:rPr>
        <w:t> </w:t>
      </w:r>
      <w:r>
        <w:rPr/>
        <w:t>trend</w:t>
      </w:r>
      <w:r>
        <w:rPr>
          <w:spacing w:val="-1"/>
        </w:rPr>
        <w:t> </w:t>
      </w:r>
      <w:r>
        <w:rPr/>
        <w:t>in inflation rates in</w:t>
      </w:r>
      <w:r>
        <w:rPr>
          <w:spacing w:val="2"/>
        </w:rPr>
        <w:t> </w:t>
      </w:r>
      <w:r>
        <w:rPr/>
        <w:t>Nigeria.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74"/>
        <w:ind w:left="1334" w:right="1335"/>
        <w:jc w:val="center"/>
      </w:pPr>
      <w:r>
        <w:rPr/>
        <w:t>Table</w:t>
      </w:r>
      <w:r>
        <w:rPr>
          <w:spacing w:val="-1"/>
        </w:rPr>
        <w:t> </w:t>
      </w:r>
      <w:r>
        <w:rPr/>
        <w:t>3.14:</w:t>
      </w:r>
      <w:r>
        <w:rPr>
          <w:spacing w:val="-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Matrix-Policy</w:t>
      </w:r>
      <w:r>
        <w:rPr>
          <w:spacing w:val="-8"/>
        </w:rPr>
        <w:t> </w:t>
      </w:r>
      <w:r>
        <w:rPr/>
        <w:t>and</w:t>
      </w:r>
      <w:r>
        <w:rPr>
          <w:spacing w:val="-1"/>
        </w:rPr>
        <w:t> </w:t>
      </w:r>
      <w:r>
        <w:rPr/>
        <w:t>Macroeconomic</w:t>
      </w:r>
      <w:r>
        <w:rPr>
          <w:spacing w:val="-2"/>
        </w:rPr>
        <w:t> </w:t>
      </w:r>
      <w:r>
        <w:rPr/>
        <w:t>outcomes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8"/>
        <w:gridCol w:w="1995"/>
        <w:gridCol w:w="1844"/>
        <w:gridCol w:w="1849"/>
        <w:gridCol w:w="2253"/>
      </w:tblGrid>
      <w:tr>
        <w:trPr>
          <w:trHeight w:val="414" w:hRule="atLeast"/>
        </w:trPr>
        <w:tc>
          <w:tcPr>
            <w:tcW w:w="12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99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662"/>
              <w:rPr>
                <w:sz w:val="24"/>
              </w:rPr>
            </w:pPr>
            <w:r>
              <w:rPr>
                <w:sz w:val="24"/>
              </w:rPr>
              <w:t>GDP</w:t>
            </w:r>
          </w:p>
        </w:tc>
        <w:tc>
          <w:tcPr>
            <w:tcW w:w="18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511"/>
              <w:rPr>
                <w:sz w:val="24"/>
              </w:rPr>
            </w:pPr>
            <w:r>
              <w:rPr>
                <w:sz w:val="24"/>
              </w:rPr>
              <w:t>INF</w:t>
            </w:r>
          </w:p>
        </w:tc>
        <w:tc>
          <w:tcPr>
            <w:tcW w:w="184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510"/>
              <w:rPr>
                <w:sz w:val="24"/>
              </w:rPr>
            </w:pPr>
            <w:r>
              <w:rPr>
                <w:sz w:val="24"/>
              </w:rPr>
              <w:t>GE</w:t>
            </w:r>
          </w:p>
        </w:tc>
        <w:tc>
          <w:tcPr>
            <w:tcW w:w="22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514"/>
              <w:rPr>
                <w:sz w:val="24"/>
              </w:rPr>
            </w:pPr>
            <w:r>
              <w:rPr>
                <w:sz w:val="24"/>
              </w:rPr>
              <w:t>MPR</w:t>
            </w:r>
          </w:p>
        </w:tc>
      </w:tr>
      <w:tr>
        <w:trPr>
          <w:trHeight w:val="344" w:hRule="atLeast"/>
        </w:trPr>
        <w:tc>
          <w:tcPr>
            <w:tcW w:w="12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GDP</w:t>
            </w:r>
          </w:p>
        </w:tc>
        <w:tc>
          <w:tcPr>
            <w:tcW w:w="19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662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  <w:tc>
          <w:tcPr>
            <w:tcW w:w="1844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849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53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759" w:hRule="atLeast"/>
        </w:trPr>
        <w:tc>
          <w:tcPr>
            <w:tcW w:w="1288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INF</w:t>
            </w:r>
          </w:p>
        </w:tc>
        <w:tc>
          <w:tcPr>
            <w:tcW w:w="1995" w:type="dxa"/>
          </w:tcPr>
          <w:p>
            <w:pPr>
              <w:pStyle w:val="TableParagraph"/>
              <w:spacing w:before="62"/>
              <w:ind w:left="662"/>
              <w:rPr>
                <w:sz w:val="24"/>
              </w:rPr>
            </w:pPr>
            <w:r>
              <w:rPr>
                <w:sz w:val="24"/>
              </w:rPr>
              <w:t>0.0171</w:t>
            </w:r>
          </w:p>
          <w:p>
            <w:pPr>
              <w:pStyle w:val="TableParagraph"/>
              <w:spacing w:before="5"/>
              <w:ind w:left="662"/>
              <w:rPr>
                <w:b/>
                <w:sz w:val="24"/>
              </w:rPr>
            </w:pPr>
            <w:r>
              <w:rPr>
                <w:b/>
                <w:sz w:val="24"/>
              </w:rPr>
              <w:t>(0.9104)</w:t>
            </w:r>
          </w:p>
        </w:tc>
        <w:tc>
          <w:tcPr>
            <w:tcW w:w="1844" w:type="dxa"/>
          </w:tcPr>
          <w:p>
            <w:pPr>
              <w:pStyle w:val="TableParagraph"/>
              <w:spacing w:before="64"/>
              <w:ind w:left="511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  <w:tc>
          <w:tcPr>
            <w:tcW w:w="184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5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1288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GE</w:t>
            </w:r>
          </w:p>
        </w:tc>
        <w:tc>
          <w:tcPr>
            <w:tcW w:w="1995" w:type="dxa"/>
          </w:tcPr>
          <w:p>
            <w:pPr>
              <w:pStyle w:val="TableParagraph"/>
              <w:spacing w:before="130"/>
              <w:ind w:left="662"/>
              <w:rPr>
                <w:sz w:val="24"/>
              </w:rPr>
            </w:pPr>
            <w:r>
              <w:rPr>
                <w:sz w:val="24"/>
              </w:rPr>
              <w:t>0.8874</w:t>
            </w:r>
          </w:p>
          <w:p>
            <w:pPr>
              <w:pStyle w:val="TableParagraph"/>
              <w:spacing w:before="5"/>
              <w:ind w:left="662"/>
              <w:rPr>
                <w:b/>
                <w:sz w:val="24"/>
              </w:rPr>
            </w:pPr>
            <w:r>
              <w:rPr>
                <w:b/>
                <w:sz w:val="24"/>
              </w:rPr>
              <w:t>(0.0000)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0"/>
              <w:ind w:left="511"/>
              <w:rPr>
                <w:sz w:val="24"/>
              </w:rPr>
            </w:pPr>
            <w:r>
              <w:rPr>
                <w:sz w:val="24"/>
              </w:rPr>
              <w:t>-0.0855</w:t>
            </w:r>
          </w:p>
          <w:p>
            <w:pPr>
              <w:pStyle w:val="TableParagraph"/>
              <w:spacing w:before="5"/>
              <w:ind w:left="511"/>
              <w:rPr>
                <w:b/>
                <w:sz w:val="24"/>
              </w:rPr>
            </w:pPr>
            <w:r>
              <w:rPr>
                <w:b/>
                <w:sz w:val="24"/>
              </w:rPr>
              <w:t>(0.5722)</w:t>
            </w:r>
          </w:p>
        </w:tc>
        <w:tc>
          <w:tcPr>
            <w:tcW w:w="1849" w:type="dxa"/>
          </w:tcPr>
          <w:p>
            <w:pPr>
              <w:pStyle w:val="TableParagraph"/>
              <w:spacing w:before="133"/>
              <w:ind w:left="510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  <w:tc>
          <w:tcPr>
            <w:tcW w:w="225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690" w:hRule="atLeast"/>
        </w:trPr>
        <w:tc>
          <w:tcPr>
            <w:tcW w:w="12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MPR</w:t>
            </w:r>
          </w:p>
        </w:tc>
        <w:tc>
          <w:tcPr>
            <w:tcW w:w="19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0"/>
              <w:ind w:left="662"/>
              <w:rPr>
                <w:sz w:val="24"/>
              </w:rPr>
            </w:pPr>
            <w:r>
              <w:rPr>
                <w:sz w:val="24"/>
              </w:rPr>
              <w:t>0.6955</w:t>
            </w:r>
          </w:p>
          <w:p>
            <w:pPr>
              <w:pStyle w:val="TableParagraph"/>
              <w:spacing w:line="259" w:lineRule="exact" w:before="5"/>
              <w:ind w:left="662"/>
              <w:rPr>
                <w:b/>
                <w:sz w:val="24"/>
              </w:rPr>
            </w:pPr>
            <w:r>
              <w:rPr>
                <w:b/>
                <w:sz w:val="24"/>
              </w:rPr>
              <w:t>(0.0000)</w:t>
            </w:r>
          </w:p>
        </w:tc>
        <w:tc>
          <w:tcPr>
            <w:tcW w:w="18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0"/>
              <w:ind w:left="511"/>
              <w:rPr>
                <w:sz w:val="24"/>
              </w:rPr>
            </w:pPr>
            <w:r>
              <w:rPr>
                <w:sz w:val="24"/>
              </w:rPr>
              <w:t>0.1840</w:t>
            </w:r>
          </w:p>
          <w:p>
            <w:pPr>
              <w:pStyle w:val="TableParagraph"/>
              <w:spacing w:line="259" w:lineRule="exact" w:before="5"/>
              <w:ind w:left="511"/>
              <w:rPr>
                <w:b/>
                <w:sz w:val="24"/>
              </w:rPr>
            </w:pPr>
            <w:r>
              <w:rPr>
                <w:b/>
                <w:sz w:val="24"/>
              </w:rPr>
              <w:t>(0.2210)</w:t>
            </w:r>
          </w:p>
        </w:tc>
        <w:tc>
          <w:tcPr>
            <w:tcW w:w="18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0"/>
              <w:ind w:left="510"/>
              <w:rPr>
                <w:sz w:val="24"/>
              </w:rPr>
            </w:pPr>
            <w:r>
              <w:rPr>
                <w:sz w:val="24"/>
              </w:rPr>
              <w:t>0.6030*</w:t>
            </w:r>
          </w:p>
          <w:p>
            <w:pPr>
              <w:pStyle w:val="TableParagraph"/>
              <w:spacing w:line="259" w:lineRule="exact" w:before="5"/>
              <w:ind w:left="510"/>
              <w:rPr>
                <w:b/>
                <w:sz w:val="24"/>
              </w:rPr>
            </w:pPr>
            <w:r>
              <w:rPr>
                <w:b/>
                <w:sz w:val="24"/>
              </w:rPr>
              <w:t>(0.0000)</w:t>
            </w:r>
          </w:p>
        </w:tc>
        <w:tc>
          <w:tcPr>
            <w:tcW w:w="22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514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</w:tr>
    </w:tbl>
    <w:p>
      <w:pPr>
        <w:pStyle w:val="BodyText"/>
        <w:ind w:left="500"/>
      </w:pPr>
      <w:r>
        <w:rPr/>
        <w:t>Significant</w:t>
      </w:r>
      <w:r>
        <w:rPr>
          <w:spacing w:val="-2"/>
        </w:rPr>
        <w:t> </w:t>
      </w:r>
      <w:r>
        <w:rPr/>
        <w:t>values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brackets</w:t>
      </w:r>
      <w:r>
        <w:rPr>
          <w:spacing w:val="-1"/>
        </w:rPr>
        <w:t> </w:t>
      </w:r>
      <w:r>
        <w:rPr/>
        <w:t>(</w:t>
      </w:r>
      <w:r>
        <w:rPr>
          <w:spacing w:val="-1"/>
        </w:rPr>
        <w:t> </w:t>
      </w:r>
      <w:r>
        <w:rPr/>
        <w:t>).</w:t>
      </w:r>
    </w:p>
    <w:p>
      <w:pPr>
        <w:spacing w:after="0"/>
        <w:sectPr>
          <w:pgSz w:w="12240" w:h="15840"/>
          <w:pgMar w:header="0" w:footer="935" w:top="1360" w:bottom="1200" w:left="940" w:right="940"/>
        </w:sectPr>
      </w:pPr>
    </w:p>
    <w:p>
      <w:pPr>
        <w:pStyle w:val="Heading1"/>
        <w:numPr>
          <w:ilvl w:val="0"/>
          <w:numId w:val="20"/>
        </w:numPr>
        <w:tabs>
          <w:tab w:pos="760" w:val="left" w:leader="none"/>
        </w:tabs>
        <w:spacing w:line="240" w:lineRule="auto" w:before="60" w:after="0"/>
        <w:ind w:left="759" w:right="0" w:hanging="260"/>
        <w:jc w:val="both"/>
      </w:pPr>
      <w:r>
        <w:rPr/>
        <w:t>4</w:t>
      </w:r>
      <w:r>
        <w:rPr>
          <w:spacing w:val="127"/>
        </w:rPr>
        <w:t> </w:t>
      </w:r>
      <w:r>
        <w:rPr/>
        <w:t>Business Cycle</w:t>
      </w:r>
      <w:r>
        <w:rPr>
          <w:spacing w:val="-2"/>
        </w:rPr>
        <w:t> </w:t>
      </w:r>
      <w:r>
        <w:rPr/>
        <w:t>Facts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Fiscal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Monetary</w:t>
      </w:r>
      <w:r>
        <w:rPr>
          <w:spacing w:val="1"/>
        </w:rPr>
        <w:t> </w:t>
      </w:r>
      <w:r>
        <w:rPr/>
        <w:t>Policy Interactions</w:t>
      </w:r>
    </w:p>
    <w:p>
      <w:pPr>
        <w:pStyle w:val="BodyText"/>
        <w:spacing w:line="360" w:lineRule="auto" w:before="240"/>
        <w:ind w:left="500" w:right="498"/>
        <w:jc w:val="both"/>
      </w:pPr>
      <w:r>
        <w:rPr/>
        <w:t>Business cycle facts, that is, the statistics that explain the cyclical components of fiscal and</w:t>
      </w:r>
      <w:r>
        <w:rPr>
          <w:spacing w:val="1"/>
        </w:rPr>
        <w:t> </w:t>
      </w:r>
      <w:r>
        <w:rPr/>
        <w:t>monetary policy, are presented in this section. The business cycle statistics are obtained by</w:t>
      </w:r>
      <w:r>
        <w:rPr>
          <w:spacing w:val="1"/>
        </w:rPr>
        <w:t> </w:t>
      </w:r>
      <w:r>
        <w:rPr/>
        <w:t>applying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hp-filter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logged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GDP,</w:t>
      </w:r>
      <w:r>
        <w:rPr>
          <w:spacing w:val="1"/>
        </w:rPr>
        <w:t> </w:t>
      </w:r>
      <w:r>
        <w:rPr/>
        <w:t>inflation,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expenditure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money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1970-2015,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derive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cyclical</w:t>
      </w:r>
      <w:r>
        <w:rPr>
          <w:spacing w:val="1"/>
        </w:rPr>
        <w:t> </w:t>
      </w:r>
      <w:r>
        <w:rPr/>
        <w:t>series.</w:t>
      </w:r>
      <w:r>
        <w:rPr>
          <w:spacing w:val="-57"/>
        </w:rPr>
        <w:t> </w:t>
      </w:r>
      <w:r>
        <w:rPr/>
        <w:t>Therefore,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business</w:t>
      </w:r>
      <w:r>
        <w:rPr>
          <w:spacing w:val="-2"/>
        </w:rPr>
        <w:t> </w:t>
      </w:r>
      <w:r>
        <w:rPr/>
        <w:t>cycle</w:t>
      </w:r>
      <w:r>
        <w:rPr>
          <w:spacing w:val="-2"/>
        </w:rPr>
        <w:t> </w:t>
      </w:r>
      <w:r>
        <w:rPr/>
        <w:t>statistics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include</w:t>
      </w:r>
      <w:r>
        <w:rPr>
          <w:spacing w:val="-2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deviation,</w:t>
      </w:r>
      <w:r>
        <w:rPr>
          <w:spacing w:val="-2"/>
        </w:rPr>
        <w:t> </w:t>
      </w:r>
      <w:r>
        <w:rPr/>
        <w:t>autocorrelation,</w:t>
      </w:r>
      <w:r>
        <w:rPr>
          <w:spacing w:val="-58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and cross-correlation are</w:t>
      </w:r>
      <w:r>
        <w:rPr>
          <w:spacing w:val="-1"/>
        </w:rPr>
        <w:t> </w:t>
      </w:r>
      <w:r>
        <w:rPr/>
        <w:t>highlighted in Table 3.15.</w:t>
      </w:r>
    </w:p>
    <w:p>
      <w:pPr>
        <w:pStyle w:val="BodyText"/>
        <w:spacing w:before="200"/>
        <w:ind w:left="620"/>
        <w:jc w:val="both"/>
      </w:pPr>
      <w:r>
        <w:rPr/>
        <w:t>Table</w:t>
      </w:r>
      <w:r>
        <w:rPr>
          <w:spacing w:val="-1"/>
        </w:rPr>
        <w:t> </w:t>
      </w:r>
      <w:r>
        <w:rPr/>
        <w:t>3.15: Business Cycle</w:t>
      </w:r>
      <w:r>
        <w:rPr>
          <w:spacing w:val="-1"/>
        </w:rPr>
        <w:t> </w:t>
      </w:r>
      <w:r>
        <w:rPr/>
        <w:t>Statistics on Real GDP,</w:t>
      </w:r>
      <w:r>
        <w:rPr>
          <w:spacing w:val="-1"/>
        </w:rPr>
        <w:t> </w:t>
      </w:r>
      <w:r>
        <w:rPr/>
        <w:t>Government Expenditure</w:t>
      </w:r>
      <w:r>
        <w:rPr>
          <w:spacing w:val="-2"/>
        </w:rPr>
        <w:t> </w:t>
      </w:r>
      <w:r>
        <w:rPr/>
        <w:t>and Base</w:t>
      </w:r>
      <w:r>
        <w:rPr>
          <w:spacing w:val="-2"/>
        </w:rPr>
        <w:t> </w:t>
      </w:r>
      <w:r>
        <w:rPr/>
        <w:t>Money</w:t>
      </w:r>
    </w:p>
    <w:p>
      <w:pPr>
        <w:pStyle w:val="BodyText"/>
        <w:spacing w:before="11"/>
        <w:rPr>
          <w:sz w:val="29"/>
        </w:rPr>
      </w:pPr>
    </w:p>
    <w:tbl>
      <w:tblPr>
        <w:tblW w:w="0" w:type="auto"/>
        <w:jc w:val="left"/>
        <w:tblInd w:w="2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6"/>
        <w:gridCol w:w="2415"/>
      </w:tblGrid>
      <w:tr>
        <w:trPr>
          <w:trHeight w:val="275" w:hRule="atLeast"/>
        </w:trPr>
        <w:tc>
          <w:tcPr>
            <w:tcW w:w="6261" w:type="dxa"/>
            <w:gridSpan w:val="2"/>
            <w:tcBorders>
              <w:right w:val="triple" w:sz="4" w:space="0" w:color="000000"/>
            </w:tcBorders>
          </w:tcPr>
          <w:p>
            <w:pPr>
              <w:pStyle w:val="TableParagraph"/>
              <w:spacing w:line="256" w:lineRule="exact"/>
              <w:ind w:left="2647" w:right="2623"/>
              <w:jc w:val="center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</w:tc>
      </w:tr>
      <w:tr>
        <w:trPr>
          <w:trHeight w:val="275" w:hRule="atLeast"/>
        </w:trPr>
        <w:tc>
          <w:tcPr>
            <w:tcW w:w="3846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GDP</w:t>
            </w:r>
          </w:p>
        </w:tc>
        <w:tc>
          <w:tcPr>
            <w:tcW w:w="2415" w:type="dxa"/>
            <w:tcBorders>
              <w:right w:val="triple" w:sz="4" w:space="0" w:color="000000"/>
            </w:tcBorders>
          </w:tcPr>
          <w:p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3846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Contemporaneous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2415" w:type="dxa"/>
            <w:tcBorders>
              <w:bottom w:val="nil"/>
              <w:right w:val="triple" w:sz="4" w:space="0" w:color="000000"/>
            </w:tcBorders>
          </w:tcPr>
          <w:p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69" w:hRule="atLeast"/>
        </w:trPr>
        <w:tc>
          <w:tcPr>
            <w:tcW w:w="3846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Volatility</w:t>
            </w:r>
          </w:p>
        </w:tc>
        <w:tc>
          <w:tcPr>
            <w:tcW w:w="2415" w:type="dxa"/>
            <w:tcBorders>
              <w:top w:val="nil"/>
              <w:right w:val="triple" w:sz="4" w:space="0" w:color="000000"/>
            </w:tcBorders>
          </w:tcPr>
          <w:p>
            <w:pPr>
              <w:pStyle w:val="TableParagraph"/>
              <w:spacing w:line="271" w:lineRule="exact"/>
              <w:ind w:left="363" w:right="353"/>
              <w:jc w:val="center"/>
              <w:rPr>
                <w:sz w:val="24"/>
              </w:rPr>
            </w:pPr>
            <w:r>
              <w:rPr>
                <w:sz w:val="24"/>
              </w:rPr>
              <w:t>38.05%</w:t>
            </w:r>
          </w:p>
        </w:tc>
      </w:tr>
      <w:tr>
        <w:trPr>
          <w:trHeight w:val="275" w:hRule="atLeast"/>
        </w:trPr>
        <w:tc>
          <w:tcPr>
            <w:tcW w:w="384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Relative Volatility</w:t>
            </w:r>
          </w:p>
        </w:tc>
        <w:tc>
          <w:tcPr>
            <w:tcW w:w="2415" w:type="dxa"/>
            <w:tcBorders>
              <w:right w:val="triple" w:sz="4" w:space="0" w:color="000000"/>
            </w:tcBorders>
          </w:tcPr>
          <w:p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384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Phase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Shift</w:t>
            </w:r>
          </w:p>
        </w:tc>
        <w:tc>
          <w:tcPr>
            <w:tcW w:w="2415" w:type="dxa"/>
            <w:tcBorders>
              <w:right w:val="triple" w:sz="4" w:space="0" w:color="000000"/>
            </w:tcBorders>
          </w:tcPr>
          <w:p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384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Autocorrelation</w:t>
            </w:r>
          </w:p>
        </w:tc>
        <w:tc>
          <w:tcPr>
            <w:tcW w:w="2415" w:type="dxa"/>
            <w:tcBorders>
              <w:right w:val="triple" w:sz="4" w:space="0" w:color="000000"/>
            </w:tcBorders>
          </w:tcPr>
          <w:p>
            <w:pPr>
              <w:pStyle w:val="TableParagraph"/>
              <w:spacing w:line="256" w:lineRule="exact"/>
              <w:ind w:left="378" w:right="351"/>
              <w:jc w:val="center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Persistent</w:t>
            </w:r>
          </w:p>
        </w:tc>
      </w:tr>
      <w:tr>
        <w:trPr>
          <w:trHeight w:val="278" w:hRule="atLeast"/>
        </w:trPr>
        <w:tc>
          <w:tcPr>
            <w:tcW w:w="3846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Government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Expenditure</w:t>
            </w:r>
          </w:p>
        </w:tc>
        <w:tc>
          <w:tcPr>
            <w:tcW w:w="2415" w:type="dxa"/>
            <w:tcBorders>
              <w:right w:val="triple" w:sz="4" w:space="0" w:color="000000"/>
            </w:tcBorders>
          </w:tcPr>
          <w:p>
            <w:pPr>
              <w:pStyle w:val="TableParagraph"/>
              <w:spacing w:line="258" w:lineRule="exact"/>
              <w:ind w:left="378" w:right="3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Countercyclical</w:t>
            </w:r>
          </w:p>
        </w:tc>
      </w:tr>
      <w:tr>
        <w:trPr>
          <w:trHeight w:val="272" w:hRule="atLeast"/>
        </w:trPr>
        <w:tc>
          <w:tcPr>
            <w:tcW w:w="3846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Contemporaneous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2415" w:type="dxa"/>
            <w:tcBorders>
              <w:bottom w:val="nil"/>
              <w:right w:val="triple" w:sz="4" w:space="0" w:color="000000"/>
            </w:tcBorders>
          </w:tcPr>
          <w:p>
            <w:pPr>
              <w:pStyle w:val="TableParagraph"/>
              <w:spacing w:line="253" w:lineRule="exact"/>
              <w:ind w:left="378" w:right="350"/>
              <w:jc w:val="center"/>
              <w:rPr>
                <w:sz w:val="24"/>
              </w:rPr>
            </w:pPr>
            <w:r>
              <w:rPr>
                <w:sz w:val="24"/>
              </w:rPr>
              <w:t>-0.058</w:t>
            </w:r>
          </w:p>
        </w:tc>
      </w:tr>
      <w:tr>
        <w:trPr>
          <w:trHeight w:val="569" w:hRule="atLeast"/>
        </w:trPr>
        <w:tc>
          <w:tcPr>
            <w:tcW w:w="3846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Volatility</w:t>
            </w:r>
          </w:p>
        </w:tc>
        <w:tc>
          <w:tcPr>
            <w:tcW w:w="2415" w:type="dxa"/>
            <w:tcBorders>
              <w:top w:val="nil"/>
              <w:right w:val="triple" w:sz="4" w:space="0" w:color="000000"/>
            </w:tcBorders>
          </w:tcPr>
          <w:p>
            <w:pPr>
              <w:pStyle w:val="TableParagraph"/>
              <w:spacing w:line="271" w:lineRule="exact"/>
              <w:ind w:left="378" w:right="349"/>
              <w:jc w:val="center"/>
              <w:rPr>
                <w:sz w:val="24"/>
              </w:rPr>
            </w:pPr>
            <w:r>
              <w:rPr>
                <w:sz w:val="24"/>
              </w:rPr>
              <w:t>21.37%</w:t>
            </w:r>
          </w:p>
        </w:tc>
      </w:tr>
      <w:tr>
        <w:trPr>
          <w:trHeight w:val="275" w:hRule="atLeast"/>
        </w:trPr>
        <w:tc>
          <w:tcPr>
            <w:tcW w:w="384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Relative Volatility</w:t>
            </w:r>
          </w:p>
        </w:tc>
        <w:tc>
          <w:tcPr>
            <w:tcW w:w="2415" w:type="dxa"/>
            <w:tcBorders>
              <w:right w:val="triple" w:sz="4" w:space="0" w:color="000000"/>
            </w:tcBorders>
          </w:tcPr>
          <w:p>
            <w:pPr>
              <w:pStyle w:val="TableParagraph"/>
              <w:spacing w:line="256" w:lineRule="exact"/>
              <w:ind w:left="378" w:right="352"/>
              <w:jc w:val="center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</w:tr>
      <w:tr>
        <w:trPr>
          <w:trHeight w:val="275" w:hRule="atLeast"/>
        </w:trPr>
        <w:tc>
          <w:tcPr>
            <w:tcW w:w="384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Autocorrelation</w:t>
            </w:r>
          </w:p>
        </w:tc>
        <w:tc>
          <w:tcPr>
            <w:tcW w:w="2415" w:type="dxa"/>
            <w:tcBorders>
              <w:right w:val="triple" w:sz="4" w:space="0" w:color="000000"/>
            </w:tcBorders>
          </w:tcPr>
          <w:p>
            <w:pPr>
              <w:pStyle w:val="TableParagraph"/>
              <w:spacing w:line="256" w:lineRule="exact"/>
              <w:ind w:left="318" w:right="353"/>
              <w:jc w:val="center"/>
              <w:rPr>
                <w:sz w:val="24"/>
              </w:rPr>
            </w:pPr>
            <w:r>
              <w:rPr>
                <w:sz w:val="24"/>
              </w:rPr>
              <w:t>Persistent</w:t>
            </w:r>
          </w:p>
        </w:tc>
      </w:tr>
      <w:tr>
        <w:trPr>
          <w:trHeight w:val="275" w:hRule="atLeast"/>
        </w:trPr>
        <w:tc>
          <w:tcPr>
            <w:tcW w:w="384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Phase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Shift</w:t>
            </w:r>
          </w:p>
        </w:tc>
        <w:tc>
          <w:tcPr>
            <w:tcW w:w="2415" w:type="dxa"/>
            <w:tcBorders>
              <w:right w:val="triple" w:sz="4" w:space="0" w:color="000000"/>
            </w:tcBorders>
          </w:tcPr>
          <w:p>
            <w:pPr>
              <w:pStyle w:val="TableParagraph"/>
              <w:spacing w:line="256" w:lineRule="exact"/>
              <w:ind w:left="378" w:right="350"/>
              <w:jc w:val="center"/>
              <w:rPr>
                <w:sz w:val="24"/>
              </w:rPr>
            </w:pPr>
            <w:r>
              <w:rPr>
                <w:sz w:val="24"/>
              </w:rPr>
              <w:t>Leading</w:t>
            </w:r>
          </w:p>
        </w:tc>
      </w:tr>
      <w:tr>
        <w:trPr>
          <w:trHeight w:val="275" w:hRule="atLeast"/>
        </w:trPr>
        <w:tc>
          <w:tcPr>
            <w:tcW w:w="3846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Money</w:t>
            </w:r>
          </w:p>
        </w:tc>
        <w:tc>
          <w:tcPr>
            <w:tcW w:w="2415" w:type="dxa"/>
            <w:tcBorders>
              <w:right w:val="triple" w:sz="4" w:space="0" w:color="000000"/>
            </w:tcBorders>
          </w:tcPr>
          <w:p>
            <w:pPr>
              <w:pStyle w:val="TableParagraph"/>
              <w:spacing w:line="256" w:lineRule="exact"/>
              <w:ind w:left="378" w:right="3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Pro-cyclical</w:t>
            </w:r>
          </w:p>
        </w:tc>
      </w:tr>
      <w:tr>
        <w:trPr>
          <w:trHeight w:val="272" w:hRule="atLeast"/>
        </w:trPr>
        <w:tc>
          <w:tcPr>
            <w:tcW w:w="3846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Contemporaneous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2415" w:type="dxa"/>
            <w:tcBorders>
              <w:bottom w:val="nil"/>
              <w:right w:val="triple" w:sz="4" w:space="0" w:color="000000"/>
            </w:tcBorders>
          </w:tcPr>
          <w:p>
            <w:pPr>
              <w:pStyle w:val="TableParagraph"/>
              <w:spacing w:line="253" w:lineRule="exact"/>
              <w:ind w:left="378" w:right="352"/>
              <w:jc w:val="center"/>
              <w:rPr>
                <w:sz w:val="24"/>
              </w:rPr>
            </w:pPr>
            <w:r>
              <w:rPr>
                <w:sz w:val="24"/>
              </w:rPr>
              <w:t>0.061</w:t>
            </w:r>
          </w:p>
        </w:tc>
      </w:tr>
      <w:tr>
        <w:trPr>
          <w:trHeight w:val="569" w:hRule="atLeast"/>
        </w:trPr>
        <w:tc>
          <w:tcPr>
            <w:tcW w:w="3846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Volatility</w:t>
            </w:r>
          </w:p>
        </w:tc>
        <w:tc>
          <w:tcPr>
            <w:tcW w:w="2415" w:type="dxa"/>
            <w:tcBorders>
              <w:top w:val="nil"/>
              <w:right w:val="triple" w:sz="4" w:space="0" w:color="000000"/>
            </w:tcBorders>
          </w:tcPr>
          <w:p>
            <w:pPr>
              <w:pStyle w:val="TableParagraph"/>
              <w:spacing w:line="271" w:lineRule="exact"/>
              <w:ind w:left="378" w:right="349"/>
              <w:jc w:val="center"/>
              <w:rPr>
                <w:sz w:val="24"/>
              </w:rPr>
            </w:pPr>
            <w:r>
              <w:rPr>
                <w:sz w:val="24"/>
              </w:rPr>
              <w:t>23.41%</w:t>
            </w:r>
          </w:p>
        </w:tc>
      </w:tr>
      <w:tr>
        <w:trPr>
          <w:trHeight w:val="275" w:hRule="atLeast"/>
        </w:trPr>
        <w:tc>
          <w:tcPr>
            <w:tcW w:w="384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Relative Volatility</w:t>
            </w:r>
          </w:p>
        </w:tc>
        <w:tc>
          <w:tcPr>
            <w:tcW w:w="2415" w:type="dxa"/>
            <w:tcBorders>
              <w:right w:val="triple" w:sz="4" w:space="0" w:color="000000"/>
            </w:tcBorders>
          </w:tcPr>
          <w:p>
            <w:pPr>
              <w:pStyle w:val="TableParagraph"/>
              <w:spacing w:line="256" w:lineRule="exact"/>
              <w:ind w:left="378" w:right="352"/>
              <w:jc w:val="center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</w:tr>
      <w:tr>
        <w:trPr>
          <w:trHeight w:val="277" w:hRule="atLeast"/>
        </w:trPr>
        <w:tc>
          <w:tcPr>
            <w:tcW w:w="384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Autocorrelation</w:t>
            </w:r>
          </w:p>
        </w:tc>
        <w:tc>
          <w:tcPr>
            <w:tcW w:w="2415" w:type="dxa"/>
            <w:tcBorders>
              <w:right w:val="triple" w:sz="4" w:space="0" w:color="000000"/>
            </w:tcBorders>
          </w:tcPr>
          <w:p>
            <w:pPr>
              <w:pStyle w:val="TableParagraph"/>
              <w:spacing w:line="258" w:lineRule="exact"/>
              <w:ind w:left="378" w:right="351"/>
              <w:jc w:val="center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Persistent</w:t>
            </w:r>
          </w:p>
        </w:tc>
      </w:tr>
      <w:tr>
        <w:trPr>
          <w:trHeight w:val="275" w:hRule="atLeast"/>
        </w:trPr>
        <w:tc>
          <w:tcPr>
            <w:tcW w:w="384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Phase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Shift</w:t>
            </w:r>
          </w:p>
        </w:tc>
        <w:tc>
          <w:tcPr>
            <w:tcW w:w="2415" w:type="dxa"/>
            <w:tcBorders>
              <w:right w:val="triple" w:sz="4" w:space="0" w:color="000000"/>
            </w:tcBorders>
          </w:tcPr>
          <w:p>
            <w:pPr>
              <w:pStyle w:val="TableParagraph"/>
              <w:spacing w:line="256" w:lineRule="exact"/>
              <w:ind w:left="378" w:right="352"/>
              <w:jc w:val="center"/>
              <w:rPr>
                <w:sz w:val="24"/>
              </w:rPr>
            </w:pPr>
            <w:r>
              <w:rPr>
                <w:sz w:val="24"/>
              </w:rPr>
              <w:t>Lagging</w:t>
            </w:r>
          </w:p>
        </w:tc>
      </w:tr>
    </w:tbl>
    <w:p>
      <w:pPr>
        <w:pStyle w:val="BodyText"/>
      </w:pPr>
    </w:p>
    <w:p>
      <w:pPr>
        <w:pStyle w:val="Heading1"/>
        <w:numPr>
          <w:ilvl w:val="0"/>
          <w:numId w:val="19"/>
        </w:numPr>
        <w:tabs>
          <w:tab w:pos="734" w:val="left" w:leader="none"/>
        </w:tabs>
        <w:spacing w:line="276" w:lineRule="auto" w:before="0" w:after="0"/>
        <w:ind w:left="500" w:right="506" w:firstLine="0"/>
        <w:jc w:val="both"/>
      </w:pPr>
      <w:r>
        <w:rPr/>
        <w:t>The cyclical components of policy variables are relatively smoother than output</w:t>
      </w:r>
      <w:r>
        <w:rPr>
          <w:spacing w:val="1"/>
        </w:rPr>
        <w:t> </w:t>
      </w:r>
      <w:r>
        <w:rPr/>
        <w:t>fluctuation</w:t>
      </w:r>
    </w:p>
    <w:p>
      <w:pPr>
        <w:pStyle w:val="BodyText"/>
        <w:spacing w:line="360" w:lineRule="auto" w:before="195"/>
        <w:ind w:left="500" w:right="494"/>
        <w:jc w:val="both"/>
      </w:pPr>
      <w:r>
        <w:rPr/>
        <w:t>The volatility of each series is known from the value of its standard deviation. The Relative</w:t>
      </w:r>
      <w:r>
        <w:rPr>
          <w:spacing w:val="1"/>
        </w:rPr>
        <w:t> </w:t>
      </w:r>
      <w:r>
        <w:rPr>
          <w:spacing w:val="-1"/>
        </w:rPr>
        <w:t>Volatility</w:t>
      </w:r>
      <w:r>
        <w:rPr>
          <w:spacing w:val="-17"/>
        </w:rPr>
        <w:t> </w:t>
      </w:r>
      <w:r>
        <w:rPr/>
        <w:t>is</w:t>
      </w:r>
      <w:r>
        <w:rPr>
          <w:spacing w:val="-9"/>
        </w:rPr>
        <w:t> </w:t>
      </w:r>
      <w:r>
        <w:rPr/>
        <w:t>used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compare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volatility</w:t>
      </w:r>
      <w:r>
        <w:rPr>
          <w:spacing w:val="-17"/>
        </w:rPr>
        <w:t> </w:t>
      </w:r>
      <w:r>
        <w:rPr/>
        <w:t>(standard</w:t>
      </w:r>
      <w:r>
        <w:rPr>
          <w:spacing w:val="-9"/>
        </w:rPr>
        <w:t> </w:t>
      </w:r>
      <w:r>
        <w:rPr/>
        <w:t>deviation)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variable</w:t>
      </w:r>
      <w:r>
        <w:rPr>
          <w:spacing w:val="-11"/>
        </w:rPr>
        <w:t> </w:t>
      </w:r>
      <w:r>
        <w:rPr/>
        <w:t>with</w:t>
      </w:r>
      <w:r>
        <w:rPr>
          <w:spacing w:val="-9"/>
        </w:rPr>
        <w:t> </w:t>
      </w:r>
      <w:r>
        <w:rPr/>
        <w:t>others,</w:t>
      </w:r>
      <w:r>
        <w:rPr>
          <w:spacing w:val="-10"/>
        </w:rPr>
        <w:t> </w:t>
      </w:r>
      <w:r>
        <w:rPr/>
        <w:t>especially</w:t>
      </w:r>
      <w:r>
        <w:rPr>
          <w:spacing w:val="-57"/>
        </w:rPr>
        <w:t> </w:t>
      </w:r>
      <w:r>
        <w:rPr/>
        <w:t>with GDP. It is defined as the volatility of a variable relative to that of the aggregate economy. It</w:t>
      </w:r>
      <w:r>
        <w:rPr>
          <w:spacing w:val="1"/>
        </w:rPr>
        <w:t> </w:t>
      </w:r>
      <w:r>
        <w:rPr/>
        <w:t>is</w:t>
      </w:r>
      <w:r>
        <w:rPr>
          <w:spacing w:val="34"/>
        </w:rPr>
        <w:t> </w:t>
      </w:r>
      <w:r>
        <w:rPr/>
        <w:t>derived</w:t>
      </w:r>
      <w:r>
        <w:rPr>
          <w:spacing w:val="33"/>
        </w:rPr>
        <w:t> </w:t>
      </w:r>
      <w:r>
        <w:rPr/>
        <w:t>by</w:t>
      </w:r>
      <w:r>
        <w:rPr>
          <w:spacing w:val="28"/>
        </w:rPr>
        <w:t> </w:t>
      </w:r>
      <w:r>
        <w:rPr/>
        <w:t>dividing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volatility</w:t>
      </w:r>
      <w:r>
        <w:rPr>
          <w:spacing w:val="26"/>
        </w:rPr>
        <w:t> </w:t>
      </w:r>
      <w:r>
        <w:rPr/>
        <w:t>of</w:t>
      </w:r>
      <w:r>
        <w:rPr>
          <w:spacing w:val="32"/>
        </w:rPr>
        <w:t> </w:t>
      </w:r>
      <w:r>
        <w:rPr/>
        <w:t>such</w:t>
      </w:r>
      <w:r>
        <w:rPr>
          <w:spacing w:val="33"/>
        </w:rPr>
        <w:t> </w:t>
      </w:r>
      <w:r>
        <w:rPr/>
        <w:t>relevant</w:t>
      </w:r>
      <w:r>
        <w:rPr>
          <w:spacing w:val="34"/>
        </w:rPr>
        <w:t> </w:t>
      </w:r>
      <w:r>
        <w:rPr/>
        <w:t>variable</w:t>
      </w:r>
      <w:r>
        <w:rPr>
          <w:spacing w:val="32"/>
        </w:rPr>
        <w:t> </w:t>
      </w:r>
      <w:r>
        <w:rPr/>
        <w:t>with</w:t>
      </w:r>
      <w:r>
        <w:rPr>
          <w:spacing w:val="33"/>
        </w:rPr>
        <w:t> </w:t>
      </w:r>
      <w:r>
        <w:rPr/>
        <w:t>the</w:t>
      </w:r>
      <w:r>
        <w:rPr>
          <w:spacing w:val="35"/>
        </w:rPr>
        <w:t> </w:t>
      </w:r>
      <w:r>
        <w:rPr/>
        <w:t>volatility</w:t>
      </w:r>
      <w:r>
        <w:rPr>
          <w:spacing w:val="26"/>
        </w:rPr>
        <w:t> </w:t>
      </w:r>
      <w:r>
        <w:rPr/>
        <w:t>of</w:t>
      </w:r>
      <w:r>
        <w:rPr>
          <w:spacing w:val="32"/>
        </w:rPr>
        <w:t> </w:t>
      </w:r>
      <w:r>
        <w:rPr/>
        <w:t>GDP.</w:t>
      </w:r>
      <w:r>
        <w:rPr>
          <w:spacing w:val="33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935" w:top="1380" w:bottom="1200" w:left="940" w:right="940"/>
        </w:sectPr>
      </w:pPr>
    </w:p>
    <w:p>
      <w:pPr>
        <w:pStyle w:val="BodyText"/>
        <w:spacing w:line="360" w:lineRule="auto" w:before="74"/>
        <w:ind w:left="500" w:right="503"/>
        <w:jc w:val="both"/>
      </w:pPr>
      <w:r>
        <w:rPr/>
        <w:t>coefficients describing the relative volatility in Table 3.15 reveal that the cyclical fluctuations in</w:t>
      </w:r>
      <w:r>
        <w:rPr>
          <w:spacing w:val="1"/>
        </w:rPr>
        <w:t> </w:t>
      </w:r>
      <w:r>
        <w:rPr/>
        <w:t>government expenditure and reserve money are less volatile when compared to economy wide</w:t>
      </w:r>
      <w:r>
        <w:rPr>
          <w:spacing w:val="1"/>
        </w:rPr>
        <w:t> </w:t>
      </w:r>
      <w:r>
        <w:rPr/>
        <w:t>fluctuation</w:t>
      </w:r>
      <w:r>
        <w:rPr>
          <w:spacing w:val="-1"/>
        </w:rPr>
        <w:t> </w:t>
      </w:r>
      <w:r>
        <w:rPr/>
        <w:t>in real GDP.</w:t>
      </w:r>
    </w:p>
    <w:p>
      <w:pPr>
        <w:pStyle w:val="Heading1"/>
        <w:numPr>
          <w:ilvl w:val="0"/>
          <w:numId w:val="19"/>
        </w:numPr>
        <w:tabs>
          <w:tab w:pos="906" w:val="left" w:leader="none"/>
        </w:tabs>
        <w:spacing w:line="276" w:lineRule="auto" w:before="206" w:after="0"/>
        <w:ind w:left="500" w:right="497" w:firstLine="0"/>
        <w:jc w:val="both"/>
      </w:pPr>
      <w:r>
        <w:rPr/>
        <w:t>The cyclical components of fiscal and monetary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variables are weakly</w:t>
      </w:r>
      <w:r>
        <w:rPr>
          <w:spacing w:val="1"/>
        </w:rPr>
        <w:t> </w:t>
      </w:r>
      <w:r>
        <w:rPr/>
        <w:t>correlated</w:t>
      </w:r>
      <w:r>
        <w:rPr>
          <w:spacing w:val="-2"/>
        </w:rPr>
        <w:t> </w:t>
      </w:r>
      <w:r>
        <w:rPr/>
        <w:t>with output</w:t>
      </w:r>
    </w:p>
    <w:p>
      <w:pPr>
        <w:pStyle w:val="BodyText"/>
        <w:spacing w:line="360" w:lineRule="auto" w:before="195"/>
        <w:ind w:left="500" w:right="497"/>
        <w:jc w:val="both"/>
      </w:pPr>
      <w:r>
        <w:rPr/>
        <w:t>In Table 3.15, the coefficients of the contemporaneous correlation of fiscal and monetary policy</w:t>
      </w:r>
      <w:r>
        <w:rPr>
          <w:spacing w:val="1"/>
        </w:rPr>
        <w:t> </w:t>
      </w:r>
      <w:r>
        <w:rPr>
          <w:position w:val="2"/>
        </w:rPr>
        <w:t>variables (X</w:t>
      </w:r>
      <w:r>
        <w:rPr>
          <w:sz w:val="16"/>
        </w:rPr>
        <w:t>t</w:t>
      </w:r>
      <w:r>
        <w:rPr>
          <w:position w:val="2"/>
        </w:rPr>
        <w:t>) are seen to be less than 0.5. This depicts the weak association of fluctuations in</w:t>
      </w:r>
      <w:r>
        <w:rPr>
          <w:spacing w:val="1"/>
          <w:position w:val="2"/>
        </w:rPr>
        <w:t> </w:t>
      </w:r>
      <w:r>
        <w:rPr/>
        <w:t>policy variables with output fluctuation. It implies that fiscal and monetary policies are fairly</w:t>
      </w:r>
      <w:r>
        <w:rPr>
          <w:spacing w:val="1"/>
        </w:rPr>
        <w:t> </w:t>
      </w:r>
      <w:r>
        <w:rPr/>
        <w:t>effective for output stabilisation at the short run frequency in Nigeria. However, it can also be</w:t>
      </w:r>
      <w:r>
        <w:rPr>
          <w:spacing w:val="1"/>
        </w:rPr>
        <w:t> </w:t>
      </w:r>
      <w:r>
        <w:rPr>
          <w:spacing w:val="-1"/>
        </w:rPr>
        <w:t>deduced</w:t>
      </w:r>
      <w:r>
        <w:rPr>
          <w:spacing w:val="-12"/>
        </w:rPr>
        <w:t> </w:t>
      </w:r>
      <w:r>
        <w:rPr>
          <w:spacing w:val="-1"/>
        </w:rPr>
        <w:t>from</w:t>
      </w:r>
      <w:r>
        <w:rPr>
          <w:spacing w:val="-13"/>
        </w:rPr>
        <w:t> </w:t>
      </w:r>
      <w:r>
        <w:rPr/>
        <w:t>Table</w:t>
      </w:r>
      <w:r>
        <w:rPr>
          <w:spacing w:val="-13"/>
        </w:rPr>
        <w:t> </w:t>
      </w:r>
      <w:r>
        <w:rPr/>
        <w:t>3.15,</w:t>
      </w:r>
      <w:r>
        <w:rPr>
          <w:spacing w:val="-10"/>
        </w:rPr>
        <w:t> </w:t>
      </w:r>
      <w:r>
        <w:rPr/>
        <w:t>that</w:t>
      </w:r>
      <w:r>
        <w:rPr>
          <w:spacing w:val="-12"/>
        </w:rPr>
        <w:t> </w:t>
      </w:r>
      <w:r>
        <w:rPr/>
        <w:t>monetary</w:t>
      </w:r>
      <w:r>
        <w:rPr>
          <w:spacing w:val="-17"/>
        </w:rPr>
        <w:t> </w:t>
      </w:r>
      <w:r>
        <w:rPr/>
        <w:t>policy</w:t>
      </w:r>
      <w:r>
        <w:rPr>
          <w:spacing w:val="-17"/>
        </w:rPr>
        <w:t> </w:t>
      </w:r>
      <w:r>
        <w:rPr/>
        <w:t>has</w:t>
      </w:r>
      <w:r>
        <w:rPr>
          <w:spacing w:val="-12"/>
        </w:rPr>
        <w:t> </w:t>
      </w:r>
      <w:r>
        <w:rPr/>
        <w:t>been</w:t>
      </w:r>
      <w:r>
        <w:rPr>
          <w:spacing w:val="-12"/>
        </w:rPr>
        <w:t> </w:t>
      </w:r>
      <w:r>
        <w:rPr/>
        <w:t>more</w:t>
      </w:r>
      <w:r>
        <w:rPr>
          <w:spacing w:val="-14"/>
        </w:rPr>
        <w:t> </w:t>
      </w:r>
      <w:r>
        <w:rPr/>
        <w:t>effective</w:t>
      </w:r>
      <w:r>
        <w:rPr>
          <w:spacing w:val="-13"/>
        </w:rPr>
        <w:t> </w:t>
      </w:r>
      <w:r>
        <w:rPr/>
        <w:t>than</w:t>
      </w:r>
      <w:r>
        <w:rPr>
          <w:spacing w:val="-7"/>
        </w:rPr>
        <w:t> </w:t>
      </w:r>
      <w:r>
        <w:rPr/>
        <w:t>fiscal</w:t>
      </w:r>
      <w:r>
        <w:rPr>
          <w:spacing w:val="-12"/>
        </w:rPr>
        <w:t> </w:t>
      </w:r>
      <w:r>
        <w:rPr/>
        <w:t>policy,</w:t>
      </w:r>
      <w:r>
        <w:rPr>
          <w:spacing w:val="-10"/>
        </w:rPr>
        <w:t> </w:t>
      </w:r>
      <w:r>
        <w:rPr/>
        <w:t>at</w:t>
      </w:r>
      <w:r>
        <w:rPr>
          <w:spacing w:val="-12"/>
        </w:rPr>
        <w:t> </w:t>
      </w:r>
      <w:r>
        <w:rPr/>
        <w:t>output</w:t>
      </w:r>
      <w:r>
        <w:rPr>
          <w:spacing w:val="-57"/>
        </w:rPr>
        <w:t> </w:t>
      </w:r>
      <w:r>
        <w:rPr/>
        <w:t>stabilisation, based on the comparison of the magnitude of their contemporaneous correlation</w:t>
      </w:r>
      <w:r>
        <w:rPr>
          <w:spacing w:val="1"/>
        </w:rPr>
        <w:t> </w:t>
      </w:r>
      <w:r>
        <w:rPr>
          <w:position w:val="2"/>
        </w:rPr>
        <w:t>coefficients</w:t>
      </w:r>
      <w:r>
        <w:rPr>
          <w:spacing w:val="-1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t</w:t>
      </w:r>
      <w:r>
        <w:rPr>
          <w:spacing w:val="1"/>
          <w:sz w:val="16"/>
        </w:rPr>
        <w:t> </w:t>
      </w:r>
      <w:r>
        <w:rPr>
          <w:position w:val="2"/>
        </w:rPr>
        <w:t>).</w:t>
      </w:r>
    </w:p>
    <w:p>
      <w:pPr>
        <w:pStyle w:val="Heading1"/>
        <w:numPr>
          <w:ilvl w:val="0"/>
          <w:numId w:val="19"/>
        </w:numPr>
        <w:tabs>
          <w:tab w:pos="760" w:val="left" w:leader="none"/>
        </w:tabs>
        <w:spacing w:line="240" w:lineRule="auto" w:before="192" w:after="0"/>
        <w:ind w:left="759" w:right="0" w:hanging="260"/>
        <w:jc w:val="both"/>
      </w:pPr>
      <w:r>
        <w:rPr/>
        <w:t>Fiscal</w:t>
      </w:r>
      <w:r>
        <w:rPr>
          <w:spacing w:val="-2"/>
        </w:rPr>
        <w:t> </w:t>
      </w:r>
      <w:r>
        <w:rPr/>
        <w:t>policy is</w:t>
      </w:r>
      <w:r>
        <w:rPr>
          <w:spacing w:val="-2"/>
        </w:rPr>
        <w:t> </w:t>
      </w:r>
      <w:r>
        <w:rPr/>
        <w:t>countercyclical</w:t>
      </w:r>
    </w:p>
    <w:p>
      <w:pPr>
        <w:pStyle w:val="BodyText"/>
        <w:spacing w:line="360" w:lineRule="auto" w:before="248"/>
        <w:ind w:left="500" w:right="499"/>
        <w:jc w:val="both"/>
      </w:pPr>
      <w:r>
        <w:rPr/>
        <w:t>The</w:t>
      </w:r>
      <w:r>
        <w:rPr>
          <w:spacing w:val="-13"/>
        </w:rPr>
        <w:t> </w:t>
      </w:r>
      <w:r>
        <w:rPr/>
        <w:t>negative</w:t>
      </w:r>
      <w:r>
        <w:rPr>
          <w:spacing w:val="-12"/>
        </w:rPr>
        <w:t> </w:t>
      </w:r>
      <w:r>
        <w:rPr/>
        <w:t>correlation</w:t>
      </w:r>
      <w:r>
        <w:rPr>
          <w:spacing w:val="-9"/>
        </w:rPr>
        <w:t> </w:t>
      </w:r>
      <w:r>
        <w:rPr/>
        <w:t>between</w:t>
      </w:r>
      <w:r>
        <w:rPr>
          <w:spacing w:val="-10"/>
        </w:rPr>
        <w:t> </w:t>
      </w:r>
      <w:r>
        <w:rPr/>
        <w:t>fluctuations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variable</w:t>
      </w:r>
      <w:r>
        <w:rPr>
          <w:spacing w:val="-9"/>
        </w:rPr>
        <w:t> </w:t>
      </w:r>
      <w:r>
        <w:rPr/>
        <w:t>with</w:t>
      </w:r>
      <w:r>
        <w:rPr>
          <w:spacing w:val="-11"/>
        </w:rPr>
        <w:t> </w:t>
      </w:r>
      <w:r>
        <w:rPr/>
        <w:t>fluctuation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aggregate</w:t>
      </w:r>
      <w:r>
        <w:rPr>
          <w:spacing w:val="-9"/>
        </w:rPr>
        <w:t> </w:t>
      </w:r>
      <w:r>
        <w:rPr/>
        <w:t>economic</w:t>
      </w:r>
      <w:r>
        <w:rPr>
          <w:spacing w:val="-58"/>
        </w:rPr>
        <w:t> </w:t>
      </w:r>
      <w:r>
        <w:rPr/>
        <w:t>activity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interpreted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countercyclical.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contemporaneous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Government expenditure and GDP in Nigeria, is negative (-0.05), as shown in Table 3.15. This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recession</w:t>
      </w:r>
      <w:r>
        <w:rPr>
          <w:spacing w:val="1"/>
        </w:rPr>
        <w:t> </w:t>
      </w:r>
      <w:r>
        <w:rPr/>
        <w:t>(boom),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spending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(decreases). The countercyclical nature of government spending in the short run differs from its</w:t>
      </w:r>
      <w:r>
        <w:rPr>
          <w:spacing w:val="1"/>
        </w:rPr>
        <w:t> </w:t>
      </w:r>
      <w:r>
        <w:rPr/>
        <w:t>procyclical stance over the long run (see section 3.3.4). One caveat to this preliminary fact is that</w:t>
      </w:r>
      <w:r>
        <w:rPr>
          <w:spacing w:val="-57"/>
        </w:rPr>
        <w:t> </w:t>
      </w:r>
      <w:r>
        <w:rPr/>
        <w:t>the correlation coefficient is so close to zero (0) such that countercyclical relationship between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spending</w:t>
      </w:r>
      <w:r>
        <w:rPr>
          <w:spacing w:val="-3"/>
        </w:rPr>
        <w:t> </w:t>
      </w:r>
      <w:r>
        <w:rPr/>
        <w:t>and the state of</w:t>
      </w:r>
      <w:r>
        <w:rPr>
          <w:spacing w:val="-2"/>
        </w:rPr>
        <w:t> </w:t>
      </w:r>
      <w:r>
        <w:rPr/>
        <w:t>economy</w:t>
      </w:r>
      <w:r>
        <w:rPr>
          <w:spacing w:val="-5"/>
        </w:rPr>
        <w:t> </w:t>
      </w:r>
      <w:r>
        <w:rPr/>
        <w:t>is</w:t>
      </w:r>
      <w:r>
        <w:rPr>
          <w:spacing w:val="2"/>
        </w:rPr>
        <w:t> </w:t>
      </w:r>
      <w:r>
        <w:rPr/>
        <w:t>trivial.</w:t>
      </w:r>
    </w:p>
    <w:p>
      <w:pPr>
        <w:pStyle w:val="Heading1"/>
        <w:numPr>
          <w:ilvl w:val="0"/>
          <w:numId w:val="19"/>
        </w:numPr>
        <w:tabs>
          <w:tab w:pos="760" w:val="left" w:leader="none"/>
        </w:tabs>
        <w:spacing w:line="240" w:lineRule="auto" w:before="198" w:after="0"/>
        <w:ind w:left="759" w:right="0" w:hanging="260"/>
        <w:jc w:val="both"/>
      </w:pPr>
      <w:r>
        <w:rPr/>
        <w:t>Monetary policy</w:t>
      </w:r>
      <w:r>
        <w:rPr>
          <w:spacing w:val="-1"/>
        </w:rPr>
        <w:t> </w:t>
      </w:r>
      <w:r>
        <w:rPr/>
        <w:t>is pro-cyclical</w:t>
      </w:r>
    </w:p>
    <w:p>
      <w:pPr>
        <w:pStyle w:val="BodyText"/>
        <w:spacing w:line="360" w:lineRule="auto" w:before="247"/>
        <w:ind w:left="500" w:right="495"/>
        <w:jc w:val="both"/>
      </w:pPr>
      <w:r>
        <w:rPr/>
        <w:t>The positive correlation of fluctuations in a variable with fluctuations in aggregate economic</w:t>
      </w:r>
      <w:r>
        <w:rPr>
          <w:spacing w:val="1"/>
        </w:rPr>
        <w:t> </w:t>
      </w:r>
      <w:r>
        <w:rPr/>
        <w:t>activity is interpreted as pro-cyclicality. Base money is shown to be positively correlated with</w:t>
      </w:r>
      <w:r>
        <w:rPr>
          <w:spacing w:val="1"/>
        </w:rPr>
        <w:t> </w:t>
      </w:r>
      <w:r>
        <w:rPr/>
        <w:t>GDP in Table 3.15. This implies that when the Nigerian economy slides into a recession (boom),</w:t>
      </w:r>
      <w:r>
        <w:rPr>
          <w:spacing w:val="1"/>
        </w:rPr>
        <w:t> </w:t>
      </w:r>
      <w:r>
        <w:rPr/>
        <w:t>the</w:t>
      </w:r>
      <w:r>
        <w:rPr>
          <w:spacing w:val="-9"/>
        </w:rPr>
        <w:t> </w:t>
      </w:r>
      <w:r>
        <w:rPr/>
        <w:t>Central</w:t>
      </w:r>
      <w:r>
        <w:rPr>
          <w:spacing w:val="-7"/>
        </w:rPr>
        <w:t> </w:t>
      </w:r>
      <w:r>
        <w:rPr/>
        <w:t>Bank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Nigeria</w:t>
      </w:r>
      <w:r>
        <w:rPr>
          <w:spacing w:val="-10"/>
        </w:rPr>
        <w:t> </w:t>
      </w:r>
      <w:r>
        <w:rPr/>
        <w:t>usually</w:t>
      </w:r>
      <w:r>
        <w:rPr>
          <w:spacing w:val="-10"/>
        </w:rPr>
        <w:t> </w:t>
      </w:r>
      <w:r>
        <w:rPr/>
        <w:t>responds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tight</w:t>
      </w:r>
      <w:r>
        <w:rPr>
          <w:spacing w:val="-8"/>
        </w:rPr>
        <w:t> </w:t>
      </w:r>
      <w:r>
        <w:rPr/>
        <w:t>(easy)</w:t>
      </w:r>
      <w:r>
        <w:rPr>
          <w:spacing w:val="-8"/>
        </w:rPr>
        <w:t> </w:t>
      </w:r>
      <w:r>
        <w:rPr/>
        <w:t>monetary</w:t>
      </w:r>
      <w:r>
        <w:rPr>
          <w:spacing w:val="-13"/>
        </w:rPr>
        <w:t> </w:t>
      </w:r>
      <w:r>
        <w:rPr/>
        <w:t>policy.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pro-cyclical</w:t>
      </w:r>
      <w:r>
        <w:rPr>
          <w:spacing w:val="-58"/>
        </w:rPr>
        <w:t> </w:t>
      </w:r>
      <w:r>
        <w:rPr/>
        <w:t>stance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monetary</w:t>
      </w:r>
      <w:r>
        <w:rPr>
          <w:spacing w:val="-10"/>
        </w:rPr>
        <w:t> </w:t>
      </w:r>
      <w:r>
        <w:rPr/>
        <w:t>policy</w:t>
      </w:r>
      <w:r>
        <w:rPr>
          <w:spacing w:val="-9"/>
        </w:rPr>
        <w:t> </w:t>
      </w:r>
      <w:r>
        <w:rPr/>
        <w:t>at</w:t>
      </w:r>
      <w:r>
        <w:rPr>
          <w:spacing w:val="-5"/>
        </w:rPr>
        <w:t> </w:t>
      </w:r>
      <w:r>
        <w:rPr/>
        <w:t>business</w:t>
      </w:r>
      <w:r>
        <w:rPr>
          <w:spacing w:val="-6"/>
        </w:rPr>
        <w:t> </w:t>
      </w:r>
      <w:r>
        <w:rPr/>
        <w:t>cycle</w:t>
      </w:r>
      <w:r>
        <w:rPr>
          <w:spacing w:val="-6"/>
        </w:rPr>
        <w:t> </w:t>
      </w:r>
      <w:r>
        <w:rPr/>
        <w:t>frequency</w:t>
      </w:r>
      <w:r>
        <w:rPr>
          <w:spacing w:val="-11"/>
        </w:rPr>
        <w:t> </w:t>
      </w:r>
      <w:r>
        <w:rPr/>
        <w:t>is</w:t>
      </w:r>
      <w:r>
        <w:rPr>
          <w:spacing w:val="-5"/>
        </w:rPr>
        <w:t> </w:t>
      </w:r>
      <w:r>
        <w:rPr/>
        <w:t>similar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stance</w:t>
      </w:r>
      <w:r>
        <w:rPr>
          <w:spacing w:val="-6"/>
        </w:rPr>
        <w:t> </w:t>
      </w:r>
      <w:r>
        <w:rPr/>
        <w:t>found</w:t>
      </w:r>
      <w:r>
        <w:rPr>
          <w:spacing w:val="-7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long</w:t>
      </w:r>
      <w:r>
        <w:rPr>
          <w:spacing w:val="-7"/>
        </w:rPr>
        <w:t> </w:t>
      </w:r>
      <w:r>
        <w:rPr/>
        <w:t>run</w:t>
      </w:r>
      <w:r>
        <w:rPr>
          <w:spacing w:val="-58"/>
        </w:rPr>
        <w:t> </w:t>
      </w:r>
      <w:r>
        <w:rPr/>
        <w:t>frequency</w:t>
      </w:r>
      <w:r>
        <w:rPr>
          <w:spacing w:val="-5"/>
        </w:rPr>
        <w:t> </w:t>
      </w:r>
      <w:r>
        <w:rPr/>
        <w:t>(see</w:t>
      </w:r>
      <w:r>
        <w:rPr>
          <w:spacing w:val="-1"/>
        </w:rPr>
        <w:t> </w:t>
      </w:r>
      <w:r>
        <w:rPr/>
        <w:t>section 3.3.4).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Heading1"/>
        <w:numPr>
          <w:ilvl w:val="0"/>
          <w:numId w:val="19"/>
        </w:numPr>
        <w:tabs>
          <w:tab w:pos="858" w:val="left" w:leader="none"/>
        </w:tabs>
        <w:spacing w:line="276" w:lineRule="auto" w:before="60" w:after="0"/>
        <w:ind w:left="500" w:right="505" w:firstLine="0"/>
        <w:jc w:val="both"/>
      </w:pPr>
      <w:r>
        <w:rPr/>
        <w:t>The</w:t>
      </w:r>
      <w:r>
        <w:rPr>
          <w:spacing w:val="1"/>
        </w:rPr>
        <w:t> </w:t>
      </w:r>
      <w:r>
        <w:rPr/>
        <w:t>cyclical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monetary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fairly</w:t>
      </w:r>
      <w:r>
        <w:rPr>
          <w:spacing w:val="1"/>
        </w:rPr>
        <w:t> </w:t>
      </w:r>
      <w:r>
        <w:rPr/>
        <w:t>correlated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price</w:t>
      </w:r>
      <w:r>
        <w:rPr>
          <w:spacing w:val="2"/>
        </w:rPr>
        <w:t> </w:t>
      </w:r>
      <w:r>
        <w:rPr/>
        <w:t>level</w:t>
      </w:r>
    </w:p>
    <w:p>
      <w:pPr>
        <w:pStyle w:val="BodyText"/>
        <w:spacing w:line="360" w:lineRule="auto" w:before="195"/>
        <w:ind w:left="500" w:right="492"/>
        <w:jc w:val="both"/>
      </w:pPr>
      <w:r>
        <w:rPr/>
        <w:t>The magnitude of the contemporaneous correlation of the cyclical component of government</w:t>
      </w:r>
      <w:r>
        <w:rPr>
          <w:spacing w:val="1"/>
        </w:rPr>
        <w:t> </w:t>
      </w:r>
      <w:r>
        <w:rPr/>
        <w:t>expenditure and base money with price level is greater when compared to their correlation with</w:t>
      </w:r>
      <w:r>
        <w:rPr>
          <w:spacing w:val="1"/>
        </w:rPr>
        <w:t> </w:t>
      </w:r>
      <w:r>
        <w:rPr/>
        <w:t>output fluctuations. In Table 3.16, the coefficient of correlation for government expenditure and</w:t>
      </w:r>
      <w:r>
        <w:rPr>
          <w:spacing w:val="1"/>
        </w:rPr>
        <w:t> </w:t>
      </w:r>
      <w:r>
        <w:rPr/>
        <w:t>base money is 0.2013 and 0.5111 as compared with those presented in Table 3.15 (0.061 and -</w:t>
      </w:r>
      <w:r>
        <w:rPr>
          <w:spacing w:val="1"/>
        </w:rPr>
        <w:t> </w:t>
      </w:r>
      <w:r>
        <w:rPr/>
        <w:t>0.058). This implies that fiscal and monetary policy tools are more effective at price level</w:t>
      </w:r>
      <w:r>
        <w:rPr>
          <w:spacing w:val="1"/>
        </w:rPr>
        <w:t> </w:t>
      </w:r>
      <w:r>
        <w:rPr/>
        <w:t>stabilisation</w:t>
      </w:r>
      <w:r>
        <w:rPr>
          <w:spacing w:val="-1"/>
        </w:rPr>
        <w:t> </w:t>
      </w:r>
      <w:r>
        <w:rPr/>
        <w:t>than at output stabilisation.</w:t>
      </w:r>
    </w:p>
    <w:p>
      <w:pPr>
        <w:pStyle w:val="BodyText"/>
        <w:spacing w:before="200"/>
        <w:ind w:left="3623"/>
        <w:jc w:val="both"/>
      </w:pPr>
      <w:r>
        <w:rPr/>
        <w:t>Table</w:t>
      </w:r>
      <w:r>
        <w:rPr>
          <w:spacing w:val="-1"/>
        </w:rPr>
        <w:t> </w:t>
      </w:r>
      <w:r>
        <w:rPr/>
        <w:t>3.16: correlation</w:t>
      </w:r>
      <w:r>
        <w:rPr>
          <w:spacing w:val="-1"/>
        </w:rPr>
        <w:t> </w:t>
      </w:r>
      <w:r>
        <w:rPr/>
        <w:t>with CPI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6"/>
        <w:gridCol w:w="4456"/>
      </w:tblGrid>
      <w:tr>
        <w:trPr>
          <w:trHeight w:val="625" w:hRule="atLeast"/>
        </w:trPr>
        <w:tc>
          <w:tcPr>
            <w:tcW w:w="37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Cyclical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components</w:t>
            </w:r>
          </w:p>
        </w:tc>
        <w:tc>
          <w:tcPr>
            <w:tcW w:w="445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189"/>
              <w:rPr>
                <w:sz w:val="24"/>
              </w:rPr>
            </w:pPr>
            <w:r>
              <w:rPr>
                <w:sz w:val="24"/>
              </w:rPr>
              <w:t>Correlation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CPI</w:t>
            </w:r>
          </w:p>
        </w:tc>
      </w:tr>
      <w:tr>
        <w:trPr>
          <w:trHeight w:val="410" w:hRule="atLeast"/>
        </w:trPr>
        <w:tc>
          <w:tcPr>
            <w:tcW w:w="37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Consumer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Inflation</w:t>
            </w:r>
          </w:p>
        </w:tc>
        <w:tc>
          <w:tcPr>
            <w:tcW w:w="44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0" w:right="7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830" w:hRule="atLeast"/>
        </w:trPr>
        <w:tc>
          <w:tcPr>
            <w:tcW w:w="373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Expenditure</w:t>
            </w:r>
          </w:p>
        </w:tc>
        <w:tc>
          <w:tcPr>
            <w:tcW w:w="4456" w:type="dxa"/>
          </w:tcPr>
          <w:p>
            <w:pPr>
              <w:pStyle w:val="TableParagraph"/>
              <w:spacing w:before="133"/>
              <w:ind w:left="1729"/>
              <w:rPr>
                <w:sz w:val="24"/>
              </w:rPr>
            </w:pPr>
            <w:r>
              <w:rPr>
                <w:sz w:val="24"/>
              </w:rPr>
              <w:t>0.2013</w:t>
            </w:r>
          </w:p>
          <w:p>
            <w:pPr>
              <w:pStyle w:val="TableParagraph"/>
              <w:spacing w:before="4"/>
              <w:ind w:left="1729"/>
              <w:rPr>
                <w:b/>
                <w:sz w:val="24"/>
              </w:rPr>
            </w:pPr>
            <w:r>
              <w:rPr>
                <w:b/>
                <w:sz w:val="24"/>
              </w:rPr>
              <w:t>(0.1798)</w:t>
            </w:r>
          </w:p>
        </w:tc>
      </w:tr>
      <w:tr>
        <w:trPr>
          <w:trHeight w:val="690" w:hRule="atLeast"/>
        </w:trPr>
        <w:tc>
          <w:tcPr>
            <w:tcW w:w="37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0"/>
              <w:ind w:left="115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Money</w:t>
            </w:r>
          </w:p>
        </w:tc>
        <w:tc>
          <w:tcPr>
            <w:tcW w:w="44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0"/>
              <w:ind w:left="1729"/>
              <w:rPr>
                <w:sz w:val="24"/>
              </w:rPr>
            </w:pPr>
            <w:r>
              <w:rPr>
                <w:sz w:val="24"/>
              </w:rPr>
              <w:t>0.5111</w:t>
            </w:r>
          </w:p>
          <w:p>
            <w:pPr>
              <w:pStyle w:val="TableParagraph"/>
              <w:spacing w:line="259" w:lineRule="exact" w:before="5"/>
              <w:ind w:left="1729"/>
              <w:rPr>
                <w:b/>
                <w:sz w:val="24"/>
              </w:rPr>
            </w:pPr>
            <w:r>
              <w:rPr>
                <w:b/>
                <w:sz w:val="24"/>
              </w:rPr>
              <w:t>(0.0003)</w:t>
            </w:r>
          </w:p>
        </w:tc>
      </w:tr>
    </w:tbl>
    <w:p>
      <w:pPr>
        <w:pStyle w:val="BodyText"/>
        <w:ind w:left="500"/>
        <w:jc w:val="both"/>
      </w:pPr>
      <w:r>
        <w:rPr/>
        <w:t>Significant</w:t>
      </w:r>
      <w:r>
        <w:rPr>
          <w:spacing w:val="-2"/>
        </w:rPr>
        <w:t> </w:t>
      </w:r>
      <w:r>
        <w:rPr/>
        <w:t>values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brackets</w:t>
      </w:r>
      <w:r>
        <w:rPr>
          <w:spacing w:val="-1"/>
        </w:rPr>
        <w:t> </w:t>
      </w:r>
      <w:r>
        <w:rPr/>
        <w:t>(</w:t>
      </w:r>
      <w:r>
        <w:rPr>
          <w:spacing w:val="-1"/>
        </w:rPr>
        <w:t> </w:t>
      </w:r>
      <w:r>
        <w:rPr/>
        <w:t>).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9"/>
        </w:numPr>
        <w:tabs>
          <w:tab w:pos="760" w:val="left" w:leader="none"/>
        </w:tabs>
        <w:spacing w:line="240" w:lineRule="auto" w:before="178" w:after="0"/>
        <w:ind w:left="759" w:right="0" w:hanging="260"/>
        <w:jc w:val="both"/>
      </w:pPr>
      <w:r>
        <w:rPr/>
        <w:t>Fiscal</w:t>
      </w:r>
      <w:r>
        <w:rPr>
          <w:spacing w:val="-3"/>
        </w:rPr>
        <w:t> </w:t>
      </w:r>
      <w:r>
        <w:rPr/>
        <w:t>variable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monetary</w:t>
      </w:r>
      <w:r>
        <w:rPr>
          <w:spacing w:val="-1"/>
        </w:rPr>
        <w:t> </w:t>
      </w:r>
      <w:r>
        <w:rPr/>
        <w:t>variables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positively</w:t>
      </w:r>
      <w:r>
        <w:rPr>
          <w:spacing w:val="-1"/>
        </w:rPr>
        <w:t> </w:t>
      </w:r>
      <w:r>
        <w:rPr/>
        <w:t>correlated</w:t>
      </w:r>
    </w:p>
    <w:p>
      <w:pPr>
        <w:pStyle w:val="BodyText"/>
        <w:spacing w:line="360" w:lineRule="auto" w:before="246"/>
        <w:ind w:left="500" w:right="496"/>
        <w:jc w:val="both"/>
      </w:pPr>
      <w:r>
        <w:rPr/>
        <w:t>Table 3.17 shows the positive association between government expenditure and base money; and</w:t>
      </w:r>
      <w:r>
        <w:rPr>
          <w:spacing w:val="-57"/>
        </w:rPr>
        <w:t> </w:t>
      </w:r>
      <w:r>
        <w:rPr/>
        <w:t>between budget deficit and real interest rate. This correlation implies that fiscal and monetary</w:t>
      </w:r>
      <w:r>
        <w:rPr>
          <w:spacing w:val="1"/>
        </w:rPr>
        <w:t> </w:t>
      </w:r>
      <w:r>
        <w:rPr/>
        <w:t>policies act as complement at business cycle frequency. This means an expansionary fiscal</w:t>
      </w:r>
      <w:r>
        <w:rPr>
          <w:spacing w:val="1"/>
        </w:rPr>
        <w:t> </w:t>
      </w:r>
      <w:r>
        <w:rPr/>
        <w:t>(monetary)</w:t>
      </w:r>
      <w:r>
        <w:rPr>
          <w:spacing w:val="-11"/>
        </w:rPr>
        <w:t> </w:t>
      </w:r>
      <w:r>
        <w:rPr/>
        <w:t>policy</w:t>
      </w:r>
      <w:r>
        <w:rPr>
          <w:spacing w:val="-14"/>
        </w:rPr>
        <w:t> </w:t>
      </w:r>
      <w:r>
        <w:rPr/>
        <w:t>is</w:t>
      </w:r>
      <w:r>
        <w:rPr>
          <w:spacing w:val="-9"/>
        </w:rPr>
        <w:t> </w:t>
      </w:r>
      <w:r>
        <w:rPr/>
        <w:t>being</w:t>
      </w:r>
      <w:r>
        <w:rPr>
          <w:spacing w:val="-11"/>
        </w:rPr>
        <w:t> </w:t>
      </w:r>
      <w:r>
        <w:rPr/>
        <w:t>accompanied</w:t>
      </w:r>
      <w:r>
        <w:rPr>
          <w:spacing w:val="-9"/>
        </w:rPr>
        <w:t> </w:t>
      </w:r>
      <w:r>
        <w:rPr/>
        <w:t>by</w:t>
      </w:r>
      <w:r>
        <w:rPr>
          <w:spacing w:val="-15"/>
        </w:rPr>
        <w:t> </w:t>
      </w:r>
      <w:r>
        <w:rPr/>
        <w:t>a</w:t>
      </w:r>
      <w:r>
        <w:rPr>
          <w:spacing w:val="-8"/>
        </w:rPr>
        <w:t> </w:t>
      </w:r>
      <w:r>
        <w:rPr/>
        <w:t>corresponding</w:t>
      </w:r>
      <w:r>
        <w:rPr>
          <w:spacing w:val="-12"/>
        </w:rPr>
        <w:t> </w:t>
      </w:r>
      <w:r>
        <w:rPr/>
        <w:t>expansionary</w:t>
      </w:r>
      <w:r>
        <w:rPr>
          <w:spacing w:val="-14"/>
        </w:rPr>
        <w:t> </w:t>
      </w:r>
      <w:r>
        <w:rPr/>
        <w:t>monetary</w:t>
      </w:r>
      <w:r>
        <w:rPr>
          <w:spacing w:val="-14"/>
        </w:rPr>
        <w:t> </w:t>
      </w:r>
      <w:r>
        <w:rPr/>
        <w:t>(fiscal)</w:t>
      </w:r>
      <w:r>
        <w:rPr>
          <w:spacing w:val="-10"/>
        </w:rPr>
        <w:t> </w:t>
      </w:r>
      <w:r>
        <w:rPr/>
        <w:t>policy</w:t>
      </w:r>
      <w:r>
        <w:rPr>
          <w:spacing w:val="-57"/>
        </w:rPr>
        <w:t> </w:t>
      </w:r>
      <w:r>
        <w:rPr/>
        <w:t>and vice-versa. The positive correlation at business cycle frequency also corresponds with the</w:t>
      </w:r>
      <w:r>
        <w:rPr>
          <w:spacing w:val="1"/>
        </w:rPr>
        <w:t> </w:t>
      </w:r>
      <w:r>
        <w:rPr/>
        <w:t>result found for</w:t>
      </w:r>
      <w:r>
        <w:rPr>
          <w:spacing w:val="-2"/>
        </w:rPr>
        <w:t> </w:t>
      </w:r>
      <w:r>
        <w:rPr/>
        <w:t>the long</w:t>
      </w:r>
      <w:r>
        <w:rPr>
          <w:spacing w:val="-1"/>
        </w:rPr>
        <w:t> </w:t>
      </w:r>
      <w:r>
        <w:rPr/>
        <w:t>run frequency</w:t>
      </w:r>
      <w:r>
        <w:rPr>
          <w:spacing w:val="-5"/>
        </w:rPr>
        <w:t> </w:t>
      </w:r>
      <w:r>
        <w:rPr/>
        <w:t>(section 3.4.3).</w:t>
      </w:r>
    </w:p>
    <w:p>
      <w:pPr>
        <w:spacing w:after="0" w:line="360" w:lineRule="auto"/>
        <w:jc w:val="both"/>
        <w:sectPr>
          <w:pgSz w:w="12240" w:h="15840"/>
          <w:pgMar w:header="0" w:footer="935" w:top="1380" w:bottom="1200" w:left="940" w:right="940"/>
        </w:sectPr>
      </w:pPr>
    </w:p>
    <w:p>
      <w:pPr>
        <w:pStyle w:val="BodyText"/>
        <w:spacing w:before="74"/>
        <w:ind w:left="1335" w:right="1335"/>
        <w:jc w:val="center"/>
      </w:pPr>
      <w:r>
        <w:rPr/>
        <w:t>Table</w:t>
      </w:r>
      <w:r>
        <w:rPr>
          <w:spacing w:val="-1"/>
        </w:rPr>
        <w:t> </w:t>
      </w:r>
      <w:r>
        <w:rPr/>
        <w:t>3.17:</w:t>
      </w:r>
      <w:r>
        <w:rPr>
          <w:spacing w:val="-1"/>
        </w:rPr>
        <w:t> </w:t>
      </w:r>
      <w:r>
        <w:rPr/>
        <w:t>Cyclical</w:t>
      </w:r>
      <w:r>
        <w:rPr>
          <w:spacing w:val="-1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between</w:t>
      </w:r>
      <w:r>
        <w:rPr>
          <w:spacing w:val="2"/>
        </w:rPr>
        <w:t> </w:t>
      </w:r>
      <w:r>
        <w:rPr/>
        <w:t>Fiscal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monetary</w:t>
      </w:r>
      <w:r>
        <w:rPr>
          <w:spacing w:val="-6"/>
        </w:rPr>
        <w:t> </w:t>
      </w:r>
      <w:r>
        <w:rPr/>
        <w:t>policy</w:t>
      </w: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1"/>
        <w:gridCol w:w="2287"/>
        <w:gridCol w:w="2733"/>
      </w:tblGrid>
      <w:tr>
        <w:trPr>
          <w:trHeight w:val="685" w:hRule="atLeast"/>
        </w:trPr>
        <w:tc>
          <w:tcPr>
            <w:tcW w:w="328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534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Money</w:t>
            </w:r>
          </w:p>
        </w:tc>
        <w:tc>
          <w:tcPr>
            <w:tcW w:w="27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545" w:right="978"/>
              <w:rPr>
                <w:sz w:val="24"/>
              </w:rPr>
            </w:pPr>
            <w:r>
              <w:rPr>
                <w:spacing w:val="-1"/>
                <w:sz w:val="24"/>
              </w:rPr>
              <w:t>Government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Expenditure</w:t>
            </w:r>
          </w:p>
        </w:tc>
      </w:tr>
      <w:tr>
        <w:trPr>
          <w:trHeight w:val="1379" w:hRule="atLeast"/>
        </w:trPr>
        <w:tc>
          <w:tcPr>
            <w:tcW w:w="328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Government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Expenditure</w:t>
            </w: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Money</w:t>
            </w:r>
          </w:p>
        </w:tc>
        <w:tc>
          <w:tcPr>
            <w:tcW w:w="22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534"/>
              <w:rPr>
                <w:sz w:val="24"/>
              </w:rPr>
            </w:pPr>
            <w:r>
              <w:rPr>
                <w:sz w:val="24"/>
              </w:rPr>
              <w:t>0.5600*</w:t>
            </w:r>
          </w:p>
          <w:p>
            <w:pPr>
              <w:pStyle w:val="TableParagraph"/>
              <w:spacing w:before="5"/>
              <w:ind w:left="534"/>
              <w:rPr>
                <w:b/>
                <w:sz w:val="24"/>
              </w:rPr>
            </w:pPr>
            <w:r>
              <w:rPr>
                <w:b/>
                <w:sz w:val="24"/>
              </w:rPr>
              <w:t>(0.0001)</w:t>
            </w:r>
          </w:p>
          <w:p>
            <w:pPr>
              <w:pStyle w:val="TableParagraph"/>
              <w:spacing w:before="6"/>
              <w:ind w:left="0"/>
              <w:rPr>
                <w:sz w:val="23"/>
              </w:rPr>
            </w:pPr>
          </w:p>
          <w:p>
            <w:pPr>
              <w:pStyle w:val="TableParagraph"/>
              <w:ind w:left="5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54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545"/>
              <w:rPr>
                <w:sz w:val="24"/>
              </w:rPr>
            </w:pPr>
            <w:r>
              <w:rPr>
                <w:sz w:val="24"/>
              </w:rPr>
              <w:t>0.5600</w:t>
            </w:r>
          </w:p>
          <w:p>
            <w:pPr>
              <w:pStyle w:val="TableParagraph"/>
              <w:spacing w:line="259" w:lineRule="exact" w:before="5"/>
              <w:ind w:left="545"/>
              <w:rPr>
                <w:b/>
                <w:sz w:val="24"/>
              </w:rPr>
            </w:pPr>
            <w:r>
              <w:rPr>
                <w:b/>
                <w:sz w:val="24"/>
              </w:rPr>
              <w:t>(0.0001)</w:t>
            </w:r>
          </w:p>
        </w:tc>
      </w:tr>
    </w:tbl>
    <w:p>
      <w:pPr>
        <w:pStyle w:val="BodyText"/>
        <w:ind w:left="500"/>
        <w:jc w:val="both"/>
      </w:pPr>
      <w:r>
        <w:rPr/>
        <w:t>Significant</w:t>
      </w:r>
      <w:r>
        <w:rPr>
          <w:spacing w:val="-2"/>
        </w:rPr>
        <w:t> </w:t>
      </w:r>
      <w:r>
        <w:rPr/>
        <w:t>values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brackets</w:t>
      </w:r>
      <w:r>
        <w:rPr>
          <w:spacing w:val="-1"/>
        </w:rPr>
        <w:t> </w:t>
      </w:r>
      <w:r>
        <w:rPr/>
        <w:t>(</w:t>
      </w:r>
      <w:r>
        <w:rPr>
          <w:spacing w:val="-1"/>
        </w:rPr>
        <w:t> </w:t>
      </w:r>
      <w:r>
        <w:rPr/>
        <w:t>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5"/>
        </w:rPr>
      </w:pPr>
    </w:p>
    <w:p>
      <w:pPr>
        <w:pStyle w:val="Heading1"/>
        <w:numPr>
          <w:ilvl w:val="1"/>
          <w:numId w:val="21"/>
        </w:numPr>
        <w:tabs>
          <w:tab w:pos="890" w:val="left" w:leader="none"/>
        </w:tabs>
        <w:spacing w:line="240" w:lineRule="auto" w:before="1" w:after="0"/>
        <w:ind w:left="889" w:right="0" w:hanging="390"/>
        <w:jc w:val="both"/>
      </w:pPr>
      <w:bookmarkStart w:name="_TOC_250030" w:id="30"/>
      <w:r>
        <w:rPr/>
        <w:t>Empirical</w:t>
      </w:r>
      <w:r>
        <w:rPr>
          <w:spacing w:val="-2"/>
        </w:rPr>
        <w:t> </w:t>
      </w:r>
      <w:r>
        <w:rPr/>
        <w:t>Facts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Alternative</w:t>
      </w:r>
      <w:r>
        <w:rPr>
          <w:spacing w:val="-2"/>
        </w:rPr>
        <w:t> </w:t>
      </w:r>
      <w:bookmarkEnd w:id="30"/>
      <w:r>
        <w:rPr/>
        <w:t>Assumptions</w:t>
      </w:r>
    </w:p>
    <w:p>
      <w:pPr>
        <w:pStyle w:val="BodyText"/>
        <w:spacing w:line="360" w:lineRule="auto" w:before="142"/>
        <w:ind w:left="500" w:right="497"/>
        <w:jc w:val="both"/>
      </w:pPr>
      <w:r>
        <w:rPr>
          <w:sz w:val="26"/>
        </w:rPr>
        <w:t>I</w:t>
      </w:r>
      <w:r>
        <w:rPr/>
        <w:t>n this section, some empirical evidences buttressing the existence of alternative assumptions,</w:t>
      </w:r>
      <w:r>
        <w:rPr>
          <w:spacing w:val="1"/>
        </w:rPr>
        <w:t> </w:t>
      </w:r>
      <w:r>
        <w:rPr/>
        <w:t>adopted in this study are presented i.e. rent-seeking, discretionary fiscal policy and weak policy</w:t>
      </w:r>
      <w:r>
        <w:rPr>
          <w:spacing w:val="1"/>
        </w:rPr>
        <w:t> </w:t>
      </w:r>
      <w:r>
        <w:rPr/>
        <w:t>coordinated.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include: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9"/>
        </w:numPr>
        <w:tabs>
          <w:tab w:pos="746" w:val="left" w:leader="none"/>
        </w:tabs>
        <w:spacing w:line="240" w:lineRule="auto" w:before="155" w:after="0"/>
        <w:ind w:left="745" w:right="0" w:hanging="246"/>
        <w:jc w:val="both"/>
      </w:pPr>
      <w:r>
        <w:rPr/>
        <w:t>Rent-seeking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spacing w:line="360" w:lineRule="auto" w:before="145"/>
        <w:ind w:left="500" w:right="495"/>
        <w:jc w:val="both"/>
      </w:pPr>
      <w:r>
        <w:rPr/>
        <w:t>According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Martini</w:t>
      </w:r>
      <w:r>
        <w:rPr>
          <w:spacing w:val="-3"/>
        </w:rPr>
        <w:t> </w:t>
      </w:r>
      <w:r>
        <w:rPr/>
        <w:t>(2014),</w:t>
      </w:r>
      <w:r>
        <w:rPr>
          <w:spacing w:val="-5"/>
        </w:rPr>
        <w:t> </w:t>
      </w:r>
      <w:r>
        <w:rPr/>
        <w:t>there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existing</w:t>
      </w:r>
      <w:r>
        <w:rPr>
          <w:spacing w:val="-6"/>
        </w:rPr>
        <w:t> </w:t>
      </w:r>
      <w:r>
        <w:rPr/>
        <w:t>evidence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shows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throughout</w:t>
      </w:r>
      <w:r>
        <w:rPr>
          <w:spacing w:val="-3"/>
        </w:rPr>
        <w:t> </w:t>
      </w:r>
      <w:r>
        <w:rPr/>
        <w:t>Nigeria’s</w:t>
      </w:r>
      <w:r>
        <w:rPr>
          <w:spacing w:val="-4"/>
        </w:rPr>
        <w:t> </w:t>
      </w:r>
      <w:r>
        <w:rPr/>
        <w:t>post-</w:t>
      </w:r>
      <w:r>
        <w:rPr>
          <w:spacing w:val="-58"/>
        </w:rPr>
        <w:t> </w:t>
      </w:r>
      <w:r>
        <w:rPr/>
        <w:t>colonial history,</w:t>
      </w:r>
      <w:r>
        <w:rPr>
          <w:spacing w:val="1"/>
        </w:rPr>
        <w:t> </w:t>
      </w:r>
      <w:r>
        <w:rPr/>
        <w:t>politicians, members of government and public officials</w:t>
      </w:r>
      <w:r>
        <w:rPr>
          <w:spacing w:val="1"/>
        </w:rPr>
        <w:t> </w:t>
      </w:r>
      <w:r>
        <w:rPr/>
        <w:t>have abused their</w:t>
      </w:r>
      <w:r>
        <w:rPr>
          <w:spacing w:val="1"/>
        </w:rPr>
        <w:t> </w:t>
      </w:r>
      <w:r>
        <w:rPr/>
        <w:t>positions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extract</w:t>
      </w:r>
      <w:r>
        <w:rPr>
          <w:spacing w:val="-13"/>
        </w:rPr>
        <w:t> </w:t>
      </w:r>
      <w:r>
        <w:rPr/>
        <w:t>state</w:t>
      </w:r>
      <w:r>
        <w:rPr>
          <w:spacing w:val="-14"/>
        </w:rPr>
        <w:t> </w:t>
      </w:r>
      <w:r>
        <w:rPr/>
        <w:t>resources.</w:t>
      </w:r>
      <w:r>
        <w:rPr>
          <w:spacing w:val="-14"/>
        </w:rPr>
        <w:t> </w:t>
      </w:r>
      <w:r>
        <w:rPr/>
        <w:t>This</w:t>
      </w:r>
      <w:r>
        <w:rPr>
          <w:spacing w:val="-13"/>
        </w:rPr>
        <w:t> </w:t>
      </w:r>
      <w:r>
        <w:rPr/>
        <w:t>act</w:t>
      </w:r>
      <w:r>
        <w:rPr>
          <w:spacing w:val="-13"/>
        </w:rPr>
        <w:t> </w:t>
      </w:r>
      <w:r>
        <w:rPr/>
        <w:t>has</w:t>
      </w:r>
      <w:r>
        <w:rPr>
          <w:spacing w:val="-14"/>
        </w:rPr>
        <w:t> </w:t>
      </w:r>
      <w:r>
        <w:rPr/>
        <w:t>taken</w:t>
      </w:r>
      <w:r>
        <w:rPr>
          <w:spacing w:val="-13"/>
        </w:rPr>
        <w:t> </w:t>
      </w:r>
      <w:r>
        <w:rPr/>
        <w:t>place</w:t>
      </w:r>
      <w:r>
        <w:rPr>
          <w:spacing w:val="-14"/>
        </w:rPr>
        <w:t> </w:t>
      </w:r>
      <w:r>
        <w:rPr/>
        <w:t>through</w:t>
      </w:r>
      <w:r>
        <w:rPr>
          <w:spacing w:val="-11"/>
        </w:rPr>
        <w:t> </w:t>
      </w:r>
      <w:r>
        <w:rPr/>
        <w:t>embezzlement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public</w:t>
      </w:r>
      <w:r>
        <w:rPr>
          <w:spacing w:val="-14"/>
        </w:rPr>
        <w:t> </w:t>
      </w:r>
      <w:r>
        <w:rPr/>
        <w:t>funds,</w:t>
      </w:r>
      <w:r>
        <w:rPr>
          <w:spacing w:val="-58"/>
        </w:rPr>
        <w:t> </w:t>
      </w:r>
      <w:r>
        <w:rPr/>
        <w:t>nepotism,</w:t>
      </w:r>
      <w:r>
        <w:rPr>
          <w:spacing w:val="-1"/>
        </w:rPr>
        <w:t> </w:t>
      </w:r>
      <w:r>
        <w:rPr/>
        <w:t>cronyism, etc.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500" w:right="494"/>
        <w:jc w:val="both"/>
      </w:pPr>
      <w:r>
        <w:rPr/>
        <w:t>This evidence is corroborated by the low performance of Nigeria in indices such as Transparency</w:t>
      </w:r>
      <w:r>
        <w:rPr>
          <w:spacing w:val="-57"/>
        </w:rPr>
        <w:t> </w:t>
      </w:r>
      <w:r>
        <w:rPr>
          <w:spacing w:val="-1"/>
        </w:rPr>
        <w:t>International’s</w:t>
      </w:r>
      <w:r>
        <w:rPr>
          <w:spacing w:val="-13"/>
        </w:rPr>
        <w:t> </w:t>
      </w:r>
      <w:r>
        <w:rPr>
          <w:spacing w:val="-1"/>
        </w:rPr>
        <w:t>Corruption</w:t>
      </w:r>
      <w:r>
        <w:rPr>
          <w:spacing w:val="-12"/>
        </w:rPr>
        <w:t> </w:t>
      </w:r>
      <w:r>
        <w:rPr/>
        <w:t>Perception</w:t>
      </w:r>
      <w:r>
        <w:rPr>
          <w:spacing w:val="-10"/>
        </w:rPr>
        <w:t> </w:t>
      </w:r>
      <w:r>
        <w:rPr/>
        <w:t>Index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World</w:t>
      </w:r>
      <w:r>
        <w:rPr>
          <w:spacing w:val="-13"/>
        </w:rPr>
        <w:t> </w:t>
      </w:r>
      <w:r>
        <w:rPr/>
        <w:t>Governance</w:t>
      </w:r>
      <w:r>
        <w:rPr>
          <w:spacing w:val="-11"/>
        </w:rPr>
        <w:t> </w:t>
      </w:r>
      <w:r>
        <w:rPr/>
        <w:t>Indicators.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Corruption</w:t>
      </w:r>
      <w:r>
        <w:rPr>
          <w:spacing w:val="-58"/>
        </w:rPr>
        <w:t> </w:t>
      </w:r>
      <w:r>
        <w:rPr/>
        <w:t>Perception Index is presented in Table 3.18. Table 3.18 shows that between the period 2012 and</w:t>
      </w:r>
      <w:r>
        <w:rPr>
          <w:spacing w:val="1"/>
        </w:rPr>
        <w:t> </w:t>
      </w:r>
      <w:r>
        <w:rPr/>
        <w:t>2016, Nigeria scored poorly between 25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28 out of 100.</w:t>
      </w:r>
      <w:r>
        <w:rPr>
          <w:spacing w:val="1"/>
        </w:rPr>
        <w:t> </w:t>
      </w:r>
      <w:r>
        <w:rPr/>
        <w:t>It indicates that there is deep</w:t>
      </w:r>
      <w:r>
        <w:rPr>
          <w:spacing w:val="1"/>
        </w:rPr>
        <w:t> </w:t>
      </w:r>
      <w:r>
        <w:rPr/>
        <w:t>corruption/rent-seeking in the country’s public sector. An implication of this index is that with</w:t>
      </w:r>
      <w:r>
        <w:rPr>
          <w:spacing w:val="1"/>
        </w:rPr>
        <w:t> </w:t>
      </w:r>
      <w:r>
        <w:rPr/>
        <w:t>deep-seated</w:t>
      </w:r>
      <w:r>
        <w:rPr>
          <w:spacing w:val="-8"/>
        </w:rPr>
        <w:t> </w:t>
      </w:r>
      <w:r>
        <w:rPr/>
        <w:t>corruption,</w:t>
      </w:r>
      <w:r>
        <w:rPr>
          <w:spacing w:val="-8"/>
        </w:rPr>
        <w:t> </w:t>
      </w:r>
      <w:r>
        <w:rPr/>
        <w:t>especially</w:t>
      </w:r>
      <w:r>
        <w:rPr>
          <w:spacing w:val="-11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public</w:t>
      </w:r>
      <w:r>
        <w:rPr>
          <w:spacing w:val="-9"/>
        </w:rPr>
        <w:t> </w:t>
      </w:r>
      <w:r>
        <w:rPr/>
        <w:t>sector,</w:t>
      </w:r>
      <w:r>
        <w:rPr>
          <w:spacing w:val="-7"/>
        </w:rPr>
        <w:t> </w:t>
      </w:r>
      <w:r>
        <w:rPr/>
        <w:t>resources</w:t>
      </w:r>
      <w:r>
        <w:rPr>
          <w:spacing w:val="-7"/>
        </w:rPr>
        <w:t> </w:t>
      </w:r>
      <w:r>
        <w:rPr/>
        <w:t>are</w:t>
      </w:r>
      <w:r>
        <w:rPr>
          <w:spacing w:val="-9"/>
        </w:rPr>
        <w:t> </w:t>
      </w:r>
      <w:r>
        <w:rPr/>
        <w:t>highly</w:t>
      </w:r>
      <w:r>
        <w:rPr>
          <w:spacing w:val="-11"/>
        </w:rPr>
        <w:t> </w:t>
      </w:r>
      <w:r>
        <w:rPr/>
        <w:t>likely</w:t>
      </w:r>
      <w:r>
        <w:rPr>
          <w:spacing w:val="-12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9"/>
        </w:rPr>
        <w:t> </w:t>
      </w:r>
      <w:r>
        <w:rPr/>
        <w:t>channelled</w:t>
      </w:r>
      <w:r>
        <w:rPr>
          <w:spacing w:val="-57"/>
        </w:rPr>
        <w:t> </w:t>
      </w:r>
      <w:r>
        <w:rPr/>
        <w:t>away</w:t>
      </w:r>
      <w:r>
        <w:rPr>
          <w:spacing w:val="-5"/>
        </w:rPr>
        <w:t> </w:t>
      </w:r>
      <w:r>
        <w:rPr/>
        <w:t>for the</w:t>
      </w:r>
      <w:r>
        <w:rPr>
          <w:spacing w:val="-2"/>
        </w:rPr>
        <w:t> </w:t>
      </w:r>
      <w:r>
        <w:rPr/>
        <w:t>development of the</w:t>
      </w:r>
      <w:r>
        <w:rPr>
          <w:spacing w:val="-1"/>
        </w:rPr>
        <w:t> </w:t>
      </w:r>
      <w:r>
        <w:rPr/>
        <w:t>country, into personal use.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74"/>
        <w:ind w:left="1334" w:right="1335"/>
        <w:jc w:val="center"/>
      </w:pPr>
      <w:r>
        <w:rPr/>
        <w:t>Table</w:t>
      </w:r>
      <w:r>
        <w:rPr>
          <w:spacing w:val="-2"/>
        </w:rPr>
        <w:t> </w:t>
      </w:r>
      <w:r>
        <w:rPr/>
        <w:t>3.18:</w:t>
      </w:r>
      <w:r>
        <w:rPr>
          <w:spacing w:val="-1"/>
        </w:rPr>
        <w:t> </w:t>
      </w:r>
      <w:r>
        <w:rPr/>
        <w:t>Corruption</w:t>
      </w:r>
      <w:r>
        <w:rPr>
          <w:spacing w:val="-2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for</w:t>
      </w:r>
      <w:r>
        <w:rPr>
          <w:spacing w:val="-4"/>
        </w:rPr>
        <w:t> </w:t>
      </w:r>
      <w:r>
        <w:rPr/>
        <w:t>Nigeria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4"/>
        <w:gridCol w:w="5221"/>
      </w:tblGrid>
      <w:tr>
        <w:trPr>
          <w:trHeight w:val="414" w:hRule="atLeast"/>
        </w:trPr>
        <w:tc>
          <w:tcPr>
            <w:tcW w:w="274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522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Corruption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Perception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Index (=100)</w:t>
            </w:r>
          </w:p>
        </w:tc>
      </w:tr>
      <w:tr>
        <w:trPr>
          <w:trHeight w:val="2070" w:hRule="atLeast"/>
        </w:trPr>
        <w:tc>
          <w:tcPr>
            <w:tcW w:w="274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2012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2013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2014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2015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522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26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</w:tbl>
    <w:p>
      <w:pPr>
        <w:pStyle w:val="BodyText"/>
        <w:ind w:left="1102"/>
      </w:pPr>
      <w:r>
        <w:rPr/>
        <w:t>Source:</w:t>
      </w:r>
      <w:r>
        <w:rPr>
          <w:spacing w:val="-3"/>
        </w:rPr>
        <w:t> </w:t>
      </w:r>
      <w:r>
        <w:rPr/>
        <w:t>Transparency</w:t>
      </w:r>
      <w:r>
        <w:rPr>
          <w:spacing w:val="-3"/>
        </w:rPr>
        <w:t> </w:t>
      </w:r>
      <w:r>
        <w:rPr/>
        <w:t>International</w:t>
      </w:r>
      <w:r>
        <w:rPr>
          <w:spacing w:val="-2"/>
        </w:rPr>
        <w:t> </w:t>
      </w:r>
      <w:r>
        <w:rPr/>
        <w:t>(2016)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60" w:lineRule="auto"/>
        <w:ind w:left="500" w:right="495"/>
        <w:jc w:val="both"/>
      </w:pPr>
      <w:r>
        <w:rPr/>
        <w:t>Furthermore, using the</w:t>
      </w:r>
      <w:r>
        <w:rPr>
          <w:spacing w:val="1"/>
        </w:rPr>
        <w:t> </w:t>
      </w:r>
      <w:r>
        <w:rPr/>
        <w:t>World Governance</w:t>
      </w:r>
      <w:r>
        <w:rPr>
          <w:spacing w:val="1"/>
        </w:rPr>
        <w:t> </w:t>
      </w:r>
      <w:r>
        <w:rPr/>
        <w:t>Indicators (WGI) which</w:t>
      </w:r>
      <w:r>
        <w:rPr>
          <w:spacing w:val="1"/>
        </w:rPr>
        <w:t> </w:t>
      </w:r>
      <w:r>
        <w:rPr/>
        <w:t>measures the quality of</w:t>
      </w:r>
      <w:r>
        <w:rPr>
          <w:spacing w:val="1"/>
        </w:rPr>
        <w:t> </w:t>
      </w:r>
      <w:r>
        <w:rPr/>
        <w:t>governance in a society and can proxy for the state of political institutions in a country, there is</w:t>
      </w:r>
      <w:r>
        <w:rPr>
          <w:spacing w:val="1"/>
        </w:rPr>
        <w:t> </w:t>
      </w:r>
      <w:r>
        <w:rPr/>
        <w:t>evidence that politicians and members of government have rarely fared well in enhancing the</w:t>
      </w:r>
      <w:r>
        <w:rPr>
          <w:spacing w:val="1"/>
        </w:rPr>
        <w:t> </w:t>
      </w:r>
      <w:r>
        <w:rPr>
          <w:spacing w:val="-1"/>
        </w:rPr>
        <w:t>society’s</w:t>
      </w:r>
      <w:r>
        <w:rPr>
          <w:spacing w:val="-13"/>
        </w:rPr>
        <w:t> </w:t>
      </w:r>
      <w:r>
        <w:rPr>
          <w:spacing w:val="-1"/>
        </w:rPr>
        <w:t>welfare.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/>
        <w:t>WGI</w:t>
      </w:r>
      <w:r>
        <w:rPr>
          <w:spacing w:val="-18"/>
        </w:rPr>
        <w:t> </w:t>
      </w:r>
      <w:r>
        <w:rPr/>
        <w:t>shows</w:t>
      </w:r>
      <w:r>
        <w:rPr>
          <w:spacing w:val="-13"/>
        </w:rPr>
        <w:t> </w:t>
      </w:r>
      <w:r>
        <w:rPr/>
        <w:t>how</w:t>
      </w:r>
      <w:r>
        <w:rPr>
          <w:spacing w:val="-13"/>
        </w:rPr>
        <w:t> </w:t>
      </w:r>
      <w:r>
        <w:rPr/>
        <w:t>an</w:t>
      </w:r>
      <w:r>
        <w:rPr>
          <w:spacing w:val="-11"/>
        </w:rPr>
        <w:t> </w:t>
      </w:r>
      <w:r>
        <w:rPr/>
        <w:t>individual</w:t>
      </w:r>
      <w:r>
        <w:rPr>
          <w:spacing w:val="-12"/>
        </w:rPr>
        <w:t> </w:t>
      </w:r>
      <w:r>
        <w:rPr/>
        <w:t>country</w:t>
      </w:r>
      <w:r>
        <w:rPr>
          <w:spacing w:val="-17"/>
        </w:rPr>
        <w:t> </w:t>
      </w:r>
      <w:r>
        <w:rPr/>
        <w:t>performs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six</w:t>
      </w:r>
      <w:r>
        <w:rPr>
          <w:spacing w:val="-13"/>
        </w:rPr>
        <w:t> </w:t>
      </w:r>
      <w:r>
        <w:rPr/>
        <w:t>individual</w:t>
      </w:r>
      <w:r>
        <w:rPr>
          <w:spacing w:val="-15"/>
        </w:rPr>
        <w:t> </w:t>
      </w:r>
      <w:r>
        <w:rPr/>
        <w:t>indicators:</w:t>
      </w:r>
      <w:r>
        <w:rPr>
          <w:spacing w:val="-57"/>
        </w:rPr>
        <w:t> </w:t>
      </w:r>
      <w:r>
        <w:rPr/>
        <w:t>Voice and Accountability, Political Stability and Absence of Violence/Terrorism, Government</w:t>
      </w:r>
      <w:r>
        <w:rPr>
          <w:spacing w:val="1"/>
        </w:rPr>
        <w:t> </w:t>
      </w:r>
      <w:r>
        <w:rPr/>
        <w:t>Effectiveness, Rule of Law, Regulatory Quality and Control of Corruption. Two of the indicators</w:t>
      </w:r>
      <w:r>
        <w:rPr>
          <w:spacing w:val="-57"/>
        </w:rPr>
        <w:t> </w:t>
      </w:r>
      <w:r>
        <w:rPr/>
        <w:t>(Government Effectiveness and Control of Corruption) are presented in figures 3.4 and 3.5.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captures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independence from political pressures, the quality of policy formulation and implementation, and</w:t>
      </w:r>
      <w:r>
        <w:rPr>
          <w:spacing w:val="-57"/>
        </w:rPr>
        <w:t> </w:t>
      </w:r>
      <w:r>
        <w:rPr/>
        <w:t>the credibility of government's commitment to such policies while the Control of Corruption</w:t>
      </w:r>
      <w:r>
        <w:rPr>
          <w:spacing w:val="1"/>
        </w:rPr>
        <w:t> </w:t>
      </w:r>
      <w:r>
        <w:rPr/>
        <w:t>concerns the extent to which public power is exercised for private gain (World Governance</w:t>
      </w:r>
      <w:r>
        <w:rPr>
          <w:spacing w:val="1"/>
        </w:rPr>
        <w:t> </w:t>
      </w:r>
      <w:r>
        <w:rPr/>
        <w:t>Indicators, 2016). Figures 3.4 and 3.5 reveals that Nigeria hovers, in an unimpressive manner,</w:t>
      </w:r>
      <w:r>
        <w:rPr>
          <w:spacing w:val="1"/>
        </w:rPr>
        <w:t> </w:t>
      </w:r>
      <w:r>
        <w:rPr>
          <w:spacing w:val="-1"/>
        </w:rPr>
        <w:t>between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10-25</w:t>
      </w:r>
      <w:r>
        <w:rPr>
          <w:spacing w:val="-1"/>
          <w:vertAlign w:val="superscript"/>
        </w:rPr>
        <w:t>th</w:t>
      </w:r>
      <w:r>
        <w:rPr>
          <w:spacing w:val="-23"/>
          <w:vertAlign w:val="baseline"/>
        </w:rPr>
        <w:t> </w:t>
      </w:r>
      <w:r>
        <w:rPr>
          <w:vertAlign w:val="baseline"/>
        </w:rPr>
        <w:t>percentile</w:t>
      </w:r>
      <w:r>
        <w:rPr>
          <w:spacing w:val="-8"/>
          <w:vertAlign w:val="baseline"/>
        </w:rPr>
        <w:t> </w:t>
      </w:r>
      <w:r>
        <w:rPr>
          <w:vertAlign w:val="baseline"/>
        </w:rPr>
        <w:t>on</w:t>
      </w:r>
      <w:r>
        <w:rPr>
          <w:spacing w:val="-8"/>
          <w:vertAlign w:val="baseline"/>
        </w:rPr>
        <w:t> </w:t>
      </w:r>
      <w:r>
        <w:rPr>
          <w:vertAlign w:val="baseline"/>
        </w:rPr>
        <w:t>a</w:t>
      </w:r>
      <w:r>
        <w:rPr>
          <w:spacing w:val="-9"/>
          <w:vertAlign w:val="baseline"/>
        </w:rPr>
        <w:t> </w:t>
      </w:r>
      <w:r>
        <w:rPr>
          <w:vertAlign w:val="baseline"/>
        </w:rPr>
        <w:t>scale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0-100</w:t>
      </w:r>
      <w:r>
        <w:rPr>
          <w:vertAlign w:val="superscript"/>
        </w:rPr>
        <w:t>th,</w:t>
      </w:r>
      <w:r>
        <w:rPr>
          <w:spacing w:val="-23"/>
          <w:vertAlign w:val="baseline"/>
        </w:rPr>
        <w:t> </w:t>
      </w:r>
      <w:r>
        <w:rPr>
          <w:vertAlign w:val="baseline"/>
        </w:rPr>
        <w:t>in</w:t>
      </w:r>
      <w:r>
        <w:rPr>
          <w:spacing w:val="-7"/>
          <w:vertAlign w:val="baseline"/>
        </w:rPr>
        <w:t> </w:t>
      </w:r>
      <w:r>
        <w:rPr>
          <w:vertAlign w:val="baseline"/>
        </w:rPr>
        <w:t>both</w:t>
      </w:r>
      <w:r>
        <w:rPr>
          <w:spacing w:val="-7"/>
          <w:vertAlign w:val="baseline"/>
        </w:rPr>
        <w:t> </w:t>
      </w:r>
      <w:r>
        <w:rPr>
          <w:vertAlign w:val="baseline"/>
        </w:rPr>
        <w:t>Government</w:t>
      </w:r>
      <w:r>
        <w:rPr>
          <w:spacing w:val="-7"/>
          <w:vertAlign w:val="baseline"/>
        </w:rPr>
        <w:t> </w:t>
      </w:r>
      <w:r>
        <w:rPr>
          <w:vertAlign w:val="baseline"/>
        </w:rPr>
        <w:t>Effectiveness</w:t>
      </w:r>
      <w:r>
        <w:rPr>
          <w:spacing w:val="-7"/>
          <w:vertAlign w:val="baseline"/>
        </w:rPr>
        <w:t> </w:t>
      </w:r>
      <w:r>
        <w:rPr>
          <w:vertAlign w:val="baseline"/>
        </w:rPr>
        <w:t>and</w:t>
      </w:r>
      <w:r>
        <w:rPr>
          <w:spacing w:val="-8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Corruption indicators.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ind w:left="663"/>
        <w:rPr>
          <w:sz w:val="20"/>
        </w:rPr>
      </w:pPr>
      <w:r>
        <w:rPr>
          <w:sz w:val="20"/>
        </w:rPr>
        <w:drawing>
          <wp:inline distT="0" distB="0" distL="0" distR="0">
            <wp:extent cx="5580979" cy="238315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979" cy="238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276" w:lineRule="auto" w:before="90"/>
        <w:ind w:left="500" w:right="729"/>
      </w:pPr>
      <w:r>
        <w:rPr/>
        <w:t>Figure 3.4: Aggregate Indicator on Government Effectiveness in Nigeria over the period 1996-</w:t>
      </w:r>
      <w:r>
        <w:rPr>
          <w:spacing w:val="-57"/>
        </w:rPr>
        <w:t> </w:t>
      </w:r>
      <w:r>
        <w:rPr/>
        <w:t>2015.</w:t>
      </w:r>
    </w:p>
    <w:p>
      <w:pPr>
        <w:pStyle w:val="BodyText"/>
        <w:spacing w:before="200"/>
        <w:ind w:left="500"/>
      </w:pPr>
      <w:r>
        <w:rPr/>
        <w:t>Source:</w:t>
      </w:r>
      <w:r>
        <w:rPr>
          <w:spacing w:val="-2"/>
        </w:rPr>
        <w:t> </w:t>
      </w:r>
      <w:r>
        <w:rPr/>
        <w:t>World</w:t>
      </w:r>
      <w:r>
        <w:rPr>
          <w:spacing w:val="-1"/>
        </w:rPr>
        <w:t> </w:t>
      </w:r>
      <w:r>
        <w:rPr/>
        <w:t>Bank’s</w:t>
      </w:r>
      <w:r>
        <w:rPr>
          <w:spacing w:val="-1"/>
        </w:rPr>
        <w:t> </w:t>
      </w:r>
      <w:r>
        <w:rPr/>
        <w:t>World</w:t>
      </w:r>
      <w:r>
        <w:rPr>
          <w:spacing w:val="-2"/>
        </w:rPr>
        <w:t> </w:t>
      </w:r>
      <w:r>
        <w:rPr/>
        <w:t>Governance Indicator,</w:t>
      </w:r>
      <w:r>
        <w:rPr>
          <w:spacing w:val="-1"/>
        </w:rPr>
        <w:t> </w:t>
      </w:r>
      <w:r>
        <w:rPr/>
        <w:t>2016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957812</wp:posOffset>
            </wp:positionH>
            <wp:positionV relativeFrom="paragraph">
              <wp:posOffset>210831</wp:posOffset>
            </wp:positionV>
            <wp:extent cx="5637428" cy="2409634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428" cy="240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448" w:lineRule="auto"/>
        <w:ind w:left="500" w:right="635"/>
      </w:pPr>
      <w:r>
        <w:rPr/>
        <w:t>Figure 3.5: Aggregate Indicator on Control of Corruption in Nigeria over the period 1996-2015.</w:t>
      </w:r>
      <w:r>
        <w:rPr>
          <w:spacing w:val="-58"/>
        </w:rPr>
        <w:t> </w:t>
      </w:r>
      <w:r>
        <w:rPr/>
        <w:t>Source:</w:t>
      </w:r>
      <w:r>
        <w:rPr>
          <w:spacing w:val="-1"/>
        </w:rPr>
        <w:t> </w:t>
      </w:r>
      <w:r>
        <w:rPr/>
        <w:t>World Bank’s World Governance</w:t>
      </w:r>
      <w:r>
        <w:rPr>
          <w:spacing w:val="1"/>
        </w:rPr>
        <w:t> </w:t>
      </w:r>
      <w:r>
        <w:rPr/>
        <w:t>Indicator, 2016</w:t>
      </w:r>
    </w:p>
    <w:p>
      <w:pPr>
        <w:spacing w:after="0" w:line="448" w:lineRule="auto"/>
        <w:sectPr>
          <w:pgSz w:w="12240" w:h="15840"/>
          <w:pgMar w:header="0" w:footer="935" w:top="1460" w:bottom="1200" w:left="940" w:right="940"/>
        </w:sectPr>
      </w:pPr>
    </w:p>
    <w:p>
      <w:pPr>
        <w:pStyle w:val="Heading1"/>
        <w:numPr>
          <w:ilvl w:val="0"/>
          <w:numId w:val="19"/>
        </w:numPr>
        <w:tabs>
          <w:tab w:pos="731" w:val="left" w:leader="none"/>
        </w:tabs>
        <w:spacing w:line="240" w:lineRule="auto" w:before="60" w:after="0"/>
        <w:ind w:left="730" w:right="0" w:hanging="231"/>
        <w:jc w:val="left"/>
      </w:pPr>
      <w:r>
        <w:rPr/>
        <w:t>Discretionary</w:t>
      </w:r>
      <w:r>
        <w:rPr>
          <w:spacing w:val="-4"/>
        </w:rPr>
        <w:t> </w:t>
      </w:r>
      <w:r>
        <w:rPr/>
        <w:t>Fiscal</w:t>
      </w:r>
      <w:r>
        <w:rPr>
          <w:spacing w:val="-5"/>
        </w:rPr>
        <w:t> </w:t>
      </w:r>
      <w:r>
        <w:rPr/>
        <w:t>Policy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Nigeria</w:t>
      </w:r>
    </w:p>
    <w:p>
      <w:pPr>
        <w:pStyle w:val="BodyText"/>
        <w:spacing w:line="360" w:lineRule="auto" w:before="240"/>
        <w:ind w:left="500" w:right="496"/>
        <w:jc w:val="both"/>
      </w:pPr>
      <w:r>
        <w:rPr/>
        <w:t>The fact that government pursues discretionary fiscal policy means two concepts. First, it means</w:t>
      </w:r>
      <w:r>
        <w:rPr>
          <w:spacing w:val="1"/>
        </w:rPr>
        <w:t> </w:t>
      </w:r>
      <w:r>
        <w:rPr/>
        <w:t>that government takes specific actions or interventions to address a particular economic situation</w:t>
      </w:r>
      <w:r>
        <w:rPr>
          <w:spacing w:val="1"/>
        </w:rPr>
        <w:t> </w:t>
      </w:r>
      <w:r>
        <w:rPr/>
        <w:t>per time. In a similar vein, it also means that government deviated or did not comply with an</w:t>
      </w:r>
      <w:r>
        <w:rPr>
          <w:spacing w:val="1"/>
        </w:rPr>
        <w:t> </w:t>
      </w:r>
      <w:r>
        <w:rPr/>
        <w:t>already</w:t>
      </w:r>
      <w:r>
        <w:rPr>
          <w:spacing w:val="-5"/>
        </w:rPr>
        <w:t> </w:t>
      </w:r>
      <w:r>
        <w:rPr/>
        <w:t>laid</w:t>
      </w:r>
      <w:r>
        <w:rPr>
          <w:spacing w:val="-1"/>
        </w:rPr>
        <w:t> </w:t>
      </w:r>
      <w:r>
        <w:rPr/>
        <w:t>down</w:t>
      </w:r>
      <w:r>
        <w:rPr>
          <w:spacing w:val="1"/>
        </w:rPr>
        <w:t> </w:t>
      </w:r>
      <w:r>
        <w:rPr/>
        <w:t>fiscal rule.</w:t>
      </w:r>
    </w:p>
    <w:p>
      <w:pPr>
        <w:pStyle w:val="BodyText"/>
        <w:spacing w:line="360" w:lineRule="auto" w:before="200"/>
        <w:ind w:left="500" w:right="494"/>
        <w:jc w:val="both"/>
      </w:pP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Nigeria,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Fiscal</w:t>
      </w:r>
      <w:r>
        <w:rPr>
          <w:spacing w:val="-10"/>
        </w:rPr>
        <w:t> </w:t>
      </w:r>
      <w:r>
        <w:rPr/>
        <w:t>Responsibility</w:t>
      </w:r>
      <w:r>
        <w:rPr>
          <w:spacing w:val="-17"/>
        </w:rPr>
        <w:t> </w:t>
      </w:r>
      <w:r>
        <w:rPr/>
        <w:t>Act</w:t>
      </w:r>
      <w:r>
        <w:rPr>
          <w:spacing w:val="-9"/>
        </w:rPr>
        <w:t> </w:t>
      </w:r>
      <w:r>
        <w:rPr/>
        <w:t>(2007)</w:t>
      </w:r>
      <w:r>
        <w:rPr>
          <w:spacing w:val="-9"/>
        </w:rPr>
        <w:t> </w:t>
      </w:r>
      <w:r>
        <w:rPr/>
        <w:t>contains</w:t>
      </w:r>
      <w:r>
        <w:rPr>
          <w:spacing w:val="-10"/>
        </w:rPr>
        <w:t> </w:t>
      </w:r>
      <w:r>
        <w:rPr/>
        <w:t>procedural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numerical</w:t>
      </w:r>
      <w:r>
        <w:rPr>
          <w:spacing w:val="-9"/>
        </w:rPr>
        <w:t> </w:t>
      </w:r>
      <w:r>
        <w:rPr/>
        <w:t>fiscal</w:t>
      </w:r>
      <w:r>
        <w:rPr>
          <w:spacing w:val="-10"/>
        </w:rPr>
        <w:t> </w:t>
      </w:r>
      <w:r>
        <w:rPr/>
        <w:t>rules</w:t>
      </w:r>
      <w:r>
        <w:rPr>
          <w:spacing w:val="-8"/>
        </w:rPr>
        <w:t> </w:t>
      </w:r>
      <w:r>
        <w:rPr/>
        <w:t>that</w:t>
      </w:r>
      <w:r>
        <w:rPr>
          <w:spacing w:val="-58"/>
        </w:rPr>
        <w:t> </w:t>
      </w:r>
      <w:r>
        <w:rPr/>
        <w:t>should guide fiscal actions. However, evidence shows that the Nigerian government has not</w:t>
      </w:r>
      <w:r>
        <w:rPr>
          <w:spacing w:val="1"/>
        </w:rPr>
        <w:t> </w:t>
      </w:r>
      <w:r>
        <w:rPr/>
        <w:t>conformed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these</w:t>
      </w:r>
      <w:r>
        <w:rPr>
          <w:spacing w:val="-10"/>
        </w:rPr>
        <w:t> </w:t>
      </w:r>
      <w:r>
        <w:rPr/>
        <w:t>rules</w:t>
      </w:r>
      <w:r>
        <w:rPr>
          <w:spacing w:val="-6"/>
        </w:rPr>
        <w:t> </w:t>
      </w:r>
      <w:r>
        <w:rPr/>
        <w:t>(Yelwa,</w:t>
      </w:r>
      <w:r>
        <w:rPr>
          <w:spacing w:val="-9"/>
        </w:rPr>
        <w:t> </w:t>
      </w:r>
      <w:r>
        <w:rPr/>
        <w:t>2010;</w:t>
      </w:r>
      <w:r>
        <w:rPr>
          <w:spacing w:val="-6"/>
        </w:rPr>
        <w:t> </w:t>
      </w:r>
      <w:r>
        <w:rPr/>
        <w:t>Onodugo</w:t>
      </w:r>
      <w:r>
        <w:rPr>
          <w:spacing w:val="-5"/>
        </w:rPr>
        <w:t> </w:t>
      </w:r>
      <w:r>
        <w:rPr/>
        <w:t>and</w:t>
      </w:r>
      <w:r>
        <w:rPr>
          <w:spacing w:val="-9"/>
        </w:rPr>
        <w:t> </w:t>
      </w:r>
      <w:r>
        <w:rPr/>
        <w:t>Amujiri,</w:t>
      </w:r>
      <w:r>
        <w:rPr>
          <w:spacing w:val="-9"/>
        </w:rPr>
        <w:t> </w:t>
      </w:r>
      <w:r>
        <w:rPr/>
        <w:t>2015).</w:t>
      </w:r>
      <w:r>
        <w:rPr>
          <w:spacing w:val="-9"/>
        </w:rPr>
        <w:t> </w:t>
      </w: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also</w:t>
      </w:r>
      <w:r>
        <w:rPr>
          <w:spacing w:val="-8"/>
        </w:rPr>
        <w:t> </w:t>
      </w:r>
      <w:r>
        <w:rPr/>
        <w:t>corroborated</w:t>
      </w:r>
      <w:r>
        <w:rPr>
          <w:spacing w:val="-8"/>
        </w:rPr>
        <w:t> </w:t>
      </w:r>
      <w:r>
        <w:rPr/>
        <w:t>by</w:t>
      </w:r>
      <w:r>
        <w:rPr>
          <w:spacing w:val="-58"/>
        </w:rPr>
        <w:t> </w:t>
      </w:r>
      <w:r>
        <w:rPr/>
        <w:t>the</w:t>
      </w:r>
      <w:r>
        <w:rPr>
          <w:spacing w:val="-10"/>
        </w:rPr>
        <w:t> </w:t>
      </w:r>
      <w:r>
        <w:rPr/>
        <w:t>Fiscal</w:t>
      </w:r>
      <w:r>
        <w:rPr>
          <w:spacing w:val="-8"/>
        </w:rPr>
        <w:t> </w:t>
      </w:r>
      <w:r>
        <w:rPr/>
        <w:t>Rule</w:t>
      </w:r>
      <w:r>
        <w:rPr>
          <w:spacing w:val="-9"/>
        </w:rPr>
        <w:t> </w:t>
      </w:r>
      <w:r>
        <w:rPr/>
        <w:t>Dataset</w:t>
      </w:r>
      <w:r>
        <w:rPr>
          <w:spacing w:val="-8"/>
        </w:rPr>
        <w:t> </w:t>
      </w:r>
      <w:r>
        <w:rPr/>
        <w:t>(1985-2015)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4"/>
        </w:rPr>
        <w:t> </w:t>
      </w:r>
      <w:r>
        <w:rPr/>
        <w:t>International</w:t>
      </w:r>
      <w:r>
        <w:rPr>
          <w:spacing w:val="-8"/>
        </w:rPr>
        <w:t> </w:t>
      </w:r>
      <w:r>
        <w:rPr/>
        <w:t>Monetary</w:t>
      </w:r>
      <w:r>
        <w:rPr>
          <w:spacing w:val="-11"/>
        </w:rPr>
        <w:t> </w:t>
      </w:r>
      <w:r>
        <w:rPr/>
        <w:t>Fund</w:t>
      </w:r>
      <w:r>
        <w:rPr>
          <w:spacing w:val="-9"/>
        </w:rPr>
        <w:t> </w:t>
      </w:r>
      <w:r>
        <w:rPr/>
        <w:t>(IMF).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dataset</w:t>
      </w:r>
      <w:r>
        <w:rPr>
          <w:spacing w:val="-8"/>
        </w:rPr>
        <w:t> </w:t>
      </w:r>
      <w:r>
        <w:rPr/>
        <w:t>shows</w:t>
      </w:r>
      <w:r>
        <w:rPr>
          <w:spacing w:val="-58"/>
        </w:rPr>
        <w:t> </w:t>
      </w:r>
      <w:r>
        <w:rPr/>
        <w:t>information on the use and design of fiscal rules in 96 countries, including Nigeria. It presents</w:t>
      </w:r>
      <w:r>
        <w:rPr>
          <w:spacing w:val="1"/>
        </w:rPr>
        <w:t> </w:t>
      </w:r>
      <w:r>
        <w:rPr/>
        <w:t>details on various characteristics of the fiscal rule, which include legal basis, coverage, escape</w:t>
      </w:r>
      <w:r>
        <w:rPr>
          <w:spacing w:val="1"/>
        </w:rPr>
        <w:t> </w:t>
      </w:r>
      <w:r>
        <w:rPr/>
        <w:t>clauses, enforcement procedures, key supporting institutions and monitoring of these rules. The</w:t>
      </w:r>
      <w:r>
        <w:rPr>
          <w:spacing w:val="1"/>
        </w:rPr>
        <w:t> </w:t>
      </w:r>
      <w:r>
        <w:rPr/>
        <w:t>fiscal rule data is presented in Table 3.19. It reveals that there are no existing enforcement and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deviate</w:t>
      </w:r>
      <w:r>
        <w:rPr>
          <w:spacing w:val="1"/>
        </w:rPr>
        <w:t> </w:t>
      </w:r>
      <w:r>
        <w:rPr/>
        <w:t>from</w:t>
      </w:r>
      <w:r>
        <w:rPr>
          <w:spacing w:val="2"/>
        </w:rPr>
        <w:t> </w:t>
      </w:r>
      <w:r>
        <w:rPr/>
        <w:t>the existing</w:t>
      </w:r>
      <w:r>
        <w:rPr>
          <w:spacing w:val="-2"/>
        </w:rPr>
        <w:t> </w:t>
      </w:r>
      <w:r>
        <w:rPr/>
        <w:t>fiscal rules.</w:t>
      </w:r>
    </w:p>
    <w:p>
      <w:pPr>
        <w:pStyle w:val="BodyText"/>
        <w:spacing w:before="198" w:after="8"/>
        <w:ind w:left="1940"/>
        <w:jc w:val="both"/>
      </w:pPr>
      <w:r>
        <w:rPr/>
        <w:t>Table</w:t>
      </w:r>
      <w:r>
        <w:rPr>
          <w:spacing w:val="-2"/>
        </w:rPr>
        <w:t> </w:t>
      </w:r>
      <w:r>
        <w:rPr/>
        <w:t>3.19:</w:t>
      </w:r>
      <w:r>
        <w:rPr>
          <w:spacing w:val="-1"/>
        </w:rPr>
        <w:t> </w:t>
      </w:r>
      <w:r>
        <w:rPr/>
        <w:t>Enforcement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Monitoring</w:t>
      </w:r>
      <w:r>
        <w:rPr>
          <w:spacing w:val="-4"/>
        </w:rPr>
        <w:t> </w:t>
      </w:r>
      <w:r>
        <w:rPr/>
        <w:t>of Fiscal</w:t>
      </w:r>
      <w:r>
        <w:rPr>
          <w:spacing w:val="1"/>
        </w:rPr>
        <w:t> </w:t>
      </w:r>
      <w:r>
        <w:rPr/>
        <w:t>Rules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2"/>
        <w:gridCol w:w="2729"/>
        <w:gridCol w:w="2251"/>
        <w:gridCol w:w="1860"/>
      </w:tblGrid>
      <w:tr>
        <w:trPr>
          <w:trHeight w:val="1029" w:hRule="atLeast"/>
        </w:trPr>
        <w:tc>
          <w:tcPr>
            <w:tcW w:w="150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2729" w:type="dxa"/>
          </w:tcPr>
          <w:p>
            <w:pPr>
              <w:pStyle w:val="TableParagraph"/>
              <w:ind w:left="105" w:right="681"/>
              <w:rPr>
                <w:sz w:val="24"/>
              </w:rPr>
            </w:pPr>
            <w:r>
              <w:rPr>
                <w:sz w:val="24"/>
              </w:rPr>
              <w:t>Monitoring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Compliance outside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2251" w:type="dxa"/>
          </w:tcPr>
          <w:p>
            <w:pPr>
              <w:pStyle w:val="TableParagraph"/>
              <w:spacing w:line="242" w:lineRule="auto"/>
              <w:ind w:left="108" w:right="134"/>
              <w:rPr>
                <w:sz w:val="24"/>
              </w:rPr>
            </w:pPr>
            <w:r>
              <w:rPr>
                <w:sz w:val="24"/>
              </w:rPr>
              <w:t>Formal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Enforcement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Procedure</w:t>
            </w:r>
          </w:p>
        </w:tc>
        <w:tc>
          <w:tcPr>
            <w:tcW w:w="1860" w:type="dxa"/>
          </w:tcPr>
          <w:p>
            <w:pPr>
              <w:pStyle w:val="TableParagraph"/>
              <w:ind w:left="173" w:right="167" w:firstLine="2"/>
              <w:jc w:val="center"/>
              <w:rPr>
                <w:sz w:val="24"/>
              </w:rPr>
            </w:pPr>
            <w:r>
              <w:rPr>
                <w:sz w:val="24"/>
              </w:rPr>
              <w:t>Independent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body monitors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implementation</w:t>
            </w:r>
          </w:p>
        </w:tc>
      </w:tr>
      <w:tr>
        <w:trPr>
          <w:trHeight w:val="4284" w:hRule="atLeast"/>
        </w:trPr>
        <w:tc>
          <w:tcPr>
            <w:tcW w:w="150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1985</w:t>
            </w:r>
          </w:p>
          <w:p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1990</w:t>
            </w:r>
          </w:p>
          <w:p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2000</w:t>
            </w:r>
          </w:p>
          <w:p>
            <w:pPr>
              <w:pStyle w:val="TableParagraph"/>
              <w:spacing w:before="202"/>
              <w:rPr>
                <w:sz w:val="24"/>
              </w:rPr>
            </w:pPr>
            <w:r>
              <w:rPr>
                <w:sz w:val="24"/>
              </w:rPr>
              <w:t>2005</w:t>
            </w:r>
          </w:p>
          <w:p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2007</w:t>
            </w:r>
          </w:p>
          <w:p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2010</w:t>
            </w:r>
          </w:p>
          <w:p>
            <w:pPr>
              <w:pStyle w:val="TableParagraph"/>
              <w:spacing w:before="201"/>
              <w:rPr>
                <w:sz w:val="24"/>
              </w:rPr>
            </w:pPr>
            <w:r>
              <w:rPr>
                <w:sz w:val="24"/>
              </w:rPr>
              <w:t>2013</w:t>
            </w:r>
          </w:p>
          <w:p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2014</w:t>
            </w:r>
          </w:p>
          <w:p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272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199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199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202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199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200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201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200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199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199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199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202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199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200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201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200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199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199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199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202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199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200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201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200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199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pStyle w:val="BodyText"/>
        <w:ind w:left="500"/>
        <w:jc w:val="both"/>
      </w:pPr>
      <w:r>
        <w:rPr/>
        <w:t>Source:</w:t>
      </w:r>
      <w:r>
        <w:rPr>
          <w:spacing w:val="-1"/>
        </w:rPr>
        <w:t> </w:t>
      </w:r>
      <w:r>
        <w:rPr/>
        <w:t>Fiscal Rules</w:t>
      </w:r>
      <w:r>
        <w:rPr>
          <w:spacing w:val="-1"/>
        </w:rPr>
        <w:t> </w:t>
      </w:r>
      <w:r>
        <w:rPr/>
        <w:t>Dataset (2017).</w:t>
      </w:r>
      <w:r>
        <w:rPr>
          <w:spacing w:val="-1"/>
        </w:rPr>
        <w:t> </w:t>
      </w:r>
      <w:r>
        <w:rPr/>
        <w:t>Note: 0-</w:t>
      </w:r>
      <w:r>
        <w:rPr>
          <w:spacing w:val="-1"/>
        </w:rPr>
        <w:t> </w:t>
      </w:r>
      <w:r>
        <w:rPr/>
        <w:t>Non-existing,</w:t>
      </w:r>
      <w:r>
        <w:rPr>
          <w:spacing w:val="-1"/>
        </w:rPr>
        <w:t> </w:t>
      </w:r>
      <w:r>
        <w:rPr/>
        <w:t>1-</w:t>
      </w:r>
      <w:r>
        <w:rPr>
          <w:spacing w:val="-1"/>
        </w:rPr>
        <w:t> </w:t>
      </w:r>
      <w:r>
        <w:rPr/>
        <w:t>Exists</w:t>
      </w:r>
    </w:p>
    <w:p>
      <w:pPr>
        <w:spacing w:after="0"/>
        <w:jc w:val="both"/>
        <w:sectPr>
          <w:pgSz w:w="12240" w:h="15840"/>
          <w:pgMar w:header="0" w:footer="935" w:top="1380" w:bottom="1200" w:left="940" w:right="940"/>
        </w:sectPr>
      </w:pPr>
    </w:p>
    <w:p>
      <w:pPr>
        <w:pStyle w:val="Heading1"/>
        <w:numPr>
          <w:ilvl w:val="0"/>
          <w:numId w:val="19"/>
        </w:numPr>
        <w:tabs>
          <w:tab w:pos="717" w:val="left" w:leader="none"/>
        </w:tabs>
        <w:spacing w:line="240" w:lineRule="auto" w:before="60" w:after="0"/>
        <w:ind w:left="716" w:right="0" w:hanging="217"/>
        <w:jc w:val="left"/>
      </w:pPr>
      <w:r>
        <w:rPr/>
        <w:t>Fiscal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Monetary Policies</w:t>
      </w:r>
      <w:r>
        <w:rPr>
          <w:spacing w:val="-2"/>
        </w:rPr>
        <w:t> </w:t>
      </w:r>
      <w:r>
        <w:rPr/>
        <w:t>have</w:t>
      </w:r>
      <w:r>
        <w:rPr>
          <w:spacing w:val="-3"/>
        </w:rPr>
        <w:t> </w:t>
      </w:r>
      <w:r>
        <w:rPr/>
        <w:t>been</w:t>
      </w:r>
      <w:r>
        <w:rPr>
          <w:spacing w:val="-1"/>
        </w:rPr>
        <w:t> </w:t>
      </w:r>
      <w:r>
        <w:rPr/>
        <w:t>weakly</w:t>
      </w:r>
      <w:r>
        <w:rPr>
          <w:spacing w:val="-1"/>
        </w:rPr>
        <w:t> </w:t>
      </w:r>
      <w:r>
        <w:rPr/>
        <w:t>coordinated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360" w:lineRule="auto" w:before="1"/>
        <w:ind w:left="500" w:right="497"/>
        <w:jc w:val="both"/>
      </w:pPr>
      <w:r>
        <w:rPr>
          <w:spacing w:val="-1"/>
        </w:rPr>
        <w:t>Policy</w:t>
      </w:r>
      <w:r>
        <w:rPr>
          <w:spacing w:val="-20"/>
        </w:rPr>
        <w:t> </w:t>
      </w:r>
      <w:r>
        <w:rPr/>
        <w:t>is</w:t>
      </w:r>
      <w:r>
        <w:rPr>
          <w:spacing w:val="-12"/>
        </w:rPr>
        <w:t> </w:t>
      </w:r>
      <w:r>
        <w:rPr/>
        <w:t>deemed</w:t>
      </w:r>
      <w:r>
        <w:rPr>
          <w:spacing w:val="-12"/>
        </w:rPr>
        <w:t> </w:t>
      </w:r>
      <w:r>
        <w:rPr/>
        <w:t>coordinated</w:t>
      </w:r>
      <w:r>
        <w:rPr>
          <w:spacing w:val="-13"/>
        </w:rPr>
        <w:t> </w:t>
      </w:r>
      <w:r>
        <w:rPr/>
        <w:t>when</w:t>
      </w:r>
      <w:r>
        <w:rPr>
          <w:spacing w:val="-12"/>
        </w:rPr>
        <w:t> </w:t>
      </w:r>
      <w:r>
        <w:rPr/>
        <w:t>both</w:t>
      </w:r>
      <w:r>
        <w:rPr>
          <w:spacing w:val="-11"/>
        </w:rPr>
        <w:t> </w:t>
      </w:r>
      <w:r>
        <w:rPr/>
        <w:t>fiscal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monetary</w:t>
      </w:r>
      <w:r>
        <w:rPr>
          <w:spacing w:val="-20"/>
        </w:rPr>
        <w:t> </w:t>
      </w:r>
      <w:r>
        <w:rPr/>
        <w:t>policy</w:t>
      </w:r>
      <w:r>
        <w:rPr>
          <w:spacing w:val="-17"/>
        </w:rPr>
        <w:t> </w:t>
      </w:r>
      <w:r>
        <w:rPr/>
        <w:t>take</w:t>
      </w:r>
      <w:r>
        <w:rPr>
          <w:spacing w:val="-13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same</w:t>
      </w:r>
      <w:r>
        <w:rPr>
          <w:spacing w:val="-12"/>
        </w:rPr>
        <w:t> </w:t>
      </w:r>
      <w:r>
        <w:rPr/>
        <w:t>policy</w:t>
      </w:r>
      <w:r>
        <w:rPr>
          <w:spacing w:val="-20"/>
        </w:rPr>
        <w:t> </w:t>
      </w:r>
      <w:r>
        <w:rPr/>
        <w:t>stance.</w:t>
      </w:r>
      <w:r>
        <w:rPr>
          <w:spacing w:val="-57"/>
        </w:rPr>
        <w:t> </w:t>
      </w:r>
      <w:r>
        <w:rPr/>
        <w:t>An example is when both policies take on a tight or loose stance (Nyamongo, Sichei and Mutai,</w:t>
      </w:r>
      <w:r>
        <w:rPr>
          <w:spacing w:val="1"/>
        </w:rPr>
        <w:t> </w:t>
      </w:r>
      <w:r>
        <w:rPr/>
        <w:t>2008; Rothenberg, 2004). In Table 3.20, it is revealed that over the period 1970-2015, there is</w:t>
      </w:r>
      <w:r>
        <w:rPr>
          <w:spacing w:val="1"/>
        </w:rPr>
        <w:t> </w:t>
      </w:r>
      <w:r>
        <w:rPr/>
        <w:t>evidence</w:t>
      </w:r>
      <w:r>
        <w:rPr>
          <w:spacing w:val="-5"/>
        </w:rPr>
        <w:t> </w:t>
      </w:r>
      <w:r>
        <w:rPr/>
        <w:t>that</w:t>
      </w:r>
      <w:r>
        <w:rPr>
          <w:spacing w:val="-1"/>
        </w:rPr>
        <w:t> </w:t>
      </w:r>
      <w:r>
        <w:rPr/>
        <w:t>fiscal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monetary</w:t>
      </w:r>
      <w:r>
        <w:rPr>
          <w:spacing w:val="-9"/>
        </w:rPr>
        <w:t> </w:t>
      </w:r>
      <w:r>
        <w:rPr/>
        <w:t>policy</w:t>
      </w:r>
      <w:r>
        <w:rPr>
          <w:spacing w:val="-9"/>
        </w:rPr>
        <w:t> </w:t>
      </w:r>
      <w:r>
        <w:rPr/>
        <w:t>had</w:t>
      </w:r>
      <w:r>
        <w:rPr>
          <w:spacing w:val="-4"/>
        </w:rPr>
        <w:t> </w:t>
      </w:r>
      <w:r>
        <w:rPr/>
        <w:t>more</w:t>
      </w:r>
      <w:r>
        <w:rPr>
          <w:spacing w:val="-5"/>
        </w:rPr>
        <w:t> </w:t>
      </w:r>
      <w:r>
        <w:rPr/>
        <w:t>uncoordinated</w:t>
      </w:r>
      <w:r>
        <w:rPr>
          <w:spacing w:val="-4"/>
        </w:rPr>
        <w:t> </w:t>
      </w:r>
      <w:r>
        <w:rPr/>
        <w:t>than</w:t>
      </w:r>
      <w:r>
        <w:rPr>
          <w:spacing w:val="-3"/>
        </w:rPr>
        <w:t> </w:t>
      </w:r>
      <w:r>
        <w:rPr/>
        <w:t>coordinated</w:t>
      </w:r>
      <w:r>
        <w:rPr>
          <w:spacing w:val="-4"/>
        </w:rPr>
        <w:t> </w:t>
      </w:r>
      <w:r>
        <w:rPr/>
        <w:t>stances.</w:t>
      </w:r>
      <w:r>
        <w:rPr>
          <w:spacing w:val="-1"/>
        </w:rPr>
        <w:t> </w:t>
      </w:r>
      <w:r>
        <w:rPr/>
        <w:t>Fiscal</w:t>
      </w:r>
      <w:r>
        <w:rPr>
          <w:spacing w:val="-58"/>
        </w:rPr>
        <w:t> </w:t>
      </w:r>
      <w:r>
        <w:rPr/>
        <w:t>and monetary policy was coordinated in 21 of the entire 46 years, while policy was seen to be</w:t>
      </w:r>
      <w:r>
        <w:rPr>
          <w:spacing w:val="1"/>
        </w:rPr>
        <w:t> </w:t>
      </w:r>
      <w:r>
        <w:rPr/>
        <w:t>uncoordinated in the remaining 25 years. This means that fiscal and monetary policy can be</w:t>
      </w:r>
      <w:r>
        <w:rPr>
          <w:spacing w:val="1"/>
        </w:rPr>
        <w:t> </w:t>
      </w:r>
      <w:r>
        <w:rPr/>
        <w:t>concluded to have been more uncoordinated than coordinated in Nigeria, and therefore, implies</w:t>
      </w:r>
      <w:r>
        <w:rPr>
          <w:spacing w:val="1"/>
        </w:rPr>
        <w:t> </w:t>
      </w:r>
      <w:r>
        <w:rPr/>
        <w:t>weak coordination. This suggests that the Federal Ministry of Finance and the Central Bank of</w:t>
      </w:r>
      <w:r>
        <w:rPr>
          <w:spacing w:val="1"/>
        </w:rPr>
        <w:t> </w:t>
      </w:r>
      <w:r>
        <w:rPr/>
        <w:t>Nigeria did not fully harmonise their policy targets and directions. Englama </w:t>
      </w:r>
      <w:r>
        <w:rPr>
          <w:i/>
        </w:rPr>
        <w:t>et al., </w:t>
      </w:r>
      <w:r>
        <w:rPr/>
        <w:t>(2013) also</w:t>
      </w:r>
      <w:r>
        <w:rPr>
          <w:spacing w:val="1"/>
        </w:rPr>
        <w:t> </w:t>
      </w:r>
      <w:r>
        <w:rPr/>
        <w:t>attest</w:t>
      </w:r>
      <w:r>
        <w:rPr>
          <w:spacing w:val="-1"/>
        </w:rPr>
        <w:t> </w:t>
      </w:r>
      <w:r>
        <w:rPr/>
        <w:t>to the weak state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policy</w:t>
      </w:r>
      <w:r>
        <w:rPr>
          <w:spacing w:val="-5"/>
        </w:rPr>
        <w:t> </w:t>
      </w:r>
      <w:r>
        <w:rPr/>
        <w:t>coordination in Nigeria</w:t>
      </w:r>
      <w:r>
        <w:rPr>
          <w:spacing w:val="-2"/>
        </w:rPr>
        <w:t> </w:t>
      </w:r>
      <w:r>
        <w:rPr/>
        <w:t>over the</w:t>
      </w:r>
      <w:r>
        <w:rPr>
          <w:spacing w:val="-1"/>
        </w:rPr>
        <w:t> </w:t>
      </w:r>
      <w:r>
        <w:rPr/>
        <w:t>period 1980</w:t>
      </w:r>
      <w:r>
        <w:rPr>
          <w:spacing w:val="-1"/>
        </w:rPr>
        <w:t> </w:t>
      </w:r>
      <w:r>
        <w:rPr/>
        <w:t>to 2011.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500"/>
      </w:pPr>
      <w:r>
        <w:rPr/>
        <w:t>Table</w:t>
      </w:r>
      <w:r>
        <w:rPr>
          <w:spacing w:val="-1"/>
        </w:rPr>
        <w:t> </w:t>
      </w:r>
      <w:r>
        <w:rPr/>
        <w:t>3.20:</w:t>
      </w:r>
      <w:r>
        <w:rPr>
          <w:spacing w:val="-1"/>
        </w:rPr>
        <w:t> </w:t>
      </w:r>
      <w:r>
        <w:rPr/>
        <w:t>Policy</w:t>
      </w:r>
      <w:r>
        <w:rPr>
          <w:spacing w:val="-6"/>
        </w:rPr>
        <w:t> </w:t>
      </w:r>
      <w:r>
        <w:rPr/>
        <w:t>Coordination in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selected</w:t>
      </w:r>
      <w:r>
        <w:rPr>
          <w:spacing w:val="3"/>
        </w:rPr>
        <w:t> </w:t>
      </w:r>
      <w:r>
        <w:rPr/>
        <w:t>years</w:t>
      </w:r>
      <w:r>
        <w:rPr>
          <w:spacing w:val="-1"/>
        </w:rPr>
        <w:t> </w:t>
      </w:r>
      <w:r>
        <w:rPr/>
        <w:t>(1970-2015)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2"/>
        <w:gridCol w:w="990"/>
        <w:gridCol w:w="1018"/>
        <w:gridCol w:w="1157"/>
        <w:gridCol w:w="1039"/>
        <w:gridCol w:w="1392"/>
      </w:tblGrid>
      <w:tr>
        <w:trPr>
          <w:trHeight w:val="414" w:hRule="atLeast"/>
        </w:trPr>
        <w:tc>
          <w:tcPr>
            <w:tcW w:w="126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99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Bdef</w:t>
            </w:r>
          </w:p>
        </w:tc>
        <w:tc>
          <w:tcPr>
            <w:tcW w:w="10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Stance</w:t>
            </w:r>
          </w:p>
        </w:tc>
        <w:tc>
          <w:tcPr>
            <w:tcW w:w="11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269"/>
              <w:rPr>
                <w:sz w:val="24"/>
              </w:rPr>
            </w:pPr>
            <w:r>
              <w:rPr>
                <w:sz w:val="24"/>
              </w:rPr>
              <w:t>RIR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267"/>
              <w:rPr>
                <w:sz w:val="24"/>
              </w:rPr>
            </w:pPr>
            <w:r>
              <w:rPr>
                <w:sz w:val="24"/>
              </w:rPr>
              <w:t>stance</w:t>
            </w:r>
          </w:p>
        </w:tc>
        <w:tc>
          <w:tcPr>
            <w:tcW w:w="13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71"/>
              <w:rPr>
                <w:sz w:val="24"/>
              </w:rPr>
            </w:pPr>
            <w:r>
              <w:rPr>
                <w:sz w:val="24"/>
              </w:rPr>
              <w:t>Inference</w:t>
            </w:r>
          </w:p>
        </w:tc>
      </w:tr>
      <w:tr>
        <w:trPr>
          <w:trHeight w:val="411" w:hRule="atLeast"/>
        </w:trPr>
        <w:tc>
          <w:tcPr>
            <w:tcW w:w="126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1970</w:t>
            </w:r>
          </w:p>
        </w:tc>
        <w:tc>
          <w:tcPr>
            <w:tcW w:w="9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-8.62</w:t>
            </w:r>
          </w:p>
        </w:tc>
        <w:tc>
          <w:tcPr>
            <w:tcW w:w="10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  <w:tc>
          <w:tcPr>
            <w:tcW w:w="11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269"/>
              <w:rPr>
                <w:sz w:val="24"/>
              </w:rPr>
            </w:pPr>
            <w:r>
              <w:rPr>
                <w:sz w:val="24"/>
              </w:rPr>
              <w:t>-29.27</w:t>
            </w:r>
          </w:p>
        </w:tc>
        <w:tc>
          <w:tcPr>
            <w:tcW w:w="10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267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  <w:tc>
          <w:tcPr>
            <w:tcW w:w="13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71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83" w:hRule="atLeast"/>
        </w:trPr>
        <w:tc>
          <w:tcPr>
            <w:tcW w:w="1262" w:type="dxa"/>
          </w:tcPr>
          <w:p>
            <w:pPr>
              <w:pStyle w:val="TableParagraph"/>
              <w:spacing w:before="134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1980</w:t>
            </w:r>
          </w:p>
        </w:tc>
        <w:tc>
          <w:tcPr>
            <w:tcW w:w="990" w:type="dxa"/>
          </w:tcPr>
          <w:p>
            <w:pPr>
              <w:pStyle w:val="TableParagraph"/>
              <w:spacing w:before="131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-3.98</w:t>
            </w:r>
          </w:p>
        </w:tc>
        <w:tc>
          <w:tcPr>
            <w:tcW w:w="1018" w:type="dxa"/>
          </w:tcPr>
          <w:p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  <w:tc>
          <w:tcPr>
            <w:tcW w:w="1157" w:type="dxa"/>
          </w:tcPr>
          <w:p>
            <w:pPr>
              <w:pStyle w:val="TableParagraph"/>
              <w:spacing w:before="134"/>
              <w:ind w:left="269"/>
              <w:rPr>
                <w:sz w:val="24"/>
              </w:rPr>
            </w:pPr>
            <w:r>
              <w:rPr>
                <w:sz w:val="24"/>
              </w:rPr>
              <w:t>-3.55</w:t>
            </w:r>
          </w:p>
        </w:tc>
        <w:tc>
          <w:tcPr>
            <w:tcW w:w="1039" w:type="dxa"/>
          </w:tcPr>
          <w:p>
            <w:pPr>
              <w:pStyle w:val="TableParagraph"/>
              <w:spacing w:before="134"/>
              <w:ind w:left="267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  <w:tc>
          <w:tcPr>
            <w:tcW w:w="1392" w:type="dxa"/>
          </w:tcPr>
          <w:p>
            <w:pPr>
              <w:pStyle w:val="TableParagraph"/>
              <w:spacing w:before="134"/>
              <w:ind w:left="171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14" w:hRule="atLeast"/>
        </w:trPr>
        <w:tc>
          <w:tcPr>
            <w:tcW w:w="1262" w:type="dxa"/>
          </w:tcPr>
          <w:p>
            <w:pPr>
              <w:pStyle w:val="TableParagraph"/>
              <w:spacing w:before="66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1990</w:t>
            </w:r>
          </w:p>
        </w:tc>
        <w:tc>
          <w:tcPr>
            <w:tcW w:w="990" w:type="dxa"/>
          </w:tcPr>
          <w:p>
            <w:pPr>
              <w:pStyle w:val="TableParagraph"/>
              <w:spacing w:before="63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-8.27</w:t>
            </w:r>
          </w:p>
        </w:tc>
        <w:tc>
          <w:tcPr>
            <w:tcW w:w="1018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  <w:tc>
          <w:tcPr>
            <w:tcW w:w="1157" w:type="dxa"/>
          </w:tcPr>
          <w:p>
            <w:pPr>
              <w:pStyle w:val="TableParagraph"/>
              <w:spacing w:before="66"/>
              <w:ind w:left="269"/>
              <w:rPr>
                <w:sz w:val="24"/>
              </w:rPr>
            </w:pPr>
            <w:r>
              <w:rPr>
                <w:sz w:val="24"/>
              </w:rPr>
              <w:t>14.65</w:t>
            </w:r>
          </w:p>
        </w:tc>
        <w:tc>
          <w:tcPr>
            <w:tcW w:w="1039" w:type="dxa"/>
          </w:tcPr>
          <w:p>
            <w:pPr>
              <w:pStyle w:val="TableParagraph"/>
              <w:spacing w:before="66"/>
              <w:ind w:left="267"/>
              <w:rPr>
                <w:sz w:val="24"/>
              </w:rPr>
            </w:pPr>
            <w:r>
              <w:rPr>
                <w:sz w:val="24"/>
              </w:rPr>
              <w:t>Tight</w:t>
            </w:r>
          </w:p>
        </w:tc>
        <w:tc>
          <w:tcPr>
            <w:tcW w:w="1392" w:type="dxa"/>
          </w:tcPr>
          <w:p>
            <w:pPr>
              <w:pStyle w:val="TableParagraph"/>
              <w:spacing w:before="66"/>
              <w:ind w:left="171"/>
              <w:rPr>
                <w:sz w:val="24"/>
              </w:rPr>
            </w:pPr>
            <w:r>
              <w:rPr>
                <w:sz w:val="24"/>
              </w:rPr>
              <w:t>NC</w:t>
            </w:r>
          </w:p>
        </w:tc>
      </w:tr>
      <w:tr>
        <w:trPr>
          <w:trHeight w:val="413" w:hRule="atLeast"/>
        </w:trPr>
        <w:tc>
          <w:tcPr>
            <w:tcW w:w="1262" w:type="dxa"/>
          </w:tcPr>
          <w:p>
            <w:pPr>
              <w:pStyle w:val="TableParagraph"/>
              <w:spacing w:before="64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990" w:type="dxa"/>
          </w:tcPr>
          <w:p>
            <w:pPr>
              <w:pStyle w:val="TableParagraph"/>
              <w:spacing w:before="62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-2.26</w:t>
            </w:r>
          </w:p>
        </w:tc>
        <w:tc>
          <w:tcPr>
            <w:tcW w:w="1018" w:type="dxa"/>
          </w:tcPr>
          <w:p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  <w:tc>
          <w:tcPr>
            <w:tcW w:w="1157" w:type="dxa"/>
          </w:tcPr>
          <w:p>
            <w:pPr>
              <w:pStyle w:val="TableParagraph"/>
              <w:spacing w:before="64"/>
              <w:ind w:left="269"/>
              <w:rPr>
                <w:sz w:val="24"/>
              </w:rPr>
            </w:pPr>
            <w:r>
              <w:rPr>
                <w:sz w:val="24"/>
              </w:rPr>
              <w:t>-10.32</w:t>
            </w:r>
          </w:p>
        </w:tc>
        <w:tc>
          <w:tcPr>
            <w:tcW w:w="1039" w:type="dxa"/>
          </w:tcPr>
          <w:p>
            <w:pPr>
              <w:pStyle w:val="TableParagraph"/>
              <w:spacing w:before="64"/>
              <w:ind w:left="267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  <w:tc>
          <w:tcPr>
            <w:tcW w:w="1392" w:type="dxa"/>
          </w:tcPr>
          <w:p>
            <w:pPr>
              <w:pStyle w:val="TableParagraph"/>
              <w:spacing w:before="64"/>
              <w:ind w:left="171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14" w:hRule="atLeast"/>
        </w:trPr>
        <w:tc>
          <w:tcPr>
            <w:tcW w:w="1262" w:type="dxa"/>
          </w:tcPr>
          <w:p>
            <w:pPr>
              <w:pStyle w:val="TableParagraph"/>
              <w:spacing w:before="65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990" w:type="dxa"/>
          </w:tcPr>
          <w:p>
            <w:pPr>
              <w:pStyle w:val="TableParagraph"/>
              <w:spacing w:before="63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-2.04</w:t>
            </w:r>
          </w:p>
        </w:tc>
        <w:tc>
          <w:tcPr>
            <w:tcW w:w="1018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  <w:tc>
          <w:tcPr>
            <w:tcW w:w="1157" w:type="dxa"/>
          </w:tcPr>
          <w:p>
            <w:pPr>
              <w:pStyle w:val="TableParagraph"/>
              <w:spacing w:before="65"/>
              <w:ind w:left="269"/>
              <w:rPr>
                <w:sz w:val="24"/>
              </w:rPr>
            </w:pPr>
            <w:r>
              <w:rPr>
                <w:sz w:val="24"/>
              </w:rPr>
              <w:t>-42.31</w:t>
            </w:r>
          </w:p>
        </w:tc>
        <w:tc>
          <w:tcPr>
            <w:tcW w:w="1039" w:type="dxa"/>
          </w:tcPr>
          <w:p>
            <w:pPr>
              <w:pStyle w:val="TableParagraph"/>
              <w:spacing w:before="65"/>
              <w:ind w:left="267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  <w:tc>
          <w:tcPr>
            <w:tcW w:w="1392" w:type="dxa"/>
          </w:tcPr>
          <w:p>
            <w:pPr>
              <w:pStyle w:val="TableParagraph"/>
              <w:spacing w:before="65"/>
              <w:ind w:left="171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13" w:hRule="atLeast"/>
        </w:trPr>
        <w:tc>
          <w:tcPr>
            <w:tcW w:w="1262" w:type="dxa"/>
          </w:tcPr>
          <w:p>
            <w:pPr>
              <w:pStyle w:val="TableParagraph"/>
              <w:spacing w:before="64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990" w:type="dxa"/>
          </w:tcPr>
          <w:p>
            <w:pPr>
              <w:pStyle w:val="TableParagraph"/>
              <w:spacing w:before="62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1.97</w:t>
            </w:r>
          </w:p>
        </w:tc>
        <w:tc>
          <w:tcPr>
            <w:tcW w:w="1018" w:type="dxa"/>
          </w:tcPr>
          <w:p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Tight</w:t>
            </w:r>
          </w:p>
        </w:tc>
        <w:tc>
          <w:tcPr>
            <w:tcW w:w="1157" w:type="dxa"/>
          </w:tcPr>
          <w:p>
            <w:pPr>
              <w:pStyle w:val="TableParagraph"/>
              <w:spacing w:before="64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5.94</w:t>
            </w:r>
          </w:p>
        </w:tc>
        <w:tc>
          <w:tcPr>
            <w:tcW w:w="1039" w:type="dxa"/>
          </w:tcPr>
          <w:p>
            <w:pPr>
              <w:pStyle w:val="TableParagraph"/>
              <w:spacing w:before="64"/>
              <w:ind w:left="267"/>
              <w:rPr>
                <w:sz w:val="24"/>
              </w:rPr>
            </w:pPr>
            <w:r>
              <w:rPr>
                <w:sz w:val="24"/>
              </w:rPr>
              <w:t>Tight</w:t>
            </w:r>
          </w:p>
        </w:tc>
        <w:tc>
          <w:tcPr>
            <w:tcW w:w="1392" w:type="dxa"/>
          </w:tcPr>
          <w:p>
            <w:pPr>
              <w:pStyle w:val="TableParagraph"/>
              <w:spacing w:before="64"/>
              <w:ind w:left="171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13" w:hRule="atLeast"/>
        </w:trPr>
        <w:tc>
          <w:tcPr>
            <w:tcW w:w="1262" w:type="dxa"/>
          </w:tcPr>
          <w:p>
            <w:pPr>
              <w:pStyle w:val="TableParagraph"/>
              <w:spacing w:before="65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990" w:type="dxa"/>
          </w:tcPr>
          <w:p>
            <w:pPr>
              <w:pStyle w:val="TableParagraph"/>
              <w:spacing w:before="63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-1.37</w:t>
            </w:r>
          </w:p>
        </w:tc>
        <w:tc>
          <w:tcPr>
            <w:tcW w:w="1018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  <w:tc>
          <w:tcPr>
            <w:tcW w:w="1157" w:type="dxa"/>
          </w:tcPr>
          <w:p>
            <w:pPr>
              <w:pStyle w:val="TableParagraph"/>
              <w:spacing w:before="65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6.88</w:t>
            </w:r>
          </w:p>
        </w:tc>
        <w:tc>
          <w:tcPr>
            <w:tcW w:w="1039" w:type="dxa"/>
          </w:tcPr>
          <w:p>
            <w:pPr>
              <w:pStyle w:val="TableParagraph"/>
              <w:spacing w:before="65"/>
              <w:ind w:left="267"/>
              <w:rPr>
                <w:sz w:val="24"/>
              </w:rPr>
            </w:pPr>
            <w:r>
              <w:rPr>
                <w:sz w:val="24"/>
              </w:rPr>
              <w:t>Tight</w:t>
            </w:r>
          </w:p>
        </w:tc>
        <w:tc>
          <w:tcPr>
            <w:tcW w:w="1392" w:type="dxa"/>
          </w:tcPr>
          <w:p>
            <w:pPr>
              <w:pStyle w:val="TableParagraph"/>
              <w:spacing w:before="65"/>
              <w:ind w:left="171"/>
              <w:rPr>
                <w:sz w:val="24"/>
              </w:rPr>
            </w:pPr>
            <w:r>
              <w:rPr>
                <w:sz w:val="24"/>
              </w:rPr>
              <w:t>NC</w:t>
            </w:r>
          </w:p>
        </w:tc>
      </w:tr>
      <w:tr>
        <w:trPr>
          <w:trHeight w:val="412" w:hRule="atLeast"/>
        </w:trPr>
        <w:tc>
          <w:tcPr>
            <w:tcW w:w="1262" w:type="dxa"/>
          </w:tcPr>
          <w:p>
            <w:pPr>
              <w:pStyle w:val="TableParagraph"/>
              <w:spacing w:before="64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990" w:type="dxa"/>
          </w:tcPr>
          <w:p>
            <w:pPr>
              <w:pStyle w:val="TableParagraph"/>
              <w:spacing w:before="62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-1.44</w:t>
            </w:r>
          </w:p>
        </w:tc>
        <w:tc>
          <w:tcPr>
            <w:tcW w:w="1018" w:type="dxa"/>
          </w:tcPr>
          <w:p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  <w:tc>
          <w:tcPr>
            <w:tcW w:w="1157" w:type="dxa"/>
          </w:tcPr>
          <w:p>
            <w:pPr>
              <w:pStyle w:val="TableParagraph"/>
              <w:spacing w:before="64"/>
              <w:ind w:left="329"/>
              <w:rPr>
                <w:sz w:val="24"/>
              </w:rPr>
            </w:pPr>
            <w:r>
              <w:rPr>
                <w:sz w:val="24"/>
              </w:rPr>
              <w:t>10.25</w:t>
            </w:r>
          </w:p>
        </w:tc>
        <w:tc>
          <w:tcPr>
            <w:tcW w:w="1039" w:type="dxa"/>
          </w:tcPr>
          <w:p>
            <w:pPr>
              <w:pStyle w:val="TableParagraph"/>
              <w:spacing w:before="64"/>
              <w:ind w:left="267"/>
              <w:rPr>
                <w:sz w:val="24"/>
              </w:rPr>
            </w:pPr>
            <w:r>
              <w:rPr>
                <w:sz w:val="24"/>
              </w:rPr>
              <w:t>Tight</w:t>
            </w:r>
          </w:p>
        </w:tc>
        <w:tc>
          <w:tcPr>
            <w:tcW w:w="1392" w:type="dxa"/>
          </w:tcPr>
          <w:p>
            <w:pPr>
              <w:pStyle w:val="TableParagraph"/>
              <w:spacing w:before="64"/>
              <w:ind w:left="171"/>
              <w:rPr>
                <w:sz w:val="24"/>
              </w:rPr>
            </w:pPr>
            <w:r>
              <w:rPr>
                <w:sz w:val="24"/>
              </w:rPr>
              <w:t>NC</w:t>
            </w:r>
          </w:p>
        </w:tc>
      </w:tr>
      <w:tr>
        <w:trPr>
          <w:trHeight w:val="413" w:hRule="atLeast"/>
        </w:trPr>
        <w:tc>
          <w:tcPr>
            <w:tcW w:w="1262" w:type="dxa"/>
          </w:tcPr>
          <w:p>
            <w:pPr>
              <w:pStyle w:val="TableParagraph"/>
              <w:spacing w:before="64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990" w:type="dxa"/>
          </w:tcPr>
          <w:p>
            <w:pPr>
              <w:pStyle w:val="TableParagraph"/>
              <w:spacing w:before="62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-0.94</w:t>
            </w:r>
          </w:p>
        </w:tc>
        <w:tc>
          <w:tcPr>
            <w:tcW w:w="1018" w:type="dxa"/>
          </w:tcPr>
          <w:p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  <w:tc>
          <w:tcPr>
            <w:tcW w:w="1157" w:type="dxa"/>
          </w:tcPr>
          <w:p>
            <w:pPr>
              <w:pStyle w:val="TableParagraph"/>
              <w:spacing w:before="64"/>
              <w:ind w:left="329"/>
              <w:rPr>
                <w:sz w:val="24"/>
              </w:rPr>
            </w:pPr>
            <w:r>
              <w:rPr>
                <w:sz w:val="24"/>
              </w:rPr>
              <w:t>11.35</w:t>
            </w:r>
          </w:p>
        </w:tc>
        <w:tc>
          <w:tcPr>
            <w:tcW w:w="1039" w:type="dxa"/>
          </w:tcPr>
          <w:p>
            <w:pPr>
              <w:pStyle w:val="TableParagraph"/>
              <w:spacing w:before="64"/>
              <w:ind w:left="327"/>
              <w:rPr>
                <w:sz w:val="24"/>
              </w:rPr>
            </w:pPr>
            <w:r>
              <w:rPr>
                <w:sz w:val="24"/>
              </w:rPr>
              <w:t>Tight</w:t>
            </w:r>
          </w:p>
        </w:tc>
        <w:tc>
          <w:tcPr>
            <w:tcW w:w="1392" w:type="dxa"/>
          </w:tcPr>
          <w:p>
            <w:pPr>
              <w:pStyle w:val="TableParagraph"/>
              <w:spacing w:before="64"/>
              <w:ind w:left="171"/>
              <w:rPr>
                <w:sz w:val="24"/>
              </w:rPr>
            </w:pPr>
            <w:r>
              <w:rPr>
                <w:sz w:val="24"/>
              </w:rPr>
              <w:t>NC</w:t>
            </w:r>
          </w:p>
        </w:tc>
      </w:tr>
      <w:tr>
        <w:trPr>
          <w:trHeight w:val="415" w:hRule="atLeast"/>
        </w:trPr>
        <w:tc>
          <w:tcPr>
            <w:tcW w:w="1262" w:type="dxa"/>
          </w:tcPr>
          <w:p>
            <w:pPr>
              <w:pStyle w:val="TableParagraph"/>
              <w:spacing w:before="65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990" w:type="dxa"/>
          </w:tcPr>
          <w:p>
            <w:pPr>
              <w:pStyle w:val="TableParagraph"/>
              <w:spacing w:before="63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-1.65</w:t>
            </w:r>
          </w:p>
        </w:tc>
        <w:tc>
          <w:tcPr>
            <w:tcW w:w="1018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  <w:tc>
          <w:tcPr>
            <w:tcW w:w="1157" w:type="dxa"/>
          </w:tcPr>
          <w:p>
            <w:pPr>
              <w:pStyle w:val="TableParagraph"/>
              <w:spacing w:before="65"/>
              <w:ind w:left="329"/>
              <w:rPr>
                <w:sz w:val="24"/>
              </w:rPr>
            </w:pPr>
            <w:r>
              <w:rPr>
                <w:sz w:val="24"/>
              </w:rPr>
              <w:t>13.59</w:t>
            </w:r>
          </w:p>
        </w:tc>
        <w:tc>
          <w:tcPr>
            <w:tcW w:w="1039" w:type="dxa"/>
          </w:tcPr>
          <w:p>
            <w:pPr>
              <w:pStyle w:val="TableParagraph"/>
              <w:spacing w:before="65"/>
              <w:ind w:left="267"/>
              <w:rPr>
                <w:sz w:val="24"/>
              </w:rPr>
            </w:pPr>
            <w:r>
              <w:rPr>
                <w:sz w:val="24"/>
              </w:rPr>
              <w:t>Tight</w:t>
            </w:r>
          </w:p>
        </w:tc>
        <w:tc>
          <w:tcPr>
            <w:tcW w:w="1392" w:type="dxa"/>
          </w:tcPr>
          <w:p>
            <w:pPr>
              <w:pStyle w:val="TableParagraph"/>
              <w:spacing w:before="65"/>
              <w:ind w:left="171"/>
              <w:rPr>
                <w:sz w:val="24"/>
              </w:rPr>
            </w:pPr>
            <w:r>
              <w:rPr>
                <w:sz w:val="24"/>
              </w:rPr>
              <w:t>NC</w:t>
            </w:r>
          </w:p>
        </w:tc>
      </w:tr>
      <w:tr>
        <w:trPr>
          <w:trHeight w:val="484" w:hRule="atLeast"/>
        </w:trPr>
        <w:tc>
          <w:tcPr>
            <w:tcW w:w="126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  <w:tc>
          <w:tcPr>
            <w:tcW w:w="9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3"/>
              <w:ind w:left="0" w:right="10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-3.60</w:t>
            </w:r>
          </w:p>
        </w:tc>
        <w:tc>
          <w:tcPr>
            <w:tcW w:w="10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Easy</w:t>
            </w:r>
          </w:p>
        </w:tc>
        <w:tc>
          <w:tcPr>
            <w:tcW w:w="115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3"/>
              <w:ind w:left="267"/>
              <w:rPr>
                <w:sz w:val="24"/>
              </w:rPr>
            </w:pPr>
            <w:r>
              <w:rPr>
                <w:sz w:val="24"/>
              </w:rPr>
              <w:t>Tight</w:t>
            </w:r>
          </w:p>
        </w:tc>
        <w:tc>
          <w:tcPr>
            <w:tcW w:w="13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3"/>
              <w:ind w:left="171"/>
              <w:rPr>
                <w:sz w:val="24"/>
              </w:rPr>
            </w:pPr>
            <w:r>
              <w:rPr>
                <w:sz w:val="24"/>
              </w:rPr>
              <w:t>NC</w:t>
            </w:r>
          </w:p>
        </w:tc>
      </w:tr>
    </w:tbl>
    <w:p>
      <w:pPr>
        <w:pStyle w:val="BodyText"/>
        <w:ind w:left="500"/>
      </w:pPr>
      <w:r>
        <w:rPr/>
        <w:t>Source:</w:t>
      </w:r>
      <w:r>
        <w:rPr>
          <w:spacing w:val="-3"/>
        </w:rPr>
        <w:t> </w:t>
      </w:r>
      <w:r>
        <w:rPr/>
        <w:t>CBN</w:t>
      </w:r>
      <w:r>
        <w:rPr>
          <w:spacing w:val="-2"/>
        </w:rPr>
        <w:t> </w:t>
      </w:r>
      <w:r>
        <w:rPr/>
        <w:t>Statistical Bulletin</w:t>
      </w:r>
      <w:r>
        <w:rPr>
          <w:spacing w:val="-3"/>
        </w:rPr>
        <w:t> </w:t>
      </w:r>
      <w:r>
        <w:rPr/>
        <w:t>(2015)</w:t>
      </w:r>
    </w:p>
    <w:p>
      <w:pPr>
        <w:pStyle w:val="BodyText"/>
        <w:ind w:left="500" w:right="497"/>
      </w:pPr>
      <w:r>
        <w:rPr/>
        <w:t>Note:</w:t>
      </w:r>
      <w:r>
        <w:rPr>
          <w:spacing w:val="20"/>
        </w:rPr>
        <w:t> </w:t>
      </w:r>
      <w:r>
        <w:rPr/>
        <w:t>*Policy</w:t>
      </w:r>
      <w:r>
        <w:rPr>
          <w:spacing w:val="16"/>
        </w:rPr>
        <w:t> </w:t>
      </w:r>
      <w:r>
        <w:rPr/>
        <w:t>is</w:t>
      </w:r>
      <w:r>
        <w:rPr>
          <w:spacing w:val="22"/>
        </w:rPr>
        <w:t> </w:t>
      </w:r>
      <w:r>
        <w:rPr/>
        <w:t>coordinated</w:t>
      </w:r>
      <w:r>
        <w:rPr>
          <w:spacing w:val="20"/>
        </w:rPr>
        <w:t> </w:t>
      </w:r>
      <w:r>
        <w:rPr/>
        <w:t>when</w:t>
      </w:r>
      <w:r>
        <w:rPr>
          <w:spacing w:val="21"/>
        </w:rPr>
        <w:t> </w:t>
      </w:r>
      <w:r>
        <w:rPr/>
        <w:t>fiscal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monetary</w:t>
      </w:r>
      <w:r>
        <w:rPr>
          <w:spacing w:val="16"/>
        </w:rPr>
        <w:t> </w:t>
      </w:r>
      <w:r>
        <w:rPr/>
        <w:t>policy</w:t>
      </w:r>
      <w:r>
        <w:rPr>
          <w:spacing w:val="16"/>
        </w:rPr>
        <w:t> </w:t>
      </w:r>
      <w:r>
        <w:rPr/>
        <w:t>are</w:t>
      </w:r>
      <w:r>
        <w:rPr>
          <w:spacing w:val="20"/>
        </w:rPr>
        <w:t> </w:t>
      </w:r>
      <w:r>
        <w:rPr/>
        <w:t>both</w:t>
      </w:r>
      <w:r>
        <w:rPr>
          <w:spacing w:val="21"/>
        </w:rPr>
        <w:t> </w:t>
      </w:r>
      <w:r>
        <w:rPr/>
        <w:t>tight</w:t>
      </w:r>
      <w:r>
        <w:rPr>
          <w:spacing w:val="21"/>
        </w:rPr>
        <w:t> </w:t>
      </w:r>
      <w:r>
        <w:rPr/>
        <w:t>or</w:t>
      </w:r>
      <w:r>
        <w:rPr>
          <w:spacing w:val="20"/>
        </w:rPr>
        <w:t> </w:t>
      </w:r>
      <w:r>
        <w:rPr/>
        <w:t>loose.</w:t>
      </w:r>
      <w:r>
        <w:rPr>
          <w:spacing w:val="21"/>
        </w:rPr>
        <w:t> </w:t>
      </w:r>
      <w:r>
        <w:rPr/>
        <w:t>NC:</w:t>
      </w:r>
      <w:r>
        <w:rPr>
          <w:spacing w:val="21"/>
        </w:rPr>
        <w:t> </w:t>
      </w:r>
      <w:r>
        <w:rPr/>
        <w:t>Not</w:t>
      </w:r>
      <w:r>
        <w:rPr>
          <w:spacing w:val="-57"/>
        </w:rPr>
        <w:t> </w:t>
      </w:r>
      <w:r>
        <w:rPr/>
        <w:t>coordinated;</w:t>
      </w:r>
      <w:r>
        <w:rPr>
          <w:spacing w:val="-1"/>
        </w:rPr>
        <w:t> </w:t>
      </w:r>
      <w:r>
        <w:rPr/>
        <w:t>C: Coordinated.</w:t>
      </w:r>
      <w:r>
        <w:rPr>
          <w:spacing w:val="59"/>
        </w:rPr>
        <w:t> </w:t>
      </w:r>
      <w:r>
        <w:rPr/>
        <w:t>Bdef= Budget</w:t>
      </w:r>
      <w:r>
        <w:rPr>
          <w:spacing w:val="1"/>
        </w:rPr>
        <w:t> </w:t>
      </w:r>
      <w:r>
        <w:rPr/>
        <w:t>deficit, RIR=</w:t>
      </w:r>
      <w:r>
        <w:rPr>
          <w:spacing w:val="-1"/>
        </w:rPr>
        <w:t> </w:t>
      </w:r>
      <w:r>
        <w:rPr/>
        <w:t>Real</w:t>
      </w:r>
      <w:r>
        <w:rPr>
          <w:spacing w:val="1"/>
        </w:rPr>
        <w:t> </w:t>
      </w:r>
      <w:r>
        <w:rPr/>
        <w:t>Interest Rate</w:t>
      </w:r>
    </w:p>
    <w:p>
      <w:pPr>
        <w:spacing w:after="0"/>
        <w:sectPr>
          <w:pgSz w:w="12240" w:h="15840"/>
          <w:pgMar w:header="0" w:footer="935" w:top="1380" w:bottom="1200" w:left="940" w:right="940"/>
        </w:sectPr>
      </w:pPr>
    </w:p>
    <w:p>
      <w:pPr>
        <w:pStyle w:val="Heading1"/>
        <w:numPr>
          <w:ilvl w:val="1"/>
          <w:numId w:val="21"/>
        </w:numPr>
        <w:tabs>
          <w:tab w:pos="890" w:val="left" w:leader="none"/>
        </w:tabs>
        <w:spacing w:line="240" w:lineRule="auto" w:before="60" w:after="0"/>
        <w:ind w:left="889" w:right="0" w:hanging="390"/>
        <w:jc w:val="left"/>
      </w:pPr>
      <w:bookmarkStart w:name="_TOC_250029" w:id="31"/>
      <w:r>
        <w:rPr/>
        <w:t>Summary of</w:t>
      </w:r>
      <w:r>
        <w:rPr>
          <w:spacing w:val="-3"/>
        </w:rPr>
        <w:t> </w:t>
      </w:r>
      <w:r>
        <w:rPr/>
        <w:t>Key</w:t>
      </w:r>
      <w:r>
        <w:rPr>
          <w:spacing w:val="1"/>
        </w:rPr>
        <w:t> </w:t>
      </w:r>
      <w:bookmarkEnd w:id="31"/>
      <w:r>
        <w:rPr/>
        <w:t>Issues</w:t>
      </w:r>
    </w:p>
    <w:p>
      <w:pPr>
        <w:pStyle w:val="BodyText"/>
        <w:spacing w:line="360" w:lineRule="auto" w:before="240"/>
        <w:ind w:left="500" w:right="495"/>
        <w:jc w:val="both"/>
      </w:pPr>
      <w:r>
        <w:rPr/>
        <w:t>Preliminary statistical facts describing fiscal-monetary policy interactions and alternative fiscal</w:t>
      </w:r>
      <w:r>
        <w:rPr>
          <w:spacing w:val="1"/>
        </w:rPr>
        <w:t> </w:t>
      </w:r>
      <w:r>
        <w:rPr/>
        <w:t>assumptions have been presented in this chapter. The major issues arising from these facts show</w:t>
      </w:r>
      <w:r>
        <w:rPr>
          <w:spacing w:val="1"/>
        </w:rPr>
        <w:t> </w:t>
      </w:r>
      <w:r>
        <w:rPr/>
        <w:t>that there is preliminary evidence of: (1) positive correlation, that is, complementary interactions</w:t>
      </w:r>
      <w:r>
        <w:rPr>
          <w:spacing w:val="1"/>
        </w:rPr>
        <w:t> </w:t>
      </w:r>
      <w:r>
        <w:rPr/>
        <w:t>between fiscal and monetary policies in Nigeria (2) bi-directional causality between both policies</w:t>
      </w:r>
      <w:r>
        <w:rPr>
          <w:spacing w:val="-57"/>
        </w:rPr>
        <w:t> </w:t>
      </w:r>
      <w:r>
        <w:rPr/>
        <w:t>such that there is proof of ongoing interactions between fiscal and monetary policies. This means</w:t>
      </w:r>
      <w:r>
        <w:rPr>
          <w:spacing w:val="-57"/>
        </w:rPr>
        <w:t> </w:t>
      </w:r>
      <w:r>
        <w:rPr/>
        <w:t>that fiscal (monetary) policy influences the stance and overall macroeconomic effect of monetary</w:t>
      </w:r>
      <w:r>
        <w:rPr>
          <w:spacing w:val="-57"/>
        </w:rPr>
        <w:t> </w:t>
      </w:r>
      <w:r>
        <w:rPr/>
        <w:t>(fiscal) policy (3) positive and significant impact of both macroeconomic policies on output but</w:t>
      </w:r>
      <w:r>
        <w:rPr>
          <w:spacing w:val="1"/>
        </w:rPr>
        <w:t> </w:t>
      </w:r>
      <w:r>
        <w:rPr/>
        <w:t>an insignificant influence on the price level (4) the existence of rent-seeking, discretionary fiscal</w:t>
      </w:r>
      <w:r>
        <w:rPr>
          <w:spacing w:val="1"/>
        </w:rPr>
        <w:t> </w:t>
      </w:r>
      <w:r>
        <w:rPr>
          <w:spacing w:val="-1"/>
        </w:rPr>
        <w:t>policy</w:t>
      </w:r>
      <w:r>
        <w:rPr>
          <w:spacing w:val="-15"/>
        </w:rPr>
        <w:t> </w:t>
      </w:r>
      <w:r>
        <w:rPr>
          <w:spacing w:val="-1"/>
        </w:rPr>
        <w:t>making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weak</w:t>
      </w:r>
      <w:r>
        <w:rPr>
          <w:spacing w:val="-7"/>
        </w:rPr>
        <w:t> </w:t>
      </w:r>
      <w:r>
        <w:rPr/>
        <w:t>policy</w:t>
      </w:r>
      <w:r>
        <w:rPr>
          <w:spacing w:val="-12"/>
        </w:rPr>
        <w:t> </w:t>
      </w:r>
      <w:r>
        <w:rPr/>
        <w:t>coordination.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aforementioned</w:t>
      </w:r>
      <w:r>
        <w:rPr>
          <w:spacing w:val="-9"/>
        </w:rPr>
        <w:t> </w:t>
      </w:r>
      <w:r>
        <w:rPr/>
        <w:t>statistical</w:t>
      </w:r>
      <w:r>
        <w:rPr>
          <w:spacing w:val="-10"/>
        </w:rPr>
        <w:t> </w:t>
      </w:r>
      <w:r>
        <w:rPr/>
        <w:t>facts</w:t>
      </w:r>
      <w:r>
        <w:rPr>
          <w:spacing w:val="-9"/>
        </w:rPr>
        <w:t> </w:t>
      </w:r>
      <w:r>
        <w:rPr/>
        <w:t>are</w:t>
      </w:r>
      <w:r>
        <w:rPr>
          <w:spacing w:val="-12"/>
        </w:rPr>
        <w:t> </w:t>
      </w:r>
      <w:r>
        <w:rPr/>
        <w:t>used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basis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hypothesise and</w:t>
      </w:r>
      <w:r>
        <w:rPr>
          <w:spacing w:val="2"/>
        </w:rPr>
        <w:t> </w:t>
      </w:r>
      <w:r>
        <w:rPr/>
        <w:t>construct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theoretical model in</w:t>
      </w:r>
      <w:r>
        <w:rPr>
          <w:spacing w:val="-1"/>
        </w:rPr>
        <w:t> </w:t>
      </w:r>
      <w:r>
        <w:rPr/>
        <w:t>the next chapter.</w:t>
      </w:r>
    </w:p>
    <w:p>
      <w:pPr>
        <w:spacing w:after="0" w:line="360" w:lineRule="auto"/>
        <w:jc w:val="both"/>
        <w:sectPr>
          <w:pgSz w:w="12240" w:h="15840"/>
          <w:pgMar w:header="0" w:footer="935" w:top="1380" w:bottom="1200" w:left="94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1"/>
        <w:spacing w:line="400" w:lineRule="auto" w:before="89"/>
        <w:ind w:left="4103" w:right="4104" w:firstLine="2"/>
        <w:jc w:val="center"/>
      </w:pPr>
      <w:bookmarkStart w:name="_TOC_250028" w:id="32"/>
      <w:r>
        <w:rPr/>
        <w:t>CHAPTER FOUR</w:t>
      </w:r>
      <w:r>
        <w:rPr>
          <w:spacing w:val="1"/>
        </w:rPr>
        <w:t> </w:t>
      </w:r>
      <w:bookmarkEnd w:id="32"/>
      <w:r>
        <w:rPr>
          <w:w w:val="95"/>
        </w:rPr>
        <w:t>METHODOLOGY</w:t>
      </w:r>
    </w:p>
    <w:p>
      <w:pPr>
        <w:pStyle w:val="BodyText"/>
        <w:spacing w:before="9"/>
        <w:rPr>
          <w:b/>
          <w:sz w:val="39"/>
        </w:rPr>
      </w:pPr>
    </w:p>
    <w:p>
      <w:pPr>
        <w:pStyle w:val="BodyText"/>
        <w:spacing w:line="360" w:lineRule="auto" w:before="1"/>
        <w:ind w:left="500" w:right="495"/>
        <w:jc w:val="both"/>
      </w:pPr>
      <w:r>
        <w:rPr/>
        <w:t>The theoretical base of this study and the estimation strategy to address its primary objectives are</w:t>
      </w:r>
      <w:r>
        <w:rPr>
          <w:spacing w:val="-57"/>
        </w:rPr>
        <w:t> </w:t>
      </w:r>
      <w:r>
        <w:rPr/>
        <w:t>outlined in this chapter. The Chapter has been divided into three Sections. Section 4.1 discusses</w:t>
      </w:r>
      <w:r>
        <w:rPr>
          <w:spacing w:val="1"/>
        </w:rPr>
        <w:t> </w:t>
      </w:r>
      <w:r>
        <w:rPr/>
        <w:t>the theoretical framework used in this thesis. In particular, the framework of the New Keynesian</w:t>
      </w:r>
      <w:r>
        <w:rPr>
          <w:spacing w:val="1"/>
        </w:rPr>
        <w:t> </w:t>
      </w:r>
      <w:r>
        <w:rPr/>
        <w:t>Dynamic Stochastic General Equilibrium model was outlined. Section 4.2 presents the relevant</w:t>
      </w:r>
      <w:r>
        <w:rPr>
          <w:spacing w:val="1"/>
        </w:rPr>
        <w:t> </w:t>
      </w:r>
      <w:r>
        <w:rPr>
          <w:spacing w:val="-1"/>
        </w:rPr>
        <w:t>research</w:t>
      </w:r>
      <w:r>
        <w:rPr>
          <w:spacing w:val="-15"/>
        </w:rPr>
        <w:t> </w:t>
      </w:r>
      <w:r>
        <w:rPr>
          <w:spacing w:val="-1"/>
        </w:rPr>
        <w:t>method.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Section</w:t>
      </w:r>
      <w:r>
        <w:rPr>
          <w:spacing w:val="-14"/>
        </w:rPr>
        <w:t> </w:t>
      </w:r>
      <w:r>
        <w:rPr/>
        <w:t>comprises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model</w:t>
      </w:r>
      <w:r>
        <w:rPr>
          <w:spacing w:val="-10"/>
        </w:rPr>
        <w:t> </w:t>
      </w:r>
      <w:r>
        <w:rPr/>
        <w:t>specification</w:t>
      </w:r>
      <w:r>
        <w:rPr>
          <w:spacing w:val="-11"/>
        </w:rPr>
        <w:t> </w:t>
      </w:r>
      <w:r>
        <w:rPr/>
        <w:t>and</w:t>
      </w:r>
      <w:r>
        <w:rPr>
          <w:spacing w:val="-15"/>
        </w:rPr>
        <w:t> </w:t>
      </w:r>
      <w:r>
        <w:rPr/>
        <w:t>then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applicable</w:t>
      </w:r>
      <w:r>
        <w:rPr>
          <w:spacing w:val="-13"/>
        </w:rPr>
        <w:t> </w:t>
      </w:r>
      <w:r>
        <w:rPr/>
        <w:t>estimation</w:t>
      </w:r>
      <w:r>
        <w:rPr>
          <w:spacing w:val="-57"/>
        </w:rPr>
        <w:t> </w:t>
      </w:r>
      <w:r>
        <w:rPr/>
        <w:t>strategy is stated. Thereafter, the data sources and measurement are listed. In Section 4.3, the</w:t>
      </w:r>
      <w:r>
        <w:rPr>
          <w:spacing w:val="1"/>
        </w:rPr>
        <w:t> </w:t>
      </w:r>
      <w:r>
        <w:rPr/>
        <w:t>method to compute optimal fiscal and monetary</w:t>
      </w:r>
      <w:r>
        <w:rPr>
          <w:spacing w:val="-3"/>
        </w:rPr>
        <w:t> </w:t>
      </w:r>
      <w:r>
        <w:rPr/>
        <w:t>policy</w:t>
      </w:r>
      <w:r>
        <w:rPr>
          <w:spacing w:val="-5"/>
        </w:rPr>
        <w:t> </w:t>
      </w:r>
      <w:r>
        <w:rPr/>
        <w:t>is examined.</w:t>
      </w:r>
    </w:p>
    <w:p>
      <w:pPr>
        <w:pStyle w:val="Heading1"/>
        <w:numPr>
          <w:ilvl w:val="1"/>
          <w:numId w:val="22"/>
        </w:numPr>
        <w:tabs>
          <w:tab w:pos="890" w:val="left" w:leader="none"/>
        </w:tabs>
        <w:spacing w:line="240" w:lineRule="auto" w:before="208" w:after="0"/>
        <w:ind w:left="889" w:right="0" w:hanging="390"/>
        <w:jc w:val="both"/>
      </w:pPr>
      <w:bookmarkStart w:name="_TOC_250027" w:id="33"/>
      <w:r>
        <w:rPr/>
        <w:t>Theoretical</w:t>
      </w:r>
      <w:r>
        <w:rPr>
          <w:spacing w:val="-2"/>
        </w:rPr>
        <w:t> </w:t>
      </w:r>
      <w:bookmarkEnd w:id="33"/>
      <w:r>
        <w:rPr/>
        <w:t>Framework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360" w:lineRule="auto"/>
        <w:ind w:left="500" w:right="501"/>
        <w:jc w:val="both"/>
      </w:pPr>
      <w:r>
        <w:rPr/>
        <w:t>The theoretical base of this work hinges on the New Keynesian School of economic thought. The</w:t>
      </w:r>
      <w:r>
        <w:rPr>
          <w:spacing w:val="-57"/>
        </w:rPr>
        <w:t> </w:t>
      </w:r>
      <w:r>
        <w:rPr/>
        <w:t>model</w:t>
      </w:r>
      <w:r>
        <w:rPr>
          <w:spacing w:val="-1"/>
        </w:rPr>
        <w:t> </w:t>
      </w:r>
      <w:r>
        <w:rPr/>
        <w:t>is first presented and</w:t>
      </w:r>
      <w:r>
        <w:rPr>
          <w:spacing w:val="-1"/>
        </w:rPr>
        <w:t> </w:t>
      </w:r>
      <w:r>
        <w:rPr/>
        <w:t>then, applied in the</w:t>
      </w:r>
      <w:r>
        <w:rPr>
          <w:spacing w:val="-1"/>
        </w:rPr>
        <w:t> </w:t>
      </w:r>
      <w:r>
        <w:rPr/>
        <w:t>context</w:t>
      </w:r>
      <w:r>
        <w:rPr>
          <w:spacing w:val="-1"/>
        </w:rPr>
        <w:t> </w:t>
      </w:r>
      <w:r>
        <w:rPr/>
        <w:t>of this study.</w:t>
      </w:r>
    </w:p>
    <w:p>
      <w:pPr>
        <w:pStyle w:val="Heading1"/>
        <w:numPr>
          <w:ilvl w:val="2"/>
          <w:numId w:val="22"/>
        </w:numPr>
        <w:tabs>
          <w:tab w:pos="1084" w:val="left" w:leader="none"/>
        </w:tabs>
        <w:spacing w:line="240" w:lineRule="auto" w:before="126" w:after="0"/>
        <w:ind w:left="1083" w:right="0" w:hanging="584"/>
        <w:jc w:val="both"/>
      </w:pPr>
      <w:bookmarkStart w:name="_TOC_250026" w:id="34"/>
      <w:r>
        <w:rPr/>
        <w:t>The</w:t>
      </w:r>
      <w:r>
        <w:rPr>
          <w:spacing w:val="-2"/>
        </w:rPr>
        <w:t> </w:t>
      </w:r>
      <w:r>
        <w:rPr/>
        <w:t>New</w:t>
      </w:r>
      <w:r>
        <w:rPr>
          <w:spacing w:val="1"/>
        </w:rPr>
        <w:t> </w:t>
      </w:r>
      <w:r>
        <w:rPr/>
        <w:t>Keynesian</w:t>
      </w:r>
      <w:r>
        <w:rPr>
          <w:spacing w:val="-4"/>
        </w:rPr>
        <w:t> </w:t>
      </w:r>
      <w:bookmarkEnd w:id="34"/>
      <w:r>
        <w:rPr/>
        <w:t>Macro-Economic Model</w:t>
      </w:r>
    </w:p>
    <w:p>
      <w:pPr>
        <w:pStyle w:val="BodyText"/>
        <w:spacing w:line="360" w:lineRule="auto" w:before="144"/>
        <w:ind w:left="500" w:right="495"/>
        <w:jc w:val="both"/>
      </w:pPr>
      <w:r>
        <w:rPr/>
        <w:t>The New Keynesian model is the theoretical underpinning of this study. This school of economic</w:t>
      </w:r>
      <w:r>
        <w:rPr>
          <w:spacing w:val="-57"/>
        </w:rPr>
        <w:t> </w:t>
      </w:r>
      <w:r>
        <w:rPr/>
        <w:t>thought</w:t>
      </w:r>
      <w:r>
        <w:rPr>
          <w:spacing w:val="-9"/>
        </w:rPr>
        <w:t> </w:t>
      </w:r>
      <w:r>
        <w:rPr/>
        <w:t>sprang</w:t>
      </w:r>
      <w:r>
        <w:rPr>
          <w:spacing w:val="-11"/>
        </w:rPr>
        <w:t> </w:t>
      </w:r>
      <w:r>
        <w:rPr/>
        <w:t>up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13"/>
        </w:rPr>
        <w:t> </w:t>
      </w:r>
      <w:r>
        <w:rPr/>
        <w:t>1980s</w:t>
      </w:r>
      <w:r>
        <w:rPr>
          <w:spacing w:val="-8"/>
        </w:rPr>
        <w:t> </w:t>
      </w:r>
      <w:r>
        <w:rPr/>
        <w:t>after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New</w:t>
      </w:r>
      <w:r>
        <w:rPr>
          <w:spacing w:val="-10"/>
        </w:rPr>
        <w:t> </w:t>
      </w:r>
      <w:r>
        <w:rPr/>
        <w:t>Classicals</w:t>
      </w:r>
      <w:r>
        <w:rPr>
          <w:spacing w:val="-8"/>
        </w:rPr>
        <w:t> </w:t>
      </w:r>
      <w:r>
        <w:rPr/>
        <w:t>such</w:t>
      </w:r>
      <w:r>
        <w:rPr>
          <w:spacing w:val="-10"/>
        </w:rPr>
        <w:t> </w:t>
      </w:r>
      <w:r>
        <w:rPr/>
        <w:t>as</w:t>
      </w:r>
      <w:r>
        <w:rPr>
          <w:spacing w:val="-8"/>
        </w:rPr>
        <w:t> </w:t>
      </w:r>
      <w:r>
        <w:rPr/>
        <w:t>Robert</w:t>
      </w:r>
      <w:r>
        <w:rPr>
          <w:spacing w:val="-10"/>
        </w:rPr>
        <w:t> </w:t>
      </w:r>
      <w:r>
        <w:rPr/>
        <w:t>Lucas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Thomas</w:t>
      </w:r>
      <w:r>
        <w:rPr>
          <w:spacing w:val="-8"/>
        </w:rPr>
        <w:t> </w:t>
      </w:r>
      <w:r>
        <w:rPr/>
        <w:t>Sargent</w:t>
      </w:r>
      <w:r>
        <w:rPr>
          <w:spacing w:val="-58"/>
        </w:rPr>
        <w:t> </w:t>
      </w:r>
      <w:r>
        <w:rPr/>
        <w:t>critiqued some existing traditional Keynesian ideas. For example, the Keynesians developed and</w:t>
      </w:r>
      <w:r>
        <w:rPr>
          <w:spacing w:val="1"/>
        </w:rPr>
        <w:t> </w:t>
      </w:r>
      <w:r>
        <w:rPr/>
        <w:t>estimated large scale macro econometric models that could be used to predict and forecast the</w:t>
      </w:r>
      <w:r>
        <w:rPr>
          <w:spacing w:val="1"/>
        </w:rPr>
        <w:t> </w:t>
      </w:r>
      <w:r>
        <w:rPr/>
        <w:t>impact of policy. Critics like Robert Lucas believed that the specified model lacked a theoretical</w:t>
      </w:r>
      <w:r>
        <w:rPr>
          <w:spacing w:val="1"/>
        </w:rPr>
        <w:t> </w:t>
      </w:r>
      <w:r>
        <w:rPr>
          <w:spacing w:val="-1"/>
        </w:rPr>
        <w:t>foundation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that</w:t>
      </w:r>
      <w:r>
        <w:rPr>
          <w:spacing w:val="-10"/>
        </w:rPr>
        <w:t> </w:t>
      </w:r>
      <w:r>
        <w:rPr/>
        <w:t>estimated</w:t>
      </w:r>
      <w:r>
        <w:rPr>
          <w:spacing w:val="-10"/>
        </w:rPr>
        <w:t> </w:t>
      </w:r>
      <w:r>
        <w:rPr/>
        <w:t>parameters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such</w:t>
      </w:r>
      <w:r>
        <w:rPr>
          <w:spacing w:val="-8"/>
        </w:rPr>
        <w:t> </w:t>
      </w:r>
      <w:r>
        <w:rPr/>
        <w:t>models</w:t>
      </w:r>
      <w:r>
        <w:rPr>
          <w:spacing w:val="-10"/>
        </w:rPr>
        <w:t> </w:t>
      </w:r>
      <w:r>
        <w:rPr/>
        <w:t>will</w:t>
      </w:r>
      <w:r>
        <w:rPr>
          <w:spacing w:val="-8"/>
        </w:rPr>
        <w:t> </w:t>
      </w:r>
      <w:r>
        <w:rPr/>
        <w:t>vary</w:t>
      </w:r>
      <w:r>
        <w:rPr>
          <w:spacing w:val="-15"/>
        </w:rPr>
        <w:t> </w:t>
      </w:r>
      <w:r>
        <w:rPr/>
        <w:t>in</w:t>
      </w:r>
      <w:r>
        <w:rPr>
          <w:spacing w:val="-10"/>
        </w:rPr>
        <w:t> </w:t>
      </w:r>
      <w:r>
        <w:rPr/>
        <w:t>response</w:t>
      </w:r>
      <w:r>
        <w:rPr>
          <w:spacing w:val="-11"/>
        </w:rPr>
        <w:t> </w:t>
      </w:r>
      <w:r>
        <w:rPr/>
        <w:t>to</w:t>
      </w:r>
      <w:r>
        <w:rPr>
          <w:spacing w:val="-9"/>
        </w:rPr>
        <w:t> </w:t>
      </w:r>
      <w:r>
        <w:rPr/>
        <w:t>changes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policy</w:t>
      </w:r>
      <w:r>
        <w:rPr>
          <w:spacing w:val="-57"/>
        </w:rPr>
        <w:t> </w:t>
      </w:r>
      <w:r>
        <w:rPr/>
        <w:t>intervention.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recommendation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time-inconsistent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regarded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potential</w:t>
      </w:r>
      <w:r>
        <w:rPr>
          <w:spacing w:val="-6"/>
        </w:rPr>
        <w:t> </w:t>
      </w:r>
      <w:r>
        <w:rPr/>
        <w:t>drawback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policy</w:t>
      </w:r>
      <w:r>
        <w:rPr>
          <w:spacing w:val="-9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forecast.</w:t>
      </w:r>
      <w:r>
        <w:rPr>
          <w:spacing w:val="-3"/>
        </w:rPr>
        <w:t> </w:t>
      </w:r>
      <w:r>
        <w:rPr/>
        <w:t>Lucas</w:t>
      </w:r>
      <w:r>
        <w:rPr>
          <w:spacing w:val="-6"/>
        </w:rPr>
        <w:t> </w:t>
      </w:r>
      <w:r>
        <w:rPr/>
        <w:t>argued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formulation</w:t>
      </w:r>
      <w:r>
        <w:rPr>
          <w:spacing w:val="-58"/>
        </w:rPr>
        <w:t> </w:t>
      </w:r>
      <w:r>
        <w:rPr/>
        <w:t>of</w:t>
      </w:r>
      <w:r>
        <w:rPr>
          <w:spacing w:val="-8"/>
        </w:rPr>
        <w:t> </w:t>
      </w:r>
      <w:r>
        <w:rPr/>
        <w:t>structural</w:t>
      </w:r>
      <w:r>
        <w:rPr>
          <w:spacing w:val="-7"/>
        </w:rPr>
        <w:t> </w:t>
      </w:r>
      <w:r>
        <w:rPr/>
        <w:t>econometric</w:t>
      </w:r>
      <w:r>
        <w:rPr>
          <w:spacing w:val="-6"/>
        </w:rPr>
        <w:t> </w:t>
      </w:r>
      <w:r>
        <w:rPr/>
        <w:t>models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strong</w:t>
      </w:r>
      <w:r>
        <w:rPr>
          <w:spacing w:val="-10"/>
        </w:rPr>
        <w:t> </w:t>
      </w:r>
      <w:r>
        <w:rPr/>
        <w:t>theoretical</w:t>
      </w:r>
      <w:r>
        <w:rPr>
          <w:spacing w:val="-7"/>
        </w:rPr>
        <w:t> </w:t>
      </w:r>
      <w:r>
        <w:rPr/>
        <w:t>underpinning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micro</w:t>
      </w:r>
      <w:r>
        <w:rPr>
          <w:spacing w:val="-8"/>
        </w:rPr>
        <w:t> </w:t>
      </w:r>
      <w:r>
        <w:rPr/>
        <w:t>foundation</w:t>
      </w:r>
      <w:r>
        <w:rPr>
          <w:spacing w:val="-8"/>
        </w:rPr>
        <w:t> </w:t>
      </w:r>
      <w:r>
        <w:rPr/>
        <w:t>that</w:t>
      </w:r>
      <w:r>
        <w:rPr>
          <w:spacing w:val="-58"/>
        </w:rPr>
        <w:t> </w:t>
      </w:r>
      <w:r>
        <w:rPr/>
        <w:t>captures</w:t>
      </w:r>
      <w:r>
        <w:rPr>
          <w:spacing w:val="41"/>
        </w:rPr>
        <w:t> </w:t>
      </w:r>
      <w:r>
        <w:rPr/>
        <w:t>an</w:t>
      </w:r>
      <w:r>
        <w:rPr>
          <w:spacing w:val="43"/>
        </w:rPr>
        <w:t> </w:t>
      </w:r>
      <w:r>
        <w:rPr/>
        <w:t>economy’s</w:t>
      </w:r>
      <w:r>
        <w:rPr>
          <w:spacing w:val="42"/>
        </w:rPr>
        <w:t> </w:t>
      </w:r>
      <w:r>
        <w:rPr/>
        <w:t>structure.</w:t>
      </w:r>
      <w:r>
        <w:rPr>
          <w:spacing w:val="40"/>
        </w:rPr>
        <w:t> </w:t>
      </w:r>
      <w:r>
        <w:rPr/>
        <w:t>This</w:t>
      </w:r>
      <w:r>
        <w:rPr>
          <w:spacing w:val="42"/>
        </w:rPr>
        <w:t> </w:t>
      </w:r>
      <w:r>
        <w:rPr/>
        <w:t>requires</w:t>
      </w:r>
      <w:r>
        <w:rPr>
          <w:spacing w:val="43"/>
        </w:rPr>
        <w:t> </w:t>
      </w:r>
      <w:r>
        <w:rPr/>
        <w:t>developing</w:t>
      </w:r>
      <w:r>
        <w:rPr>
          <w:spacing w:val="38"/>
        </w:rPr>
        <w:t> </w:t>
      </w:r>
      <w:r>
        <w:rPr/>
        <w:t>models</w:t>
      </w:r>
      <w:r>
        <w:rPr>
          <w:spacing w:val="41"/>
        </w:rPr>
        <w:t> </w:t>
      </w:r>
      <w:r>
        <w:rPr/>
        <w:t>that</w:t>
      </w:r>
      <w:r>
        <w:rPr>
          <w:spacing w:val="43"/>
        </w:rPr>
        <w:t> </w:t>
      </w:r>
      <w:r>
        <w:rPr/>
        <w:t>captures</w:t>
      </w:r>
      <w:r>
        <w:rPr>
          <w:spacing w:val="42"/>
        </w:rPr>
        <w:t> </w:t>
      </w:r>
      <w:r>
        <w:rPr/>
        <w:t>the</w:t>
      </w:r>
      <w:r>
        <w:rPr>
          <w:spacing w:val="40"/>
        </w:rPr>
        <w:t> </w:t>
      </w:r>
      <w:r>
        <w:rPr/>
        <w:t>forward-</w:t>
      </w:r>
    </w:p>
    <w:p>
      <w:pPr>
        <w:spacing w:after="0" w:line="360" w:lineRule="auto"/>
        <w:jc w:val="both"/>
        <w:sectPr>
          <w:pgSz w:w="12240" w:h="15840"/>
          <w:pgMar w:header="0" w:footer="935" w:top="1500" w:bottom="1200" w:left="940" w:right="940"/>
        </w:sectPr>
      </w:pPr>
    </w:p>
    <w:p>
      <w:pPr>
        <w:pStyle w:val="BodyText"/>
        <w:spacing w:line="360" w:lineRule="auto" w:before="74"/>
        <w:ind w:left="500" w:right="502"/>
        <w:jc w:val="both"/>
      </w:pPr>
      <w:r>
        <w:rPr/>
        <w:t>looking and optimising behaviour of economic agents in macroeconomic models to be used for</w:t>
      </w:r>
      <w:r>
        <w:rPr>
          <w:spacing w:val="1"/>
        </w:rPr>
        <w:t> </w:t>
      </w:r>
      <w:r>
        <w:rPr/>
        <w:t>policy</w:t>
      </w:r>
      <w:r>
        <w:rPr>
          <w:spacing w:val="-6"/>
        </w:rPr>
        <w:t> </w:t>
      </w:r>
      <w:r>
        <w:rPr/>
        <w:t>analysis.</w:t>
      </w:r>
    </w:p>
    <w:p>
      <w:pPr>
        <w:pStyle w:val="BodyText"/>
        <w:spacing w:line="360" w:lineRule="auto" w:before="1"/>
        <w:ind w:left="500" w:right="495"/>
        <w:jc w:val="both"/>
      </w:pPr>
      <w:r>
        <w:rPr/>
        <w:t>The work of Mankiw and Romer (1991) is regarded as one of the major contributions to the New</w:t>
      </w:r>
      <w:r>
        <w:rPr>
          <w:spacing w:val="-57"/>
        </w:rPr>
        <w:t> </w:t>
      </w:r>
      <w:r>
        <w:rPr/>
        <w:t>Keynesian</w:t>
      </w:r>
      <w:r>
        <w:rPr>
          <w:spacing w:val="-4"/>
        </w:rPr>
        <w:t> </w:t>
      </w:r>
      <w:r>
        <w:rPr/>
        <w:t>School.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school</w:t>
      </w:r>
      <w:r>
        <w:rPr>
          <w:spacing w:val="-3"/>
        </w:rPr>
        <w:t> </w:t>
      </w:r>
      <w:r>
        <w:rPr/>
        <w:t>maintains</w:t>
      </w:r>
      <w:r>
        <w:rPr>
          <w:spacing w:val="-4"/>
        </w:rPr>
        <w:t> </w:t>
      </w:r>
      <w:r>
        <w:rPr/>
        <w:t>traditional</w:t>
      </w:r>
      <w:r>
        <w:rPr>
          <w:spacing w:val="-4"/>
        </w:rPr>
        <w:t> </w:t>
      </w:r>
      <w:r>
        <w:rPr/>
        <w:t>Keynesian</w:t>
      </w:r>
      <w:r>
        <w:rPr>
          <w:spacing w:val="-4"/>
        </w:rPr>
        <w:t> </w:t>
      </w:r>
      <w:r>
        <w:rPr/>
        <w:t>ideas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include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existence</w:t>
      </w:r>
      <w:r>
        <w:rPr>
          <w:spacing w:val="-4"/>
        </w:rPr>
        <w:t> </w:t>
      </w:r>
      <w:r>
        <w:rPr/>
        <w:t>of</w:t>
      </w:r>
      <w:r>
        <w:rPr>
          <w:spacing w:val="-58"/>
        </w:rPr>
        <w:t> </w:t>
      </w:r>
      <w:r>
        <w:rPr/>
        <w:t>imperfect</w:t>
      </w:r>
      <w:r>
        <w:rPr>
          <w:spacing w:val="-6"/>
        </w:rPr>
        <w:t> </w:t>
      </w:r>
      <w:r>
        <w:rPr/>
        <w:t>competition</w:t>
      </w:r>
      <w:r>
        <w:rPr>
          <w:spacing w:val="-6"/>
        </w:rPr>
        <w:t> </w:t>
      </w:r>
      <w:r>
        <w:rPr/>
        <w:t>among</w:t>
      </w:r>
      <w:r>
        <w:rPr>
          <w:spacing w:val="-8"/>
        </w:rPr>
        <w:t> </w:t>
      </w:r>
      <w:r>
        <w:rPr/>
        <w:t>firms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notion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sticky</w:t>
      </w:r>
      <w:r>
        <w:rPr>
          <w:spacing w:val="-11"/>
        </w:rPr>
        <w:t> </w:t>
      </w:r>
      <w:r>
        <w:rPr/>
        <w:t>prices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wages.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implications</w:t>
      </w:r>
      <w:r>
        <w:rPr>
          <w:spacing w:val="-6"/>
        </w:rPr>
        <w:t> </w:t>
      </w:r>
      <w:r>
        <w:rPr/>
        <w:t>of</w:t>
      </w:r>
      <w:r>
        <w:rPr>
          <w:spacing w:val="-58"/>
        </w:rPr>
        <w:t> </w:t>
      </w:r>
      <w:r>
        <w:rPr/>
        <w:t>these</w:t>
      </w:r>
      <w:r>
        <w:rPr>
          <w:spacing w:val="-5"/>
        </w:rPr>
        <w:t> </w:t>
      </w:r>
      <w:r>
        <w:rPr/>
        <w:t>assumptions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there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frictions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prevent</w:t>
      </w:r>
      <w:r>
        <w:rPr>
          <w:spacing w:val="-3"/>
        </w:rPr>
        <w:t> </w:t>
      </w:r>
      <w:r>
        <w:rPr/>
        <w:t>prices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wages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adjusting</w:t>
      </w:r>
      <w:r>
        <w:rPr>
          <w:spacing w:val="-8"/>
        </w:rPr>
        <w:t> </w:t>
      </w:r>
      <w:r>
        <w:rPr/>
        <w:t>quickly</w:t>
      </w:r>
      <w:r>
        <w:rPr>
          <w:spacing w:val="-58"/>
        </w:rPr>
        <w:t> </w:t>
      </w:r>
      <w:r>
        <w:rPr/>
        <w:t>to shocks and market failures are possible. This necessitates the intervention of government</w:t>
      </w:r>
      <w:r>
        <w:rPr>
          <w:spacing w:val="1"/>
        </w:rPr>
        <w:t> </w:t>
      </w:r>
      <w:r>
        <w:rPr>
          <w:spacing w:val="-1"/>
        </w:rPr>
        <w:t>through</w:t>
      </w:r>
      <w:r>
        <w:rPr>
          <w:spacing w:val="-12"/>
        </w:rPr>
        <w:t> </w:t>
      </w:r>
      <w:r>
        <w:rPr>
          <w:spacing w:val="-1"/>
        </w:rPr>
        <w:t>stabilisation</w:t>
      </w:r>
      <w:r>
        <w:rPr>
          <w:spacing w:val="-11"/>
        </w:rPr>
        <w:t> </w:t>
      </w:r>
      <w:r>
        <w:rPr/>
        <w:t>policies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adjust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price</w:t>
      </w:r>
      <w:r>
        <w:rPr>
          <w:spacing w:val="-12"/>
        </w:rPr>
        <w:t> </w:t>
      </w:r>
      <w:r>
        <w:rPr/>
        <w:t>mechanism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return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economy</w:t>
      </w:r>
      <w:r>
        <w:rPr>
          <w:spacing w:val="-16"/>
        </w:rPr>
        <w:t> </w:t>
      </w:r>
      <w:r>
        <w:rPr/>
        <w:t>to</w:t>
      </w:r>
      <w:r>
        <w:rPr>
          <w:spacing w:val="-11"/>
        </w:rPr>
        <w:t> </w:t>
      </w:r>
      <w:r>
        <w:rPr/>
        <w:t>equilibrium.</w:t>
      </w:r>
      <w:r>
        <w:rPr>
          <w:spacing w:val="-58"/>
        </w:rPr>
        <w:t> </w:t>
      </w:r>
      <w:r>
        <w:rPr/>
        <w:t>The Keynesian also advise the use of stabilisation policies because monetary policy has non-</w:t>
      </w:r>
      <w:r>
        <w:rPr>
          <w:spacing w:val="1"/>
        </w:rPr>
        <w:t> </w:t>
      </w:r>
      <w:r>
        <w:rPr/>
        <w:t>neutral</w:t>
      </w:r>
      <w:r>
        <w:rPr>
          <w:spacing w:val="-1"/>
        </w:rPr>
        <w:t> </w:t>
      </w:r>
      <w:r>
        <w:rPr/>
        <w:t>effects on the</w:t>
      </w:r>
      <w:r>
        <w:rPr>
          <w:spacing w:val="1"/>
        </w:rPr>
        <w:t> </w:t>
      </w:r>
      <w:r>
        <w:rPr/>
        <w:t>economy.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500" w:right="499"/>
        <w:jc w:val="both"/>
      </w:pPr>
      <w:r>
        <w:rPr/>
        <w:t>Based on the Lucas critique, the New Keynesian School adopts the micro foundation of the Real</w:t>
      </w:r>
      <w:r>
        <w:rPr>
          <w:spacing w:val="1"/>
        </w:rPr>
        <w:t> </w:t>
      </w:r>
      <w:r>
        <w:rPr/>
        <w:t>Business cycle (RBC) model as expounded by the New Classical, in explaining the existing</w:t>
      </w:r>
      <w:r>
        <w:rPr>
          <w:spacing w:val="1"/>
        </w:rPr>
        <w:t> </w:t>
      </w:r>
      <w:r>
        <w:rPr/>
        <w:t>macroeconomic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Keynesians.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borrow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rational</w:t>
      </w:r>
      <w:r>
        <w:rPr>
          <w:spacing w:val="-57"/>
        </w:rPr>
        <w:t> </w:t>
      </w:r>
      <w:r>
        <w:rPr/>
        <w:t>expectation school which assume forward looking households and firms who make decisions</w:t>
      </w:r>
      <w:r>
        <w:rPr>
          <w:spacing w:val="1"/>
        </w:rPr>
        <w:t> </w:t>
      </w:r>
      <w:r>
        <w:rPr/>
        <w:t>based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expectation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future.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culminates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methodological</w:t>
      </w:r>
      <w:r>
        <w:rPr>
          <w:spacing w:val="-3"/>
        </w:rPr>
        <w:t> </w:t>
      </w:r>
      <w:r>
        <w:rPr/>
        <w:t>framework</w:t>
      </w:r>
      <w:r>
        <w:rPr>
          <w:spacing w:val="-7"/>
        </w:rPr>
        <w:t> </w:t>
      </w:r>
      <w:r>
        <w:rPr/>
        <w:t>introduced</w:t>
      </w:r>
      <w:r>
        <w:rPr>
          <w:spacing w:val="-58"/>
        </w:rPr>
        <w:t> </w:t>
      </w:r>
      <w:r>
        <w:rPr/>
        <w:t>by</w:t>
      </w:r>
      <w:r>
        <w:rPr>
          <w:spacing w:val="-6"/>
        </w:rPr>
        <w:t> </w:t>
      </w:r>
      <w:r>
        <w:rPr/>
        <w:t>the New Classical: the dynamic</w:t>
      </w:r>
      <w:r>
        <w:rPr>
          <w:spacing w:val="1"/>
        </w:rPr>
        <w:t> </w:t>
      </w:r>
      <w:r>
        <w:rPr/>
        <w:t>general equilibrium method (DGE).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500" w:right="498"/>
        <w:jc w:val="both"/>
      </w:pPr>
      <w:r>
        <w:rPr/>
        <w:t>The New Keynesian Dynamic General Equilibrium Models recognise the forward looking and</w:t>
      </w:r>
      <w:r>
        <w:rPr>
          <w:spacing w:val="1"/>
        </w:rPr>
        <w:t> </w:t>
      </w:r>
      <w:r>
        <w:rPr>
          <w:spacing w:val="-1"/>
        </w:rPr>
        <w:t>optimising</w:t>
      </w:r>
      <w:r>
        <w:rPr>
          <w:spacing w:val="-10"/>
        </w:rPr>
        <w:t> </w:t>
      </w:r>
      <w:r>
        <w:rPr>
          <w:spacing w:val="-1"/>
        </w:rPr>
        <w:t>behaviour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economic</w:t>
      </w:r>
      <w:r>
        <w:rPr>
          <w:spacing w:val="-8"/>
        </w:rPr>
        <w:t> </w:t>
      </w:r>
      <w:r>
        <w:rPr/>
        <w:t>agent.</w:t>
      </w:r>
      <w:r>
        <w:rPr>
          <w:spacing w:val="-7"/>
        </w:rPr>
        <w:t> </w:t>
      </w:r>
      <w:r>
        <w:rPr/>
        <w:t>They</w:t>
      </w:r>
      <w:r>
        <w:rPr>
          <w:spacing w:val="-14"/>
        </w:rPr>
        <w:t> </w:t>
      </w:r>
      <w:r>
        <w:rPr/>
        <w:t>deviate</w:t>
      </w:r>
      <w:r>
        <w:rPr>
          <w:spacing w:val="-8"/>
        </w:rPr>
        <w:t> </w:t>
      </w:r>
      <w:r>
        <w:rPr/>
        <w:t>from</w:t>
      </w:r>
      <w:r>
        <w:rPr>
          <w:spacing w:val="-6"/>
        </w:rPr>
        <w:t> </w:t>
      </w:r>
      <w:r>
        <w:rPr/>
        <w:t>traditional</w:t>
      </w:r>
      <w:r>
        <w:rPr>
          <w:spacing w:val="-8"/>
        </w:rPr>
        <w:t> </w:t>
      </w:r>
      <w:r>
        <w:rPr/>
        <w:t>assumptions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frictionless</w:t>
      </w:r>
      <w:r>
        <w:rPr>
          <w:spacing w:val="-58"/>
        </w:rPr>
        <w:t> </w:t>
      </w:r>
      <w:r>
        <w:rPr/>
        <w:t>markets,</w:t>
      </w:r>
      <w:r>
        <w:rPr>
          <w:spacing w:val="-6"/>
        </w:rPr>
        <w:t> </w:t>
      </w:r>
      <w:r>
        <w:rPr/>
        <w:t>flexible</w:t>
      </w:r>
      <w:r>
        <w:rPr>
          <w:spacing w:val="-7"/>
        </w:rPr>
        <w:t> </w:t>
      </w:r>
      <w:r>
        <w:rPr/>
        <w:t>prices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neutrality</w:t>
      </w:r>
      <w:r>
        <w:rPr>
          <w:spacing w:val="-11"/>
        </w:rPr>
        <w:t> </w:t>
      </w:r>
      <w:r>
        <w:rPr/>
        <w:t>of</w:t>
      </w:r>
      <w:r>
        <w:rPr>
          <w:spacing w:val="-7"/>
        </w:rPr>
        <w:t> </w:t>
      </w:r>
      <w:r>
        <w:rPr/>
        <w:t>money.</w:t>
      </w:r>
      <w:r>
        <w:rPr>
          <w:spacing w:val="-6"/>
        </w:rPr>
        <w:t> </w:t>
      </w:r>
      <w:r>
        <w:rPr/>
        <w:t>They</w:t>
      </w:r>
      <w:r>
        <w:rPr>
          <w:spacing w:val="-11"/>
        </w:rPr>
        <w:t> </w:t>
      </w:r>
      <w:r>
        <w:rPr/>
        <w:t>recognise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existence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real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nominal</w:t>
      </w:r>
      <w:r>
        <w:rPr>
          <w:spacing w:val="-58"/>
        </w:rPr>
        <w:t> </w:t>
      </w:r>
      <w:r>
        <w:rPr/>
        <w:t>shocks, non-trivial effect of monetary policy, monopolistic competition and nominal rigidity. In</w:t>
      </w:r>
      <w:r>
        <w:rPr>
          <w:spacing w:val="1"/>
        </w:rPr>
        <w:t> </w:t>
      </w:r>
      <w:r>
        <w:rPr/>
        <w:t>the canonical model, there are 3 economic agents: the household, firms and central banks. The</w:t>
      </w:r>
      <w:r>
        <w:rPr>
          <w:spacing w:val="1"/>
        </w:rPr>
        <w:t> </w:t>
      </w:r>
      <w:r>
        <w:rPr/>
        <w:t>household purchases goods, holds money and bonds, supplies labour to the firms and maximises</w:t>
      </w:r>
      <w:r>
        <w:rPr>
          <w:spacing w:val="1"/>
        </w:rPr>
        <w:t> </w:t>
      </w:r>
      <w:r>
        <w:rPr/>
        <w:t>its expected present value of utility. There are two types of firms: intermediate and final goods</w:t>
      </w:r>
      <w:r>
        <w:rPr>
          <w:spacing w:val="1"/>
        </w:rPr>
        <w:t> </w:t>
      </w:r>
      <w:r>
        <w:rPr/>
        <w:t>producers. The firms</w:t>
      </w:r>
      <w:r>
        <w:rPr>
          <w:spacing w:val="1"/>
        </w:rPr>
        <w:t> </w:t>
      </w:r>
      <w:r>
        <w:rPr/>
        <w:t>produce differentiated products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monopolistic competition</w:t>
      </w:r>
      <w:r>
        <w:rPr>
          <w:spacing w:val="1"/>
        </w:rPr>
        <w:t> </w:t>
      </w:r>
      <w:r>
        <w:rPr/>
        <w:t>while the</w:t>
      </w:r>
      <w:r>
        <w:rPr>
          <w:spacing w:val="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Bank sets the</w:t>
      </w:r>
      <w:r>
        <w:rPr>
          <w:spacing w:val="-1"/>
        </w:rPr>
        <w:t> </w:t>
      </w:r>
      <w:r>
        <w:rPr/>
        <w:t>nominal interest rate using</w:t>
      </w:r>
      <w:r>
        <w:rPr>
          <w:spacing w:val="-1"/>
        </w:rPr>
        <w:t> </w:t>
      </w:r>
      <w:r>
        <w:rPr/>
        <w:t>Taylor-type</w:t>
      </w:r>
      <w:r>
        <w:rPr>
          <w:spacing w:val="-2"/>
        </w:rPr>
        <w:t> </w:t>
      </w:r>
      <w:r>
        <w:rPr/>
        <w:t>rules.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500" w:right="500"/>
        <w:jc w:val="both"/>
      </w:pPr>
      <w:r>
        <w:rPr/>
        <w:t>The New Keynesian Dynamic Stochastic General Equilibrium (DSGE) model has been adopted</w:t>
      </w:r>
      <w:r>
        <w:rPr>
          <w:spacing w:val="1"/>
        </w:rPr>
        <w:t> </w:t>
      </w:r>
      <w:r>
        <w:rPr/>
        <w:t>for this study and is most appropriate to examine fiscal and monetary policy interactions since it</w:t>
      </w:r>
      <w:r>
        <w:rPr>
          <w:spacing w:val="1"/>
        </w:rPr>
        <w:t> </w:t>
      </w:r>
      <w:r>
        <w:rPr/>
        <w:t>is</w:t>
      </w:r>
      <w:r>
        <w:rPr>
          <w:spacing w:val="-6"/>
        </w:rPr>
        <w:t> </w:t>
      </w:r>
      <w:r>
        <w:rPr/>
        <w:t>regarded</w:t>
      </w:r>
      <w:r>
        <w:rPr>
          <w:spacing w:val="-3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workhorse</w:t>
      </w:r>
      <w:r>
        <w:rPr>
          <w:spacing w:val="-7"/>
        </w:rPr>
        <w:t> </w:t>
      </w:r>
      <w:r>
        <w:rPr/>
        <w:t>for</w:t>
      </w:r>
      <w:r>
        <w:rPr>
          <w:spacing w:val="-5"/>
        </w:rPr>
        <w:t> </w:t>
      </w:r>
      <w:r>
        <w:rPr/>
        <w:t>macroeconomic</w:t>
      </w:r>
      <w:r>
        <w:rPr>
          <w:spacing w:val="-6"/>
        </w:rPr>
        <w:t> </w:t>
      </w:r>
      <w:r>
        <w:rPr/>
        <w:t>policy</w:t>
      </w:r>
      <w:r>
        <w:rPr>
          <w:spacing w:val="-9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and</w:t>
      </w:r>
      <w:r>
        <w:rPr>
          <w:spacing w:val="-6"/>
        </w:rPr>
        <w:t> </w:t>
      </w:r>
      <w:r>
        <w:rPr/>
        <w:t>has</w:t>
      </w:r>
      <w:r>
        <w:rPr>
          <w:spacing w:val="-3"/>
        </w:rPr>
        <w:t> </w:t>
      </w:r>
      <w:r>
        <w:rPr/>
        <w:t>been</w:t>
      </w:r>
      <w:r>
        <w:rPr>
          <w:spacing w:val="-3"/>
        </w:rPr>
        <w:t> </w:t>
      </w:r>
      <w:r>
        <w:rPr/>
        <w:t>used</w:t>
      </w:r>
      <w:r>
        <w:rPr>
          <w:spacing w:val="-6"/>
        </w:rPr>
        <w:t> </w:t>
      </w:r>
      <w:r>
        <w:rPr/>
        <w:t>by</w:t>
      </w:r>
      <w:r>
        <w:rPr>
          <w:spacing w:val="-8"/>
        </w:rPr>
        <w:t> </w:t>
      </w:r>
      <w:r>
        <w:rPr/>
        <w:t>central</w:t>
      </w:r>
      <w:r>
        <w:rPr>
          <w:spacing w:val="-6"/>
        </w:rPr>
        <w:t> </w:t>
      </w:r>
      <w:r>
        <w:rPr/>
        <w:t>banks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line="360" w:lineRule="auto" w:before="74"/>
        <w:ind w:left="500" w:right="498"/>
        <w:jc w:val="both"/>
      </w:pPr>
      <w:r>
        <w:rPr/>
        <w:t>around the world for such purpose. Secondly, the model recognises a role for fiscal and monetary</w:t>
      </w:r>
      <w:r>
        <w:rPr>
          <w:spacing w:val="-57"/>
        </w:rPr>
        <w:t> </w:t>
      </w:r>
      <w:r>
        <w:rPr>
          <w:spacing w:val="-1"/>
        </w:rPr>
        <w:t>policy</w:t>
      </w:r>
      <w:r>
        <w:rPr>
          <w:spacing w:val="-20"/>
        </w:rPr>
        <w:t> </w:t>
      </w:r>
      <w:r>
        <w:rPr/>
        <w:t>in</w:t>
      </w:r>
      <w:r>
        <w:rPr>
          <w:spacing w:val="-14"/>
        </w:rPr>
        <w:t> </w:t>
      </w:r>
      <w:r>
        <w:rPr/>
        <w:t>stabilising</w:t>
      </w:r>
      <w:r>
        <w:rPr>
          <w:spacing w:val="-17"/>
        </w:rPr>
        <w:t> </w:t>
      </w:r>
      <w:r>
        <w:rPr/>
        <w:t>the</w:t>
      </w:r>
      <w:r>
        <w:rPr>
          <w:spacing w:val="-15"/>
        </w:rPr>
        <w:t> </w:t>
      </w:r>
      <w:r>
        <w:rPr/>
        <w:t>economy</w:t>
      </w:r>
      <w:r>
        <w:rPr>
          <w:spacing w:val="-20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face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shocks.</w:t>
      </w:r>
      <w:r>
        <w:rPr>
          <w:spacing w:val="-14"/>
        </w:rPr>
        <w:t> </w:t>
      </w:r>
      <w:r>
        <w:rPr/>
        <w:t>Thirdly,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DSGE</w:t>
      </w:r>
      <w:r>
        <w:rPr>
          <w:spacing w:val="-15"/>
        </w:rPr>
        <w:t> </w:t>
      </w:r>
      <w:r>
        <w:rPr/>
        <w:t>model</w:t>
      </w:r>
      <w:r>
        <w:rPr>
          <w:spacing w:val="-14"/>
        </w:rPr>
        <w:t> </w:t>
      </w:r>
      <w:r>
        <w:rPr/>
        <w:t>provides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natural</w:t>
      </w:r>
      <w:r>
        <w:rPr>
          <w:spacing w:val="-57"/>
        </w:rPr>
        <w:t> </w:t>
      </w:r>
      <w:r>
        <w:rPr>
          <w:spacing w:val="-1"/>
        </w:rPr>
        <w:t>setting</w:t>
      </w:r>
      <w:r>
        <w:rPr>
          <w:spacing w:val="-17"/>
        </w:rPr>
        <w:t> </w:t>
      </w:r>
      <w:r>
        <w:rPr/>
        <w:t>to</w:t>
      </w:r>
      <w:r>
        <w:rPr>
          <w:spacing w:val="-14"/>
        </w:rPr>
        <w:t> </w:t>
      </w:r>
      <w:r>
        <w:rPr/>
        <w:t>examine</w:t>
      </w:r>
      <w:r>
        <w:rPr>
          <w:spacing w:val="-16"/>
        </w:rPr>
        <w:t> </w:t>
      </w:r>
      <w:r>
        <w:rPr/>
        <w:t>policy</w:t>
      </w:r>
      <w:r>
        <w:rPr>
          <w:spacing w:val="-20"/>
        </w:rPr>
        <w:t> </w:t>
      </w:r>
      <w:r>
        <w:rPr/>
        <w:t>interactions</w:t>
      </w:r>
      <w:r>
        <w:rPr>
          <w:spacing w:val="-14"/>
        </w:rPr>
        <w:t> </w:t>
      </w:r>
      <w:r>
        <w:rPr/>
        <w:t>since</w:t>
      </w:r>
      <w:r>
        <w:rPr>
          <w:spacing w:val="-16"/>
        </w:rPr>
        <w:t> </w:t>
      </w:r>
      <w:r>
        <w:rPr/>
        <w:t>it</w:t>
      </w:r>
      <w:r>
        <w:rPr>
          <w:spacing w:val="-14"/>
        </w:rPr>
        <w:t> </w:t>
      </w:r>
      <w:r>
        <w:rPr/>
        <w:t>assumes</w:t>
      </w:r>
      <w:r>
        <w:rPr>
          <w:spacing w:val="-15"/>
        </w:rPr>
        <w:t> </w:t>
      </w:r>
      <w:r>
        <w:rPr/>
        <w:t>existing</w:t>
      </w:r>
      <w:r>
        <w:rPr>
          <w:spacing w:val="-16"/>
        </w:rPr>
        <w:t> </w:t>
      </w:r>
      <w:r>
        <w:rPr/>
        <w:t>interdependencies</w:t>
      </w:r>
      <w:r>
        <w:rPr>
          <w:spacing w:val="-15"/>
        </w:rPr>
        <w:t> </w:t>
      </w:r>
      <w:r>
        <w:rPr/>
        <w:t>among</w:t>
      </w:r>
      <w:r>
        <w:rPr>
          <w:spacing w:val="-17"/>
        </w:rPr>
        <w:t> </w:t>
      </w:r>
      <w:r>
        <w:rPr/>
        <w:t>economic</w:t>
      </w:r>
      <w:r>
        <w:rPr>
          <w:spacing w:val="-57"/>
        </w:rPr>
        <w:t> </w:t>
      </w:r>
      <w:r>
        <w:rPr/>
        <w:t>agents</w:t>
      </w:r>
      <w:r>
        <w:rPr>
          <w:spacing w:val="-1"/>
        </w:rPr>
        <w:t> </w:t>
      </w:r>
      <w:r>
        <w:rPr/>
        <w:t>in the different sectors.</w:t>
      </w:r>
    </w:p>
    <w:p>
      <w:pPr>
        <w:pStyle w:val="BodyText"/>
        <w:rPr>
          <w:sz w:val="26"/>
        </w:rPr>
      </w:pPr>
    </w:p>
    <w:p>
      <w:pPr>
        <w:pStyle w:val="Heading1"/>
        <w:spacing w:before="156"/>
      </w:pPr>
      <w:r>
        <w:rPr/>
        <w:t>The</w:t>
      </w:r>
      <w:r>
        <w:rPr>
          <w:spacing w:val="-3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New</w:t>
      </w:r>
      <w:r>
        <w:rPr>
          <w:spacing w:val="2"/>
        </w:rPr>
        <w:t> </w:t>
      </w:r>
      <w:r>
        <w:rPr/>
        <w:t>Keynesian</w:t>
      </w:r>
      <w:r>
        <w:rPr>
          <w:spacing w:val="-3"/>
        </w:rPr>
        <w:t> </w:t>
      </w:r>
      <w:r>
        <w:rPr/>
        <w:t>DSGE</w:t>
      </w:r>
      <w:r>
        <w:rPr>
          <w:spacing w:val="-1"/>
        </w:rPr>
        <w:t> </w:t>
      </w:r>
      <w:r>
        <w:rPr/>
        <w:t>Model</w:t>
      </w:r>
    </w:p>
    <w:p>
      <w:pPr>
        <w:pStyle w:val="BodyText"/>
        <w:spacing w:line="360" w:lineRule="auto" w:before="144"/>
        <w:ind w:left="500" w:right="498"/>
        <w:jc w:val="both"/>
      </w:pPr>
      <w:r>
        <w:rPr/>
        <w:t>The NK DSGE models stem from the contributions of scholars such as Gali and Gertler (1999),</w:t>
      </w:r>
      <w:r>
        <w:rPr>
          <w:spacing w:val="1"/>
        </w:rPr>
        <w:t> </w:t>
      </w:r>
      <w:r>
        <w:rPr/>
        <w:t>Smets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Wouters</w:t>
      </w:r>
      <w:r>
        <w:rPr>
          <w:spacing w:val="-9"/>
        </w:rPr>
        <w:t> </w:t>
      </w:r>
      <w:r>
        <w:rPr/>
        <w:t>(2003,</w:t>
      </w:r>
      <w:r>
        <w:rPr>
          <w:spacing w:val="-10"/>
        </w:rPr>
        <w:t> </w:t>
      </w:r>
      <w:r>
        <w:rPr/>
        <w:t>2007),</w:t>
      </w:r>
      <w:r>
        <w:rPr>
          <w:spacing w:val="-10"/>
        </w:rPr>
        <w:t> </w:t>
      </w:r>
      <w:r>
        <w:rPr/>
        <w:t>Gali</w:t>
      </w:r>
      <w:r>
        <w:rPr>
          <w:spacing w:val="-9"/>
        </w:rPr>
        <w:t> </w:t>
      </w:r>
      <w:r>
        <w:rPr/>
        <w:t>(2003),</w:t>
      </w:r>
      <w:r>
        <w:rPr>
          <w:spacing w:val="-10"/>
        </w:rPr>
        <w:t> </w:t>
      </w:r>
      <w:r>
        <w:rPr/>
        <w:t>Christiano,</w:t>
      </w:r>
      <w:r>
        <w:rPr>
          <w:spacing w:val="-10"/>
        </w:rPr>
        <w:t> </w:t>
      </w:r>
      <w:r>
        <w:rPr/>
        <w:t>Eichenbaum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Evans</w:t>
      </w:r>
      <w:r>
        <w:rPr>
          <w:spacing w:val="-9"/>
        </w:rPr>
        <w:t> </w:t>
      </w:r>
      <w:r>
        <w:rPr/>
        <w:t>(2005).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these</w:t>
      </w:r>
      <w:r>
        <w:rPr>
          <w:spacing w:val="-58"/>
        </w:rPr>
        <w:t> </w:t>
      </w:r>
      <w:r>
        <w:rPr/>
        <w:t>models, there are three optimising agents: households, firms and the Central Bank. The abridged</w:t>
      </w:r>
      <w:r>
        <w:rPr>
          <w:spacing w:val="1"/>
        </w:rPr>
        <w:t> </w:t>
      </w:r>
      <w:r>
        <w:rPr/>
        <w:t>model</w:t>
      </w:r>
      <w:r>
        <w:rPr>
          <w:spacing w:val="-1"/>
        </w:rPr>
        <w:t> </w:t>
      </w:r>
      <w:r>
        <w:rPr/>
        <w:t>(detailed model is found in sub-section 4.2.1) entails: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500" w:right="501"/>
        <w:jc w:val="both"/>
      </w:pPr>
      <w:r>
        <w:rPr>
          <w:b/>
        </w:rPr>
        <w:t>Household</w:t>
      </w:r>
      <w:r>
        <w:rPr/>
        <w:t>: A representative household derives utility from consumption and disutility from</w:t>
      </w:r>
      <w:r>
        <w:rPr>
          <w:spacing w:val="1"/>
        </w:rPr>
        <w:t> </w:t>
      </w:r>
      <w:r>
        <w:rPr/>
        <w:t>labour,</w:t>
      </w:r>
      <w:r>
        <w:rPr>
          <w:spacing w:val="-1"/>
        </w:rPr>
        <w:t> </w:t>
      </w:r>
      <w:r>
        <w:rPr/>
        <w:t>and maximises his utility</w:t>
      </w:r>
      <w:r>
        <w:rPr>
          <w:spacing w:val="-8"/>
        </w:rPr>
        <w:t> </w:t>
      </w:r>
      <w:r>
        <w:rPr/>
        <w:t>function:</w:t>
      </w:r>
    </w:p>
    <w:p>
      <w:pPr>
        <w:tabs>
          <w:tab w:pos="2886" w:val="left" w:leader="none"/>
          <w:tab w:pos="4037" w:val="left" w:leader="none"/>
        </w:tabs>
        <w:spacing w:line="101" w:lineRule="exact" w:before="31"/>
        <w:ind w:left="2393" w:right="0" w:firstLine="0"/>
        <w:jc w:val="left"/>
        <w:rPr>
          <w:rFonts w:ascii="Symbol" w:hAnsi="Symbol"/>
          <w:sz w:val="22"/>
        </w:rPr>
      </w:pPr>
      <w:r>
        <w:rPr>
          <w:rFonts w:ascii="Symbol" w:hAnsi="Symbol"/>
          <w:w w:val="115"/>
          <w:sz w:val="13"/>
        </w:rPr>
        <w:t></w:t>
      </w:r>
      <w:r>
        <w:rPr>
          <w:w w:val="115"/>
          <w:sz w:val="13"/>
        </w:rPr>
        <w:tab/>
      </w:r>
      <w:r>
        <w:rPr>
          <w:rFonts w:ascii="Symbol" w:hAnsi="Symbol"/>
          <w:w w:val="110"/>
          <w:position w:val="-7"/>
          <w:sz w:val="22"/>
        </w:rPr>
        <w:t></w:t>
      </w:r>
      <w:r>
        <w:rPr>
          <w:spacing w:val="-17"/>
          <w:w w:val="110"/>
          <w:position w:val="-7"/>
          <w:sz w:val="22"/>
        </w:rPr>
        <w:t> </w:t>
      </w:r>
      <w:r>
        <w:rPr>
          <w:i/>
          <w:w w:val="110"/>
          <w:position w:val="-8"/>
          <w:sz w:val="22"/>
        </w:rPr>
        <w:t>C</w:t>
      </w:r>
      <w:r>
        <w:rPr>
          <w:w w:val="110"/>
          <w:position w:val="2"/>
          <w:sz w:val="13"/>
        </w:rPr>
        <w:t>1</w:t>
      </w:r>
      <w:r>
        <w:rPr>
          <w:rFonts w:ascii="Symbol" w:hAnsi="Symbol"/>
          <w:w w:val="110"/>
          <w:position w:val="2"/>
          <w:sz w:val="13"/>
        </w:rPr>
        <w:t></w:t>
      </w:r>
      <w:r>
        <w:rPr>
          <w:rFonts w:ascii="Symbol" w:hAnsi="Symbol"/>
          <w:w w:val="110"/>
          <w:position w:val="2"/>
          <w:sz w:val="14"/>
        </w:rPr>
        <w:t></w:t>
      </w:r>
      <w:r>
        <w:rPr>
          <w:w w:val="110"/>
          <w:position w:val="2"/>
          <w:sz w:val="14"/>
        </w:rPr>
        <w:tab/>
      </w:r>
      <w:r>
        <w:rPr>
          <w:rFonts w:ascii="Symbol" w:hAnsi="Symbol"/>
          <w:w w:val="115"/>
          <w:position w:val="-7"/>
          <w:sz w:val="22"/>
        </w:rPr>
        <w:t></w:t>
      </w:r>
    </w:p>
    <w:p>
      <w:pPr>
        <w:spacing w:after="0" w:line="101" w:lineRule="exact"/>
        <w:jc w:val="left"/>
        <w:rPr>
          <w:rFonts w:ascii="Symbol" w:hAnsi="Symbol"/>
          <w:sz w:val="22"/>
        </w:rPr>
        <w:sectPr>
          <w:pgSz w:w="12240" w:h="15840"/>
          <w:pgMar w:header="0" w:footer="935" w:top="1360" w:bottom="1200" w:left="940" w:right="940"/>
        </w:sectPr>
      </w:pPr>
    </w:p>
    <w:p>
      <w:pPr>
        <w:tabs>
          <w:tab w:pos="3538" w:val="left" w:leader="none"/>
        </w:tabs>
        <w:spacing w:line="225" w:lineRule="exact" w:before="0"/>
        <w:ind w:left="1580" w:right="0" w:firstLine="0"/>
        <w:jc w:val="left"/>
        <w:rPr>
          <w:rFonts w:ascii="Symbol" w:hAnsi="Symbol"/>
          <w:sz w:val="22"/>
        </w:rPr>
      </w:pPr>
      <w:r>
        <w:rPr>
          <w:w w:val="99"/>
          <w:position w:val="2"/>
          <w:sz w:val="24"/>
        </w:rPr>
        <w:t>M</w:t>
      </w:r>
      <w:r>
        <w:rPr>
          <w:spacing w:val="-1"/>
          <w:w w:val="99"/>
          <w:position w:val="2"/>
          <w:sz w:val="24"/>
        </w:rPr>
        <w:t>a</w:t>
      </w:r>
      <w:r>
        <w:rPr>
          <w:position w:val="2"/>
          <w:sz w:val="24"/>
        </w:rPr>
        <w:t>x</w:t>
      </w:r>
      <w:r>
        <w:rPr>
          <w:spacing w:val="-15"/>
          <w:position w:val="2"/>
          <w:sz w:val="24"/>
        </w:rPr>
        <w:t> </w:t>
      </w:r>
      <w:r>
        <w:rPr>
          <w:i/>
          <w:w w:val="114"/>
          <w:sz w:val="22"/>
        </w:rPr>
        <w:t>E</w:t>
      </w:r>
      <w:r>
        <w:rPr>
          <w:i/>
          <w:sz w:val="22"/>
        </w:rPr>
        <w:t> </w:t>
      </w:r>
      <w:r>
        <w:rPr>
          <w:i/>
          <w:spacing w:val="-14"/>
          <w:sz w:val="22"/>
        </w:rPr>
        <w:t> </w:t>
      </w:r>
      <w:r>
        <w:rPr>
          <w:rFonts w:ascii="Symbol" w:hAnsi="Symbol"/>
          <w:spacing w:val="32"/>
          <w:w w:val="110"/>
          <w:position w:val="-4"/>
          <w:sz w:val="34"/>
        </w:rPr>
        <w:t></w:t>
      </w:r>
      <w:r>
        <w:rPr>
          <w:rFonts w:ascii="Symbol" w:hAnsi="Symbol"/>
          <w:spacing w:val="33"/>
          <w:w w:val="104"/>
          <w:sz w:val="24"/>
        </w:rPr>
        <w:t></w:t>
      </w:r>
      <w:r>
        <w:rPr>
          <w:i/>
          <w:w w:val="111"/>
          <w:position w:val="10"/>
          <w:sz w:val="13"/>
        </w:rPr>
        <w:t>t</w:t>
      </w:r>
      <w:r>
        <w:rPr>
          <w:i/>
          <w:position w:val="10"/>
          <w:sz w:val="13"/>
        </w:rPr>
        <w:t> </w:t>
      </w:r>
      <w:r>
        <w:rPr>
          <w:i/>
          <w:spacing w:val="-6"/>
          <w:position w:val="10"/>
          <w:sz w:val="13"/>
        </w:rPr>
        <w:t> </w:t>
      </w:r>
      <w:r>
        <w:rPr>
          <w:rFonts w:ascii="Symbol" w:hAnsi="Symbol"/>
          <w:w w:val="114"/>
          <w:position w:val="-4"/>
          <w:sz w:val="22"/>
        </w:rPr>
        <w:t></w:t>
      </w:r>
      <w:r>
        <w:rPr>
          <w:spacing w:val="-20"/>
          <w:position w:val="-4"/>
          <w:sz w:val="22"/>
        </w:rPr>
        <w:t> </w:t>
      </w:r>
      <w:r>
        <w:rPr>
          <w:i/>
          <w:w w:val="111"/>
          <w:position w:val="9"/>
          <w:sz w:val="13"/>
          <w:u w:val="single"/>
        </w:rPr>
        <w:t> </w:t>
      </w:r>
      <w:r>
        <w:rPr>
          <w:i/>
          <w:position w:val="9"/>
          <w:sz w:val="13"/>
          <w:u w:val="single"/>
        </w:rPr>
        <w:t>   </w:t>
      </w:r>
      <w:r>
        <w:rPr>
          <w:i/>
          <w:spacing w:val="3"/>
          <w:position w:val="9"/>
          <w:sz w:val="13"/>
          <w:u w:val="single"/>
        </w:rPr>
        <w:t> </w:t>
      </w:r>
      <w:r>
        <w:rPr>
          <w:i/>
          <w:spacing w:val="-1"/>
          <w:w w:val="111"/>
          <w:position w:val="9"/>
          <w:sz w:val="13"/>
          <w:u w:val="single"/>
        </w:rPr>
        <w:t>i</w:t>
      </w:r>
      <w:r>
        <w:rPr>
          <w:i/>
          <w:w w:val="111"/>
          <w:position w:val="9"/>
          <w:sz w:val="13"/>
          <w:u w:val="single"/>
        </w:rPr>
        <w:t>t</w:t>
      </w:r>
      <w:r>
        <w:rPr>
          <w:i/>
          <w:position w:val="9"/>
          <w:sz w:val="13"/>
          <w:u w:val="single"/>
        </w:rPr>
        <w:tab/>
      </w:r>
      <w:r>
        <w:rPr>
          <w:i/>
          <w:position w:val="9"/>
          <w:sz w:val="13"/>
        </w:rPr>
        <w:t> </w:t>
      </w:r>
      <w:r>
        <w:rPr>
          <w:i/>
          <w:spacing w:val="-15"/>
          <w:position w:val="9"/>
          <w:sz w:val="13"/>
        </w:rPr>
        <w:t> </w:t>
      </w:r>
      <w:r>
        <w:rPr>
          <w:rFonts w:ascii="Symbol" w:hAnsi="Symbol"/>
          <w:w w:val="114"/>
          <w:sz w:val="22"/>
        </w:rPr>
        <w:t></w:t>
      </w:r>
      <w:r>
        <w:rPr>
          <w:spacing w:val="-8"/>
          <w:sz w:val="22"/>
        </w:rPr>
        <w:t> </w:t>
      </w:r>
      <w:r>
        <w:rPr>
          <w:i/>
          <w:w w:val="114"/>
          <w:sz w:val="22"/>
        </w:rPr>
        <w:t>L</w:t>
      </w:r>
      <w:r>
        <w:rPr>
          <w:i/>
          <w:sz w:val="22"/>
        </w:rPr>
        <w:t> </w:t>
      </w:r>
      <w:r>
        <w:rPr>
          <w:i/>
          <w:spacing w:val="13"/>
          <w:sz w:val="22"/>
        </w:rPr>
        <w:t> </w:t>
      </w:r>
      <w:r>
        <w:rPr>
          <w:rFonts w:ascii="Symbol" w:hAnsi="Symbol"/>
          <w:w w:val="114"/>
          <w:position w:val="-4"/>
          <w:sz w:val="22"/>
        </w:rPr>
        <w:t></w:t>
      </w:r>
    </w:p>
    <w:p>
      <w:pPr>
        <w:pStyle w:val="BodyText"/>
        <w:spacing w:line="174" w:lineRule="exact" w:before="50"/>
        <w:ind w:left="1580"/>
      </w:pPr>
      <w:r>
        <w:rPr/>
        <w:br w:type="column"/>
      </w:r>
      <w:r>
        <w:rPr/>
        <w:t>(4.1)</w:t>
      </w:r>
    </w:p>
    <w:p>
      <w:pPr>
        <w:spacing w:after="0" w:line="174" w:lineRule="exact"/>
        <w:sectPr>
          <w:type w:val="continuous"/>
          <w:pgSz w:w="12240" w:h="15840"/>
          <w:pgMar w:top="1500" w:bottom="1120" w:left="940" w:right="940"/>
          <w:cols w:num="2" w:equalWidth="0">
            <w:col w:w="4175" w:space="3267"/>
            <w:col w:w="2918"/>
          </w:cols>
        </w:sectPr>
      </w:pPr>
    </w:p>
    <w:p>
      <w:pPr>
        <w:tabs>
          <w:tab w:pos="3041" w:val="left" w:leader="none"/>
          <w:tab w:pos="3897" w:val="left" w:leader="none"/>
        </w:tabs>
        <w:spacing w:line="68" w:lineRule="exact" w:before="3"/>
        <w:ind w:left="2213" w:right="0" w:firstLine="0"/>
        <w:jc w:val="left"/>
        <w:rPr>
          <w:i/>
          <w:sz w:val="13"/>
        </w:rPr>
      </w:pPr>
      <w:r>
        <w:rPr>
          <w:w w:val="110"/>
          <w:sz w:val="13"/>
        </w:rPr>
        <w:t>0</w:t>
        <w:tab/>
      </w:r>
      <w:r>
        <w:rPr>
          <w:w w:val="110"/>
          <w:position w:val="-11"/>
          <w:sz w:val="22"/>
        </w:rPr>
        <w:t>1</w:t>
      </w:r>
      <w:r>
        <w:rPr>
          <w:rFonts w:ascii="Symbol" w:hAnsi="Symbol"/>
          <w:w w:val="110"/>
          <w:position w:val="-11"/>
          <w:sz w:val="22"/>
        </w:rPr>
        <w:t></w:t>
      </w:r>
      <w:r>
        <w:rPr>
          <w:spacing w:val="-30"/>
          <w:w w:val="110"/>
          <w:position w:val="-11"/>
          <w:sz w:val="22"/>
        </w:rPr>
        <w:t> </w:t>
      </w:r>
      <w:r>
        <w:rPr>
          <w:rFonts w:ascii="Symbol" w:hAnsi="Symbol"/>
          <w:w w:val="110"/>
          <w:position w:val="-11"/>
          <w:sz w:val="24"/>
        </w:rPr>
        <w:t></w:t>
      </w:r>
      <w:r>
        <w:rPr>
          <w:w w:val="110"/>
          <w:position w:val="-11"/>
          <w:sz w:val="24"/>
        </w:rPr>
        <w:tab/>
      </w:r>
      <w:r>
        <w:rPr>
          <w:i/>
          <w:w w:val="110"/>
          <w:sz w:val="13"/>
        </w:rPr>
        <w:t>it</w:t>
      </w:r>
    </w:p>
    <w:p>
      <w:pPr>
        <w:tabs>
          <w:tab w:pos="2886" w:val="left" w:leader="none"/>
          <w:tab w:pos="4037" w:val="left" w:leader="none"/>
        </w:tabs>
        <w:spacing w:before="7"/>
        <w:ind w:left="2339" w:right="0" w:firstLine="0"/>
        <w:jc w:val="left"/>
        <w:rPr>
          <w:rFonts w:ascii="Symbol" w:hAnsi="Symbol"/>
          <w:sz w:val="22"/>
        </w:rPr>
      </w:pPr>
      <w:r>
        <w:rPr>
          <w:i/>
          <w:w w:val="110"/>
          <w:position w:val="2"/>
          <w:sz w:val="13"/>
        </w:rPr>
        <w:t>t</w:t>
      </w:r>
      <w:r>
        <w:rPr>
          <w:i/>
          <w:spacing w:val="-21"/>
          <w:w w:val="110"/>
          <w:position w:val="2"/>
          <w:sz w:val="13"/>
        </w:rPr>
        <w:t> </w:t>
      </w:r>
      <w:r>
        <w:rPr>
          <w:rFonts w:ascii="Symbol" w:hAnsi="Symbol"/>
          <w:w w:val="110"/>
          <w:position w:val="2"/>
          <w:sz w:val="13"/>
        </w:rPr>
        <w:t></w:t>
      </w:r>
      <w:r>
        <w:rPr>
          <w:w w:val="110"/>
          <w:position w:val="2"/>
          <w:sz w:val="13"/>
        </w:rPr>
        <w:t>0</w:t>
        <w:tab/>
      </w:r>
      <w:r>
        <w:rPr>
          <w:rFonts w:ascii="Symbol" w:hAnsi="Symbol"/>
          <w:w w:val="115"/>
          <w:sz w:val="22"/>
        </w:rPr>
        <w:t></w:t>
      </w:r>
      <w:r>
        <w:rPr>
          <w:w w:val="115"/>
          <w:sz w:val="22"/>
        </w:rPr>
        <w:tab/>
      </w:r>
      <w:r>
        <w:rPr>
          <w:rFonts w:ascii="Symbol" w:hAnsi="Symbol"/>
          <w:w w:val="115"/>
          <w:sz w:val="22"/>
        </w:rPr>
        <w:t></w:t>
      </w:r>
    </w:p>
    <w:p>
      <w:pPr>
        <w:pStyle w:val="BodyText"/>
        <w:spacing w:before="12"/>
        <w:rPr>
          <w:rFonts w:ascii="Symbol" w:hAnsi="Symbol"/>
          <w:sz w:val="21"/>
        </w:rPr>
      </w:pPr>
    </w:p>
    <w:p>
      <w:pPr>
        <w:pStyle w:val="BodyText"/>
        <w:spacing w:before="86"/>
        <w:ind w:left="500"/>
      </w:pPr>
      <w:r>
        <w:rPr/>
        <w:t>Where</w:t>
      </w:r>
      <w:r>
        <w:rPr>
          <w:spacing w:val="-3"/>
        </w:rPr>
        <w:t> </w:t>
      </w:r>
      <w:r>
        <w:rPr>
          <w:rFonts w:ascii="Cambria Math" w:eastAsia="Cambria Math"/>
        </w:rPr>
        <w:t>𝐸</w:t>
      </w:r>
      <w:r>
        <w:rPr>
          <w:rFonts w:ascii="Cambria Math" w:eastAsia="Cambria Math"/>
          <w:vertAlign w:val="subscript"/>
        </w:rPr>
        <w:t>0</w:t>
      </w:r>
      <w:r>
        <w:rPr>
          <w:vertAlign w:val="baseline"/>
        </w:rPr>
        <w:t>: Rational expectation operator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before="1"/>
        <w:ind w:left="500"/>
      </w:pPr>
      <w:r>
        <w:rPr>
          <w:rFonts w:ascii="Cambria Math" w:eastAsia="Cambria Math"/>
        </w:rPr>
        <w:t>𝛽</w:t>
      </w:r>
      <w:r>
        <w:rPr>
          <w:rFonts w:ascii="Cambria Math" w:eastAsia="Cambria Math"/>
          <w:vertAlign w:val="superscript"/>
        </w:rPr>
        <w:t>𝑡</w:t>
      </w:r>
      <w:r>
        <w:rPr>
          <w:vertAlign w:val="baseline"/>
        </w:rPr>
        <w:t>:</w:t>
      </w:r>
      <w:r>
        <w:rPr>
          <w:spacing w:val="6"/>
          <w:vertAlign w:val="baseline"/>
        </w:rPr>
        <w:t> </w:t>
      </w:r>
      <w:r>
        <w:rPr>
          <w:vertAlign w:val="baseline"/>
        </w:rPr>
        <w:t>intertemporal</w:t>
      </w:r>
      <w:r>
        <w:rPr>
          <w:spacing w:val="6"/>
          <w:vertAlign w:val="baseline"/>
        </w:rPr>
        <w:t> </w:t>
      </w:r>
      <w:r>
        <w:rPr>
          <w:vertAlign w:val="baseline"/>
        </w:rPr>
        <w:t>discount</w:t>
      </w:r>
      <w:r>
        <w:rPr>
          <w:spacing w:val="6"/>
          <w:vertAlign w:val="baseline"/>
        </w:rPr>
        <w:t> </w:t>
      </w:r>
      <w:r>
        <w:rPr>
          <w:vertAlign w:val="baseline"/>
        </w:rPr>
        <w:t>factor</w:t>
      </w:r>
    </w:p>
    <w:p>
      <w:pPr>
        <w:pStyle w:val="BodyText"/>
        <w:spacing w:before="201"/>
        <w:ind w:left="500"/>
      </w:pPr>
      <w:r>
        <w:rPr>
          <w:rFonts w:ascii="Cambria Math" w:eastAsia="Cambria Math"/>
        </w:rPr>
        <w:t>𝛾</w:t>
      </w:r>
      <w:r>
        <w:rPr/>
        <w:t>:</w:t>
      </w:r>
      <w:r>
        <w:rPr>
          <w:spacing w:val="2"/>
        </w:rPr>
        <w:t> </w:t>
      </w:r>
      <w:r>
        <w:rPr/>
        <w:t>Inverse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elasticity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substitution</w:t>
      </w:r>
    </w:p>
    <w:p>
      <w:pPr>
        <w:pStyle w:val="BodyText"/>
        <w:spacing w:before="198"/>
        <w:ind w:left="500"/>
      </w:pPr>
      <w:r>
        <w:rPr>
          <w:rFonts w:ascii="Cambria Math" w:eastAsia="Cambria Math"/>
        </w:rPr>
        <w:t>𝐶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:</w:t>
      </w:r>
      <w:r>
        <w:rPr>
          <w:spacing w:val="4"/>
          <w:vertAlign w:val="baseline"/>
        </w:rPr>
        <w:t> </w:t>
      </w:r>
      <w:r>
        <w:rPr>
          <w:vertAlign w:val="baseline"/>
        </w:rPr>
        <w:t>Consumption</w:t>
      </w:r>
    </w:p>
    <w:p>
      <w:pPr>
        <w:pStyle w:val="BodyText"/>
        <w:spacing w:before="201"/>
        <w:ind w:left="500"/>
      </w:pPr>
      <w:r>
        <w:rPr>
          <w:rFonts w:ascii="Cambria Math" w:eastAsia="Cambria Math"/>
        </w:rPr>
        <w:t>𝐿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:</w:t>
      </w:r>
      <w:r>
        <w:rPr>
          <w:spacing w:val="4"/>
          <w:vertAlign w:val="baseline"/>
        </w:rPr>
        <w:t> </w:t>
      </w:r>
      <w:r>
        <w:rPr>
          <w:vertAlign w:val="baseline"/>
        </w:rPr>
        <w:t>Amount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4"/>
          <w:vertAlign w:val="baseline"/>
        </w:rPr>
        <w:t> </w:t>
      </w:r>
      <w:r>
        <w:rPr>
          <w:vertAlign w:val="baseline"/>
        </w:rPr>
        <w:t>labour</w:t>
      </w:r>
      <w:r>
        <w:rPr>
          <w:spacing w:val="3"/>
          <w:vertAlign w:val="baseline"/>
        </w:rPr>
        <w:t> </w:t>
      </w:r>
      <w:r>
        <w:rPr>
          <w:vertAlign w:val="baseline"/>
        </w:rPr>
        <w:t>supplied</w:t>
      </w:r>
    </w:p>
    <w:p>
      <w:pPr>
        <w:pStyle w:val="BodyText"/>
        <w:spacing w:line="360" w:lineRule="auto" w:before="198"/>
        <w:ind w:left="500" w:right="502"/>
      </w:pPr>
      <w:r>
        <w:rPr/>
        <w:t>subject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inter-temporal</w:t>
      </w:r>
      <w:r>
        <w:rPr>
          <w:spacing w:val="25"/>
        </w:rPr>
        <w:t> </w:t>
      </w:r>
      <w:r>
        <w:rPr/>
        <w:t>household</w:t>
      </w:r>
      <w:r>
        <w:rPr>
          <w:spacing w:val="26"/>
        </w:rPr>
        <w:t> </w:t>
      </w:r>
      <w:r>
        <w:rPr/>
        <w:t>budget</w:t>
      </w:r>
      <w:r>
        <w:rPr>
          <w:spacing w:val="25"/>
        </w:rPr>
        <w:t> </w:t>
      </w:r>
      <w:r>
        <w:rPr/>
        <w:t>constraint</w:t>
      </w:r>
      <w:r>
        <w:rPr>
          <w:spacing w:val="26"/>
        </w:rPr>
        <w:t> </w:t>
      </w:r>
      <w:r>
        <w:rPr/>
        <w:t>(equation</w:t>
      </w:r>
      <w:r>
        <w:rPr>
          <w:spacing w:val="25"/>
        </w:rPr>
        <w:t> </w:t>
      </w:r>
      <w:r>
        <w:rPr/>
        <w:t>4.2)</w:t>
      </w:r>
      <w:r>
        <w:rPr>
          <w:spacing w:val="27"/>
        </w:rPr>
        <w:t> </w:t>
      </w:r>
      <w:r>
        <w:rPr/>
        <w:t>which</w:t>
      </w:r>
      <w:r>
        <w:rPr>
          <w:spacing w:val="25"/>
        </w:rPr>
        <w:t> </w:t>
      </w:r>
      <w:r>
        <w:rPr/>
        <w:t>shows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total</w:t>
      </w:r>
      <w:r>
        <w:rPr>
          <w:spacing w:val="-57"/>
        </w:rPr>
        <w:t> </w:t>
      </w:r>
      <w:r>
        <w:rPr/>
        <w:t>income</w:t>
      </w:r>
      <w:r>
        <w:rPr>
          <w:spacing w:val="-2"/>
        </w:rPr>
        <w:t> </w:t>
      </w:r>
      <w:r>
        <w:rPr/>
        <w:t>versus their</w:t>
      </w:r>
      <w:r>
        <w:rPr>
          <w:spacing w:val="-1"/>
        </w:rPr>
        <w:t> </w:t>
      </w:r>
      <w:r>
        <w:rPr/>
        <w:t>total</w:t>
      </w:r>
      <w:r>
        <w:rPr>
          <w:spacing w:val="2"/>
        </w:rPr>
        <w:t> </w:t>
      </w:r>
      <w:r>
        <w:rPr/>
        <w:t>outlay</w:t>
      </w:r>
      <w:r>
        <w:rPr>
          <w:spacing w:val="-5"/>
        </w:rPr>
        <w:t> </w:t>
      </w:r>
      <w:r>
        <w:rPr/>
        <w:t>and is specified as:</w:t>
      </w:r>
    </w:p>
    <w:p>
      <w:pPr>
        <w:tabs>
          <w:tab w:pos="8301" w:val="left" w:leader="none"/>
        </w:tabs>
        <w:spacing w:before="205"/>
        <w:ind w:left="500" w:right="0" w:firstLine="0"/>
        <w:jc w:val="left"/>
        <w:rPr>
          <w:sz w:val="24"/>
        </w:rPr>
      </w:pPr>
      <w:r>
        <w:rPr>
          <w:rFonts w:ascii="Cambria Math" w:hAnsi="Cambria Math" w:eastAsia="Cambria Math"/>
          <w:spacing w:val="-5"/>
          <w:w w:val="105"/>
          <w:sz w:val="24"/>
        </w:rPr>
        <w:t>𝑃</w:t>
      </w:r>
      <w:r>
        <w:rPr>
          <w:rFonts w:ascii="Cambria Math" w:hAnsi="Cambria Math" w:eastAsia="Cambria Math"/>
          <w:spacing w:val="-5"/>
          <w:w w:val="105"/>
          <w:position w:val="-4"/>
          <w:sz w:val="17"/>
        </w:rPr>
        <w:t>𝑡</w:t>
      </w:r>
      <w:r>
        <w:rPr>
          <w:rFonts w:ascii="Cambria Math" w:hAnsi="Cambria Math" w:eastAsia="Cambria Math"/>
          <w:spacing w:val="-5"/>
          <w:w w:val="105"/>
          <w:sz w:val="24"/>
        </w:rPr>
        <w:t>𝐶</w:t>
      </w:r>
      <w:r>
        <w:rPr>
          <w:rFonts w:ascii="Cambria Math" w:hAnsi="Cambria Math" w:eastAsia="Cambria Math"/>
          <w:spacing w:val="-5"/>
          <w:w w:val="105"/>
          <w:position w:val="-4"/>
          <w:sz w:val="17"/>
        </w:rPr>
        <w:t>𝑡</w:t>
      </w:r>
      <w:r>
        <w:rPr>
          <w:rFonts w:ascii="Cambria Math" w:hAnsi="Cambria Math" w:eastAsia="Cambria Math"/>
          <w:spacing w:val="19"/>
          <w:w w:val="105"/>
          <w:position w:val="-4"/>
          <w:sz w:val="17"/>
        </w:rPr>
        <w:t> </w:t>
      </w:r>
      <w:r>
        <w:rPr>
          <w:rFonts w:ascii="Cambria Math" w:hAnsi="Cambria Math" w:eastAsia="Cambria Math"/>
          <w:spacing w:val="-5"/>
          <w:w w:val="105"/>
          <w:sz w:val="24"/>
        </w:rPr>
        <w:t>+</w:t>
      </w:r>
      <w:r>
        <w:rPr>
          <w:rFonts w:ascii="Cambria Math" w:hAnsi="Cambria Math" w:eastAsia="Cambria Math"/>
          <w:spacing w:val="-9"/>
          <w:w w:val="105"/>
          <w:sz w:val="24"/>
        </w:rPr>
        <w:t> </w:t>
      </w:r>
      <w:r>
        <w:rPr>
          <w:rFonts w:ascii="Cambria Math" w:hAnsi="Cambria Math" w:eastAsia="Cambria Math"/>
          <w:spacing w:val="-5"/>
          <w:w w:val="105"/>
          <w:sz w:val="24"/>
        </w:rPr>
        <w:t>𝐸</w:t>
      </w:r>
      <w:r>
        <w:rPr>
          <w:rFonts w:ascii="Cambria Math" w:hAnsi="Cambria Math" w:eastAsia="Cambria Math"/>
          <w:spacing w:val="-5"/>
          <w:w w:val="105"/>
          <w:position w:val="-4"/>
          <w:sz w:val="17"/>
        </w:rPr>
        <w:t>𝑡</w:t>
      </w:r>
      <w:r>
        <w:rPr>
          <w:rFonts w:ascii="Cambria Math" w:hAnsi="Cambria Math" w:eastAsia="Cambria Math"/>
          <w:spacing w:val="-5"/>
          <w:w w:val="105"/>
          <w:sz w:val="24"/>
        </w:rPr>
        <w:t>(𝑄</w:t>
      </w:r>
      <w:r>
        <w:rPr>
          <w:rFonts w:ascii="Cambria Math" w:hAnsi="Cambria Math" w:eastAsia="Cambria Math"/>
          <w:spacing w:val="-5"/>
          <w:w w:val="105"/>
          <w:position w:val="-4"/>
          <w:sz w:val="17"/>
        </w:rPr>
        <w:t>𝑡</w:t>
      </w:r>
      <w:r>
        <w:rPr>
          <w:rFonts w:ascii="Cambria Math" w:hAnsi="Cambria Math" w:eastAsia="Cambria Math"/>
          <w:spacing w:val="-4"/>
          <w:w w:val="105"/>
          <w:position w:val="-4"/>
          <w:sz w:val="17"/>
        </w:rPr>
        <w:t> </w:t>
      </w:r>
      <w:r>
        <w:rPr>
          <w:rFonts w:ascii="Cambria Math" w:hAnsi="Cambria Math" w:eastAsia="Cambria Math"/>
          <w:spacing w:val="-5"/>
          <w:w w:val="105"/>
          <w:position w:val="-4"/>
          <w:sz w:val="17"/>
        </w:rPr>
        <w:t>,𝑡+1</w:t>
      </w:r>
      <w:r>
        <w:rPr>
          <w:rFonts w:ascii="Cambria Math" w:hAnsi="Cambria Math" w:eastAsia="Cambria Math"/>
          <w:spacing w:val="-5"/>
          <w:w w:val="105"/>
          <w:sz w:val="24"/>
        </w:rPr>
        <w:t>𝐷</w:t>
      </w:r>
      <w:r>
        <w:rPr>
          <w:rFonts w:ascii="Cambria Math" w:hAnsi="Cambria Math" w:eastAsia="Cambria Math"/>
          <w:spacing w:val="-5"/>
          <w:w w:val="105"/>
          <w:position w:val="-4"/>
          <w:sz w:val="17"/>
        </w:rPr>
        <w:t>𝑡+1</w:t>
      </w:r>
      <w:r>
        <w:rPr>
          <w:rFonts w:ascii="Cambria Math" w:hAnsi="Cambria Math" w:eastAsia="Cambria Math"/>
          <w:spacing w:val="-5"/>
          <w:w w:val="105"/>
          <w:sz w:val="24"/>
        </w:rPr>
        <w:t>)</w:t>
      </w:r>
      <w:r>
        <w:rPr>
          <w:rFonts w:ascii="Cambria Math" w:hAnsi="Cambria Math" w:eastAsia="Cambria Math"/>
          <w:spacing w:val="2"/>
          <w:w w:val="105"/>
          <w:sz w:val="24"/>
        </w:rPr>
        <w:t> </w:t>
      </w:r>
      <w:r>
        <w:rPr>
          <w:rFonts w:ascii="Cambria Math" w:hAnsi="Cambria Math" w:eastAsia="Cambria Math"/>
          <w:spacing w:val="-5"/>
          <w:w w:val="105"/>
          <w:sz w:val="24"/>
        </w:rPr>
        <w:t>≤</w:t>
      </w:r>
      <w:r>
        <w:rPr>
          <w:rFonts w:ascii="Cambria Math" w:hAnsi="Cambria Math" w:eastAsia="Cambria Math"/>
          <w:spacing w:val="5"/>
          <w:w w:val="105"/>
          <w:sz w:val="24"/>
        </w:rPr>
        <w:t> </w:t>
      </w:r>
      <w:r>
        <w:rPr>
          <w:rFonts w:ascii="Cambria Math" w:hAnsi="Cambria Math" w:eastAsia="Cambria Math"/>
          <w:spacing w:val="-5"/>
          <w:w w:val="105"/>
          <w:sz w:val="24"/>
        </w:rPr>
        <w:t>𝑊</w:t>
      </w:r>
      <w:r>
        <w:rPr>
          <w:rFonts w:ascii="Cambria Math" w:hAnsi="Cambria Math" w:eastAsia="Cambria Math"/>
          <w:spacing w:val="-5"/>
          <w:w w:val="105"/>
          <w:position w:val="-4"/>
          <w:sz w:val="17"/>
        </w:rPr>
        <w:t>𝑡</w:t>
      </w:r>
      <w:r>
        <w:rPr>
          <w:rFonts w:ascii="Cambria Math" w:hAnsi="Cambria Math" w:eastAsia="Cambria Math"/>
          <w:spacing w:val="-5"/>
          <w:w w:val="105"/>
          <w:sz w:val="24"/>
        </w:rPr>
        <w:t>𝑁</w:t>
      </w:r>
      <w:r>
        <w:rPr>
          <w:rFonts w:ascii="Cambria Math" w:hAnsi="Cambria Math" w:eastAsia="Cambria Math"/>
          <w:spacing w:val="-5"/>
          <w:w w:val="105"/>
          <w:position w:val="-4"/>
          <w:sz w:val="17"/>
        </w:rPr>
        <w:t>𝑡</w:t>
      </w:r>
      <w:r>
        <w:rPr>
          <w:rFonts w:ascii="Cambria Math" w:hAnsi="Cambria Math" w:eastAsia="Cambria Math"/>
          <w:spacing w:val="19"/>
          <w:w w:val="105"/>
          <w:position w:val="-4"/>
          <w:sz w:val="17"/>
        </w:rPr>
        <w:t> </w:t>
      </w:r>
      <w:r>
        <w:rPr>
          <w:rFonts w:ascii="Cambria Math" w:hAnsi="Cambria Math" w:eastAsia="Cambria Math"/>
          <w:spacing w:val="-4"/>
          <w:w w:val="105"/>
          <w:sz w:val="24"/>
        </w:rPr>
        <w:t>+</w:t>
      </w:r>
      <w:r>
        <w:rPr>
          <w:rFonts w:ascii="Cambria Math" w:hAnsi="Cambria Math" w:eastAsia="Cambria Math"/>
          <w:spacing w:val="-9"/>
          <w:w w:val="105"/>
          <w:sz w:val="24"/>
        </w:rPr>
        <w:t> </w:t>
      </w:r>
      <w:r>
        <w:rPr>
          <w:rFonts w:ascii="Cambria Math" w:hAnsi="Cambria Math" w:eastAsia="Cambria Math"/>
          <w:spacing w:val="-4"/>
          <w:w w:val="105"/>
          <w:sz w:val="24"/>
        </w:rPr>
        <w:t>𝐷</w:t>
      </w:r>
      <w:r>
        <w:rPr>
          <w:rFonts w:ascii="Cambria Math" w:hAnsi="Cambria Math" w:eastAsia="Cambria Math"/>
          <w:spacing w:val="-4"/>
          <w:w w:val="105"/>
          <w:position w:val="-4"/>
          <w:sz w:val="17"/>
        </w:rPr>
        <w:t>𝑡</w:t>
      </w:r>
      <w:r>
        <w:rPr>
          <w:rFonts w:ascii="Cambria Math" w:hAnsi="Cambria Math" w:eastAsia="Cambria Math"/>
          <w:spacing w:val="22"/>
          <w:w w:val="105"/>
          <w:position w:val="-4"/>
          <w:sz w:val="17"/>
        </w:rPr>
        <w:t> </w:t>
      </w:r>
      <w:r>
        <w:rPr>
          <w:rFonts w:ascii="Cambria Math" w:hAnsi="Cambria Math" w:eastAsia="Cambria Math"/>
          <w:spacing w:val="-4"/>
          <w:w w:val="105"/>
          <w:sz w:val="24"/>
        </w:rPr>
        <w:t>+</w:t>
      </w:r>
      <w:r>
        <w:rPr>
          <w:rFonts w:ascii="Cambria Math" w:hAnsi="Cambria Math" w:eastAsia="Cambria Math"/>
          <w:spacing w:val="-9"/>
          <w:w w:val="105"/>
          <w:sz w:val="24"/>
        </w:rPr>
        <w:t> </w:t>
      </w:r>
      <w:r>
        <w:rPr>
          <w:rFonts w:ascii="Cambria Math" w:hAnsi="Cambria Math" w:eastAsia="Cambria Math"/>
          <w:spacing w:val="-4"/>
          <w:w w:val="105"/>
          <w:sz w:val="24"/>
        </w:rPr>
        <w:t>𝑇𝑃</w:t>
      </w:r>
      <w:r>
        <w:rPr>
          <w:rFonts w:ascii="Cambria Math" w:hAnsi="Cambria Math" w:eastAsia="Cambria Math"/>
          <w:spacing w:val="-4"/>
          <w:w w:val="105"/>
          <w:position w:val="-4"/>
          <w:sz w:val="17"/>
        </w:rPr>
        <w:t>𝑡</w:t>
      </w:r>
      <w:r>
        <w:rPr>
          <w:rFonts w:ascii="Cambria Math" w:hAnsi="Cambria Math" w:eastAsia="Cambria Math"/>
          <w:spacing w:val="19"/>
          <w:w w:val="105"/>
          <w:position w:val="-4"/>
          <w:sz w:val="17"/>
        </w:rPr>
        <w:t> </w:t>
      </w:r>
      <w:r>
        <w:rPr>
          <w:rFonts w:ascii="Cambria Math" w:hAnsi="Cambria Math" w:eastAsia="Cambria Math"/>
          <w:spacing w:val="-4"/>
          <w:w w:val="105"/>
          <w:sz w:val="24"/>
        </w:rPr>
        <w:t>+</w:t>
      </w:r>
      <w:r>
        <w:rPr>
          <w:rFonts w:ascii="Cambria Math" w:hAnsi="Cambria Math" w:eastAsia="Cambria Math"/>
          <w:spacing w:val="-8"/>
          <w:w w:val="105"/>
          <w:sz w:val="24"/>
        </w:rPr>
        <w:t> </w:t>
      </w:r>
      <w:r>
        <w:rPr>
          <w:rFonts w:ascii="Cambria Math" w:hAnsi="Cambria Math" w:eastAsia="Cambria Math"/>
          <w:spacing w:val="-4"/>
          <w:w w:val="105"/>
          <w:sz w:val="24"/>
        </w:rPr>
        <w:t>𝐷𝑉</w:t>
      </w:r>
      <w:r>
        <w:rPr>
          <w:rFonts w:ascii="Cambria Math" w:hAnsi="Cambria Math" w:eastAsia="Cambria Math"/>
          <w:spacing w:val="-4"/>
          <w:w w:val="105"/>
          <w:position w:val="-4"/>
          <w:sz w:val="17"/>
        </w:rPr>
        <w:t>𝑡</w:t>
        <w:tab/>
      </w:r>
      <w:r>
        <w:rPr>
          <w:w w:val="105"/>
          <w:sz w:val="24"/>
        </w:rPr>
        <w:t>(4.2)</w:t>
      </w:r>
    </w:p>
    <w:p>
      <w:pPr>
        <w:pStyle w:val="BodyText"/>
        <w:rPr>
          <w:sz w:val="28"/>
        </w:rPr>
      </w:pPr>
    </w:p>
    <w:p>
      <w:pPr>
        <w:pStyle w:val="BodyText"/>
        <w:ind w:left="500"/>
      </w:pPr>
      <w:r>
        <w:rPr/>
        <w:t>Where,</w:t>
      </w:r>
    </w:p>
    <w:p>
      <w:pPr>
        <w:pStyle w:val="BodyText"/>
        <w:spacing w:before="201"/>
        <w:ind w:left="500"/>
      </w:pPr>
      <w:r>
        <w:rPr>
          <w:rFonts w:ascii="Cambria Math" w:eastAsia="Cambria Math"/>
        </w:rPr>
        <w:t>𝑊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vertAlign w:val="baseline"/>
        </w:rPr>
        <w:t>𝑁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:</w:t>
      </w:r>
      <w:r>
        <w:rPr>
          <w:spacing w:val="-2"/>
          <w:vertAlign w:val="baseline"/>
        </w:rPr>
        <w:t> </w:t>
      </w:r>
      <w:r>
        <w:rPr>
          <w:vertAlign w:val="baseline"/>
        </w:rPr>
        <w:t>Wage</w:t>
      </w:r>
      <w:r>
        <w:rPr>
          <w:spacing w:val="-2"/>
          <w:vertAlign w:val="baseline"/>
        </w:rPr>
        <w:t> </w:t>
      </w:r>
      <w:r>
        <w:rPr>
          <w:vertAlign w:val="baseline"/>
        </w:rPr>
        <w:t>bill</w:t>
      </w:r>
    </w:p>
    <w:p>
      <w:pPr>
        <w:pStyle w:val="BodyText"/>
        <w:spacing w:before="198"/>
        <w:ind w:left="500"/>
      </w:pPr>
      <w:r>
        <w:rPr>
          <w:rFonts w:ascii="Cambria Math" w:eastAsia="Cambria Math"/>
        </w:rPr>
        <w:t>𝑇𝑃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:</w:t>
      </w:r>
      <w:r>
        <w:rPr>
          <w:spacing w:val="-3"/>
          <w:vertAlign w:val="baseline"/>
        </w:rPr>
        <w:t> </w:t>
      </w:r>
      <w:r>
        <w:rPr>
          <w:vertAlign w:val="baseline"/>
        </w:rPr>
        <w:t>Transfer</w:t>
      </w:r>
      <w:r>
        <w:rPr>
          <w:spacing w:val="-2"/>
          <w:vertAlign w:val="baseline"/>
        </w:rPr>
        <w:t> </w:t>
      </w:r>
      <w:r>
        <w:rPr>
          <w:vertAlign w:val="baseline"/>
        </w:rPr>
        <w:t>payment</w:t>
      </w:r>
      <w:r>
        <w:rPr>
          <w:spacing w:val="-2"/>
          <w:vertAlign w:val="baseline"/>
        </w:rPr>
        <w:t> </w:t>
      </w:r>
      <w:r>
        <w:rPr>
          <w:vertAlign w:val="baseline"/>
        </w:rPr>
        <w:t>from</w:t>
      </w:r>
      <w:r>
        <w:rPr>
          <w:spacing w:val="-1"/>
          <w:vertAlign w:val="baseline"/>
        </w:rPr>
        <w:t> </w:t>
      </w:r>
      <w:r>
        <w:rPr>
          <w:vertAlign w:val="baseline"/>
        </w:rPr>
        <w:t>government</w:t>
      </w:r>
    </w:p>
    <w:p>
      <w:pPr>
        <w:pStyle w:val="BodyText"/>
        <w:spacing w:before="201"/>
        <w:ind w:left="500"/>
      </w:pPr>
      <w:r>
        <w:rPr>
          <w:rFonts w:ascii="Cambria Math" w:eastAsia="Cambria Math"/>
        </w:rPr>
        <w:t>𝐷𝑉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:</w:t>
      </w:r>
      <w:r>
        <w:rPr>
          <w:spacing w:val="-4"/>
          <w:vertAlign w:val="baseline"/>
        </w:rPr>
        <w:t> </w:t>
      </w:r>
      <w:r>
        <w:rPr>
          <w:vertAlign w:val="baseline"/>
        </w:rPr>
        <w:t>Dividend</w:t>
      </w:r>
    </w:p>
    <w:p>
      <w:pPr>
        <w:pStyle w:val="BodyText"/>
        <w:spacing w:before="201"/>
        <w:ind w:left="500"/>
      </w:pP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:</w:t>
      </w:r>
      <w:r>
        <w:rPr>
          <w:spacing w:val="-2"/>
          <w:vertAlign w:val="baseline"/>
        </w:rPr>
        <w:t> </w:t>
      </w:r>
      <w:r>
        <w:rPr>
          <w:vertAlign w:val="baseline"/>
        </w:rPr>
        <w:t>Nominal</w:t>
      </w:r>
      <w:r>
        <w:rPr>
          <w:spacing w:val="-1"/>
          <w:vertAlign w:val="baseline"/>
        </w:rPr>
        <w:t> </w:t>
      </w:r>
      <w:r>
        <w:rPr>
          <w:vertAlign w:val="baseline"/>
        </w:rPr>
        <w:t>interest</w:t>
      </w:r>
      <w:r>
        <w:rPr>
          <w:spacing w:val="-2"/>
          <w:vertAlign w:val="baseline"/>
        </w:rPr>
        <w:t> </w:t>
      </w:r>
      <w:r>
        <w:rPr>
          <w:vertAlign w:val="baseline"/>
        </w:rPr>
        <w:t>rate</w:t>
      </w:r>
    </w:p>
    <w:p>
      <w:pPr>
        <w:spacing w:after="0"/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75"/>
        <w:ind w:left="500"/>
      </w:pPr>
      <w:r>
        <w:rPr>
          <w:rFonts w:ascii="Cambria Math" w:eastAsia="Cambria Math"/>
        </w:rPr>
        <w:t>𝐷</w:t>
      </w:r>
      <w:r>
        <w:rPr>
          <w:rFonts w:ascii="Cambria Math" w:eastAsia="Cambria Math"/>
          <w:position w:val="-4"/>
          <w:sz w:val="17"/>
        </w:rPr>
        <w:t>𝑡+1</w:t>
      </w:r>
      <w:r>
        <w:rPr/>
        <w:t>:</w:t>
      </w:r>
      <w:r>
        <w:rPr>
          <w:spacing w:val="-1"/>
        </w:rPr>
        <w:t> </w:t>
      </w:r>
      <w:r>
        <w:rPr/>
        <w:t>Payment at period</w:t>
      </w:r>
      <w:r>
        <w:rPr>
          <w:spacing w:val="1"/>
        </w:rPr>
        <w:t> </w:t>
      </w:r>
      <w:r>
        <w:rPr>
          <w:rFonts w:ascii="Cambria Math" w:eastAsia="Cambria Math"/>
        </w:rPr>
        <w:t>𝑡</w:t>
      </w:r>
      <w:r>
        <w:rPr>
          <w:rFonts w:ascii="Cambria Math" w:eastAsia="Cambria Math"/>
          <w:spacing w:val="6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1"/>
        </w:rPr>
        <w:t> </w:t>
      </w:r>
      <w:r>
        <w:rPr>
          <w:rFonts w:ascii="Cambria Math" w:eastAsia="Cambria Math"/>
        </w:rPr>
        <w:t>1</w:t>
      </w:r>
      <w:r>
        <w:rPr>
          <w:rFonts w:ascii="Cambria Math" w:eastAsia="Cambria Math"/>
          <w:spacing w:val="6"/>
        </w:rPr>
        <w:t> </w:t>
      </w:r>
      <w:r>
        <w:rPr/>
        <w:t>from a portfolio of</w:t>
      </w:r>
      <w:r>
        <w:rPr>
          <w:spacing w:val="-1"/>
        </w:rPr>
        <w:t> </w:t>
      </w:r>
      <w:r>
        <w:rPr/>
        <w:t>state contingent claims</w:t>
      </w:r>
    </w:p>
    <w:p>
      <w:pPr>
        <w:pStyle w:val="BodyText"/>
        <w:spacing w:before="172"/>
        <w:ind w:left="500"/>
      </w:pPr>
      <w:r>
        <w:rPr>
          <w:rFonts w:ascii="Cambria Math" w:eastAsia="Cambria Math"/>
        </w:rPr>
        <w:t>𝐸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vertAlign w:val="baseline"/>
        </w:rPr>
        <w:t>(𝑄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spacing w:val="-9"/>
          <w:vertAlign w:val="baseline"/>
        </w:rPr>
        <w:t> </w:t>
      </w:r>
      <w:r>
        <w:rPr>
          <w:rFonts w:ascii="Cambria Math" w:eastAsia="Cambria Math"/>
          <w:vertAlign w:val="subscript"/>
        </w:rPr>
        <w:t>,𝑡+1</w:t>
      </w:r>
      <w:r>
        <w:rPr>
          <w:rFonts w:ascii="Cambria Math" w:eastAsia="Cambria Math"/>
          <w:vertAlign w:val="baseline"/>
        </w:rPr>
        <w:t>)</w:t>
      </w:r>
      <w:r>
        <w:rPr>
          <w:vertAlign w:val="baseline"/>
        </w:rPr>
        <w:t>:</w:t>
      </w:r>
      <w:r>
        <w:rPr>
          <w:spacing w:val="6"/>
          <w:vertAlign w:val="baseline"/>
        </w:rPr>
        <w:t> </w:t>
      </w:r>
      <w:r>
        <w:rPr>
          <w:vertAlign w:val="baseline"/>
        </w:rPr>
        <w:t>One</w:t>
      </w:r>
      <w:r>
        <w:rPr>
          <w:spacing w:val="6"/>
          <w:vertAlign w:val="baseline"/>
        </w:rPr>
        <w:t> </w:t>
      </w:r>
      <w:r>
        <w:rPr>
          <w:vertAlign w:val="baseline"/>
        </w:rPr>
        <w:t>period</w:t>
      </w:r>
      <w:r>
        <w:rPr>
          <w:spacing w:val="6"/>
          <w:vertAlign w:val="baseline"/>
        </w:rPr>
        <w:t> </w:t>
      </w:r>
      <w:r>
        <w:rPr>
          <w:vertAlign w:val="baseline"/>
        </w:rPr>
        <w:t>ahead</w:t>
      </w:r>
      <w:r>
        <w:rPr>
          <w:spacing w:val="7"/>
          <w:vertAlign w:val="baseline"/>
        </w:rPr>
        <w:t> </w:t>
      </w:r>
      <w:r>
        <w:rPr>
          <w:vertAlign w:val="baseline"/>
        </w:rPr>
        <w:t>stochastic</w:t>
      </w:r>
      <w:r>
        <w:rPr>
          <w:spacing w:val="6"/>
          <w:vertAlign w:val="baseline"/>
        </w:rPr>
        <w:t> </w:t>
      </w:r>
      <w:r>
        <w:rPr>
          <w:vertAlign w:val="baseline"/>
        </w:rPr>
        <w:t>discount</w:t>
      </w:r>
      <w:r>
        <w:rPr>
          <w:spacing w:val="6"/>
          <w:vertAlign w:val="baseline"/>
        </w:rPr>
        <w:t> </w:t>
      </w:r>
      <w:r>
        <w:rPr>
          <w:vertAlign w:val="baseline"/>
        </w:rPr>
        <w:t>factor</w:t>
      </w:r>
    </w:p>
    <w:p>
      <w:pPr>
        <w:pStyle w:val="BodyText"/>
        <w:spacing w:line="360" w:lineRule="auto" w:before="212"/>
        <w:ind w:left="500" w:right="496"/>
        <w:jc w:val="both"/>
      </w:pPr>
      <w:r>
        <w:rPr>
          <w:b/>
        </w:rPr>
        <w:t>Aggregate resource constraint: </w:t>
      </w:r>
      <w:r>
        <w:rPr/>
        <w:t>It is assumed that there is no capital in the economy. Total sum</w:t>
      </w:r>
      <w:r>
        <w:rPr>
          <w:spacing w:val="1"/>
        </w:rPr>
        <w:t> </w:t>
      </w:r>
      <w:r>
        <w:rPr/>
        <w:t>of</w:t>
      </w:r>
      <w:r>
        <w:rPr>
          <w:spacing w:val="-15"/>
        </w:rPr>
        <w:t> </w:t>
      </w:r>
      <w:r>
        <w:rPr/>
        <w:t>consumption</w:t>
      </w:r>
      <w:r>
        <w:rPr>
          <w:spacing w:val="-14"/>
        </w:rPr>
        <w:t> </w:t>
      </w:r>
      <w:r>
        <w:rPr/>
        <w:t>(</w:t>
      </w:r>
      <w:r>
        <w:rPr>
          <w:rFonts w:ascii="Cambria Math" w:eastAsia="Cambria Math"/>
        </w:rPr>
        <w:t>𝐶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)</w:t>
      </w:r>
      <w:r>
        <w:rPr>
          <w:spacing w:val="-15"/>
          <w:vertAlign w:val="baseline"/>
        </w:rPr>
        <w:t> </w:t>
      </w:r>
      <w:r>
        <w:rPr>
          <w:vertAlign w:val="baseline"/>
        </w:rPr>
        <w:t>at</w:t>
      </w:r>
      <w:r>
        <w:rPr>
          <w:spacing w:val="-13"/>
          <w:vertAlign w:val="baseline"/>
        </w:rPr>
        <w:t> </w:t>
      </w:r>
      <w:r>
        <w:rPr>
          <w:vertAlign w:val="baseline"/>
        </w:rPr>
        <w:t>each</w:t>
      </w:r>
      <w:r>
        <w:rPr>
          <w:spacing w:val="-10"/>
          <w:vertAlign w:val="baseline"/>
        </w:rPr>
        <w:t> </w:t>
      </w:r>
      <w:r>
        <w:rPr>
          <w:vertAlign w:val="baseline"/>
        </w:rPr>
        <w:t>period</w:t>
      </w:r>
      <w:r>
        <w:rPr>
          <w:spacing w:val="-14"/>
          <w:vertAlign w:val="baseline"/>
        </w:rPr>
        <w:t> </w:t>
      </w:r>
      <w:r>
        <w:rPr>
          <w:vertAlign w:val="baseline"/>
        </w:rPr>
        <w:t>t</w:t>
      </w:r>
      <w:r>
        <w:rPr>
          <w:spacing w:val="-13"/>
          <w:vertAlign w:val="baseline"/>
        </w:rPr>
        <w:t> </w:t>
      </w:r>
      <w:r>
        <w:rPr>
          <w:vertAlign w:val="baseline"/>
        </w:rPr>
        <w:t>of</w:t>
      </w:r>
      <w:r>
        <w:rPr>
          <w:spacing w:val="-15"/>
          <w:vertAlign w:val="baseline"/>
        </w:rPr>
        <w:t> </w:t>
      </w:r>
      <w:r>
        <w:rPr>
          <w:vertAlign w:val="baseline"/>
        </w:rPr>
        <w:t>all</w:t>
      </w:r>
      <w:r>
        <w:rPr>
          <w:spacing w:val="-13"/>
          <w:vertAlign w:val="baseline"/>
        </w:rPr>
        <w:t> </w:t>
      </w:r>
      <w:r>
        <w:rPr>
          <w:vertAlign w:val="baseline"/>
        </w:rPr>
        <w:t>individual</w:t>
      </w:r>
      <w:r>
        <w:rPr>
          <w:spacing w:val="-13"/>
          <w:vertAlign w:val="baseline"/>
        </w:rPr>
        <w:t> </w:t>
      </w:r>
      <w:r>
        <w:rPr>
          <w:vertAlign w:val="baseline"/>
        </w:rPr>
        <w:t>(</w:t>
      </w:r>
      <w:r>
        <w:rPr>
          <w:rFonts w:ascii="Cambria Math" w:eastAsia="Cambria Math"/>
          <w:vertAlign w:val="baseline"/>
        </w:rPr>
        <w:t>𝐶</w:t>
      </w:r>
      <w:r>
        <w:rPr>
          <w:rFonts w:ascii="Cambria Math" w:eastAsia="Cambria Math"/>
          <w:vertAlign w:val="subscript"/>
        </w:rPr>
        <w:t>𝑖𝑡</w:t>
      </w:r>
      <w:r>
        <w:rPr>
          <w:vertAlign w:val="baseline"/>
        </w:rPr>
        <w:t>),</w:t>
      </w:r>
      <w:r>
        <w:rPr>
          <w:spacing w:val="-15"/>
          <w:vertAlign w:val="baseline"/>
        </w:rPr>
        <w:t> </w:t>
      </w:r>
      <w:r>
        <w:rPr>
          <w:vertAlign w:val="baseline"/>
        </w:rPr>
        <w:t>therefore,</w:t>
      </w:r>
      <w:r>
        <w:rPr>
          <w:spacing w:val="-14"/>
          <w:vertAlign w:val="baseline"/>
        </w:rPr>
        <w:t> </w:t>
      </w:r>
      <w:r>
        <w:rPr>
          <w:vertAlign w:val="baseline"/>
        </w:rPr>
        <w:t>equals</w:t>
      </w:r>
      <w:r>
        <w:rPr>
          <w:spacing w:val="-13"/>
          <w:vertAlign w:val="baseline"/>
        </w:rPr>
        <w:t> </w:t>
      </w:r>
      <w:r>
        <w:rPr>
          <w:vertAlign w:val="baseline"/>
        </w:rPr>
        <w:t>the</w:t>
      </w:r>
      <w:r>
        <w:rPr>
          <w:spacing w:val="-13"/>
          <w:vertAlign w:val="baseline"/>
        </w:rPr>
        <w:t> </w:t>
      </w:r>
      <w:r>
        <w:rPr>
          <w:vertAlign w:val="baseline"/>
        </w:rPr>
        <w:t>total</w:t>
      </w:r>
      <w:r>
        <w:rPr>
          <w:spacing w:val="-13"/>
          <w:vertAlign w:val="baseline"/>
        </w:rPr>
        <w:t> </w:t>
      </w:r>
      <w:r>
        <w:rPr>
          <w:vertAlign w:val="baseline"/>
        </w:rPr>
        <w:t>sum</w:t>
      </w:r>
      <w:r>
        <w:rPr>
          <w:spacing w:val="-13"/>
          <w:vertAlign w:val="baseline"/>
        </w:rPr>
        <w:t> </w:t>
      </w:r>
      <w:r>
        <w:rPr>
          <w:vertAlign w:val="baseline"/>
        </w:rPr>
        <w:t>of</w:t>
      </w:r>
      <w:r>
        <w:rPr>
          <w:spacing w:val="-15"/>
          <w:vertAlign w:val="baseline"/>
        </w:rPr>
        <w:t> </w:t>
      </w:r>
      <w:r>
        <w:rPr>
          <w:vertAlign w:val="baseline"/>
        </w:rPr>
        <w:t>income</w:t>
      </w:r>
      <w:r>
        <w:rPr>
          <w:spacing w:val="-57"/>
          <w:vertAlign w:val="baseline"/>
        </w:rPr>
        <w:t> </w:t>
      </w:r>
      <w:r>
        <w:rPr>
          <w:vertAlign w:val="baseline"/>
        </w:rPr>
        <w:t>(</w:t>
      </w:r>
      <w:r>
        <w:rPr>
          <w:rFonts w:ascii="Cambria Math" w:eastAsia="Cambria Math"/>
          <w:vertAlign w:val="baseline"/>
        </w:rPr>
        <w:t>𝑌</w:t>
      </w:r>
      <w:r>
        <w:rPr>
          <w:rFonts w:ascii="Cambria Math" w:eastAsia="Cambria Math"/>
          <w:vertAlign w:val="subscript"/>
        </w:rPr>
        <w:t>𝑖𝑡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all individuals in the economy</w:t>
      </w:r>
      <w:r>
        <w:rPr>
          <w:spacing w:val="-5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it is given</w:t>
      </w:r>
      <w:r>
        <w:rPr>
          <w:spacing w:val="1"/>
          <w:vertAlign w:val="baseline"/>
        </w:rPr>
        <w:t> </w:t>
      </w:r>
      <w:r>
        <w:rPr>
          <w:vertAlign w:val="baseline"/>
        </w:rPr>
        <w:t>as follows:</w:t>
      </w: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1"/>
        <w:rPr>
          <w:sz w:val="3"/>
        </w:rPr>
      </w:pPr>
    </w:p>
    <w:p>
      <w:pPr>
        <w:pStyle w:val="BodyText"/>
        <w:spacing w:line="162" w:lineRule="exact"/>
        <w:ind w:left="1068"/>
        <w:rPr>
          <w:sz w:val="16"/>
        </w:rPr>
      </w:pPr>
      <w:r>
        <w:rPr>
          <w:position w:val="-2"/>
          <w:sz w:val="16"/>
        </w:rPr>
        <w:pict>
          <v:shape style="width:39.7pt;height:8.1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tabs>
                      <w:tab w:pos="749" w:val="left" w:leader="none"/>
                    </w:tabs>
                    <w:spacing w:before="0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i/>
                      <w:sz w:val="14"/>
                    </w:rPr>
                    <w:t>I</w:t>
                    <w:tab/>
                  </w:r>
                  <w:r>
                    <w:rPr>
                      <w:i/>
                      <w:spacing w:val="-5"/>
                      <w:sz w:val="14"/>
                    </w:rPr>
                    <w:t>I</w:t>
                  </w:r>
                </w:p>
              </w:txbxContent>
            </v:textbox>
          </v:shape>
        </w:pict>
      </w:r>
      <w:r>
        <w:rPr>
          <w:position w:val="-2"/>
          <w:sz w:val="16"/>
        </w:rPr>
      </w:r>
    </w:p>
    <w:p>
      <w:pPr>
        <w:spacing w:line="321" w:lineRule="exact" w:before="0"/>
        <w:ind w:left="528" w:right="0" w:firstLine="0"/>
        <w:jc w:val="left"/>
        <w:rPr>
          <w:i/>
          <w:sz w:val="14"/>
        </w:rPr>
      </w:pPr>
      <w:r>
        <w:rPr>
          <w:i/>
          <w:spacing w:val="-7"/>
          <w:w w:val="92"/>
          <w:position w:val="7"/>
          <w:sz w:val="25"/>
        </w:rPr>
        <w:t>C</w:t>
      </w:r>
      <w:r>
        <w:rPr>
          <w:i/>
          <w:w w:val="95"/>
          <w:sz w:val="14"/>
        </w:rPr>
        <w:t>t</w:t>
      </w:r>
      <w:r>
        <w:rPr>
          <w:i/>
          <w:sz w:val="14"/>
        </w:rPr>
        <w:t> </w:t>
      </w:r>
      <w:r>
        <w:rPr>
          <w:i/>
          <w:spacing w:val="13"/>
          <w:sz w:val="14"/>
        </w:rPr>
        <w:t> </w:t>
      </w:r>
      <w:r>
        <w:rPr>
          <w:rFonts w:ascii="Symbol" w:hAnsi="Symbol"/>
          <w:w w:val="92"/>
          <w:position w:val="7"/>
          <w:sz w:val="25"/>
        </w:rPr>
        <w:t></w:t>
      </w:r>
      <w:r>
        <w:rPr>
          <w:spacing w:val="-14"/>
          <w:position w:val="7"/>
          <w:sz w:val="25"/>
        </w:rPr>
        <w:t> </w:t>
      </w:r>
      <w:r>
        <w:rPr>
          <w:rFonts w:ascii="Symbol" w:hAnsi="Symbol"/>
          <w:spacing w:val="18"/>
          <w:w w:val="91"/>
          <w:position w:val="1"/>
          <w:sz w:val="38"/>
        </w:rPr>
        <w:t></w:t>
      </w:r>
      <w:r>
        <w:rPr>
          <w:i/>
          <w:spacing w:val="-6"/>
          <w:w w:val="92"/>
          <w:position w:val="7"/>
          <w:sz w:val="25"/>
        </w:rPr>
        <w:t>C</w:t>
      </w:r>
      <w:r>
        <w:rPr>
          <w:i/>
          <w:spacing w:val="-1"/>
          <w:w w:val="95"/>
          <w:sz w:val="14"/>
        </w:rPr>
        <w:t>i</w:t>
      </w:r>
      <w:r>
        <w:rPr>
          <w:i/>
          <w:w w:val="95"/>
          <w:sz w:val="14"/>
        </w:rPr>
        <w:t>t</w:t>
      </w:r>
      <w:r>
        <w:rPr>
          <w:i/>
          <w:sz w:val="14"/>
        </w:rPr>
        <w:t> </w:t>
      </w:r>
      <w:r>
        <w:rPr>
          <w:i/>
          <w:spacing w:val="13"/>
          <w:sz w:val="14"/>
        </w:rPr>
        <w:t> </w:t>
      </w:r>
      <w:r>
        <w:rPr>
          <w:rFonts w:ascii="Symbol" w:hAnsi="Symbol"/>
          <w:w w:val="92"/>
          <w:position w:val="7"/>
          <w:sz w:val="25"/>
        </w:rPr>
        <w:t></w:t>
      </w:r>
      <w:r>
        <w:rPr>
          <w:spacing w:val="-14"/>
          <w:position w:val="7"/>
          <w:sz w:val="25"/>
        </w:rPr>
        <w:t> </w:t>
      </w:r>
      <w:r>
        <w:rPr>
          <w:rFonts w:ascii="Symbol" w:hAnsi="Symbol"/>
          <w:spacing w:val="10"/>
          <w:w w:val="91"/>
          <w:position w:val="1"/>
          <w:sz w:val="38"/>
        </w:rPr>
        <w:t></w:t>
      </w:r>
      <w:r>
        <w:rPr>
          <w:i/>
          <w:spacing w:val="-20"/>
          <w:w w:val="92"/>
          <w:position w:val="7"/>
          <w:sz w:val="25"/>
        </w:rPr>
        <w:t>Y</w:t>
      </w:r>
      <w:r>
        <w:rPr>
          <w:i/>
          <w:spacing w:val="-1"/>
          <w:w w:val="95"/>
          <w:sz w:val="14"/>
        </w:rPr>
        <w:t>i</w:t>
      </w:r>
      <w:r>
        <w:rPr>
          <w:i/>
          <w:w w:val="95"/>
          <w:sz w:val="14"/>
        </w:rPr>
        <w:t>t</w:t>
      </w:r>
    </w:p>
    <w:p>
      <w:pPr>
        <w:pStyle w:val="BodyText"/>
        <w:spacing w:before="216"/>
        <w:ind w:left="528"/>
      </w:pPr>
      <w:r>
        <w:rPr/>
        <w:br w:type="column"/>
      </w:r>
      <w:r>
        <w:rPr/>
        <w:t>(4.3)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2" w:equalWidth="0">
            <w:col w:w="2206" w:space="6287"/>
            <w:col w:w="1867"/>
          </w:cols>
        </w:sectPr>
      </w:pPr>
    </w:p>
    <w:p>
      <w:pPr>
        <w:tabs>
          <w:tab w:pos="1759" w:val="left" w:leader="none"/>
        </w:tabs>
        <w:spacing w:before="7"/>
        <w:ind w:left="1010" w:right="0" w:firstLine="0"/>
        <w:jc w:val="left"/>
        <w:rPr>
          <w:sz w:val="14"/>
        </w:rPr>
      </w:pPr>
      <w:r>
        <w:rPr>
          <w:i/>
          <w:sz w:val="14"/>
        </w:rPr>
        <w:t>i</w:t>
      </w:r>
      <w:r>
        <w:rPr>
          <w:rFonts w:ascii="Symbol" w:hAnsi="Symbol"/>
          <w:sz w:val="14"/>
        </w:rPr>
        <w:t></w:t>
      </w:r>
      <w:r>
        <w:rPr>
          <w:sz w:val="14"/>
        </w:rPr>
        <w:t>1</w:t>
        <w:tab/>
      </w:r>
      <w:r>
        <w:rPr>
          <w:i/>
          <w:sz w:val="14"/>
        </w:rPr>
        <w:t>i</w:t>
      </w:r>
      <w:r>
        <w:rPr>
          <w:rFonts w:ascii="Symbol" w:hAnsi="Symbol"/>
          <w:sz w:val="14"/>
        </w:rPr>
        <w:t></w:t>
      </w:r>
      <w:r>
        <w:rPr>
          <w:sz w:val="14"/>
        </w:rPr>
        <w:t>1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62" w:lineRule="auto" w:before="86"/>
        <w:ind w:left="500"/>
      </w:pPr>
      <w:r>
        <w:rPr>
          <w:b/>
        </w:rPr>
        <w:t>Firms:</w:t>
      </w:r>
      <w:r>
        <w:rPr>
          <w:b/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firms</w:t>
      </w:r>
      <w:r>
        <w:rPr>
          <w:spacing w:val="16"/>
        </w:rPr>
        <w:t> </w:t>
      </w:r>
      <w:r>
        <w:rPr/>
        <w:t>produce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goods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services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2"/>
        </w:rPr>
        <w:t> </w:t>
      </w:r>
      <w:r>
        <w:rPr/>
        <w:t>economy</w:t>
      </w:r>
      <w:r>
        <w:rPr>
          <w:spacing w:val="10"/>
        </w:rPr>
        <w:t> </w:t>
      </w:r>
      <w:r>
        <w:rPr/>
        <w:t>(</w:t>
      </w:r>
      <w:r>
        <w:rPr>
          <w:rFonts w:ascii="Cambria Math" w:eastAsia="Cambria Math"/>
        </w:rPr>
        <w:t>𝑌</w:t>
      </w:r>
      <w:r>
        <w:rPr>
          <w:rFonts w:ascii="Cambria Math" w:eastAsia="Cambria Math"/>
          <w:vertAlign w:val="subscript"/>
        </w:rPr>
        <w:t>𝑖𝑡</w:t>
      </w:r>
      <w:r>
        <w:rPr>
          <w:vertAlign w:val="baseline"/>
        </w:rPr>
        <w:t>)</w:t>
      </w:r>
      <w:r>
        <w:rPr>
          <w:spacing w:val="15"/>
          <w:vertAlign w:val="baseline"/>
        </w:rPr>
        <w:t> </w:t>
      </w:r>
      <w:r>
        <w:rPr>
          <w:vertAlign w:val="baseline"/>
        </w:rPr>
        <w:t>with</w:t>
      </w:r>
      <w:r>
        <w:rPr>
          <w:spacing w:val="15"/>
          <w:vertAlign w:val="baseline"/>
        </w:rPr>
        <w:t> </w:t>
      </w:r>
      <w:r>
        <w:rPr>
          <w:vertAlign w:val="baseline"/>
        </w:rPr>
        <w:t>a</w:t>
      </w:r>
      <w:r>
        <w:rPr>
          <w:spacing w:val="14"/>
          <w:vertAlign w:val="baseline"/>
        </w:rPr>
        <w:t> </w:t>
      </w:r>
      <w:r>
        <w:rPr>
          <w:vertAlign w:val="baseline"/>
        </w:rPr>
        <w:t>linear</w:t>
      </w:r>
      <w:r>
        <w:rPr>
          <w:spacing w:val="14"/>
          <w:vertAlign w:val="baseline"/>
        </w:rPr>
        <w:t> </w:t>
      </w:r>
      <w:r>
        <w:rPr>
          <w:vertAlign w:val="baseline"/>
        </w:rPr>
        <w:t>production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function using</w:t>
      </w:r>
      <w:r>
        <w:rPr>
          <w:spacing w:val="-2"/>
          <w:vertAlign w:val="baseline"/>
        </w:rPr>
        <w:t> </w:t>
      </w:r>
      <w:r>
        <w:rPr>
          <w:vertAlign w:val="baseline"/>
        </w:rPr>
        <w:t>labour</w:t>
      </w:r>
      <w:r>
        <w:rPr>
          <w:spacing w:val="-1"/>
          <w:vertAlign w:val="baseline"/>
        </w:rPr>
        <w:t> </w:t>
      </w:r>
      <w:r>
        <w:rPr>
          <w:vertAlign w:val="baseline"/>
        </w:rPr>
        <w:t>inputs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rFonts w:ascii="Cambria Math" w:eastAsia="Cambria Math"/>
          <w:vertAlign w:val="baseline"/>
        </w:rPr>
        <w:t>𝐿</w:t>
      </w:r>
      <w:r>
        <w:rPr>
          <w:rFonts w:ascii="Cambria Math" w:eastAsia="Cambria Math"/>
          <w:vertAlign w:val="subscript"/>
        </w:rPr>
        <w:t>𝑖𝑡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technology</w:t>
      </w:r>
      <w:r>
        <w:rPr>
          <w:spacing w:val="-4"/>
          <w:vertAlign w:val="baseline"/>
        </w:rPr>
        <w:t> </w:t>
      </w:r>
      <w:r>
        <w:rPr>
          <w:vertAlign w:val="baseline"/>
        </w:rPr>
        <w:t>(</w:t>
      </w:r>
      <w:r>
        <w:rPr>
          <w:rFonts w:ascii="Cambria Math" w:eastAsia="Cambria Math"/>
          <w:vertAlign w:val="baseline"/>
        </w:rPr>
        <w:t>𝑧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) such</w:t>
      </w:r>
      <w:r>
        <w:rPr>
          <w:spacing w:val="1"/>
          <w:vertAlign w:val="baseline"/>
        </w:rPr>
        <w:t> </w:t>
      </w:r>
      <w:r>
        <w:rPr>
          <w:vertAlign w:val="baseline"/>
        </w:rPr>
        <w:t>that:</w:t>
      </w:r>
    </w:p>
    <w:p>
      <w:pPr>
        <w:pStyle w:val="BodyText"/>
        <w:spacing w:before="10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spacing w:before="106"/>
        <w:ind w:left="521" w:right="0" w:firstLine="0"/>
        <w:jc w:val="left"/>
        <w:rPr>
          <w:i/>
          <w:sz w:val="17"/>
        </w:rPr>
      </w:pPr>
      <w:r>
        <w:rPr>
          <w:i/>
          <w:spacing w:val="-4"/>
          <w:w w:val="80"/>
          <w:position w:val="7"/>
          <w:sz w:val="29"/>
        </w:rPr>
        <w:t>Y</w:t>
      </w:r>
      <w:r>
        <w:rPr>
          <w:i/>
          <w:spacing w:val="-4"/>
          <w:w w:val="80"/>
          <w:sz w:val="17"/>
        </w:rPr>
        <w:t>it</w:t>
      </w:r>
      <w:r>
        <w:rPr>
          <w:i/>
          <w:spacing w:val="22"/>
          <w:w w:val="80"/>
          <w:sz w:val="17"/>
        </w:rPr>
        <w:t> </w:t>
      </w:r>
      <w:r>
        <w:rPr>
          <w:rFonts w:ascii="Symbol" w:hAnsi="Symbol"/>
          <w:spacing w:val="-3"/>
          <w:w w:val="80"/>
          <w:position w:val="7"/>
          <w:sz w:val="29"/>
        </w:rPr>
        <w:t></w:t>
      </w:r>
      <w:r>
        <w:rPr>
          <w:spacing w:val="3"/>
          <w:w w:val="80"/>
          <w:position w:val="7"/>
          <w:sz w:val="29"/>
        </w:rPr>
        <w:t> </w:t>
      </w:r>
      <w:r>
        <w:rPr>
          <w:i/>
          <w:spacing w:val="-3"/>
          <w:w w:val="80"/>
          <w:position w:val="7"/>
          <w:sz w:val="29"/>
        </w:rPr>
        <w:t>z</w:t>
      </w:r>
      <w:r>
        <w:rPr>
          <w:i/>
          <w:spacing w:val="-3"/>
          <w:w w:val="80"/>
          <w:sz w:val="17"/>
        </w:rPr>
        <w:t>t</w:t>
      </w:r>
      <w:r>
        <w:rPr>
          <w:i/>
          <w:spacing w:val="-9"/>
          <w:w w:val="80"/>
          <w:sz w:val="17"/>
        </w:rPr>
        <w:t> </w:t>
      </w:r>
      <w:r>
        <w:rPr>
          <w:i/>
          <w:spacing w:val="-3"/>
          <w:w w:val="80"/>
          <w:position w:val="7"/>
          <w:sz w:val="29"/>
        </w:rPr>
        <w:t>L</w:t>
      </w:r>
      <w:r>
        <w:rPr>
          <w:i/>
          <w:spacing w:val="-3"/>
          <w:w w:val="80"/>
          <w:sz w:val="17"/>
        </w:rPr>
        <w:t>it</w:t>
      </w:r>
    </w:p>
    <w:p>
      <w:pPr>
        <w:pStyle w:val="BodyText"/>
        <w:spacing w:before="192"/>
        <w:ind w:left="521"/>
      </w:pPr>
      <w:r>
        <w:rPr/>
        <w:br w:type="column"/>
      </w:r>
      <w:r>
        <w:rPr/>
        <w:t>(4.4)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2" w:equalWidth="0">
            <w:col w:w="1374" w:space="7126"/>
            <w:col w:w="1860"/>
          </w:cols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367" w:lineRule="auto" w:before="90"/>
        <w:ind w:left="500" w:right="496"/>
        <w:jc w:val="both"/>
      </w:pPr>
      <w:r>
        <w:rPr/>
        <w:pict>
          <v:shape style="position:absolute;margin-left:292.010010pt;margin-top:53.827682pt;width:11.95pt;height:8.550pt;mso-position-horizontal-relative:page;mso-position-vertical-relative:paragraph;z-index:-21460480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05"/>
                      <w:sz w:val="17"/>
                    </w:rPr>
                    <w:t>𝐷,𝑡</w:t>
                  </w:r>
                </w:p>
              </w:txbxContent>
            </v:textbox>
            <w10:wrap type="none"/>
          </v:shape>
        </w:pict>
      </w:r>
      <w:r>
        <w:rPr/>
        <w:t>The firms are also faced with a price setting decision. They follow the Calvo (1983) staggered</w:t>
      </w:r>
      <w:r>
        <w:rPr>
          <w:spacing w:val="1"/>
        </w:rPr>
        <w:t> </w:t>
      </w:r>
      <w:r>
        <w:rPr/>
        <w:t>price-setting</w:t>
      </w:r>
      <w:r>
        <w:rPr>
          <w:spacing w:val="10"/>
        </w:rPr>
        <w:t> </w:t>
      </w:r>
      <w:r>
        <w:rPr/>
        <w:t>mechanism</w:t>
      </w:r>
      <w:r>
        <w:rPr>
          <w:spacing w:val="16"/>
        </w:rPr>
        <w:t> </w:t>
      </w:r>
      <w:r>
        <w:rPr/>
        <w:t>such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while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fraction</w:t>
      </w:r>
      <w:r>
        <w:rPr>
          <w:spacing w:val="17"/>
        </w:rPr>
        <w:t> </w:t>
      </w:r>
      <w:r>
        <w:rPr>
          <w:rFonts w:ascii="Cambria Math" w:hAnsi="Cambria Math" w:eastAsia="Cambria Math"/>
        </w:rPr>
        <w:t>𝜇</w:t>
      </w:r>
      <w:r>
        <w:rPr>
          <w:rFonts w:ascii="Cambria Math" w:hAnsi="Cambria Math" w:eastAsia="Cambria Math"/>
          <w:spacing w:val="28"/>
        </w:rPr>
        <w:t> </w:t>
      </w:r>
      <w:r>
        <w:rPr/>
        <w:t>cannot</w:t>
      </w:r>
      <w:r>
        <w:rPr>
          <w:spacing w:val="13"/>
        </w:rPr>
        <w:t> </w:t>
      </w:r>
      <w:r>
        <w:rPr/>
        <w:t>reset</w:t>
      </w:r>
      <w:r>
        <w:rPr>
          <w:spacing w:val="14"/>
        </w:rPr>
        <w:t> </w:t>
      </w:r>
      <w:r>
        <w:rPr/>
        <w:t>their</w:t>
      </w:r>
      <w:r>
        <w:rPr>
          <w:spacing w:val="12"/>
        </w:rPr>
        <w:t> </w:t>
      </w:r>
      <w:r>
        <w:rPr/>
        <w:t>prices,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other</w:t>
      </w:r>
      <w:r>
        <w:rPr>
          <w:spacing w:val="14"/>
        </w:rPr>
        <w:t> </w:t>
      </w:r>
      <w:r>
        <w:rPr/>
        <w:t>fraction</w:t>
      </w:r>
      <w:r>
        <w:rPr>
          <w:spacing w:val="-57"/>
        </w:rPr>
        <w:t> </w:t>
      </w:r>
      <w:r>
        <w:rPr>
          <w:rFonts w:ascii="Cambria Math" w:hAnsi="Cambria Math" w:eastAsia="Cambria Math"/>
        </w:rPr>
        <w:t>1 − 𝜇 </w:t>
      </w:r>
      <w:r>
        <w:rPr/>
        <w:t>can. Therefore, in order to fix prices, </w:t>
      </w:r>
      <w:r>
        <w:rPr>
          <w:rFonts w:ascii="Cambria Math" w:hAnsi="Cambria Math" w:eastAsia="Cambria Math"/>
        </w:rPr>
        <w:t>𝑃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 </w:t>
      </w:r>
      <w:r>
        <w:rPr>
          <w:vertAlign w:val="baseline"/>
        </w:rPr>
        <w:t>the firms must reset their prices by maximising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-2"/>
          <w:vertAlign w:val="baseline"/>
        </w:rPr>
        <w:t> </w:t>
      </w:r>
      <w:r>
        <w:rPr>
          <w:vertAlign w:val="baseline"/>
        </w:rPr>
        <w:t>real discounted profits subject to demand such that:</w:t>
      </w:r>
    </w:p>
    <w:p>
      <w:pPr>
        <w:pStyle w:val="BodyText"/>
        <w:spacing w:before="4"/>
        <w:rPr>
          <w:sz w:val="9"/>
        </w:rPr>
      </w:pPr>
    </w:p>
    <w:p>
      <w:pPr>
        <w:pStyle w:val="BodyText"/>
        <w:tabs>
          <w:tab w:pos="9021" w:val="left" w:leader="none"/>
        </w:tabs>
        <w:spacing w:line="158" w:lineRule="exact" w:before="93"/>
        <w:ind w:left="500"/>
      </w:pPr>
      <w:r>
        <w:rPr>
          <w:rFonts w:ascii="Cambria Math" w:hAnsi="Cambria Math" w:eastAsia="Cambria Math"/>
          <w:w w:val="105"/>
        </w:rPr>
        <w:t>Max</w:t>
      </w:r>
      <w:r>
        <w:rPr>
          <w:rFonts w:ascii="Cambria Math" w:hAnsi="Cambria Math" w:eastAsia="Cambria Math"/>
          <w:spacing w:val="-4"/>
          <w:w w:val="105"/>
        </w:rPr>
        <w:t> </w:t>
      </w:r>
      <w:r>
        <w:rPr>
          <w:rFonts w:ascii="Cambria Math" w:hAnsi="Cambria Math" w:eastAsia="Cambria Math"/>
          <w:w w:val="105"/>
        </w:rPr>
        <w:t>E</w:t>
      </w:r>
      <w:r>
        <w:rPr>
          <w:rFonts w:ascii="Cambria Math" w:hAnsi="Cambria Math" w:eastAsia="Cambria Math"/>
          <w:w w:val="105"/>
          <w:vertAlign w:val="subscript"/>
        </w:rPr>
        <w:t>t</w:t>
      </w:r>
      <w:r>
        <w:rPr>
          <w:rFonts w:ascii="Cambria Math" w:hAnsi="Cambria Math" w:eastAsia="Cambria Math"/>
          <w:spacing w:val="2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position w:val="1"/>
          <w:vertAlign w:val="baseline"/>
        </w:rPr>
        <w:t>∑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∞</w:t>
      </w:r>
      <w:r>
        <w:rPr>
          <w:rFonts w:ascii="Cambria Math" w:hAnsi="Cambria Math" w:eastAsia="Cambria Math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spacing w:val="53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w w:val="105"/>
          <w:vertAlign w:val="baseline"/>
        </w:rPr>
        <w:t>βθ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k</w:t>
      </w:r>
      <w:r>
        <w:rPr>
          <w:rFonts w:ascii="Cambria Math" w:hAnsi="Cambria Math" w:eastAsia="Cambria Math"/>
          <w:spacing w:val="-9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E</w:t>
      </w:r>
      <w:r>
        <w:rPr>
          <w:rFonts w:ascii="Cambria Math" w:hAnsi="Cambria Math" w:eastAsia="Cambria Math"/>
          <w:w w:val="105"/>
          <w:vertAlign w:val="subscript"/>
        </w:rPr>
        <w:t>t,t+k</w:t>
      </w:r>
      <w:r>
        <w:rPr>
          <w:rFonts w:ascii="Cambria Math" w:hAnsi="Cambria Math" w:eastAsia="Cambria Math"/>
          <w:spacing w:val="-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Y</w:t>
      </w:r>
      <w:r>
        <w:rPr>
          <w:rFonts w:ascii="Cambria Math" w:hAnsi="Cambria Math" w:eastAsia="Cambria Math"/>
          <w:w w:val="105"/>
          <w:vertAlign w:val="subscript"/>
        </w:rPr>
        <w:t>t+k(i)</w:t>
      </w:r>
      <w:r>
        <w:rPr>
          <w:rFonts w:ascii="Cambria Math" w:hAnsi="Cambria Math" w:eastAsia="Cambria Math"/>
          <w:spacing w:val="-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[𝑃</w:t>
      </w:r>
      <w:r>
        <w:rPr>
          <w:rFonts w:ascii="Cambria Math" w:hAnsi="Cambria Math" w:eastAsia="Cambria Math"/>
          <w:w w:val="105"/>
          <w:vertAlign w:val="superscript"/>
        </w:rPr>
        <w:t>∗</w:t>
      </w:r>
      <w:r>
        <w:rPr>
          <w:rFonts w:ascii="Cambria Math" w:hAnsi="Cambria Math" w:eastAsia="Cambria Math"/>
          <w:w w:val="105"/>
          <w:vertAlign w:val="baseline"/>
        </w:rPr>
        <w:t>  </w:t>
      </w:r>
      <w:r>
        <w:rPr>
          <w:rFonts w:ascii="Cambria Math" w:hAnsi="Cambria Math" w:eastAsia="Cambria Math"/>
          <w:spacing w:val="2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5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mc</w:t>
      </w:r>
      <w:r>
        <w:rPr>
          <w:rFonts w:ascii="Cambria Math" w:hAnsi="Cambria Math" w:eastAsia="Cambria Math"/>
          <w:w w:val="105"/>
          <w:vertAlign w:val="subscript"/>
        </w:rPr>
        <w:t>t+k</w:t>
      </w:r>
      <w:r>
        <w:rPr>
          <w:rFonts w:ascii="Cambria Math" w:hAnsi="Cambria Math" w:eastAsia="Cambria Math"/>
          <w:w w:val="105"/>
          <w:vertAlign w:val="baseline"/>
        </w:rPr>
        <w:t>]</w:t>
        <w:tab/>
      </w:r>
      <w:r>
        <w:rPr>
          <w:w w:val="110"/>
          <w:vertAlign w:val="baseline"/>
        </w:rPr>
        <w:t>(4.5)</w:t>
      </w:r>
    </w:p>
    <w:p>
      <w:pPr>
        <w:tabs>
          <w:tab w:pos="3820" w:val="left" w:leader="none"/>
        </w:tabs>
        <w:spacing w:line="176" w:lineRule="exact" w:before="0"/>
        <w:ind w:left="1443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k=0</w:t>
        <w:tab/>
        <w:t>𝐷,𝑡</w:t>
      </w:r>
    </w:p>
    <w:p>
      <w:pPr>
        <w:pStyle w:val="BodyText"/>
        <w:spacing w:before="6"/>
        <w:rPr>
          <w:rFonts w:ascii="Cambria Math"/>
          <w:sz w:val="20"/>
        </w:rPr>
      </w:pPr>
    </w:p>
    <w:p>
      <w:pPr>
        <w:pStyle w:val="BodyText"/>
        <w:spacing w:before="90"/>
        <w:ind w:left="500"/>
      </w:pPr>
      <w:r>
        <w:rPr/>
        <w:t>Subject</w:t>
      </w:r>
      <w:r>
        <w:rPr>
          <w:spacing w:val="-1"/>
        </w:rPr>
        <w:t> </w:t>
      </w:r>
      <w:r>
        <w:rPr/>
        <w:t>to</w:t>
      </w: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spacing w:line="140" w:lineRule="exact" w:before="114"/>
        <w:ind w:left="1461" w:right="0" w:firstLine="0"/>
        <w:jc w:val="center"/>
        <w:rPr>
          <w:rFonts w:ascii="Cambria Math" w:hAnsi="Cambria Math"/>
          <w:sz w:val="14"/>
        </w:rPr>
      </w:pPr>
      <w:r>
        <w:rPr/>
        <w:pict>
          <v:shape style="position:absolute;margin-left:124.82pt;margin-top:9.315917pt;width:7.35pt;height:10.45pt;mso-position-horizontal-relative:page;mso-position-vertical-relative:paragraph;z-index:-2145996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spacing w:val="1"/>
                      <w:w w:val="99"/>
                      <w:position w:val="-4"/>
                      <w:sz w:val="14"/>
                      <w:u w:val="single"/>
                    </w:rPr>
                    <w:t> </w:t>
                  </w:r>
                  <w:r>
                    <w:rPr>
                      <w:rFonts w:ascii="Cambria Math" w:eastAsia="Cambria Math"/>
                      <w:spacing w:val="-123"/>
                      <w:sz w:val="17"/>
                    </w:rPr>
                    <w:t>𝑃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/>
          <w:w w:val="99"/>
          <w:sz w:val="14"/>
        </w:rPr>
        <w:t>∗</w:t>
      </w:r>
    </w:p>
    <w:p>
      <w:pPr>
        <w:spacing w:line="241" w:lineRule="exact" w:before="0"/>
        <w:ind w:left="500" w:right="0" w:firstLine="0"/>
        <w:jc w:val="left"/>
        <w:rPr>
          <w:rFonts w:ascii="Cambria Math" w:eastAsia="Cambria Math"/>
          <w:sz w:val="24"/>
        </w:rPr>
      </w:pPr>
      <w:r>
        <w:rPr>
          <w:rFonts w:ascii="Cambria Math" w:eastAsia="Cambria Math"/>
          <w:w w:val="105"/>
          <w:position w:val="5"/>
          <w:sz w:val="24"/>
        </w:rPr>
        <w:t>𝑌</w:t>
      </w:r>
      <w:r>
        <w:rPr>
          <w:rFonts w:ascii="Cambria Math" w:eastAsia="Cambria Math"/>
          <w:w w:val="105"/>
          <w:sz w:val="17"/>
        </w:rPr>
        <w:t>t+k(i)</w:t>
      </w:r>
      <w:r>
        <w:rPr>
          <w:rFonts w:ascii="Cambria Math" w:eastAsia="Cambria Math"/>
          <w:spacing w:val="22"/>
          <w:w w:val="105"/>
          <w:sz w:val="17"/>
        </w:rPr>
        <w:t> </w:t>
      </w:r>
      <w:r>
        <w:rPr>
          <w:rFonts w:ascii="Cambria Math" w:eastAsia="Cambria Math"/>
          <w:w w:val="105"/>
          <w:position w:val="5"/>
          <w:sz w:val="24"/>
        </w:rPr>
        <w:t>=</w:t>
      </w:r>
      <w:r>
        <w:rPr>
          <w:rFonts w:ascii="Cambria Math" w:eastAsia="Cambria Math"/>
          <w:spacing w:val="47"/>
          <w:w w:val="105"/>
          <w:position w:val="5"/>
          <w:sz w:val="24"/>
        </w:rPr>
        <w:t> </w:t>
      </w:r>
      <w:r>
        <w:rPr>
          <w:rFonts w:ascii="Cambria Math" w:eastAsia="Cambria Math"/>
          <w:w w:val="105"/>
          <w:position w:val="5"/>
          <w:sz w:val="24"/>
        </w:rPr>
        <w:t>[</w:t>
      </w:r>
      <w:r>
        <w:rPr>
          <w:rFonts w:ascii="Cambria Math" w:eastAsia="Cambria Math"/>
          <w:spacing w:val="52"/>
          <w:w w:val="105"/>
          <w:position w:val="5"/>
          <w:sz w:val="24"/>
        </w:rPr>
        <w:t> </w:t>
      </w:r>
      <w:r>
        <w:rPr>
          <w:rFonts w:ascii="Cambria Math" w:eastAsia="Cambria Math"/>
          <w:w w:val="105"/>
          <w:position w:val="16"/>
          <w:sz w:val="14"/>
          <w:u w:val="single"/>
        </w:rPr>
        <w:t>𝐷,𝑡</w:t>
      </w:r>
      <w:r>
        <w:rPr>
          <w:rFonts w:ascii="Cambria Math" w:eastAsia="Cambria Math"/>
          <w:spacing w:val="5"/>
          <w:w w:val="105"/>
          <w:position w:val="16"/>
          <w:sz w:val="14"/>
          <w:u w:val="single"/>
        </w:rPr>
        <w:t> </w:t>
      </w:r>
      <w:r>
        <w:rPr>
          <w:rFonts w:ascii="Cambria Math" w:eastAsia="Cambria Math"/>
          <w:w w:val="105"/>
          <w:position w:val="5"/>
          <w:sz w:val="24"/>
        </w:rPr>
        <w:t>]</w:t>
      </w:r>
    </w:p>
    <w:p>
      <w:pPr>
        <w:spacing w:line="167" w:lineRule="exact" w:before="0"/>
        <w:ind w:left="1531" w:right="72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4"/>
          <w:sz w:val="17"/>
        </w:rPr>
        <w:t>𝑃</w:t>
      </w:r>
      <w:r>
        <w:rPr>
          <w:rFonts w:ascii="Cambria Math" w:eastAsia="Cambria Math"/>
          <w:w w:val="110"/>
          <w:sz w:val="14"/>
        </w:rPr>
        <w:t>𝑡+𝑘</w:t>
      </w:r>
    </w:p>
    <w:p>
      <w:pPr>
        <w:spacing w:before="71"/>
        <w:ind w:left="-39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−𝗌</w:t>
      </w:r>
    </w:p>
    <w:p>
      <w:pPr>
        <w:pStyle w:val="BodyText"/>
        <w:tabs>
          <w:tab w:pos="6749" w:val="left" w:leader="none"/>
        </w:tabs>
        <w:spacing w:before="247"/>
        <w:ind w:left="13"/>
      </w:pPr>
      <w:r>
        <w:rPr/>
        <w:br w:type="column"/>
      </w:r>
      <w:r>
        <w:rPr>
          <w:rFonts w:ascii="Cambria Math" w:eastAsia="Cambria Math"/>
          <w:w w:val="105"/>
        </w:rPr>
        <w:t>𝑌</w:t>
      </w:r>
      <w:r>
        <w:rPr>
          <w:rFonts w:ascii="Cambria Math" w:eastAsia="Cambria Math"/>
          <w:w w:val="105"/>
          <w:vertAlign w:val="subscript"/>
        </w:rPr>
        <w:t>𝑡+𝑘</w:t>
      </w:r>
      <w:r>
        <w:rPr>
          <w:rFonts w:ascii="Cambria Math" w:eastAsia="Cambria Math"/>
          <w:w w:val="105"/>
          <w:vertAlign w:val="baseline"/>
        </w:rPr>
        <w:tab/>
      </w:r>
      <w:r>
        <w:rPr>
          <w:w w:val="105"/>
          <w:vertAlign w:val="baseline"/>
        </w:rPr>
        <w:t>(4.6)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3" w:equalWidth="0">
            <w:col w:w="2021" w:space="40"/>
            <w:col w:w="172" w:space="39"/>
            <w:col w:w="8088"/>
          </w:cols>
        </w:sect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90"/>
        <w:ind w:left="500"/>
      </w:pPr>
      <w:r>
        <w:rPr/>
        <w:t>Where,</w:t>
      </w:r>
    </w:p>
    <w:p>
      <w:pPr>
        <w:pStyle w:val="BodyText"/>
        <w:spacing w:line="424" w:lineRule="auto" w:before="207"/>
        <w:ind w:left="500" w:right="3231"/>
      </w:pPr>
      <w:r>
        <w:rPr>
          <w:rFonts w:ascii="Cambria Math"/>
        </w:rPr>
        <w:t>E</w:t>
      </w:r>
      <w:r>
        <w:rPr>
          <w:rFonts w:ascii="Cambria Math"/>
          <w:vertAlign w:val="subscript"/>
        </w:rPr>
        <w:t>t,t+k</w:t>
      </w:r>
      <w:r>
        <w:rPr>
          <w:rFonts w:ascii="Cambria Math"/>
          <w:spacing w:val="-8"/>
          <w:vertAlign w:val="baseline"/>
        </w:rPr>
        <w:t> </w:t>
      </w:r>
      <w:r>
        <w:rPr>
          <w:vertAlign w:val="baseline"/>
        </w:rPr>
        <w:t>:</w:t>
      </w:r>
      <w:r>
        <w:rPr>
          <w:spacing w:val="4"/>
          <w:vertAlign w:val="baseline"/>
        </w:rPr>
        <w:t> </w:t>
      </w:r>
      <w:r>
        <w:rPr>
          <w:vertAlign w:val="baseline"/>
        </w:rPr>
        <w:t>Stochastic</w:t>
      </w:r>
      <w:r>
        <w:rPr>
          <w:spacing w:val="2"/>
          <w:vertAlign w:val="baseline"/>
        </w:rPr>
        <w:t> </w:t>
      </w:r>
      <w:r>
        <w:rPr>
          <w:vertAlign w:val="baseline"/>
        </w:rPr>
        <w:t>discount</w:t>
      </w:r>
      <w:r>
        <w:rPr>
          <w:spacing w:val="4"/>
          <w:vertAlign w:val="baseline"/>
        </w:rPr>
        <w:t> </w:t>
      </w:r>
      <w:r>
        <w:rPr>
          <w:vertAlign w:val="baseline"/>
        </w:rPr>
        <w:t>factor</w:t>
      </w:r>
      <w:r>
        <w:rPr>
          <w:spacing w:val="4"/>
          <w:vertAlign w:val="baseline"/>
        </w:rPr>
        <w:t> </w:t>
      </w:r>
      <w:r>
        <w:rPr>
          <w:vertAlign w:val="baseline"/>
        </w:rPr>
        <w:t>for</w:t>
      </w:r>
      <w:r>
        <w:rPr>
          <w:spacing w:val="3"/>
          <w:vertAlign w:val="baseline"/>
        </w:rPr>
        <w:t> </w:t>
      </w:r>
      <w:r>
        <w:rPr>
          <w:vertAlign w:val="baseline"/>
        </w:rPr>
        <w:t>nominal</w:t>
      </w:r>
      <w:r>
        <w:rPr>
          <w:spacing w:val="4"/>
          <w:vertAlign w:val="baseline"/>
        </w:rPr>
        <w:t> </w:t>
      </w:r>
      <w:r>
        <w:rPr>
          <w:vertAlign w:val="baseline"/>
        </w:rPr>
        <w:t>payoffs</w:t>
      </w:r>
      <w:r>
        <w:rPr>
          <w:spacing w:val="4"/>
          <w:vertAlign w:val="baseline"/>
        </w:rPr>
        <w:t> </w:t>
      </w:r>
      <w:r>
        <w:rPr>
          <w:vertAlign w:val="baseline"/>
        </w:rPr>
        <w:t>in</w:t>
      </w:r>
      <w:r>
        <w:rPr>
          <w:spacing w:val="3"/>
          <w:vertAlign w:val="baseline"/>
        </w:rPr>
        <w:t> </w:t>
      </w:r>
      <w:r>
        <w:rPr>
          <w:vertAlign w:val="baseline"/>
        </w:rPr>
        <w:t>period</w:t>
      </w:r>
      <w:r>
        <w:rPr>
          <w:spacing w:val="3"/>
          <w:vertAlign w:val="baseline"/>
        </w:rPr>
        <w:t> </w:t>
      </w:r>
      <w:r>
        <w:rPr>
          <w:rFonts w:ascii="Cambria Math"/>
          <w:vertAlign w:val="baseline"/>
        </w:rPr>
        <w:t>t</w:t>
      </w:r>
      <w:r>
        <w:rPr>
          <w:rFonts w:ascii="Cambria Math"/>
          <w:spacing w:val="3"/>
          <w:vertAlign w:val="baseline"/>
        </w:rPr>
        <w:t> </w:t>
      </w:r>
      <w:r>
        <w:rPr>
          <w:rFonts w:ascii="Cambria Math"/>
          <w:vertAlign w:val="baseline"/>
        </w:rPr>
        <w:t>+</w:t>
      </w:r>
      <w:r>
        <w:rPr>
          <w:rFonts w:ascii="Cambria Math"/>
          <w:spacing w:val="3"/>
          <w:vertAlign w:val="baseline"/>
        </w:rPr>
        <w:t> </w:t>
      </w:r>
      <w:r>
        <w:rPr>
          <w:rFonts w:ascii="Cambria Math"/>
          <w:vertAlign w:val="baseline"/>
        </w:rPr>
        <w:t>k</w:t>
      </w:r>
      <w:r>
        <w:rPr>
          <w:rFonts w:ascii="Cambria Math"/>
          <w:spacing w:val="-50"/>
          <w:vertAlign w:val="baseline"/>
        </w:rPr>
        <w:t> </w:t>
      </w:r>
      <w:r>
        <w:rPr>
          <w:rFonts w:ascii="Cambria Math"/>
          <w:vertAlign w:val="baseline"/>
        </w:rPr>
        <w:t>Y</w:t>
      </w:r>
      <w:r>
        <w:rPr>
          <w:rFonts w:ascii="Cambria Math"/>
          <w:vertAlign w:val="subscript"/>
        </w:rPr>
        <w:t>t+k(i)</w:t>
      </w:r>
      <w:r>
        <w:rPr>
          <w:rFonts w:ascii="Cambria Math"/>
          <w:spacing w:val="-9"/>
          <w:vertAlign w:val="baseline"/>
        </w:rPr>
        <w:t> </w:t>
      </w:r>
      <w:r>
        <w:rPr>
          <w:vertAlign w:val="baseline"/>
        </w:rPr>
        <w:t>: Output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period</w:t>
      </w:r>
      <w:r>
        <w:rPr>
          <w:spacing w:val="-7"/>
          <w:vertAlign w:val="baseline"/>
        </w:rPr>
        <w:t> </w:t>
      </w:r>
      <w:r>
        <w:rPr>
          <w:rFonts w:ascii="Cambria Math"/>
          <w:vertAlign w:val="baseline"/>
        </w:rPr>
        <w:t>t</w:t>
      </w:r>
      <w:r>
        <w:rPr>
          <w:rFonts w:ascii="Cambria Math"/>
          <w:spacing w:val="1"/>
          <w:vertAlign w:val="baseline"/>
        </w:rPr>
        <w:t> </w:t>
      </w:r>
      <w:r>
        <w:rPr>
          <w:rFonts w:ascii="Cambria Math"/>
          <w:vertAlign w:val="baseline"/>
        </w:rPr>
        <w:t>+ k</w:t>
      </w:r>
      <w:r>
        <w:rPr>
          <w:rFonts w:ascii="Cambria Math"/>
          <w:spacing w:val="7"/>
          <w:vertAlign w:val="baseline"/>
        </w:rPr>
        <w:t> </w:t>
      </w:r>
      <w:r>
        <w:rPr>
          <w:vertAlign w:val="baseline"/>
        </w:rPr>
        <w:t>of good</w:t>
      </w:r>
      <w:r>
        <w:rPr>
          <w:spacing w:val="1"/>
          <w:vertAlign w:val="baseline"/>
        </w:rPr>
        <w:t> </w:t>
      </w:r>
      <w:r>
        <w:rPr>
          <w:vertAlign w:val="baseline"/>
        </w:rPr>
        <w:t>i</w:t>
      </w:r>
    </w:p>
    <w:p>
      <w:pPr>
        <w:pStyle w:val="BodyText"/>
        <w:spacing w:before="15"/>
        <w:ind w:left="500"/>
      </w:pPr>
      <w:r>
        <w:rPr/>
        <w:pict>
          <v:shape style="position:absolute;margin-left:78.143997pt;margin-top:8.156896pt;width:11.95pt;height:8.550pt;mso-position-horizontal-relative:page;mso-position-vertical-relative:paragraph;z-index:-21459456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05"/>
                      <w:sz w:val="17"/>
                    </w:rPr>
                    <w:t>𝐷,𝑡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</w:rPr>
        <w:t>𝑃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spacing w:val="31"/>
          <w:vertAlign w:val="baseline"/>
        </w:rPr>
        <w:t> </w:t>
      </w:r>
      <w:r>
        <w:rPr>
          <w:vertAlign w:val="baseline"/>
        </w:rPr>
        <w:t>: Fixed price</w:t>
      </w:r>
      <w:r>
        <w:rPr>
          <w:spacing w:val="-1"/>
          <w:vertAlign w:val="baseline"/>
        </w:rPr>
        <w:t> </w:t>
      </w:r>
      <w:r>
        <w:rPr>
          <w:vertAlign w:val="baseline"/>
        </w:rPr>
        <w:t>that maximises real</w:t>
      </w:r>
      <w:r>
        <w:rPr>
          <w:spacing w:val="1"/>
          <w:vertAlign w:val="baseline"/>
        </w:rPr>
        <w:t> </w:t>
      </w:r>
      <w:r>
        <w:rPr>
          <w:vertAlign w:val="baseline"/>
        </w:rPr>
        <w:t>discounted profits</w:t>
      </w:r>
    </w:p>
    <w:p>
      <w:pPr>
        <w:pStyle w:val="BodyText"/>
        <w:spacing w:line="410" w:lineRule="auto" w:before="220"/>
        <w:ind w:left="500" w:right="5854"/>
      </w:pPr>
      <w:r>
        <w:rPr>
          <w:rFonts w:ascii="Cambria Math"/>
        </w:rPr>
        <w:t>mc</w:t>
      </w:r>
      <w:r>
        <w:rPr>
          <w:rFonts w:ascii="Cambria Math"/>
          <w:vertAlign w:val="subscript"/>
        </w:rPr>
        <w:t>t+k</w:t>
      </w:r>
      <w:r>
        <w:rPr>
          <w:vertAlign w:val="baseline"/>
        </w:rPr>
        <w:t>:</w:t>
      </w:r>
      <w:r>
        <w:rPr>
          <w:spacing w:val="4"/>
          <w:vertAlign w:val="baseline"/>
        </w:rPr>
        <w:t> </w:t>
      </w:r>
      <w:r>
        <w:rPr>
          <w:vertAlign w:val="baseline"/>
        </w:rPr>
        <w:t>Real</w:t>
      </w:r>
      <w:r>
        <w:rPr>
          <w:spacing w:val="4"/>
          <w:vertAlign w:val="baseline"/>
        </w:rPr>
        <w:t> </w:t>
      </w:r>
      <w:r>
        <w:rPr>
          <w:vertAlign w:val="baseline"/>
        </w:rPr>
        <w:t>marginal</w:t>
      </w:r>
      <w:r>
        <w:rPr>
          <w:spacing w:val="4"/>
          <w:vertAlign w:val="baseline"/>
        </w:rPr>
        <w:t> </w:t>
      </w:r>
      <w:r>
        <w:rPr>
          <w:vertAlign w:val="baseline"/>
        </w:rPr>
        <w:t>cost</w:t>
      </w:r>
      <w:r>
        <w:rPr>
          <w:spacing w:val="4"/>
          <w:vertAlign w:val="baseline"/>
        </w:rPr>
        <w:t> </w:t>
      </w:r>
      <w:r>
        <w:rPr>
          <w:vertAlign w:val="baseline"/>
        </w:rPr>
        <w:t>in</w:t>
      </w:r>
      <w:r>
        <w:rPr>
          <w:spacing w:val="5"/>
          <w:vertAlign w:val="baseline"/>
        </w:rPr>
        <w:t> </w:t>
      </w:r>
      <w:r>
        <w:rPr>
          <w:vertAlign w:val="baseline"/>
        </w:rPr>
        <w:t>period</w:t>
      </w:r>
      <w:r>
        <w:rPr>
          <w:spacing w:val="-5"/>
          <w:vertAlign w:val="baseline"/>
        </w:rPr>
        <w:t> </w:t>
      </w:r>
      <w:r>
        <w:rPr>
          <w:rFonts w:ascii="Cambria Math"/>
          <w:vertAlign w:val="baseline"/>
        </w:rPr>
        <w:t>t</w:t>
      </w:r>
      <w:r>
        <w:rPr>
          <w:rFonts w:ascii="Cambria Math"/>
          <w:spacing w:val="4"/>
          <w:vertAlign w:val="baseline"/>
        </w:rPr>
        <w:t> </w:t>
      </w:r>
      <w:r>
        <w:rPr>
          <w:rFonts w:ascii="Cambria Math"/>
          <w:vertAlign w:val="baseline"/>
        </w:rPr>
        <w:t>+</w:t>
      </w:r>
      <w:r>
        <w:rPr>
          <w:rFonts w:ascii="Cambria Math"/>
          <w:spacing w:val="4"/>
          <w:vertAlign w:val="baseline"/>
        </w:rPr>
        <w:t> </w:t>
      </w:r>
      <w:r>
        <w:rPr>
          <w:rFonts w:ascii="Cambria Math"/>
          <w:vertAlign w:val="baseline"/>
        </w:rPr>
        <w:t>k</w:t>
      </w:r>
      <w:r>
        <w:rPr>
          <w:rFonts w:ascii="Cambria Math"/>
          <w:spacing w:val="-50"/>
          <w:vertAlign w:val="baseline"/>
        </w:rPr>
        <w:t> </w:t>
      </w:r>
      <w:r>
        <w:rPr>
          <w:rFonts w:ascii="Cambria Math"/>
          <w:vertAlign w:val="baseline"/>
        </w:rPr>
        <w:t>E</w:t>
      </w:r>
      <w:r>
        <w:rPr>
          <w:rFonts w:ascii="Cambria Math"/>
          <w:vertAlign w:val="subscript"/>
        </w:rPr>
        <w:t>t</w:t>
      </w:r>
      <w:r>
        <w:rPr>
          <w:rFonts w:ascii="Cambria Math"/>
          <w:spacing w:val="-5"/>
          <w:vertAlign w:val="baseline"/>
        </w:rPr>
        <w:t> </w:t>
      </w:r>
      <w:r>
        <w:rPr>
          <w:rFonts w:ascii="Cambria Math"/>
          <w:vertAlign w:val="baseline"/>
        </w:rPr>
        <w:t>:</w:t>
      </w:r>
      <w:r>
        <w:rPr>
          <w:rFonts w:ascii="Cambria Math"/>
          <w:spacing w:val="-4"/>
          <w:vertAlign w:val="baseline"/>
        </w:rPr>
        <w:t> </w:t>
      </w:r>
      <w:r>
        <w:rPr>
          <w:vertAlign w:val="baseline"/>
        </w:rPr>
        <w:t>Rational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Expectation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Operator</w:t>
      </w:r>
    </w:p>
    <w:p>
      <w:pPr>
        <w:pStyle w:val="BodyText"/>
        <w:ind w:left="500"/>
      </w:pPr>
      <w:r>
        <w:rPr>
          <w:rFonts w:ascii="Cambria Math" w:hAnsi="Cambria Math"/>
        </w:rPr>
        <w:t>Βθ</w:t>
      </w:r>
      <w:r>
        <w:rPr/>
        <w:t>:</w:t>
      </w:r>
      <w:r>
        <w:rPr>
          <w:spacing w:val="-1"/>
        </w:rPr>
        <w:t> </w:t>
      </w:r>
      <w:r>
        <w:rPr/>
        <w:t>Probability</w:t>
      </w:r>
      <w:r>
        <w:rPr>
          <w:spacing w:val="-8"/>
        </w:rPr>
        <w:t> </w:t>
      </w:r>
      <w:r>
        <w:rPr/>
        <w:t>that</w:t>
      </w:r>
      <w:r>
        <w:rPr>
          <w:spacing w:val="2"/>
        </w:rPr>
        <w:t> </w:t>
      </w:r>
      <w:r>
        <w:rPr/>
        <w:t>firms</w:t>
      </w:r>
      <w:r>
        <w:rPr>
          <w:spacing w:val="-1"/>
        </w:rPr>
        <w:t> </w:t>
      </w:r>
      <w:r>
        <w:rPr/>
        <w:t>reset prices</w:t>
      </w:r>
    </w:p>
    <w:p>
      <w:pPr>
        <w:spacing w:after="0"/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line="360" w:lineRule="auto" w:before="74"/>
        <w:ind w:left="500" w:right="497"/>
      </w:pPr>
      <w:r>
        <w:rPr>
          <w:b/>
        </w:rPr>
        <w:t>Central</w:t>
      </w:r>
      <w:r>
        <w:rPr>
          <w:b/>
          <w:spacing w:val="1"/>
        </w:rPr>
        <w:t> </w:t>
      </w:r>
      <w:r>
        <w:rPr>
          <w:b/>
        </w:rPr>
        <w:t>Bank: </w:t>
      </w:r>
      <w:r>
        <w:rPr/>
        <w:t>The</w:t>
      </w:r>
      <w:r>
        <w:rPr>
          <w:spacing w:val="3"/>
        </w:rPr>
        <w:t> </w:t>
      </w:r>
      <w:r>
        <w:rPr/>
        <w:t>Central</w:t>
      </w:r>
      <w:r>
        <w:rPr>
          <w:spacing w:val="4"/>
        </w:rPr>
        <w:t> </w:t>
      </w:r>
      <w:r>
        <w:rPr/>
        <w:t>Bank</w:t>
      </w:r>
      <w:r>
        <w:rPr>
          <w:spacing w:val="1"/>
        </w:rPr>
        <w:t> </w:t>
      </w:r>
      <w:r>
        <w:rPr/>
        <w:t>set</w:t>
      </w:r>
      <w:r>
        <w:rPr>
          <w:spacing w:val="2"/>
        </w:rPr>
        <w:t> </w:t>
      </w:r>
      <w:r>
        <w:rPr/>
        <w:t>nominal</w:t>
      </w:r>
      <w:r>
        <w:rPr>
          <w:spacing w:val="1"/>
        </w:rPr>
        <w:t> </w:t>
      </w:r>
      <w:r>
        <w:rPr/>
        <w:t>interest</w:t>
      </w:r>
      <w:r>
        <w:rPr>
          <w:spacing w:val="2"/>
        </w:rPr>
        <w:t> </w:t>
      </w:r>
      <w:r>
        <w:rPr/>
        <w:t>rate by</w:t>
      </w:r>
      <w:r>
        <w:rPr>
          <w:spacing w:val="-2"/>
        </w:rPr>
        <w:t> </w:t>
      </w:r>
      <w:r>
        <w:rPr/>
        <w:t>following</w:t>
      </w:r>
      <w:r>
        <w:rPr>
          <w:spacing w:val="2"/>
        </w:rPr>
        <w:t> </w:t>
      </w:r>
      <w:r>
        <w:rPr/>
        <w:t>a Taylor</w:t>
      </w:r>
      <w:r>
        <w:rPr>
          <w:spacing w:val="4"/>
        </w:rPr>
        <w:t> </w:t>
      </w:r>
      <w:r>
        <w:rPr/>
        <w:t>type</w:t>
      </w:r>
      <w:r>
        <w:rPr>
          <w:spacing w:val="2"/>
        </w:rPr>
        <w:t> </w:t>
      </w:r>
      <w:r>
        <w:rPr/>
        <w:t>rule</w:t>
      </w:r>
      <w:r>
        <w:rPr>
          <w:spacing w:val="-1"/>
        </w:rPr>
        <w:t> </w:t>
      </w:r>
      <w:r>
        <w:rPr/>
        <w:t>where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interest rate</w:t>
      </w:r>
      <w:r>
        <w:rPr>
          <w:spacing w:val="1"/>
        </w:rPr>
        <w:t> </w:t>
      </w:r>
      <w:r>
        <w:rPr/>
        <w:t>responds</w:t>
      </w:r>
      <w:r>
        <w:rPr>
          <w:spacing w:val="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inflation rate and output</w:t>
      </w:r>
      <w:r>
        <w:rPr>
          <w:spacing w:val="-1"/>
        </w:rPr>
        <w:t> </w:t>
      </w:r>
      <w:r>
        <w:rPr/>
        <w:t>growth</w:t>
      </w:r>
    </w:p>
    <w:p>
      <w:pPr>
        <w:pStyle w:val="BodyText"/>
        <w:spacing w:before="8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header="0" w:footer="935" w:top="1360" w:bottom="1200" w:left="940" w:right="940"/>
        </w:sectPr>
      </w:pPr>
    </w:p>
    <w:p>
      <w:pPr>
        <w:tabs>
          <w:tab w:pos="1085" w:val="left" w:leader="none"/>
        </w:tabs>
        <w:spacing w:line="166" w:lineRule="exact" w:before="98"/>
        <w:ind w:left="500" w:right="0" w:firstLine="0"/>
        <w:jc w:val="left"/>
        <w:rPr>
          <w:rFonts w:ascii="Cambria Math" w:hAnsi="Cambria Math"/>
          <w:sz w:val="14"/>
        </w:rPr>
      </w:pPr>
      <w:r>
        <w:rPr>
          <w:rFonts w:ascii="Cambria Math" w:hAnsi="Cambria Math"/>
          <w:w w:val="115"/>
          <w:position w:val="3"/>
          <w:sz w:val="17"/>
        </w:rPr>
        <w:t>R</w:t>
      </w:r>
      <w:r>
        <w:rPr>
          <w:rFonts w:ascii="Cambria Math" w:hAnsi="Cambria Math"/>
          <w:w w:val="115"/>
          <w:position w:val="10"/>
          <w:sz w:val="14"/>
        </w:rPr>
        <w:t>t</w:t>
        <w:tab/>
      </w:r>
      <w:r>
        <w:rPr>
          <w:rFonts w:ascii="Cambria Math" w:hAnsi="Cambria Math"/>
          <w:w w:val="115"/>
          <w:position w:val="3"/>
          <w:sz w:val="17"/>
        </w:rPr>
        <w:t>R</w:t>
      </w:r>
      <w:r>
        <w:rPr>
          <w:rFonts w:ascii="Cambria Math" w:hAnsi="Cambria Math"/>
          <w:w w:val="115"/>
          <w:sz w:val="14"/>
        </w:rPr>
        <w:t>t−1</w:t>
      </w:r>
      <w:r>
        <w:rPr>
          <w:rFonts w:ascii="Cambria Math" w:hAnsi="Cambria Math"/>
          <w:spacing w:val="29"/>
          <w:w w:val="115"/>
          <w:sz w:val="14"/>
        </w:rPr>
        <w:t> </w:t>
      </w:r>
      <w:r>
        <w:rPr>
          <w:rFonts w:ascii="Cambria Math" w:hAnsi="Cambria Math"/>
          <w:w w:val="115"/>
          <w:position w:val="11"/>
          <w:sz w:val="17"/>
        </w:rPr>
        <w:t>ρ</w:t>
      </w:r>
      <w:r>
        <w:rPr>
          <w:rFonts w:ascii="Cambria Math" w:hAnsi="Cambria Math"/>
          <w:w w:val="115"/>
          <w:position w:val="7"/>
          <w:sz w:val="14"/>
        </w:rPr>
        <w:t>R</w:t>
      </w:r>
    </w:p>
    <w:p>
      <w:pPr>
        <w:pStyle w:val="BodyText"/>
        <w:spacing w:before="8"/>
        <w:rPr>
          <w:rFonts w:ascii="Cambria Math"/>
          <w:sz w:val="11"/>
        </w:rPr>
      </w:pPr>
    </w:p>
    <w:p>
      <w:pPr>
        <w:tabs>
          <w:tab w:pos="1086" w:val="left" w:leader="none"/>
        </w:tabs>
        <w:spacing w:line="20" w:lineRule="exact"/>
        <w:ind w:left="500" w:right="0" w:firstLine="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9.25pt;height:.85pt;mso-position-horizontal-relative:char;mso-position-vertical-relative:line" coordorigin="0,0" coordsize="185,17">
            <v:rect style="position:absolute;left:0;top:0;width:185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18.6pt;height:.85pt;mso-position-horizontal-relative:char;mso-position-vertical-relative:line" coordorigin="0,0" coordsize="372,17">
            <v:rect style="position:absolute;left:0;top:0;width:372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61" w:lineRule="exact" w:before="103"/>
        <w:ind w:left="222" w:right="0" w:firstLine="0"/>
        <w:jc w:val="left"/>
        <w:rPr>
          <w:rFonts w:ascii="Cambria Math" w:hAnsi="Cambria Math"/>
          <w:sz w:val="14"/>
        </w:rPr>
      </w:pPr>
      <w:r>
        <w:rPr/>
        <w:br w:type="column"/>
      </w:r>
      <w:r>
        <w:rPr>
          <w:rFonts w:ascii="Cambria Math" w:hAnsi="Cambria Math"/>
          <w:w w:val="120"/>
          <w:position w:val="-6"/>
          <w:sz w:val="17"/>
        </w:rPr>
        <w:t>π</w:t>
      </w:r>
      <w:r>
        <w:rPr>
          <w:rFonts w:ascii="Cambria Math" w:hAnsi="Cambria Math"/>
          <w:w w:val="120"/>
          <w:position w:val="-10"/>
          <w:sz w:val="14"/>
        </w:rPr>
        <w:t>t </w:t>
      </w:r>
      <w:r>
        <w:rPr>
          <w:rFonts w:ascii="Cambria Math" w:hAnsi="Cambria Math"/>
          <w:spacing w:val="16"/>
          <w:w w:val="120"/>
          <w:position w:val="-10"/>
          <w:sz w:val="14"/>
        </w:rPr>
        <w:t> </w:t>
      </w:r>
      <w:r>
        <w:rPr>
          <w:rFonts w:ascii="Cambria Math" w:hAnsi="Cambria Math"/>
          <w:w w:val="120"/>
          <w:sz w:val="17"/>
        </w:rPr>
        <w:t>φ</w:t>
      </w:r>
      <w:r>
        <w:rPr>
          <w:rFonts w:ascii="Cambria Math" w:hAnsi="Cambria Math"/>
          <w:w w:val="120"/>
          <w:position w:val="-2"/>
          <w:sz w:val="14"/>
        </w:rPr>
        <w:t>π</w:t>
      </w:r>
    </w:p>
    <w:p>
      <w:pPr>
        <w:pStyle w:val="BodyText"/>
        <w:spacing w:before="8"/>
        <w:rPr>
          <w:rFonts w:ascii="Cambria Math"/>
          <w:sz w:val="11"/>
        </w:rPr>
      </w:pPr>
    </w:p>
    <w:p>
      <w:pPr>
        <w:pStyle w:val="BodyText"/>
        <w:spacing w:line="20" w:lineRule="exact"/>
        <w:ind w:left="22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9.15pt;height:.85pt;mso-position-horizontal-relative:char;mso-position-vertical-relative:line" coordorigin="0,0" coordsize="183,17">
            <v:rect style="position:absolute;left:0;top:0;width:183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61" w:lineRule="exact" w:before="103"/>
        <w:ind w:left="134" w:right="0" w:firstLine="0"/>
        <w:jc w:val="left"/>
        <w:rPr>
          <w:rFonts w:ascii="Cambria Math" w:hAnsi="Cambria Math"/>
          <w:sz w:val="14"/>
        </w:rPr>
      </w:pPr>
      <w:r>
        <w:rPr/>
        <w:br w:type="column"/>
      </w:r>
      <w:r>
        <w:rPr>
          <w:rFonts w:ascii="Cambria Math" w:hAnsi="Cambria Math"/>
          <w:w w:val="120"/>
          <w:position w:val="-6"/>
          <w:sz w:val="17"/>
        </w:rPr>
        <w:t>Y</w:t>
      </w:r>
      <w:r>
        <w:rPr>
          <w:rFonts w:ascii="Cambria Math" w:hAnsi="Cambria Math"/>
          <w:w w:val="120"/>
          <w:position w:val="-10"/>
          <w:sz w:val="14"/>
        </w:rPr>
        <w:t>t </w:t>
      </w:r>
      <w:r>
        <w:rPr>
          <w:rFonts w:ascii="Cambria Math" w:hAnsi="Cambria Math"/>
          <w:spacing w:val="19"/>
          <w:w w:val="120"/>
          <w:position w:val="-10"/>
          <w:sz w:val="14"/>
        </w:rPr>
        <w:t> </w:t>
      </w:r>
      <w:r>
        <w:rPr>
          <w:rFonts w:ascii="Cambria Math" w:hAnsi="Cambria Math"/>
          <w:w w:val="120"/>
          <w:sz w:val="17"/>
        </w:rPr>
        <w:t>φ</w:t>
      </w:r>
      <w:r>
        <w:rPr>
          <w:rFonts w:ascii="Cambria Math" w:hAnsi="Cambria Math"/>
          <w:w w:val="120"/>
          <w:position w:val="-2"/>
          <w:sz w:val="14"/>
        </w:rPr>
        <w:t>Y</w:t>
      </w:r>
    </w:p>
    <w:p>
      <w:pPr>
        <w:pStyle w:val="BodyText"/>
        <w:spacing w:before="8"/>
        <w:rPr>
          <w:rFonts w:ascii="Cambria Math"/>
          <w:sz w:val="11"/>
        </w:rPr>
      </w:pPr>
    </w:p>
    <w:p>
      <w:pPr>
        <w:pStyle w:val="BodyText"/>
        <w:spacing w:line="20" w:lineRule="exact"/>
        <w:ind w:left="134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8.950pt;height:.85pt;mso-position-horizontal-relative:char;mso-position-vertical-relative:line" coordorigin="0,0" coordsize="179,17">
            <v:rect style="position:absolute;left:0;top:0;width:179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61" w:lineRule="exact" w:before="103"/>
        <w:ind w:left="132" w:right="0" w:firstLine="0"/>
        <w:jc w:val="left"/>
        <w:rPr>
          <w:rFonts w:ascii="Cambria Math" w:hAnsi="Cambria Math"/>
          <w:sz w:val="14"/>
        </w:rPr>
      </w:pPr>
      <w:r>
        <w:rPr/>
        <w:br w:type="column"/>
      </w:r>
      <w:r>
        <w:rPr>
          <w:rFonts w:ascii="Cambria Math" w:hAnsi="Cambria Math"/>
          <w:w w:val="120"/>
          <w:position w:val="-6"/>
          <w:sz w:val="17"/>
        </w:rPr>
        <w:t>S</w:t>
      </w:r>
      <w:r>
        <w:rPr>
          <w:rFonts w:ascii="Cambria Math" w:hAnsi="Cambria Math"/>
          <w:w w:val="120"/>
          <w:position w:val="-10"/>
          <w:sz w:val="14"/>
        </w:rPr>
        <w:t>t </w:t>
      </w:r>
      <w:r>
        <w:rPr>
          <w:rFonts w:ascii="Cambria Math" w:hAnsi="Cambria Math"/>
          <w:spacing w:val="19"/>
          <w:w w:val="120"/>
          <w:position w:val="-10"/>
          <w:sz w:val="14"/>
        </w:rPr>
        <w:t> </w:t>
      </w:r>
      <w:r>
        <w:rPr>
          <w:rFonts w:ascii="Cambria Math" w:hAnsi="Cambria Math"/>
          <w:w w:val="120"/>
          <w:sz w:val="17"/>
        </w:rPr>
        <w:t>φ</w:t>
      </w:r>
      <w:r>
        <w:rPr>
          <w:rFonts w:ascii="Cambria Math" w:hAnsi="Cambria Math"/>
          <w:w w:val="120"/>
          <w:position w:val="-2"/>
          <w:sz w:val="14"/>
        </w:rPr>
        <w:t>S</w:t>
      </w:r>
    </w:p>
    <w:p>
      <w:pPr>
        <w:pStyle w:val="BodyText"/>
        <w:spacing w:before="8"/>
        <w:rPr>
          <w:rFonts w:ascii="Cambria Math"/>
          <w:sz w:val="11"/>
        </w:rPr>
      </w:pPr>
    </w:p>
    <w:p>
      <w:pPr>
        <w:pStyle w:val="BodyText"/>
        <w:spacing w:line="20" w:lineRule="exact"/>
        <w:ind w:left="13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8.2pt;height:.85pt;mso-position-horizontal-relative:char;mso-position-vertical-relative:line" coordorigin="0,0" coordsize="164,17">
            <v:rect style="position:absolute;left:0;top:0;width:164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89" w:lineRule="exact" w:before="72"/>
        <w:ind w:left="62" w:right="0" w:firstLine="0"/>
        <w:jc w:val="left"/>
        <w:rPr>
          <w:rFonts w:ascii="Cambria Math" w:hAnsi="Cambria Math"/>
          <w:sz w:val="14"/>
        </w:rPr>
      </w:pPr>
      <w:r>
        <w:rPr/>
        <w:br w:type="column"/>
      </w:r>
      <w:r>
        <w:rPr>
          <w:rFonts w:ascii="Cambria Math" w:hAnsi="Cambria Math"/>
          <w:w w:val="110"/>
          <w:sz w:val="17"/>
        </w:rPr>
        <w:t>1−ρ</w:t>
      </w:r>
      <w:r>
        <w:rPr>
          <w:rFonts w:ascii="Cambria Math" w:hAnsi="Cambria Math"/>
          <w:w w:val="110"/>
          <w:position w:val="-2"/>
          <w:sz w:val="14"/>
        </w:rPr>
        <w:t>R</w:t>
      </w:r>
    </w:p>
    <w:p>
      <w:pPr>
        <w:spacing w:line="3" w:lineRule="exact" w:before="0"/>
        <w:ind w:left="650" w:right="0" w:firstLine="0"/>
        <w:jc w:val="left"/>
        <w:rPr>
          <w:rFonts w:ascii="Cambria Math"/>
          <w:sz w:val="17"/>
        </w:rPr>
      </w:pPr>
      <w:r>
        <w:rPr/>
        <w:pict>
          <v:shape style="position:absolute;margin-left:277.730011pt;margin-top:6.735272pt;width:3.35pt;height:8.550pt;mso-position-horizontal-relative:page;mso-position-vertical-relative:paragraph;z-index:15739904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115"/>
                      <w:sz w:val="17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w w:val="111"/>
          <w:sz w:val="17"/>
        </w:rPr>
        <w:t>R</w:t>
      </w:r>
    </w:p>
    <w:p>
      <w:pPr>
        <w:spacing w:after="0" w:line="3" w:lineRule="exact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120" w:left="940" w:right="940"/>
          <w:cols w:num="5" w:equalWidth="0">
            <w:col w:w="1753" w:space="40"/>
            <w:col w:w="759" w:space="39"/>
            <w:col w:w="662" w:space="39"/>
            <w:col w:w="633" w:space="40"/>
            <w:col w:w="6395"/>
          </w:cols>
        </w:sectPr>
      </w:pPr>
    </w:p>
    <w:p>
      <w:pPr>
        <w:pStyle w:val="BodyText"/>
        <w:tabs>
          <w:tab w:pos="1457" w:val="left" w:leader="none"/>
        </w:tabs>
        <w:spacing w:line="63" w:lineRule="exact"/>
        <w:ind w:left="752"/>
        <w:rPr>
          <w:rFonts w:ascii="Cambria Math"/>
        </w:rPr>
      </w:pPr>
      <w:r>
        <w:rPr>
          <w:rFonts w:ascii="Cambria Math"/>
          <w:w w:val="105"/>
        </w:rPr>
        <w:t>=</w:t>
      </w:r>
      <w:r>
        <w:rPr>
          <w:rFonts w:ascii="Cambria Math"/>
          <w:spacing w:val="6"/>
          <w:w w:val="105"/>
        </w:rPr>
        <w:t> </w:t>
      </w:r>
      <w:r>
        <w:rPr>
          <w:rFonts w:ascii="Cambria Math"/>
          <w:w w:val="105"/>
        </w:rPr>
        <w:t>[</w:t>
        <w:tab/>
      </w:r>
      <w:r>
        <w:rPr>
          <w:rFonts w:ascii="Cambria Math"/>
          <w:spacing w:val="-7"/>
          <w:w w:val="105"/>
        </w:rPr>
        <w:t>]</w:t>
      </w:r>
    </w:p>
    <w:p>
      <w:pPr>
        <w:tabs>
          <w:tab w:pos="1213" w:val="left" w:leader="none"/>
        </w:tabs>
        <w:spacing w:line="152" w:lineRule="exact" w:before="0"/>
        <w:ind w:left="534" w:right="0" w:firstLine="0"/>
        <w:jc w:val="left"/>
        <w:rPr>
          <w:rFonts w:ascii="Cambria Math"/>
          <w:sz w:val="17"/>
        </w:rPr>
      </w:pPr>
      <w:r>
        <w:rPr>
          <w:rFonts w:ascii="Cambria Math"/>
          <w:w w:val="110"/>
          <w:sz w:val="17"/>
        </w:rPr>
        <w:t>R</w:t>
        <w:tab/>
        <w:t>R</w:t>
      </w:r>
    </w:p>
    <w:p>
      <w:pPr>
        <w:pStyle w:val="BodyText"/>
        <w:spacing w:line="63" w:lineRule="exact"/>
        <w:ind w:left="222"/>
        <w:jc w:val="center"/>
        <w:rPr>
          <w:rFonts w:ascii="Cambria Math"/>
        </w:rPr>
      </w:pPr>
      <w:r>
        <w:rPr/>
        <w:br w:type="column"/>
      </w:r>
      <w:r>
        <w:rPr>
          <w:rFonts w:ascii="Cambria Math"/>
          <w:w w:val="115"/>
        </w:rPr>
        <w:t>[( </w:t>
      </w:r>
      <w:r>
        <w:rPr>
          <w:rFonts w:ascii="Cambria Math"/>
          <w:spacing w:val="39"/>
          <w:w w:val="115"/>
        </w:rPr>
        <w:t> </w:t>
      </w:r>
      <w:r>
        <w:rPr>
          <w:rFonts w:ascii="Cambria Math"/>
          <w:w w:val="115"/>
        </w:rPr>
        <w:t>)</w:t>
      </w:r>
    </w:p>
    <w:p>
      <w:pPr>
        <w:spacing w:line="152" w:lineRule="exact" w:before="0"/>
        <w:ind w:left="311" w:right="0" w:firstLine="0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w w:val="112"/>
          <w:sz w:val="17"/>
        </w:rPr>
        <w:t>π</w:t>
      </w:r>
    </w:p>
    <w:p>
      <w:pPr>
        <w:pStyle w:val="BodyText"/>
        <w:tabs>
          <w:tab w:pos="951" w:val="left" w:leader="none"/>
          <w:tab w:pos="1587" w:val="left" w:leader="none"/>
          <w:tab w:pos="2154" w:val="left" w:leader="none"/>
        </w:tabs>
        <w:spacing w:line="63" w:lineRule="exact"/>
        <w:ind w:left="252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  <w:w w:val="110"/>
        </w:rPr>
        <w:t>(  </w:t>
      </w:r>
      <w:r>
        <w:rPr>
          <w:rFonts w:ascii="Cambria Math" w:hAnsi="Cambria Math"/>
          <w:spacing w:val="12"/>
          <w:w w:val="110"/>
        </w:rPr>
        <w:t> </w:t>
      </w:r>
      <w:r>
        <w:rPr>
          <w:rFonts w:ascii="Cambria Math" w:hAnsi="Cambria Math"/>
          <w:w w:val="110"/>
        </w:rPr>
        <w:t>)</w:t>
        <w:tab/>
        <w:t>( </w:t>
      </w:r>
      <w:r>
        <w:rPr>
          <w:rFonts w:ascii="Cambria Math" w:hAnsi="Cambria Math"/>
          <w:spacing w:val="55"/>
          <w:w w:val="110"/>
        </w:rPr>
        <w:t> </w:t>
      </w:r>
      <w:r>
        <w:rPr>
          <w:rFonts w:ascii="Cambria Math" w:hAnsi="Cambria Math"/>
          <w:w w:val="110"/>
        </w:rPr>
        <w:t>)</w:t>
        <w:tab/>
        <w:t>]</w:t>
        <w:tab/>
        <w:t>ε</w:t>
      </w:r>
    </w:p>
    <w:p>
      <w:pPr>
        <w:tabs>
          <w:tab w:pos="1102" w:val="left" w:leader="none"/>
        </w:tabs>
        <w:spacing w:line="152" w:lineRule="exact" w:before="0"/>
        <w:ind w:left="403" w:right="0" w:firstLine="0"/>
        <w:jc w:val="left"/>
        <w:rPr>
          <w:rFonts w:ascii="Cambria Math"/>
          <w:sz w:val="17"/>
        </w:rPr>
      </w:pPr>
      <w:r>
        <w:rPr>
          <w:rFonts w:ascii="Cambria Math"/>
          <w:w w:val="115"/>
          <w:sz w:val="17"/>
        </w:rPr>
        <w:t>Y</w:t>
        <w:tab/>
        <w:t>S</w:t>
      </w:r>
    </w:p>
    <w:p>
      <w:pPr>
        <w:pStyle w:val="BodyText"/>
        <w:spacing w:line="109" w:lineRule="exact"/>
        <w:ind w:left="534"/>
      </w:pPr>
      <w:r>
        <w:rPr/>
        <w:br w:type="column"/>
      </w:r>
      <w:r>
        <w:rPr/>
        <w:t>(4.7)</w:t>
      </w:r>
    </w:p>
    <w:p>
      <w:pPr>
        <w:spacing w:after="0" w:line="109" w:lineRule="exact"/>
        <w:sectPr>
          <w:type w:val="continuous"/>
          <w:pgSz w:w="12240" w:h="15840"/>
          <w:pgMar w:top="1500" w:bottom="1120" w:left="940" w:right="940"/>
          <w:cols w:num="4" w:equalWidth="0">
            <w:col w:w="1546" w:space="40"/>
            <w:col w:w="730" w:space="39"/>
            <w:col w:w="2367" w:space="3766"/>
            <w:col w:w="1872"/>
          </w:cols>
        </w:sect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90"/>
        <w:ind w:left="500"/>
      </w:pPr>
      <w:r>
        <w:rPr/>
        <w:t>Where,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500"/>
      </w:pPr>
      <w:r>
        <w:rPr>
          <w:rFonts w:ascii="Cambria Math"/>
        </w:rPr>
        <w:t>R</w:t>
      </w:r>
      <w:r>
        <w:rPr>
          <w:rFonts w:ascii="Cambria Math"/>
          <w:vertAlign w:val="superscript"/>
        </w:rPr>
        <w:t>t</w:t>
      </w:r>
      <w:r>
        <w:rPr>
          <w:vertAlign w:val="baseline"/>
        </w:rPr>
        <w:t>:</w:t>
      </w:r>
      <w:r>
        <w:rPr>
          <w:spacing w:val="6"/>
          <w:vertAlign w:val="baseline"/>
        </w:rPr>
        <w:t> </w:t>
      </w:r>
      <w:r>
        <w:rPr>
          <w:vertAlign w:val="baseline"/>
        </w:rPr>
        <w:t>Interest</w:t>
      </w:r>
      <w:r>
        <w:rPr>
          <w:spacing w:val="5"/>
          <w:vertAlign w:val="baseline"/>
        </w:rPr>
        <w:t> </w:t>
      </w:r>
      <w:r>
        <w:rPr>
          <w:vertAlign w:val="baseline"/>
        </w:rPr>
        <w:t>rate</w:t>
      </w:r>
    </w:p>
    <w:p>
      <w:pPr>
        <w:pStyle w:val="BodyText"/>
        <w:spacing w:before="199"/>
        <w:ind w:left="500"/>
      </w:pPr>
      <w:r>
        <w:rPr>
          <w:rFonts w:ascii="Cambria Math" w:hAnsi="Cambria Math"/>
        </w:rPr>
        <w:t>R</w:t>
      </w:r>
      <w:r>
        <w:rPr>
          <w:rFonts w:ascii="Cambria Math" w:hAnsi="Cambria Math"/>
          <w:vertAlign w:val="subscript"/>
        </w:rPr>
        <w:t>t−1</w:t>
      </w:r>
      <w:r>
        <w:rPr>
          <w:vertAlign w:val="baseline"/>
        </w:rPr>
        <w:t>:</w:t>
      </w:r>
      <w:r>
        <w:rPr>
          <w:spacing w:val="8"/>
          <w:vertAlign w:val="baseline"/>
        </w:rPr>
        <w:t> </w:t>
      </w:r>
      <w:r>
        <w:rPr>
          <w:vertAlign w:val="baseline"/>
        </w:rPr>
        <w:t>lagged</w:t>
      </w:r>
      <w:r>
        <w:rPr>
          <w:spacing w:val="9"/>
          <w:vertAlign w:val="baseline"/>
        </w:rPr>
        <w:t> </w:t>
      </w:r>
      <w:r>
        <w:rPr>
          <w:vertAlign w:val="baseline"/>
        </w:rPr>
        <w:t>interest</w:t>
      </w:r>
      <w:r>
        <w:rPr>
          <w:spacing w:val="9"/>
          <w:vertAlign w:val="baseline"/>
        </w:rPr>
        <w:t> </w:t>
      </w:r>
      <w:r>
        <w:rPr>
          <w:vertAlign w:val="baseline"/>
        </w:rPr>
        <w:t>rate</w:t>
      </w:r>
    </w:p>
    <w:p>
      <w:pPr>
        <w:pStyle w:val="BodyText"/>
        <w:spacing w:line="410" w:lineRule="auto" w:before="202"/>
        <w:ind w:left="500" w:right="8115"/>
      </w:pPr>
      <w:r>
        <w:rPr>
          <w:rFonts w:ascii="Cambria Math" w:hAnsi="Cambria Math"/>
        </w:rPr>
        <w:t>π</w:t>
      </w:r>
      <w:r>
        <w:rPr>
          <w:rFonts w:ascii="Cambria Math" w:hAnsi="Cambria Math"/>
          <w:vertAlign w:val="subscript"/>
        </w:rPr>
        <w:t>t</w:t>
      </w:r>
      <w:r>
        <w:rPr>
          <w:vertAlign w:val="baseline"/>
        </w:rPr>
        <w:t>:</w:t>
      </w:r>
      <w:r>
        <w:rPr>
          <w:spacing w:val="5"/>
          <w:vertAlign w:val="baseline"/>
        </w:rPr>
        <w:t> </w:t>
      </w:r>
      <w:r>
        <w:rPr>
          <w:vertAlign w:val="baseline"/>
        </w:rPr>
        <w:t>Inflation</w:t>
      </w:r>
      <w:r>
        <w:rPr>
          <w:spacing w:val="3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rFonts w:ascii="Cambria Math" w:hAnsi="Cambria Math"/>
          <w:vertAlign w:val="baseline"/>
        </w:rPr>
        <w:t>Y</w:t>
      </w:r>
      <w:r>
        <w:rPr>
          <w:rFonts w:ascii="Cambria Math" w:hAnsi="Cambria Math"/>
          <w:vertAlign w:val="subscript"/>
        </w:rPr>
        <w:t>t</w:t>
      </w:r>
      <w:r>
        <w:rPr>
          <w:vertAlign w:val="baseline"/>
        </w:rPr>
        <w:t>: Output growth</w:t>
      </w:r>
      <w:r>
        <w:rPr>
          <w:spacing w:val="-57"/>
          <w:vertAlign w:val="baseline"/>
        </w:rPr>
        <w:t> </w:t>
      </w:r>
      <w:r>
        <w:rPr>
          <w:rFonts w:ascii="Cambria Math" w:hAnsi="Cambria Math"/>
          <w:vertAlign w:val="baseline"/>
        </w:rPr>
        <w:t>S</w:t>
      </w:r>
      <w:r>
        <w:rPr>
          <w:rFonts w:ascii="Cambria Math" w:hAnsi="Cambria Math"/>
          <w:vertAlign w:val="subscript"/>
        </w:rPr>
        <w:t>t</w:t>
      </w:r>
      <w:r>
        <w:rPr>
          <w:vertAlign w:val="baseline"/>
        </w:rPr>
        <w:t>:</w:t>
      </w:r>
      <w:r>
        <w:rPr>
          <w:spacing w:val="5"/>
          <w:vertAlign w:val="baseline"/>
        </w:rPr>
        <w:t> </w:t>
      </w:r>
      <w:r>
        <w:rPr>
          <w:vertAlign w:val="baseline"/>
        </w:rPr>
        <w:t>Exchange</w:t>
      </w:r>
      <w:r>
        <w:rPr>
          <w:spacing w:val="5"/>
          <w:vertAlign w:val="baseline"/>
        </w:rPr>
        <w:t> </w:t>
      </w:r>
      <w:r>
        <w:rPr>
          <w:vertAlign w:val="baseline"/>
        </w:rPr>
        <w:t>rate</w:t>
      </w:r>
    </w:p>
    <w:p>
      <w:pPr>
        <w:pStyle w:val="BodyText"/>
        <w:spacing w:before="11"/>
        <w:ind w:left="500"/>
      </w:pPr>
      <w:r>
        <w:rPr/>
        <w:pict>
          <v:shape style="position:absolute;margin-left:77.304001pt;margin-top:7.836893pt;width:3.35pt;height:8.550pt;mso-position-horizontal-relative:page;mso-position-vertical-relative:paragraph;z-index:-21456384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115"/>
                      <w:sz w:val="17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/>
        </w:rPr>
        <w:t>ε</w:t>
      </w:r>
      <w:r>
        <w:rPr>
          <w:rFonts w:ascii="Cambria Math" w:hAnsi="Cambria Math"/>
          <w:vertAlign w:val="superscript"/>
        </w:rPr>
        <w:t>R</w:t>
      </w:r>
      <w:r>
        <w:rPr>
          <w:vertAlign w:val="baseline"/>
        </w:rPr>
        <w:t>:</w:t>
      </w:r>
      <w:r>
        <w:rPr>
          <w:spacing w:val="6"/>
          <w:vertAlign w:val="baseline"/>
        </w:rPr>
        <w:t> </w:t>
      </w:r>
      <w:r>
        <w:rPr>
          <w:vertAlign w:val="baseline"/>
        </w:rPr>
        <w:t>Innovation</w:t>
      </w:r>
      <w:r>
        <w:rPr>
          <w:spacing w:val="4"/>
          <w:vertAlign w:val="baseline"/>
        </w:rPr>
        <w:t> </w:t>
      </w:r>
      <w:r>
        <w:rPr>
          <w:vertAlign w:val="baseline"/>
        </w:rPr>
        <w:t>to</w:t>
      </w:r>
      <w:r>
        <w:rPr>
          <w:spacing w:val="5"/>
          <w:vertAlign w:val="baseline"/>
        </w:rPr>
        <w:t> </w:t>
      </w:r>
      <w:r>
        <w:rPr>
          <w:vertAlign w:val="baseline"/>
        </w:rPr>
        <w:t>monetary</w:t>
      </w:r>
      <w:r>
        <w:rPr>
          <w:spacing w:val="1"/>
          <w:vertAlign w:val="baseline"/>
        </w:rPr>
        <w:t> </w:t>
      </w:r>
      <w:r>
        <w:rPr>
          <w:vertAlign w:val="baseline"/>
        </w:rPr>
        <w:t>policy</w:t>
      </w:r>
    </w:p>
    <w:p>
      <w:pPr>
        <w:pStyle w:val="BodyText"/>
        <w:spacing w:before="198"/>
        <w:ind w:left="500"/>
      </w:pPr>
      <w:r>
        <w:rPr>
          <w:rFonts w:ascii="Cambria Math" w:hAnsi="Cambria Math"/>
        </w:rPr>
        <w:t>ρ</w:t>
      </w:r>
      <w:r>
        <w:rPr>
          <w:rFonts w:ascii="Cambria Math" w:hAnsi="Cambria Math"/>
          <w:vertAlign w:val="subscript"/>
        </w:rPr>
        <w:t>R</w:t>
      </w:r>
      <w:r>
        <w:rPr>
          <w:vertAlign w:val="baseline"/>
        </w:rPr>
        <w:t>:</w:t>
      </w:r>
      <w:r>
        <w:rPr>
          <w:spacing w:val="3"/>
          <w:vertAlign w:val="baseline"/>
        </w:rPr>
        <w:t> </w:t>
      </w:r>
      <w:r>
        <w:rPr>
          <w:vertAlign w:val="baseline"/>
        </w:rPr>
        <w:t>Degree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4"/>
          <w:vertAlign w:val="baseline"/>
        </w:rPr>
        <w:t> </w:t>
      </w:r>
      <w:r>
        <w:rPr>
          <w:vertAlign w:val="baseline"/>
        </w:rPr>
        <w:t>interest</w:t>
      </w:r>
      <w:r>
        <w:rPr>
          <w:spacing w:val="4"/>
          <w:vertAlign w:val="baseline"/>
        </w:rPr>
        <w:t> </w:t>
      </w:r>
      <w:r>
        <w:rPr>
          <w:vertAlign w:val="baseline"/>
        </w:rPr>
        <w:t>rate</w:t>
      </w:r>
      <w:r>
        <w:rPr>
          <w:spacing w:val="4"/>
          <w:vertAlign w:val="baseline"/>
        </w:rPr>
        <w:t> </w:t>
      </w:r>
      <w:r>
        <w:rPr>
          <w:vertAlign w:val="baseline"/>
        </w:rPr>
        <w:t>smoothing</w:t>
      </w:r>
    </w:p>
    <w:p>
      <w:pPr>
        <w:pStyle w:val="BodyText"/>
        <w:spacing w:before="201"/>
        <w:ind w:left="500" w:right="729"/>
      </w:pPr>
      <w:r>
        <w:rPr>
          <w:rFonts w:ascii="Cambria Math" w:hAnsi="Cambria Math"/>
        </w:rPr>
        <w:t>φ</w:t>
      </w:r>
      <w:r>
        <w:rPr>
          <w:rFonts w:ascii="Cambria Math" w:hAnsi="Cambria Math"/>
          <w:vertAlign w:val="subscript"/>
        </w:rPr>
        <w:t>π</w:t>
      </w:r>
      <w:r>
        <w:rPr>
          <w:rFonts w:ascii="Cambria Math" w:hAnsi="Cambria Math"/>
          <w:vertAlign w:val="baseline"/>
        </w:rPr>
        <w:t>,</w:t>
      </w:r>
      <w:r>
        <w:rPr>
          <w:rFonts w:ascii="Cambria Math" w:hAnsi="Cambria Math"/>
          <w:spacing w:val="-12"/>
          <w:vertAlign w:val="baseline"/>
        </w:rPr>
        <w:t> </w:t>
      </w:r>
      <w:r>
        <w:rPr>
          <w:rFonts w:ascii="Cambria Math" w:hAnsi="Cambria Math"/>
          <w:vertAlign w:val="baseline"/>
        </w:rPr>
        <w:t>φ</w:t>
      </w:r>
      <w:r>
        <w:rPr>
          <w:rFonts w:ascii="Cambria Math" w:hAnsi="Cambria Math"/>
          <w:vertAlign w:val="subscript"/>
        </w:rPr>
        <w:t>Y</w:t>
      </w:r>
      <w:r>
        <w:rPr>
          <w:rFonts w:ascii="Cambria Math" w:hAnsi="Cambria Math"/>
          <w:vertAlign w:val="baseline"/>
        </w:rPr>
        <w:t>,</w:t>
      </w:r>
      <w:r>
        <w:rPr>
          <w:rFonts w:ascii="Cambria Math" w:hAnsi="Cambria Math"/>
          <w:spacing w:val="-12"/>
          <w:vertAlign w:val="baseline"/>
        </w:rPr>
        <w:t> </w:t>
      </w:r>
      <w:r>
        <w:rPr>
          <w:rFonts w:ascii="Cambria Math" w:hAnsi="Cambria Math"/>
          <w:vertAlign w:val="baseline"/>
        </w:rPr>
        <w:t>φ</w:t>
      </w:r>
      <w:r>
        <w:rPr>
          <w:rFonts w:ascii="Cambria Math" w:hAnsi="Cambria Math"/>
          <w:vertAlign w:val="subscript"/>
        </w:rPr>
        <w:t>S</w:t>
      </w:r>
      <w:r>
        <w:rPr>
          <w:vertAlign w:val="baseline"/>
        </w:rPr>
        <w:t>:</w:t>
      </w:r>
      <w:r>
        <w:rPr>
          <w:spacing w:val="4"/>
          <w:vertAlign w:val="baseline"/>
        </w:rPr>
        <w:t> </w:t>
      </w:r>
      <w:r>
        <w:rPr>
          <w:vertAlign w:val="baseline"/>
        </w:rPr>
        <w:t>Parameters</w:t>
      </w:r>
      <w:r>
        <w:rPr>
          <w:spacing w:val="3"/>
          <w:vertAlign w:val="baseline"/>
        </w:rPr>
        <w:t> </w:t>
      </w:r>
      <w:r>
        <w:rPr>
          <w:vertAlign w:val="baseline"/>
        </w:rPr>
        <w:t>that</w:t>
      </w:r>
      <w:r>
        <w:rPr>
          <w:spacing w:val="4"/>
          <w:vertAlign w:val="baseline"/>
        </w:rPr>
        <w:t> </w:t>
      </w:r>
      <w:r>
        <w:rPr>
          <w:vertAlign w:val="baseline"/>
        </w:rPr>
        <w:t>measures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response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4"/>
          <w:vertAlign w:val="baseline"/>
        </w:rPr>
        <w:t> </w:t>
      </w:r>
      <w:r>
        <w:rPr>
          <w:vertAlign w:val="baseline"/>
        </w:rPr>
        <w:t>Central</w:t>
      </w:r>
      <w:r>
        <w:rPr>
          <w:spacing w:val="3"/>
          <w:vertAlign w:val="baseline"/>
        </w:rPr>
        <w:t> </w:t>
      </w:r>
      <w:r>
        <w:rPr>
          <w:vertAlign w:val="baseline"/>
        </w:rPr>
        <w:t>Bank</w:t>
      </w:r>
      <w:r>
        <w:rPr>
          <w:spacing w:val="4"/>
          <w:vertAlign w:val="baseline"/>
        </w:rPr>
        <w:t> </w:t>
      </w:r>
      <w:r>
        <w:rPr>
          <w:vertAlign w:val="baseline"/>
        </w:rPr>
        <w:t>to</w:t>
      </w:r>
      <w:r>
        <w:rPr>
          <w:spacing w:val="3"/>
          <w:vertAlign w:val="baseline"/>
        </w:rPr>
        <w:t> </w:t>
      </w:r>
      <w:r>
        <w:rPr>
          <w:vertAlign w:val="baseline"/>
        </w:rPr>
        <w:t>inflation,</w:t>
      </w:r>
      <w:r>
        <w:rPr>
          <w:spacing w:val="4"/>
          <w:vertAlign w:val="baseline"/>
        </w:rPr>
        <w:t> </w:t>
      </w:r>
      <w:r>
        <w:rPr>
          <w:vertAlign w:val="baseline"/>
        </w:rPr>
        <w:t>output</w:t>
      </w:r>
      <w:r>
        <w:rPr>
          <w:spacing w:val="3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exchange rate.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addition,</w:t>
      </w:r>
      <w:r>
        <w:rPr>
          <w:spacing w:val="3"/>
          <w:vertAlign w:val="baseline"/>
        </w:rPr>
        <w:t> </w:t>
      </w:r>
      <w:r>
        <w:rPr>
          <w:rFonts w:ascii="Cambria Math" w:hAnsi="Cambria Math"/>
          <w:vertAlign w:val="baseline"/>
        </w:rPr>
        <w:t>R,</w:t>
      </w:r>
      <w:r>
        <w:rPr>
          <w:rFonts w:ascii="Cambria Math" w:hAnsi="Cambria Math"/>
          <w:spacing w:val="-14"/>
          <w:vertAlign w:val="baseline"/>
        </w:rPr>
        <w:t> </w:t>
      </w:r>
      <w:r>
        <w:rPr>
          <w:rFonts w:ascii="Cambria Math" w:hAnsi="Cambria Math"/>
          <w:vertAlign w:val="baseline"/>
        </w:rPr>
        <w:t>π,</w:t>
      </w:r>
      <w:r>
        <w:rPr>
          <w:rFonts w:ascii="Cambria Math" w:hAnsi="Cambria Math"/>
          <w:spacing w:val="-14"/>
          <w:vertAlign w:val="baseline"/>
        </w:rPr>
        <w:t> </w:t>
      </w:r>
      <w:r>
        <w:rPr>
          <w:rFonts w:ascii="Cambria Math" w:hAnsi="Cambria Math"/>
          <w:vertAlign w:val="baseline"/>
        </w:rPr>
        <w:t>Y,</w:t>
      </w:r>
      <w:r>
        <w:rPr>
          <w:rFonts w:ascii="Cambria Math" w:hAnsi="Cambria Math"/>
          <w:spacing w:val="-13"/>
          <w:vertAlign w:val="baseline"/>
        </w:rPr>
        <w:t> </w:t>
      </w:r>
      <w:r>
        <w:rPr>
          <w:rFonts w:ascii="Cambria Math" w:hAnsi="Cambria Math"/>
          <w:vertAlign w:val="baseline"/>
        </w:rPr>
        <w:t>S</w:t>
      </w:r>
      <w:r>
        <w:rPr>
          <w:rFonts w:ascii="Cambria Math" w:hAnsi="Cambria Math"/>
          <w:spacing w:val="9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target values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interest rate,</w:t>
      </w:r>
      <w:r>
        <w:rPr>
          <w:spacing w:val="1"/>
          <w:vertAlign w:val="baseline"/>
        </w:rPr>
        <w:t> </w:t>
      </w:r>
      <w:r>
        <w:rPr>
          <w:vertAlign w:val="baseline"/>
        </w:rPr>
        <w:t>inflation rate,</w:t>
      </w:r>
      <w:r>
        <w:rPr>
          <w:spacing w:val="1"/>
          <w:vertAlign w:val="baseline"/>
        </w:rPr>
        <w:t> </w:t>
      </w:r>
      <w:r>
        <w:rPr>
          <w:vertAlign w:val="baseline"/>
        </w:rPr>
        <w:t>output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exchange</w:t>
      </w:r>
      <w:r>
        <w:rPr>
          <w:spacing w:val="-1"/>
          <w:vertAlign w:val="baseline"/>
        </w:rPr>
        <w:t> </w:t>
      </w:r>
      <w:r>
        <w:rPr>
          <w:vertAlign w:val="baseline"/>
        </w:rPr>
        <w:t>rate.</w:t>
      </w:r>
    </w:p>
    <w:p>
      <w:pPr>
        <w:pStyle w:val="BodyText"/>
        <w:spacing w:line="360" w:lineRule="auto" w:before="200"/>
        <w:ind w:left="500" w:right="499"/>
        <w:jc w:val="both"/>
      </w:pPr>
      <w:r>
        <w:rPr>
          <w:b/>
        </w:rPr>
        <w:t>Exogenous Stochastic processes: </w:t>
      </w:r>
      <w:r>
        <w:rPr/>
        <w:t>It is assumed that both real and nominal shocks perturb the</w:t>
      </w:r>
      <w:r>
        <w:rPr>
          <w:spacing w:val="1"/>
        </w:rPr>
        <w:t> </w:t>
      </w:r>
      <w:r>
        <w:rPr/>
        <w:t>economy.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shocks</w:t>
      </w:r>
      <w:r>
        <w:rPr>
          <w:spacing w:val="-12"/>
        </w:rPr>
        <w:t> </w:t>
      </w:r>
      <w:r>
        <w:rPr/>
        <w:t>are</w:t>
      </w:r>
      <w:r>
        <w:rPr>
          <w:spacing w:val="-13"/>
        </w:rPr>
        <w:t> </w:t>
      </w:r>
      <w:r>
        <w:rPr/>
        <w:t>modelled</w:t>
      </w:r>
      <w:r>
        <w:rPr>
          <w:spacing w:val="-13"/>
        </w:rPr>
        <w:t> </w:t>
      </w:r>
      <w:r>
        <w:rPr/>
        <w:t>as</w:t>
      </w:r>
      <w:r>
        <w:rPr>
          <w:spacing w:val="-12"/>
        </w:rPr>
        <w:t> </w:t>
      </w:r>
      <w:r>
        <w:rPr/>
        <w:t>autoregressive</w:t>
      </w:r>
      <w:r>
        <w:rPr>
          <w:spacing w:val="-14"/>
        </w:rPr>
        <w:t> </w:t>
      </w:r>
      <w:r>
        <w:rPr/>
        <w:t>processes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lagged</w:t>
      </w:r>
      <w:r>
        <w:rPr>
          <w:spacing w:val="-13"/>
        </w:rPr>
        <w:t> </w:t>
      </w:r>
      <w:r>
        <w:rPr/>
        <w:t>innovations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order</w:t>
      </w:r>
      <w:r>
        <w:rPr>
          <w:spacing w:val="-14"/>
        </w:rPr>
        <w:t> </w:t>
      </w:r>
      <w:r>
        <w:rPr/>
        <w:t>one,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defined in equation (4.8):</w:t>
      </w:r>
    </w:p>
    <w:p>
      <w:pPr>
        <w:spacing w:after="0" w:line="360" w:lineRule="auto"/>
        <w:jc w:val="both"/>
        <w:sectPr>
          <w:type w:val="continuous"/>
          <w:pgSz w:w="12240" w:h="15840"/>
          <w:pgMar w:top="1500" w:bottom="1120" w:left="940" w:right="940"/>
        </w:sectPr>
      </w:pPr>
    </w:p>
    <w:p>
      <w:pPr>
        <w:spacing w:before="194"/>
        <w:ind w:left="547" w:right="0" w:firstLine="0"/>
        <w:jc w:val="left"/>
        <w:rPr>
          <w:i/>
          <w:sz w:val="16"/>
        </w:rPr>
      </w:pPr>
      <w:r>
        <w:rPr>
          <w:i/>
          <w:w w:val="80"/>
          <w:sz w:val="29"/>
        </w:rPr>
        <w:t>z</w:t>
      </w:r>
      <w:r>
        <w:rPr>
          <w:i/>
          <w:w w:val="80"/>
          <w:position w:val="-6"/>
          <w:sz w:val="16"/>
        </w:rPr>
        <w:t>t</w:t>
      </w:r>
      <w:r>
        <w:rPr>
          <w:i/>
          <w:spacing w:val="33"/>
          <w:position w:val="-6"/>
          <w:sz w:val="16"/>
        </w:rPr>
        <w:t> </w:t>
      </w:r>
      <w:r>
        <w:rPr>
          <w:rFonts w:ascii="Symbol" w:hAnsi="Symbol"/>
          <w:w w:val="80"/>
          <w:sz w:val="29"/>
        </w:rPr>
        <w:t></w:t>
      </w:r>
      <w:r>
        <w:rPr>
          <w:spacing w:val="11"/>
          <w:w w:val="80"/>
          <w:sz w:val="29"/>
        </w:rPr>
        <w:t> </w:t>
      </w:r>
      <w:r>
        <w:rPr>
          <w:rFonts w:ascii="Symbol" w:hAnsi="Symbol"/>
          <w:w w:val="80"/>
          <w:sz w:val="30"/>
        </w:rPr>
        <w:t></w:t>
      </w:r>
      <w:r>
        <w:rPr>
          <w:i/>
          <w:w w:val="80"/>
          <w:sz w:val="29"/>
        </w:rPr>
        <w:t>z</w:t>
      </w:r>
      <w:r>
        <w:rPr>
          <w:i/>
          <w:w w:val="80"/>
          <w:position w:val="-6"/>
          <w:sz w:val="16"/>
        </w:rPr>
        <w:t>t</w:t>
      </w:r>
      <w:r>
        <w:rPr>
          <w:rFonts w:ascii="Symbol" w:hAnsi="Symbol"/>
          <w:w w:val="80"/>
          <w:position w:val="-6"/>
          <w:sz w:val="16"/>
        </w:rPr>
        <w:t></w:t>
      </w:r>
      <w:r>
        <w:rPr>
          <w:w w:val="80"/>
          <w:position w:val="-6"/>
          <w:sz w:val="16"/>
        </w:rPr>
        <w:t>1</w:t>
      </w:r>
      <w:r>
        <w:rPr>
          <w:spacing w:val="28"/>
          <w:w w:val="80"/>
          <w:position w:val="-6"/>
          <w:sz w:val="16"/>
        </w:rPr>
        <w:t> </w:t>
      </w:r>
      <w:r>
        <w:rPr>
          <w:rFonts w:ascii="Symbol" w:hAnsi="Symbol"/>
          <w:w w:val="80"/>
          <w:sz w:val="29"/>
        </w:rPr>
        <w:t></w:t>
      </w:r>
      <w:r>
        <w:rPr>
          <w:spacing w:val="-25"/>
          <w:w w:val="80"/>
          <w:sz w:val="29"/>
        </w:rPr>
        <w:t> </w:t>
      </w:r>
      <w:r>
        <w:rPr>
          <w:rFonts w:ascii="Symbol" w:hAnsi="Symbol"/>
          <w:w w:val="80"/>
          <w:sz w:val="30"/>
        </w:rPr>
        <w:t></w:t>
      </w:r>
      <w:r>
        <w:rPr>
          <w:i/>
          <w:w w:val="80"/>
          <w:position w:val="-6"/>
          <w:sz w:val="16"/>
        </w:rPr>
        <w:t>t</w:t>
      </w:r>
    </w:p>
    <w:p>
      <w:pPr>
        <w:pStyle w:val="BodyText"/>
        <w:spacing w:before="9"/>
        <w:rPr>
          <w:i/>
          <w:sz w:val="25"/>
        </w:rPr>
      </w:pPr>
      <w:r>
        <w:rPr/>
        <w:br w:type="column"/>
      </w:r>
      <w:r>
        <w:rPr>
          <w:i/>
          <w:sz w:val="25"/>
        </w:rPr>
      </w:r>
    </w:p>
    <w:p>
      <w:pPr>
        <w:pStyle w:val="BodyText"/>
        <w:ind w:left="547"/>
      </w:pPr>
      <w:r>
        <w:rPr/>
        <w:t>(4.8)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2" w:equalWidth="0">
            <w:col w:w="1784" w:space="6691"/>
            <w:col w:w="1885"/>
          </w:cols>
        </w:sectPr>
      </w:pPr>
    </w:p>
    <w:p>
      <w:pPr>
        <w:pStyle w:val="BodyText"/>
        <w:rPr>
          <w:sz w:val="25"/>
        </w:rPr>
      </w:pPr>
    </w:p>
    <w:p>
      <w:pPr>
        <w:pStyle w:val="BodyText"/>
        <w:spacing w:before="86"/>
        <w:ind w:left="500"/>
        <w:jc w:val="both"/>
      </w:pPr>
      <w:r>
        <w:rPr>
          <w:rFonts w:ascii="Cambria Math" w:eastAsia="Cambria Math"/>
        </w:rPr>
        <w:t>𝜀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vertAlign w:val="baseline"/>
        </w:rPr>
        <w:t>~</w:t>
      </w:r>
      <w:r>
        <w:rPr>
          <w:rFonts w:ascii="Cambria Math" w:eastAsia="Cambria Math"/>
          <w:spacing w:val="7"/>
          <w:vertAlign w:val="baseline"/>
        </w:rPr>
        <w:t> </w:t>
      </w:r>
      <w:r>
        <w:rPr>
          <w:rFonts w:ascii="Cambria Math" w:eastAsia="Cambria Math"/>
          <w:vertAlign w:val="baseline"/>
        </w:rPr>
        <w:t>𝑖.</w:t>
      </w:r>
      <w:r>
        <w:rPr>
          <w:rFonts w:ascii="Cambria Math" w:eastAsia="Cambria Math"/>
          <w:spacing w:val="-7"/>
          <w:vertAlign w:val="baseline"/>
        </w:rPr>
        <w:t> </w:t>
      </w:r>
      <w:r>
        <w:rPr>
          <w:rFonts w:ascii="Cambria Math" w:eastAsia="Cambria Math"/>
          <w:vertAlign w:val="baseline"/>
        </w:rPr>
        <w:t>𝑖.</w:t>
      </w:r>
      <w:r>
        <w:rPr>
          <w:rFonts w:ascii="Cambria Math" w:eastAsia="Cambria Math"/>
          <w:spacing w:val="-8"/>
          <w:vertAlign w:val="baseline"/>
        </w:rPr>
        <w:t> </w:t>
      </w:r>
      <w:r>
        <w:rPr>
          <w:rFonts w:ascii="Cambria Math" w:eastAsia="Cambria Math"/>
          <w:vertAlign w:val="baseline"/>
        </w:rPr>
        <w:t>𝑑</w:t>
      </w:r>
      <w:r>
        <w:rPr>
          <w:rFonts w:ascii="Cambria Math" w:eastAsia="Cambria Math"/>
          <w:spacing w:val="17"/>
          <w:vertAlign w:val="baseline"/>
        </w:rPr>
        <w:t> </w:t>
      </w:r>
      <w:r>
        <w:rPr>
          <w:rFonts w:ascii="Cambria Math" w:eastAsia="Cambria Math"/>
          <w:vertAlign w:val="baseline"/>
        </w:rPr>
        <w:t>(0,</w:t>
      </w:r>
      <w:r>
        <w:rPr>
          <w:rFonts w:ascii="Cambria Math" w:eastAsia="Cambria Math"/>
          <w:spacing w:val="-4"/>
          <w:vertAlign w:val="baseline"/>
        </w:rPr>
        <w:t> </w:t>
      </w:r>
      <w:r>
        <w:rPr>
          <w:rFonts w:ascii="Cambria Math" w:eastAsia="Cambria Math"/>
          <w:vertAlign w:val="baseline"/>
        </w:rPr>
        <w:t>𝜎</w:t>
      </w:r>
      <w:r>
        <w:rPr>
          <w:rFonts w:ascii="Cambria Math" w:eastAsia="Cambria Math"/>
          <w:vertAlign w:val="subscript"/>
        </w:rPr>
        <w:t>𝗌</w:t>
      </w:r>
      <w:r>
        <w:rPr>
          <w:vertAlign w:val="baseline"/>
        </w:rPr>
        <w:t>)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360" w:lineRule="auto"/>
        <w:ind w:left="500" w:right="495"/>
        <w:jc w:val="both"/>
      </w:pPr>
      <w:r>
        <w:rPr/>
        <w:t>The preceding canonical model omits the fiscal sector. The model has therefore been extended to</w:t>
      </w:r>
      <w:r>
        <w:rPr>
          <w:spacing w:val="-57"/>
        </w:rPr>
        <w:t> </w:t>
      </w:r>
      <w:r>
        <w:rPr/>
        <w:t>include the fiscal sector. The New Keynesian DSGE models with fiscal policy initially assumed</w:t>
      </w:r>
      <w:r>
        <w:rPr>
          <w:spacing w:val="1"/>
        </w:rPr>
        <w:t> </w:t>
      </w:r>
      <w:r>
        <w:rPr/>
        <w:t>the existence of Ricardian equivalence i.e: a passive or neutral role for fiscal policy. In these</w:t>
      </w:r>
      <w:r>
        <w:rPr>
          <w:spacing w:val="1"/>
        </w:rPr>
        <w:t> </w:t>
      </w:r>
      <w:r>
        <w:rPr/>
        <w:t>models</w:t>
      </w:r>
      <w:r>
        <w:rPr>
          <w:spacing w:val="-6"/>
        </w:rPr>
        <w:t> </w:t>
      </w:r>
      <w:r>
        <w:rPr/>
        <w:t>there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lump</w:t>
      </w:r>
      <w:r>
        <w:rPr>
          <w:spacing w:val="-5"/>
        </w:rPr>
        <w:t> </w:t>
      </w:r>
      <w:r>
        <w:rPr/>
        <w:t>sum</w:t>
      </w:r>
      <w:r>
        <w:rPr>
          <w:spacing w:val="-6"/>
        </w:rPr>
        <w:t> </w:t>
      </w:r>
      <w:r>
        <w:rPr/>
        <w:t>taxation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government</w:t>
      </w:r>
      <w:r>
        <w:rPr>
          <w:spacing w:val="-6"/>
        </w:rPr>
        <w:t> </w:t>
      </w:r>
      <w:r>
        <w:rPr/>
        <w:t>faces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inter-temporal</w:t>
      </w:r>
      <w:r>
        <w:rPr>
          <w:spacing w:val="-5"/>
        </w:rPr>
        <w:t> </w:t>
      </w:r>
      <w:r>
        <w:rPr/>
        <w:t>solvency</w:t>
      </w:r>
      <w:r>
        <w:rPr>
          <w:spacing w:val="-8"/>
        </w:rPr>
        <w:t> </w:t>
      </w:r>
      <w:r>
        <w:rPr/>
        <w:t>condition</w:t>
      </w:r>
      <w:r>
        <w:rPr>
          <w:spacing w:val="-58"/>
        </w:rPr>
        <w:t> </w:t>
      </w:r>
      <w:r>
        <w:rPr/>
        <w:t>(Leeper,</w:t>
      </w:r>
      <w:r>
        <w:rPr>
          <w:spacing w:val="-5"/>
        </w:rPr>
        <w:t> </w:t>
      </w:r>
      <w:r>
        <w:rPr/>
        <w:t>1991;</w:t>
      </w:r>
      <w:r>
        <w:rPr>
          <w:spacing w:val="-1"/>
        </w:rPr>
        <w:t> </w:t>
      </w:r>
      <w:r>
        <w:rPr/>
        <w:t>Leeper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Leith,</w:t>
      </w:r>
      <w:r>
        <w:rPr>
          <w:spacing w:val="-4"/>
        </w:rPr>
        <w:t> </w:t>
      </w:r>
      <w:r>
        <w:rPr/>
        <w:t>2015;</w:t>
      </w:r>
      <w:r>
        <w:rPr>
          <w:spacing w:val="-3"/>
        </w:rPr>
        <w:t> </w:t>
      </w:r>
      <w:r>
        <w:rPr/>
        <w:t>Sims,</w:t>
      </w:r>
      <w:r>
        <w:rPr>
          <w:spacing w:val="-4"/>
        </w:rPr>
        <w:t> </w:t>
      </w:r>
      <w:r>
        <w:rPr/>
        <w:t>1994;</w:t>
      </w:r>
      <w:r>
        <w:rPr>
          <w:spacing w:val="-2"/>
        </w:rPr>
        <w:t> </w:t>
      </w:r>
      <w:r>
        <w:rPr/>
        <w:t>Bianchi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Ilut,</w:t>
      </w:r>
      <w:r>
        <w:rPr>
          <w:spacing w:val="-4"/>
        </w:rPr>
        <w:t> </w:t>
      </w:r>
      <w:r>
        <w:rPr/>
        <w:t>2016).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later</w:t>
      </w:r>
      <w:r>
        <w:rPr>
          <w:spacing w:val="-5"/>
        </w:rPr>
        <w:t> </w:t>
      </w:r>
      <w:r>
        <w:rPr/>
        <w:t>variant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New Keynesian DSGE model gives an explicit role to fiscal policy which sets a policy rule and</w:t>
      </w:r>
      <w:r>
        <w:rPr>
          <w:spacing w:val="1"/>
        </w:rPr>
        <w:t> </w:t>
      </w:r>
      <w:r>
        <w:rPr/>
        <w:t>introduces non-Ricardian fiscal effects by assuming the existence of rule of thumb households.</w:t>
      </w:r>
      <w:r>
        <w:rPr>
          <w:spacing w:val="1"/>
        </w:rPr>
        <w:t> </w:t>
      </w:r>
      <w:r>
        <w:rPr/>
        <w:t>The</w:t>
      </w:r>
      <w:r>
        <w:rPr>
          <w:spacing w:val="27"/>
        </w:rPr>
        <w:t> </w:t>
      </w:r>
      <w:r>
        <w:rPr/>
        <w:t>inclusion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rule</w:t>
      </w:r>
      <w:r>
        <w:rPr>
          <w:spacing w:val="27"/>
        </w:rPr>
        <w:t> </w:t>
      </w:r>
      <w:r>
        <w:rPr/>
        <w:t>of</w:t>
      </w:r>
      <w:r>
        <w:rPr>
          <w:spacing w:val="30"/>
        </w:rPr>
        <w:t> </w:t>
      </w:r>
      <w:r>
        <w:rPr/>
        <w:t>thumb</w:t>
      </w:r>
      <w:r>
        <w:rPr>
          <w:spacing w:val="28"/>
        </w:rPr>
        <w:t> </w:t>
      </w:r>
      <w:r>
        <w:rPr/>
        <w:t>agents</w:t>
      </w:r>
      <w:r>
        <w:rPr>
          <w:spacing w:val="29"/>
        </w:rPr>
        <w:t> </w:t>
      </w:r>
      <w:r>
        <w:rPr/>
        <w:t>engenders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non-neutral</w:t>
      </w:r>
      <w:r>
        <w:rPr>
          <w:spacing w:val="29"/>
        </w:rPr>
        <w:t> </w:t>
      </w:r>
      <w:r>
        <w:rPr/>
        <w:t>effect</w:t>
      </w:r>
      <w:r>
        <w:rPr>
          <w:spacing w:val="31"/>
        </w:rPr>
        <w:t> </w:t>
      </w:r>
      <w:r>
        <w:rPr/>
        <w:t>of</w:t>
      </w:r>
      <w:r>
        <w:rPr>
          <w:spacing w:val="27"/>
        </w:rPr>
        <w:t> </w:t>
      </w:r>
      <w:r>
        <w:rPr/>
        <w:t>fiscal</w:t>
      </w:r>
      <w:r>
        <w:rPr>
          <w:spacing w:val="29"/>
        </w:rPr>
        <w:t> </w:t>
      </w:r>
      <w:r>
        <w:rPr/>
        <w:t>policy</w:t>
      </w:r>
      <w:r>
        <w:rPr>
          <w:spacing w:val="23"/>
        </w:rPr>
        <w:t> </w:t>
      </w:r>
      <w:r>
        <w:rPr/>
        <w:t>on</w:t>
      </w:r>
      <w:r>
        <w:rPr>
          <w:spacing w:val="28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line="360" w:lineRule="auto" w:before="74"/>
        <w:ind w:left="500" w:right="504"/>
        <w:jc w:val="both"/>
      </w:pPr>
      <w:r>
        <w:rPr/>
        <w:t>economy (Gali, Lopez-Salido, and Valles, 2007; Algozhina, 2012; Rossi, 2014). This study will</w:t>
      </w:r>
      <w:r>
        <w:rPr>
          <w:spacing w:val="1"/>
        </w:rPr>
        <w:t> </w:t>
      </w:r>
      <w:r>
        <w:rPr/>
        <w:t>include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recent features to</w:t>
      </w:r>
      <w:r>
        <w:rPr>
          <w:spacing w:val="-1"/>
        </w:rPr>
        <w:t> </w:t>
      </w:r>
      <w:r>
        <w:rPr/>
        <w:t>capture</w:t>
      </w:r>
      <w:r>
        <w:rPr>
          <w:spacing w:val="-1"/>
        </w:rPr>
        <w:t> </w:t>
      </w:r>
      <w:r>
        <w:rPr/>
        <w:t>the interaction between fiscal</w:t>
      </w:r>
      <w:r>
        <w:rPr>
          <w:spacing w:val="-1"/>
        </w:rPr>
        <w:t> </w:t>
      </w:r>
      <w:r>
        <w:rPr/>
        <w:t>and monetary</w:t>
      </w:r>
      <w:r>
        <w:rPr>
          <w:spacing w:val="-5"/>
        </w:rPr>
        <w:t> </w:t>
      </w:r>
      <w:r>
        <w:rPr/>
        <w:t>policy.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/>
        <w:ind w:left="500" w:right="498"/>
        <w:jc w:val="both"/>
      </w:pPr>
      <w:r>
        <w:rPr/>
        <w:t>In conclusion, some of the reasons for adopting the New Keynesian model include its usefulness</w:t>
      </w:r>
      <w:r>
        <w:rPr>
          <w:spacing w:val="1"/>
        </w:rPr>
        <w:t> </w:t>
      </w:r>
      <w:r>
        <w:rPr/>
        <w:t>for policy analysis since it identifies a role for stabilising (fiscal and monetary) policies. It</w:t>
      </w:r>
      <w:r>
        <w:rPr>
          <w:spacing w:val="1"/>
        </w:rPr>
        <w:t> </w:t>
      </w:r>
      <w:r>
        <w:rPr/>
        <w:t>recognises the importance of both real and nominal shocks. It also utilizes a rich dynamic</w:t>
      </w:r>
      <w:r>
        <w:rPr>
          <w:spacing w:val="1"/>
        </w:rPr>
        <w:t> </w:t>
      </w:r>
      <w:r>
        <w:rPr/>
        <w:t>optimising and microeconomic background for analysing the decisions of economic agents. It</w:t>
      </w:r>
      <w:r>
        <w:rPr>
          <w:spacing w:val="1"/>
        </w:rPr>
        <w:t> </w:t>
      </w:r>
      <w:r>
        <w:rPr/>
        <w:t>recognises the existence of frictions, nominal rigidities and imperfect markets that underlie the</w:t>
      </w:r>
      <w:r>
        <w:rPr>
          <w:spacing w:val="1"/>
        </w:rPr>
        <w:t> </w:t>
      </w:r>
      <w:r>
        <w:rPr/>
        <w:t>dual structure of developing economies such as Nigeria. At the same time, with the apparent</w:t>
      </w:r>
      <w:r>
        <w:rPr>
          <w:spacing w:val="1"/>
        </w:rPr>
        <w:t> </w:t>
      </w:r>
      <w:r>
        <w:rPr/>
        <w:t>disequilibrium between aggregate demand and supply in the Nigerian economy, this study has</w:t>
      </w:r>
      <w:r>
        <w:rPr>
          <w:spacing w:val="1"/>
        </w:rPr>
        <w:t> </w:t>
      </w:r>
      <w:r>
        <w:rPr/>
        <w:t>adopted the NK model (Alege, 2008). The model can also be estimated and provides good policy</w:t>
      </w:r>
      <w:r>
        <w:rPr>
          <w:spacing w:val="-57"/>
        </w:rPr>
        <w:t> </w:t>
      </w:r>
      <w:r>
        <w:rPr/>
        <w:t>forecast</w:t>
      </w:r>
      <w:r>
        <w:rPr>
          <w:spacing w:val="-1"/>
        </w:rPr>
        <w:t> </w:t>
      </w:r>
      <w:r>
        <w:rPr/>
        <w:t>and evaluation.</w:t>
      </w:r>
    </w:p>
    <w:p>
      <w:pPr>
        <w:pStyle w:val="Heading1"/>
        <w:numPr>
          <w:ilvl w:val="1"/>
          <w:numId w:val="22"/>
        </w:numPr>
        <w:tabs>
          <w:tab w:pos="890" w:val="left" w:leader="none"/>
        </w:tabs>
        <w:spacing w:line="240" w:lineRule="auto" w:before="128" w:after="0"/>
        <w:ind w:left="889" w:right="0" w:hanging="390"/>
        <w:jc w:val="both"/>
      </w:pPr>
      <w:bookmarkStart w:name="_TOC_250025" w:id="35"/>
      <w:r>
        <w:rPr/>
        <w:t>The</w:t>
      </w:r>
      <w:r>
        <w:rPr>
          <w:spacing w:val="-2"/>
        </w:rPr>
        <w:t> </w:t>
      </w:r>
      <w:bookmarkEnd w:id="35"/>
      <w:r>
        <w:rPr/>
        <w:t>Research Method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360" w:lineRule="auto" w:before="1"/>
        <w:ind w:left="500" w:right="495"/>
        <w:jc w:val="both"/>
      </w:pPr>
      <w:r>
        <w:rPr/>
        <w:t>This thesis argues that the fiscal decision of government interacts with instruments and targets of</w:t>
      </w:r>
      <w:r>
        <w:rPr>
          <w:spacing w:val="1"/>
        </w:rPr>
        <w:t> </w:t>
      </w:r>
      <w:r>
        <w:rPr/>
        <w:t>monetary policy in Nigeria. This study is, therefore, concerned with empirically testing existing</w:t>
      </w:r>
      <w:r>
        <w:rPr>
          <w:spacing w:val="1"/>
        </w:rPr>
        <w:t> </w:t>
      </w:r>
      <w:r>
        <w:rPr/>
        <w:t>theoretical propositions for the impact that fiscal policy wields on monetary outcomes in Nigeria</w:t>
      </w:r>
      <w:r>
        <w:rPr>
          <w:spacing w:val="1"/>
        </w:rPr>
        <w:t> </w:t>
      </w:r>
      <w:r>
        <w:rPr/>
        <w:t>and vice-versa. It also examines the effect of the policy interactions on output and inflation 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investigates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monetary interactions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Economy New Keynesian DSGE Model that deviates from the assumptions of a benevolent</w:t>
      </w:r>
      <w:r>
        <w:rPr>
          <w:spacing w:val="1"/>
        </w:rPr>
        <w:t> </w:t>
      </w:r>
      <w:r>
        <w:rPr/>
        <w:t>government who commits to a policy rule. In this instance, government is assumed to have rent-</w:t>
      </w:r>
      <w:r>
        <w:rPr>
          <w:spacing w:val="1"/>
        </w:rPr>
        <w:t> </w:t>
      </w:r>
      <w:r>
        <w:rPr/>
        <w:t>seeking tendencies and prefers to use policy discretion in maximising the welfare of a subset of</w:t>
      </w:r>
      <w:r>
        <w:rPr>
          <w:spacing w:val="1"/>
        </w:rPr>
        <w:t> </w:t>
      </w:r>
      <w:r>
        <w:rPr/>
        <w:t>the society (see sub-section 3.5 to prove the relevance of rent-seeking and policy discretion in</w:t>
      </w:r>
      <w:r>
        <w:rPr>
          <w:spacing w:val="1"/>
        </w:rPr>
        <w:t> </w:t>
      </w:r>
      <w:r>
        <w:rPr/>
        <w:t>Nigeria). The adopted assumptions indicate that this study considers the underlying political</w:t>
      </w:r>
      <w:r>
        <w:rPr>
          <w:spacing w:val="1"/>
        </w:rPr>
        <w:t> </w:t>
      </w:r>
      <w:r>
        <w:rPr/>
        <w:t>dimensions</w:t>
      </w:r>
      <w:r>
        <w:rPr>
          <w:spacing w:val="-1"/>
        </w:rPr>
        <w:t> </w:t>
      </w:r>
      <w:r>
        <w:rPr/>
        <w:t>to economic</w:t>
      </w:r>
      <w:r>
        <w:rPr>
          <w:spacing w:val="-1"/>
        </w:rPr>
        <w:t> </w:t>
      </w:r>
      <w:r>
        <w:rPr/>
        <w:t>policy.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500" w:right="493"/>
        <w:jc w:val="both"/>
      </w:pPr>
      <w:r>
        <w:rPr/>
        <w:t>This study captures the rent-seeking tendencies of the fiscal bloc by specifying a utility function</w:t>
      </w:r>
      <w:r>
        <w:rPr>
          <w:spacing w:val="1"/>
        </w:rPr>
        <w:t> </w:t>
      </w:r>
      <w:r>
        <w:rPr>
          <w:spacing w:val="-1"/>
        </w:rPr>
        <w:t>which</w:t>
      </w:r>
      <w:r>
        <w:rPr>
          <w:spacing w:val="-12"/>
        </w:rPr>
        <w:t> </w:t>
      </w:r>
      <w:r>
        <w:rPr>
          <w:spacing w:val="-1"/>
        </w:rPr>
        <w:t>shows</w:t>
      </w:r>
      <w:r>
        <w:rPr>
          <w:spacing w:val="-12"/>
        </w:rPr>
        <w:t> </w:t>
      </w:r>
      <w:r>
        <w:rPr>
          <w:spacing w:val="-1"/>
        </w:rPr>
        <w:t>that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government</w:t>
      </w:r>
      <w:r>
        <w:rPr>
          <w:spacing w:val="-12"/>
        </w:rPr>
        <w:t> </w:t>
      </w:r>
      <w:r>
        <w:rPr/>
        <w:t>benefits</w:t>
      </w:r>
      <w:r>
        <w:rPr>
          <w:spacing w:val="-12"/>
        </w:rPr>
        <w:t> </w:t>
      </w:r>
      <w:r>
        <w:rPr/>
        <w:t>from</w:t>
      </w:r>
      <w:r>
        <w:rPr>
          <w:spacing w:val="-12"/>
        </w:rPr>
        <w:t> </w:t>
      </w:r>
      <w:r>
        <w:rPr/>
        <w:t>both</w:t>
      </w:r>
      <w:r>
        <w:rPr>
          <w:spacing w:val="-12"/>
        </w:rPr>
        <w:t> </w:t>
      </w:r>
      <w:r>
        <w:rPr/>
        <w:t>providing</w:t>
      </w:r>
      <w:r>
        <w:rPr>
          <w:spacing w:val="-15"/>
        </w:rPr>
        <w:t> </w:t>
      </w:r>
      <w:r>
        <w:rPr/>
        <w:t>public</w:t>
      </w:r>
      <w:r>
        <w:rPr>
          <w:spacing w:val="-13"/>
        </w:rPr>
        <w:t> </w:t>
      </w:r>
      <w:r>
        <w:rPr/>
        <w:t>goods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from</w:t>
      </w:r>
      <w:r>
        <w:rPr>
          <w:spacing w:val="-12"/>
        </w:rPr>
        <w:t> </w:t>
      </w:r>
      <w:r>
        <w:rPr/>
        <w:t>rent-seeking</w:t>
      </w:r>
      <w:r>
        <w:rPr>
          <w:spacing w:val="-57"/>
        </w:rPr>
        <w:t> </w:t>
      </w:r>
      <w:r>
        <w:rPr/>
        <w:t>activities that boosts its personal gains. The utility function also admits a fiscal shock and a</w:t>
      </w:r>
      <w:r>
        <w:rPr>
          <w:spacing w:val="1"/>
        </w:rPr>
        <w:t> </w:t>
      </w:r>
      <w:r>
        <w:rPr/>
        <w:t>parameter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quality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existing</w:t>
      </w:r>
      <w:r>
        <w:rPr>
          <w:spacing w:val="-6"/>
        </w:rPr>
        <w:t> </w:t>
      </w:r>
      <w:r>
        <w:rPr/>
        <w:t>political</w:t>
      </w:r>
      <w:r>
        <w:rPr>
          <w:spacing w:val="-5"/>
        </w:rPr>
        <w:t> </w:t>
      </w:r>
      <w:r>
        <w:rPr/>
        <w:t>institution,</w:t>
      </w:r>
      <w:r>
        <w:rPr>
          <w:spacing w:val="-4"/>
        </w:rPr>
        <w:t> </w:t>
      </w:r>
      <w:r>
        <w:rPr/>
        <w:t>which</w:t>
      </w:r>
      <w:r>
        <w:rPr>
          <w:spacing w:val="-5"/>
        </w:rPr>
        <w:t> </w:t>
      </w:r>
      <w:r>
        <w:rPr/>
        <w:t>serves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complementary</w:t>
      </w:r>
      <w:r>
        <w:rPr>
          <w:spacing w:val="-10"/>
        </w:rPr>
        <w:t> </w:t>
      </w:r>
      <w:r>
        <w:rPr/>
        <w:t>manner</w:t>
      </w:r>
      <w:r>
        <w:rPr>
          <w:spacing w:val="-58"/>
        </w:rPr>
        <w:t> </w:t>
      </w:r>
      <w:r>
        <w:rPr/>
        <w:t>as</w:t>
      </w:r>
      <w:r>
        <w:rPr>
          <w:spacing w:val="8"/>
        </w:rPr>
        <w:t> </w:t>
      </w:r>
      <w:r>
        <w:rPr/>
        <w:t>another</w:t>
      </w:r>
      <w:r>
        <w:rPr>
          <w:spacing w:val="8"/>
        </w:rPr>
        <w:t> </w:t>
      </w:r>
      <w:r>
        <w:rPr/>
        <w:t>proxy</w:t>
      </w:r>
      <w:r>
        <w:rPr>
          <w:spacing w:val="2"/>
        </w:rPr>
        <w:t> </w:t>
      </w:r>
      <w:r>
        <w:rPr/>
        <w:t>to</w:t>
      </w:r>
      <w:r>
        <w:rPr>
          <w:spacing w:val="9"/>
        </w:rPr>
        <w:t> </w:t>
      </w:r>
      <w:r>
        <w:rPr/>
        <w:t>capture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rent-seeking</w:t>
      </w:r>
      <w:r>
        <w:rPr>
          <w:spacing w:val="7"/>
        </w:rPr>
        <w:t> </w:t>
      </w:r>
      <w:r>
        <w:rPr/>
        <w:t>ability</w:t>
      </w:r>
      <w:r>
        <w:rPr>
          <w:spacing w:val="2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government</w:t>
      </w:r>
      <w:r>
        <w:rPr>
          <w:spacing w:val="9"/>
        </w:rPr>
        <w:t> </w:t>
      </w:r>
      <w:r>
        <w:rPr/>
        <w:t>(see</w:t>
      </w:r>
      <w:r>
        <w:rPr>
          <w:spacing w:val="8"/>
        </w:rPr>
        <w:t> </w:t>
      </w:r>
      <w:r>
        <w:rPr/>
        <w:t>equations</w:t>
      </w:r>
      <w:r>
        <w:rPr>
          <w:spacing w:val="9"/>
        </w:rPr>
        <w:t> </w:t>
      </w:r>
      <w:r>
        <w:rPr/>
        <w:t>4.89</w:t>
      </w:r>
      <w:r>
        <w:rPr>
          <w:spacing w:val="14"/>
        </w:rPr>
        <w:t> </w:t>
      </w:r>
      <w:r>
        <w:rPr/>
        <w:t>-</w:t>
      </w:r>
      <w:r>
        <w:rPr>
          <w:spacing w:val="8"/>
        </w:rPr>
        <w:t> </w:t>
      </w:r>
      <w:r>
        <w:rPr/>
        <w:t>4.99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line="360" w:lineRule="auto" w:before="74"/>
        <w:ind w:left="500" w:right="495"/>
        <w:jc w:val="both"/>
      </w:pPr>
      <w:r>
        <w:rPr/>
        <w:t>in</w:t>
      </w:r>
      <w:r>
        <w:rPr>
          <w:spacing w:val="-8"/>
        </w:rPr>
        <w:t> </w:t>
      </w:r>
      <w:r>
        <w:rPr/>
        <w:t>sub-section</w:t>
      </w:r>
      <w:r>
        <w:rPr>
          <w:spacing w:val="-8"/>
        </w:rPr>
        <w:t> </w:t>
      </w:r>
      <w:r>
        <w:rPr/>
        <w:t>4.2.1).</w:t>
      </w:r>
      <w:r>
        <w:rPr>
          <w:spacing w:val="-4"/>
        </w:rPr>
        <w:t> </w:t>
      </w:r>
      <w:r>
        <w:rPr/>
        <w:t>In</w:t>
      </w:r>
      <w:r>
        <w:rPr>
          <w:spacing w:val="-8"/>
        </w:rPr>
        <w:t> </w:t>
      </w:r>
      <w:r>
        <w:rPr/>
        <w:t>addition,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discretionary</w:t>
      </w:r>
      <w:r>
        <w:rPr>
          <w:spacing w:val="-10"/>
        </w:rPr>
        <w:t> </w:t>
      </w:r>
      <w:r>
        <w:rPr/>
        <w:t>policy</w:t>
      </w:r>
      <w:r>
        <w:rPr>
          <w:spacing w:val="-12"/>
        </w:rPr>
        <w:t> </w:t>
      </w:r>
      <w:r>
        <w:rPr/>
        <w:t>of</w:t>
      </w:r>
      <w:r>
        <w:rPr>
          <w:spacing w:val="-7"/>
        </w:rPr>
        <w:t> </w:t>
      </w:r>
      <w:r>
        <w:rPr/>
        <w:t>government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illustrated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8"/>
        </w:rPr>
        <w:t> </w:t>
      </w:r>
      <w:r>
        <w:rPr/>
        <w:t>study</w:t>
      </w:r>
      <w:r>
        <w:rPr>
          <w:spacing w:val="-57"/>
        </w:rPr>
        <w:t> </w:t>
      </w:r>
      <w:r>
        <w:rPr/>
        <w:t>by</w:t>
      </w:r>
      <w:r>
        <w:rPr>
          <w:spacing w:val="-6"/>
        </w:rPr>
        <w:t> </w:t>
      </w:r>
      <w:r>
        <w:rPr/>
        <w:t>considering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micro-foundation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fiscal</w:t>
      </w:r>
      <w:r>
        <w:rPr>
          <w:spacing w:val="1"/>
        </w:rPr>
        <w:t> </w:t>
      </w:r>
      <w:r>
        <w:rPr/>
        <w:t>sector,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contrast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specifying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fiscal</w:t>
      </w:r>
      <w:r>
        <w:rPr>
          <w:spacing w:val="-1"/>
        </w:rPr>
        <w:t> </w:t>
      </w:r>
      <w:r>
        <w:rPr/>
        <w:t>(Taylor-</w:t>
      </w:r>
      <w:r>
        <w:rPr>
          <w:spacing w:val="-57"/>
        </w:rPr>
        <w:t> </w:t>
      </w:r>
      <w:r>
        <w:rPr/>
        <w:t>type) rule. The government is assumed in this instance, to maximise its per period utility function</w:t>
      </w:r>
      <w:r>
        <w:rPr>
          <w:spacing w:val="-57"/>
        </w:rPr>
        <w:t> </w:t>
      </w:r>
      <w:r>
        <w:rPr/>
        <w:t>subject</w:t>
      </w:r>
      <w:r>
        <w:rPr>
          <w:spacing w:val="-1"/>
        </w:rPr>
        <w:t> </w:t>
      </w:r>
      <w:r>
        <w:rPr/>
        <w:t>to its budget constraint</w:t>
      </w:r>
      <w:r>
        <w:rPr>
          <w:spacing w:val="-1"/>
        </w:rPr>
        <w:t> </w:t>
      </w:r>
      <w:r>
        <w:rPr/>
        <w:t>(Fragetta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Kirsanova, 2010).</w:t>
      </w:r>
    </w:p>
    <w:p>
      <w:pPr>
        <w:pStyle w:val="BodyText"/>
        <w:spacing w:before="7"/>
        <w:rPr>
          <w:sz w:val="26"/>
        </w:rPr>
      </w:pPr>
    </w:p>
    <w:p>
      <w:pPr>
        <w:pStyle w:val="Heading1"/>
        <w:numPr>
          <w:ilvl w:val="2"/>
          <w:numId w:val="22"/>
        </w:numPr>
        <w:tabs>
          <w:tab w:pos="1149" w:val="left" w:leader="none"/>
        </w:tabs>
        <w:spacing w:line="240" w:lineRule="auto" w:before="0" w:after="0"/>
        <w:ind w:left="1148" w:right="0" w:hanging="649"/>
        <w:jc w:val="left"/>
      </w:pPr>
      <w:bookmarkStart w:name="_TOC_250024" w:id="36"/>
      <w:r>
        <w:rPr/>
        <w:t>An</w:t>
      </w:r>
      <w:r>
        <w:rPr>
          <w:spacing w:val="-1"/>
        </w:rPr>
        <w:t> </w:t>
      </w:r>
      <w:r>
        <w:rPr/>
        <w:t>Open Economy</w:t>
      </w:r>
      <w:r>
        <w:rPr>
          <w:spacing w:val="-1"/>
        </w:rPr>
        <w:t> </w:t>
      </w:r>
      <w:r>
        <w:rPr/>
        <w:t>New</w:t>
      </w:r>
      <w:r>
        <w:rPr>
          <w:spacing w:val="3"/>
        </w:rPr>
        <w:t> </w:t>
      </w:r>
      <w:r>
        <w:rPr/>
        <w:t>Keynesian</w:t>
      </w:r>
      <w:r>
        <w:rPr>
          <w:spacing w:val="-3"/>
        </w:rPr>
        <w:t> </w:t>
      </w:r>
      <w:r>
        <w:rPr/>
        <w:t>DSGE</w:t>
      </w:r>
      <w:r>
        <w:rPr>
          <w:spacing w:val="-2"/>
        </w:rPr>
        <w:t> </w:t>
      </w:r>
      <w:r>
        <w:rPr/>
        <w:t>Model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bookmarkEnd w:id="36"/>
      <w:r>
        <w:rPr/>
        <w:t>Nigeria</w:t>
      </w:r>
    </w:p>
    <w:p>
      <w:pPr>
        <w:pStyle w:val="BodyText"/>
        <w:spacing w:before="11"/>
        <w:rPr>
          <w:b/>
          <w:sz w:val="25"/>
        </w:rPr>
      </w:pPr>
    </w:p>
    <w:p>
      <w:pPr>
        <w:pStyle w:val="ListParagraph"/>
        <w:numPr>
          <w:ilvl w:val="0"/>
          <w:numId w:val="23"/>
        </w:numPr>
        <w:tabs>
          <w:tab w:pos="868" w:val="left" w:leader="none"/>
        </w:tabs>
        <w:spacing w:line="240" w:lineRule="auto" w:before="0" w:after="0"/>
        <w:ind w:left="867" w:right="0" w:hanging="368"/>
        <w:jc w:val="left"/>
        <w:rPr>
          <w:b/>
          <w:sz w:val="26"/>
        </w:rPr>
      </w:pPr>
      <w:r>
        <w:rPr>
          <w:b/>
          <w:sz w:val="26"/>
        </w:rPr>
        <w:t>Structure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the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Model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360" w:lineRule="auto"/>
        <w:ind w:left="500" w:right="496"/>
        <w:jc w:val="both"/>
      </w:pPr>
      <w:r>
        <w:rPr/>
        <w:t>The</w:t>
      </w:r>
      <w:r>
        <w:rPr>
          <w:spacing w:val="-6"/>
        </w:rPr>
        <w:t> </w:t>
      </w:r>
      <w:r>
        <w:rPr/>
        <w:t>model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constructed</w:t>
      </w:r>
      <w:r>
        <w:rPr>
          <w:spacing w:val="-5"/>
        </w:rPr>
        <w:t> </w:t>
      </w:r>
      <w:r>
        <w:rPr/>
        <w:t>drawing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works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Gali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Monacelli</w:t>
      </w:r>
      <w:r>
        <w:rPr>
          <w:spacing w:val="-3"/>
        </w:rPr>
        <w:t> </w:t>
      </w:r>
      <w:r>
        <w:rPr/>
        <w:t>(2005),</w:t>
      </w:r>
      <w:r>
        <w:rPr>
          <w:spacing w:val="-6"/>
        </w:rPr>
        <w:t> </w:t>
      </w:r>
      <w:r>
        <w:rPr/>
        <w:t>Gali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Monacelli</w:t>
      </w:r>
      <w:r>
        <w:rPr>
          <w:spacing w:val="-58"/>
        </w:rPr>
        <w:t> </w:t>
      </w:r>
      <w:r>
        <w:rPr/>
        <w:t>(2008),</w:t>
      </w:r>
      <w:r>
        <w:rPr>
          <w:spacing w:val="-9"/>
        </w:rPr>
        <w:t> </w:t>
      </w:r>
      <w:r>
        <w:rPr/>
        <w:t>Gali</w:t>
      </w:r>
      <w:r>
        <w:rPr>
          <w:spacing w:val="-8"/>
        </w:rPr>
        <w:t> </w:t>
      </w:r>
      <w:r>
        <w:rPr/>
        <w:t>(2008),</w:t>
      </w:r>
      <w:r>
        <w:rPr>
          <w:spacing w:val="-6"/>
        </w:rPr>
        <w:t> </w:t>
      </w:r>
      <w:r>
        <w:rPr/>
        <w:t>Almeida</w:t>
      </w:r>
      <w:r>
        <w:rPr>
          <w:spacing w:val="-10"/>
        </w:rPr>
        <w:t> </w:t>
      </w:r>
      <w:r>
        <w:rPr/>
        <w:t>(2010),</w:t>
      </w:r>
      <w:r>
        <w:rPr>
          <w:spacing w:val="-6"/>
        </w:rPr>
        <w:t> </w:t>
      </w:r>
      <w:r>
        <w:rPr/>
        <w:t>Senbeta</w:t>
      </w:r>
      <w:r>
        <w:rPr>
          <w:spacing w:val="-7"/>
        </w:rPr>
        <w:t> </w:t>
      </w:r>
      <w:r>
        <w:rPr/>
        <w:t>(2011),</w:t>
      </w:r>
      <w:r>
        <w:rPr>
          <w:spacing w:val="-8"/>
        </w:rPr>
        <w:t> </w:t>
      </w:r>
      <w:r>
        <w:rPr/>
        <w:t>Rossi</w:t>
      </w:r>
      <w:r>
        <w:rPr>
          <w:spacing w:val="-8"/>
        </w:rPr>
        <w:t> </w:t>
      </w:r>
      <w:r>
        <w:rPr/>
        <w:t>(2014),</w:t>
      </w:r>
      <w:r>
        <w:rPr>
          <w:spacing w:val="-8"/>
        </w:rPr>
        <w:t> </w:t>
      </w:r>
      <w:r>
        <w:rPr/>
        <w:t>Miller</w:t>
      </w:r>
      <w:r>
        <w:rPr>
          <w:spacing w:val="-7"/>
        </w:rPr>
        <w:t> </w:t>
      </w:r>
      <w:r>
        <w:rPr/>
        <w:t>(2016),</w:t>
      </w:r>
      <w:r>
        <w:rPr>
          <w:spacing w:val="-6"/>
        </w:rPr>
        <w:t> </w:t>
      </w:r>
      <w:r>
        <w:rPr/>
        <w:t>Li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Spencer</w:t>
      </w:r>
      <w:r>
        <w:rPr>
          <w:spacing w:val="-57"/>
        </w:rPr>
        <w:t> </w:t>
      </w:r>
      <w:r>
        <w:rPr/>
        <w:t>(2014) and Adegboye (2015). The study adapted the political economy assumption from Miller</w:t>
      </w:r>
      <w:r>
        <w:rPr>
          <w:spacing w:val="1"/>
        </w:rPr>
        <w:t> </w:t>
      </w:r>
      <w:r>
        <w:rPr/>
        <w:t>(2016). The remaining studies aforementioned were instrumental in constructing the Small Open</w:t>
      </w:r>
      <w:r>
        <w:rPr>
          <w:spacing w:val="1"/>
        </w:rPr>
        <w:t> </w:t>
      </w:r>
      <w:r>
        <w:rPr/>
        <w:t>Economy (SOE) NK DSGE model. The DSGE model adopted in this study comprises of five</w:t>
      </w:r>
      <w:r>
        <w:rPr>
          <w:spacing w:val="1"/>
        </w:rPr>
        <w:t> </w:t>
      </w:r>
      <w:r>
        <w:rPr/>
        <w:t>optimising agents: households, firms, the central bank, government and rest of the world, who</w:t>
      </w:r>
      <w:r>
        <w:rPr>
          <w:spacing w:val="1"/>
        </w:rPr>
        <w:t> </w:t>
      </w:r>
      <w:r>
        <w:rPr/>
        <w:t>form</w:t>
      </w:r>
      <w:r>
        <w:rPr>
          <w:spacing w:val="-3"/>
        </w:rPr>
        <w:t> </w:t>
      </w:r>
      <w:r>
        <w:rPr/>
        <w:t>model-consistent expectation</w:t>
      </w:r>
      <w:r>
        <w:rPr>
          <w:spacing w:val="-2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available</w:t>
      </w:r>
      <w:r>
        <w:rPr>
          <w:spacing w:val="-3"/>
        </w:rPr>
        <w:t> </w:t>
      </w:r>
      <w:r>
        <w:rPr/>
        <w:t>information.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infinitely</w:t>
      </w:r>
      <w:r>
        <w:rPr>
          <w:spacing w:val="-8"/>
        </w:rPr>
        <w:t> </w:t>
      </w:r>
      <w:r>
        <w:rPr/>
        <w:t>lived</w:t>
      </w:r>
      <w:r>
        <w:rPr>
          <w:spacing w:val="-3"/>
        </w:rPr>
        <w:t> </w:t>
      </w:r>
      <w:r>
        <w:rPr/>
        <w:t>household</w:t>
      </w:r>
      <w:r>
        <w:rPr>
          <w:spacing w:val="-58"/>
        </w:rPr>
        <w:t> </w:t>
      </w:r>
      <w:r>
        <w:rPr>
          <w:spacing w:val="-1"/>
        </w:rPr>
        <w:t>decides</w:t>
      </w:r>
      <w:r>
        <w:rPr>
          <w:spacing w:val="-10"/>
        </w:rPr>
        <w:t> </w:t>
      </w:r>
      <w:r>
        <w:rPr>
          <w:spacing w:val="-1"/>
        </w:rPr>
        <w:t>how</w:t>
      </w:r>
      <w:r>
        <w:rPr>
          <w:spacing w:val="-11"/>
        </w:rPr>
        <w:t> </w:t>
      </w:r>
      <w:r>
        <w:rPr>
          <w:spacing w:val="-1"/>
        </w:rPr>
        <w:t>much</w:t>
      </w:r>
      <w:r>
        <w:rPr>
          <w:spacing w:val="-11"/>
        </w:rPr>
        <w:t> </w:t>
      </w:r>
      <w:r>
        <w:rPr/>
        <w:t>units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goods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consume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labour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supply</w:t>
      </w:r>
      <w:r>
        <w:rPr>
          <w:spacing w:val="-17"/>
        </w:rPr>
        <w:t> </w:t>
      </w:r>
      <w:r>
        <w:rPr/>
        <w:t>in</w:t>
      </w:r>
      <w:r>
        <w:rPr>
          <w:spacing w:val="-9"/>
        </w:rPr>
        <w:t> </w:t>
      </w:r>
      <w:r>
        <w:rPr/>
        <w:t>order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maximise</w:t>
      </w:r>
      <w:r>
        <w:rPr>
          <w:spacing w:val="-11"/>
        </w:rPr>
        <w:t> </w:t>
      </w:r>
      <w:r>
        <w:rPr/>
        <w:t>its</w:t>
      </w:r>
      <w:r>
        <w:rPr>
          <w:spacing w:val="-12"/>
        </w:rPr>
        <w:t> </w:t>
      </w:r>
      <w:r>
        <w:rPr/>
        <w:t>lifetime</w:t>
      </w:r>
      <w:r>
        <w:rPr>
          <w:spacing w:val="-57"/>
        </w:rPr>
        <w:t> </w:t>
      </w:r>
      <w:r>
        <w:rPr/>
        <w:t>utility subject to budget constraints. It is assumed that there are two types of household, the</w:t>
      </w:r>
      <w:r>
        <w:rPr>
          <w:spacing w:val="1"/>
        </w:rPr>
        <w:t> </w:t>
      </w:r>
      <w:r>
        <w:rPr/>
        <w:t>Ricardian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Non-Ricardian.</w:t>
      </w:r>
      <w:r>
        <w:rPr>
          <w:spacing w:val="1"/>
        </w:rPr>
        <w:t> </w:t>
      </w:r>
      <w:r>
        <w:rPr/>
        <w:t>Unlike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Ricardian,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Non-Ricardian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liquidity-</w:t>
      </w:r>
      <w:r>
        <w:rPr>
          <w:spacing w:val="1"/>
        </w:rPr>
        <w:t> </w:t>
      </w:r>
      <w:r>
        <w:rPr/>
        <w:t>constrained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lacks</w:t>
      </w:r>
      <w:r>
        <w:rPr>
          <w:spacing w:val="-1"/>
        </w:rPr>
        <w:t> </w:t>
      </w:r>
      <w:r>
        <w:rPr/>
        <w:t>access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financial</w:t>
      </w:r>
      <w:r>
        <w:rPr>
          <w:spacing w:val="-3"/>
        </w:rPr>
        <w:t> </w:t>
      </w:r>
      <w:r>
        <w:rPr/>
        <w:t>market</w:t>
      </w:r>
      <w:r>
        <w:rPr>
          <w:spacing w:val="-3"/>
        </w:rPr>
        <w:t> </w:t>
      </w:r>
      <w:r>
        <w:rPr/>
        <w:t>(Conen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Straub,</w:t>
      </w:r>
      <w:r>
        <w:rPr>
          <w:spacing w:val="-2"/>
        </w:rPr>
        <w:t> </w:t>
      </w:r>
      <w:r>
        <w:rPr/>
        <w:t>2005;</w:t>
      </w:r>
      <w:r>
        <w:rPr>
          <w:spacing w:val="-3"/>
        </w:rPr>
        <w:t> </w:t>
      </w:r>
      <w:r>
        <w:rPr/>
        <w:t>Gali, Lopez-Salido</w:t>
      </w:r>
      <w:r>
        <w:rPr>
          <w:spacing w:val="-58"/>
        </w:rPr>
        <w:t> </w:t>
      </w:r>
      <w:r>
        <w:rPr/>
        <w:t>and Valles, 2007 as cited in Torres, 2015). A large amount of Non- Ricardian consumers implies</w:t>
      </w:r>
      <w:r>
        <w:rPr>
          <w:spacing w:val="1"/>
        </w:rPr>
        <w:t> </w:t>
      </w:r>
      <w:r>
        <w:rPr/>
        <w:t>that fiscal policy is not passive as proposed in models with Ricardian equivalence (Rossi, 2014).</w:t>
      </w:r>
      <w:r>
        <w:rPr>
          <w:spacing w:val="1"/>
        </w:rPr>
        <w:t> </w:t>
      </w:r>
      <w:r>
        <w:rPr/>
        <w:t>The</w:t>
      </w:r>
      <w:r>
        <w:rPr>
          <w:spacing w:val="-15"/>
        </w:rPr>
        <w:t> </w:t>
      </w:r>
      <w:r>
        <w:rPr/>
        <w:t>household</w:t>
      </w:r>
      <w:r>
        <w:rPr>
          <w:spacing w:val="-12"/>
        </w:rPr>
        <w:t> </w:t>
      </w:r>
      <w:r>
        <w:rPr/>
        <w:t>also</w:t>
      </w:r>
      <w:r>
        <w:rPr>
          <w:spacing w:val="-12"/>
        </w:rPr>
        <w:t> </w:t>
      </w:r>
      <w:r>
        <w:rPr/>
        <w:t>form</w:t>
      </w:r>
      <w:r>
        <w:rPr>
          <w:spacing w:val="-14"/>
        </w:rPr>
        <w:t> </w:t>
      </w:r>
      <w:r>
        <w:rPr/>
        <w:t>habits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their</w:t>
      </w:r>
      <w:r>
        <w:rPr>
          <w:spacing w:val="-14"/>
        </w:rPr>
        <w:t> </w:t>
      </w:r>
      <w:r>
        <w:rPr/>
        <w:t>consumption.</w:t>
      </w:r>
      <w:r>
        <w:rPr>
          <w:spacing w:val="-12"/>
        </w:rPr>
        <w:t> </w:t>
      </w:r>
      <w:r>
        <w:rPr/>
        <w:t>This</w:t>
      </w:r>
      <w:r>
        <w:rPr>
          <w:spacing w:val="-12"/>
        </w:rPr>
        <w:t> </w:t>
      </w:r>
      <w:r>
        <w:rPr/>
        <w:t>means</w:t>
      </w:r>
      <w:r>
        <w:rPr>
          <w:spacing w:val="-12"/>
        </w:rPr>
        <w:t> </w:t>
      </w:r>
      <w:r>
        <w:rPr/>
        <w:t>that</w:t>
      </w:r>
      <w:r>
        <w:rPr>
          <w:spacing w:val="-13"/>
        </w:rPr>
        <w:t> </w:t>
      </w:r>
      <w:r>
        <w:rPr/>
        <w:t>utility</w:t>
      </w:r>
      <w:r>
        <w:rPr>
          <w:spacing w:val="-14"/>
        </w:rPr>
        <w:t> </w:t>
      </w:r>
      <w:r>
        <w:rPr/>
        <w:t>is</w:t>
      </w:r>
      <w:r>
        <w:rPr>
          <w:spacing w:val="-12"/>
        </w:rPr>
        <w:t> </w:t>
      </w:r>
      <w:r>
        <w:rPr/>
        <w:t>time</w:t>
      </w:r>
      <w:r>
        <w:rPr>
          <w:spacing w:val="-14"/>
        </w:rPr>
        <w:t> </w:t>
      </w:r>
      <w:r>
        <w:rPr/>
        <w:t>non-separable;</w:t>
      </w:r>
      <w:r>
        <w:rPr>
          <w:spacing w:val="-57"/>
        </w:rPr>
        <w:t> </w:t>
      </w:r>
      <w:r>
        <w:rPr/>
        <w:t>it depends on consumption in previous period. The household sector is also assumed to supply</w:t>
      </w:r>
      <w:r>
        <w:rPr>
          <w:spacing w:val="1"/>
        </w:rPr>
        <w:t> </w:t>
      </w:r>
      <w:r>
        <w:rPr/>
        <w:t>labour</w:t>
      </w:r>
      <w:r>
        <w:rPr>
          <w:spacing w:val="-2"/>
        </w:rPr>
        <w:t> </w:t>
      </w:r>
      <w:r>
        <w:rPr/>
        <w:t>to firms in a</w:t>
      </w:r>
      <w:r>
        <w:rPr>
          <w:spacing w:val="-1"/>
        </w:rPr>
        <w:t> </w:t>
      </w:r>
      <w:r>
        <w:rPr/>
        <w:t>perfectly</w:t>
      </w:r>
      <w:r>
        <w:rPr>
          <w:spacing w:val="-5"/>
        </w:rPr>
        <w:t> </w:t>
      </w:r>
      <w:r>
        <w:rPr/>
        <w:t>competitive labour</w:t>
      </w:r>
      <w:r>
        <w:rPr>
          <w:spacing w:val="1"/>
        </w:rPr>
        <w:t> </w:t>
      </w:r>
      <w:r>
        <w:rPr/>
        <w:t>market.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78"/>
        <w:ind w:left="500" w:right="490"/>
        <w:jc w:val="both"/>
      </w:pPr>
      <w:r>
        <w:rPr/>
        <w:t>In the production sector, there are the final-good producer and the intermediate-goods producers.</w:t>
      </w:r>
      <w:r>
        <w:rPr>
          <w:spacing w:val="1"/>
        </w:rPr>
        <w:t> </w:t>
      </w:r>
      <w:r>
        <w:rPr/>
        <w:t>The final-good producer operates under a perfectly-competitive market and can re-optimise their</w:t>
      </w:r>
      <w:r>
        <w:rPr>
          <w:spacing w:val="1"/>
        </w:rPr>
        <w:t> </w:t>
      </w:r>
      <w:r>
        <w:rPr/>
        <w:t>prices. The final-good producer aggregates the goods of the intermediate firms using the Dixit-</w:t>
      </w:r>
      <w:r>
        <w:rPr>
          <w:spacing w:val="1"/>
        </w:rPr>
        <w:t> </w:t>
      </w:r>
      <w:r>
        <w:rPr/>
        <w:t>Stiglitz</w:t>
      </w:r>
      <w:r>
        <w:rPr>
          <w:spacing w:val="-9"/>
        </w:rPr>
        <w:t> </w:t>
      </w:r>
      <w:r>
        <w:rPr/>
        <w:t>(1977)</w:t>
      </w:r>
      <w:r>
        <w:rPr>
          <w:spacing w:val="-11"/>
        </w:rPr>
        <w:t> </w:t>
      </w:r>
      <w:r>
        <w:rPr/>
        <w:t>framework.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intermediate-goods</w:t>
      </w:r>
      <w:r>
        <w:rPr>
          <w:spacing w:val="-10"/>
        </w:rPr>
        <w:t> </w:t>
      </w:r>
      <w:r>
        <w:rPr/>
        <w:t>producers</w:t>
      </w:r>
      <w:r>
        <w:rPr>
          <w:spacing w:val="-9"/>
        </w:rPr>
        <w:t> </w:t>
      </w:r>
      <w:r>
        <w:rPr/>
        <w:t>are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monopolistic</w:t>
      </w:r>
      <w:r>
        <w:rPr>
          <w:spacing w:val="-11"/>
        </w:rPr>
        <w:t> </w:t>
      </w:r>
      <w:r>
        <w:rPr/>
        <w:t>competition</w:t>
      </w:r>
      <w:r>
        <w:rPr>
          <w:spacing w:val="-10"/>
        </w:rPr>
        <w:t> </w:t>
      </w:r>
      <w:r>
        <w:rPr/>
        <w:t>and</w:t>
      </w:r>
      <w:r>
        <w:rPr>
          <w:spacing w:val="-58"/>
        </w:rPr>
        <w:t> </w:t>
      </w:r>
      <w:r>
        <w:rPr/>
        <w:t>cannot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prices.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Calvo</w:t>
      </w:r>
      <w:r>
        <w:rPr>
          <w:spacing w:val="1"/>
        </w:rPr>
        <w:t> </w:t>
      </w:r>
      <w:r>
        <w:rPr/>
        <w:t>(1983)</w:t>
      </w:r>
      <w:r>
        <w:rPr>
          <w:spacing w:val="1"/>
        </w:rPr>
        <w:t> </w:t>
      </w:r>
      <w:r>
        <w:rPr/>
        <w:t>sticky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setting,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intermediate-goods</w:t>
      </w:r>
      <w:r>
        <w:rPr>
          <w:spacing w:val="5"/>
        </w:rPr>
        <w:t> </w:t>
      </w:r>
      <w:r>
        <w:rPr/>
        <w:t>firms</w:t>
      </w:r>
      <w:r>
        <w:rPr>
          <w:spacing w:val="8"/>
        </w:rPr>
        <w:t> </w:t>
      </w:r>
      <w:r>
        <w:rPr/>
        <w:t>is</w:t>
      </w:r>
      <w:r>
        <w:rPr>
          <w:spacing w:val="6"/>
        </w:rPr>
        <w:t> </w:t>
      </w:r>
      <w:r>
        <w:rPr/>
        <w:t>allowed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re-set</w:t>
      </w:r>
      <w:r>
        <w:rPr>
          <w:spacing w:val="5"/>
        </w:rPr>
        <w:t> </w:t>
      </w:r>
      <w:r>
        <w:rPr/>
        <w:t>their</w:t>
      </w:r>
      <w:r>
        <w:rPr>
          <w:spacing w:val="7"/>
        </w:rPr>
        <w:t> </w:t>
      </w:r>
      <w:r>
        <w:rPr/>
        <w:t>price.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third</w:t>
      </w:r>
      <w:r>
        <w:rPr>
          <w:spacing w:val="5"/>
        </w:rPr>
        <w:t> </w:t>
      </w:r>
      <w:r>
        <w:rPr/>
        <w:t>agent</w:t>
      </w:r>
      <w:r>
        <w:rPr>
          <w:spacing w:val="5"/>
        </w:rPr>
        <w:t> </w:t>
      </w:r>
      <w:r>
        <w:rPr/>
        <w:t>is</w:t>
      </w:r>
      <w:r>
        <w:rPr>
          <w:spacing w:val="9"/>
        </w:rPr>
        <w:t> </w:t>
      </w:r>
      <w:r>
        <w:rPr/>
        <w:t>a</w:t>
      </w:r>
      <w:r>
        <w:rPr>
          <w:spacing w:val="5"/>
        </w:rPr>
        <w:t> </w:t>
      </w:r>
      <w:r>
        <w:rPr/>
        <w:t>monetary</w:t>
      </w:r>
      <w:r>
        <w:rPr>
          <w:spacing w:val="1"/>
        </w:rPr>
        <w:t> </w:t>
      </w:r>
      <w:r>
        <w:rPr/>
        <w:t>authority,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line="360" w:lineRule="auto" w:before="74"/>
        <w:ind w:left="500" w:right="497"/>
        <w:jc w:val="both"/>
      </w:pPr>
      <w:r>
        <w:rPr/>
        <w:t>the Central Bank of Nigeria that implements monetary policy by following a Taylor-type rule to</w:t>
      </w:r>
      <w:r>
        <w:rPr>
          <w:spacing w:val="1"/>
        </w:rPr>
        <w:t> </w:t>
      </w:r>
      <w:r>
        <w:rPr/>
        <w:t>set its policy rate. It is also posited that Nigeria is a small open economy linked to a foreign</w:t>
      </w:r>
      <w:r>
        <w:rPr>
          <w:spacing w:val="1"/>
        </w:rPr>
        <w:t> </w:t>
      </w:r>
      <w:r>
        <w:rPr/>
        <w:t>economy, which is the Rest of the World. As a small open economy, the size of the Nigerian</w:t>
      </w:r>
      <w:r>
        <w:rPr>
          <w:spacing w:val="1"/>
        </w:rPr>
        <w:t> </w:t>
      </w:r>
      <w:r>
        <w:rPr/>
        <w:t>economy</w:t>
      </w:r>
      <w:r>
        <w:rPr>
          <w:spacing w:val="-10"/>
        </w:rPr>
        <w:t> </w:t>
      </w:r>
      <w:r>
        <w:rPr/>
        <w:t>is</w:t>
      </w:r>
      <w:r>
        <w:rPr>
          <w:spacing w:val="-5"/>
        </w:rPr>
        <w:t> </w:t>
      </w:r>
      <w:r>
        <w:rPr/>
        <w:t>tiny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lacks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significant</w:t>
      </w:r>
      <w:r>
        <w:rPr>
          <w:spacing w:val="-5"/>
        </w:rPr>
        <w:t> </w:t>
      </w:r>
      <w:r>
        <w:rPr/>
        <w:t>influence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Rest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World.</w:t>
      </w:r>
      <w:r>
        <w:rPr>
          <w:spacing w:val="-3"/>
        </w:rPr>
        <w:t> </w:t>
      </w:r>
      <w:r>
        <w:rPr/>
        <w:t>Finally,</w:t>
      </w:r>
      <w:r>
        <w:rPr>
          <w:spacing w:val="-3"/>
        </w:rPr>
        <w:t> </w:t>
      </w:r>
      <w:r>
        <w:rPr/>
        <w:t>there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some</w:t>
      </w:r>
      <w:r>
        <w:rPr>
          <w:spacing w:val="-57"/>
        </w:rPr>
        <w:t> </w:t>
      </w:r>
      <w:r>
        <w:rPr/>
        <w:t>exogenous</w:t>
      </w:r>
      <w:r>
        <w:rPr>
          <w:spacing w:val="-1"/>
        </w:rPr>
        <w:t> </w:t>
      </w:r>
      <w:r>
        <w:rPr/>
        <w:t>shock processes.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/>
        <w:ind w:left="500" w:right="498"/>
        <w:jc w:val="both"/>
      </w:pPr>
      <w:r>
        <w:rPr/>
        <w:t>The fiscal authority, the Federal Government of Nigeria, is the fifth agent. In many instances, the</w:t>
      </w:r>
      <w:r>
        <w:rPr>
          <w:spacing w:val="-57"/>
        </w:rPr>
        <w:t> </w:t>
      </w:r>
      <w:r>
        <w:rPr/>
        <w:t>fiscal authority is modelled to be benevolent i.e. it is concerned with the welfare of the whole</w:t>
      </w:r>
      <w:r>
        <w:rPr>
          <w:spacing w:val="1"/>
        </w:rPr>
        <w:t> </w:t>
      </w:r>
      <w:r>
        <w:rPr>
          <w:spacing w:val="-1"/>
        </w:rPr>
        <w:t>society</w:t>
      </w:r>
      <w:r>
        <w:rPr>
          <w:spacing w:val="-17"/>
        </w:rPr>
        <w:t> </w:t>
      </w:r>
      <w:r>
        <w:rPr>
          <w:spacing w:val="-1"/>
        </w:rPr>
        <w:t>(Algozhina,</w:t>
      </w:r>
      <w:r>
        <w:rPr>
          <w:spacing w:val="-15"/>
        </w:rPr>
        <w:t> </w:t>
      </w:r>
      <w:r>
        <w:rPr>
          <w:spacing w:val="-1"/>
        </w:rPr>
        <w:t>2012;</w:t>
      </w:r>
      <w:r>
        <w:rPr>
          <w:spacing w:val="-11"/>
        </w:rPr>
        <w:t> </w:t>
      </w:r>
      <w:r>
        <w:rPr>
          <w:spacing w:val="-1"/>
        </w:rPr>
        <w:t>Leeper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Leith,</w:t>
      </w:r>
      <w:r>
        <w:rPr>
          <w:spacing w:val="-15"/>
        </w:rPr>
        <w:t> </w:t>
      </w:r>
      <w:r>
        <w:rPr/>
        <w:t>2015;</w:t>
      </w:r>
      <w:r>
        <w:rPr>
          <w:spacing w:val="-14"/>
        </w:rPr>
        <w:t> </w:t>
      </w:r>
      <w:r>
        <w:rPr/>
        <w:t>Bianchi</w:t>
      </w:r>
      <w:r>
        <w:rPr>
          <w:spacing w:val="-13"/>
        </w:rPr>
        <w:t> </w:t>
      </w:r>
      <w:r>
        <w:rPr/>
        <w:t>and</w:t>
      </w:r>
      <w:r>
        <w:rPr>
          <w:spacing w:val="-10"/>
        </w:rPr>
        <w:t> </w:t>
      </w:r>
      <w:r>
        <w:rPr/>
        <w:t>Ilut,</w:t>
      </w:r>
      <w:r>
        <w:rPr>
          <w:spacing w:val="-14"/>
        </w:rPr>
        <w:t> </w:t>
      </w:r>
      <w:r>
        <w:rPr/>
        <w:t>2016).</w:t>
      </w:r>
      <w:r>
        <w:rPr>
          <w:spacing w:val="-10"/>
        </w:rPr>
        <w:t> </w:t>
      </w:r>
      <w:r>
        <w:rPr/>
        <w:t>It</w:t>
      </w:r>
      <w:r>
        <w:rPr>
          <w:spacing w:val="-12"/>
        </w:rPr>
        <w:t> </w:t>
      </w:r>
      <w:r>
        <w:rPr/>
        <w:t>purchases</w:t>
      </w:r>
      <w:r>
        <w:rPr>
          <w:spacing w:val="-14"/>
        </w:rPr>
        <w:t> </w:t>
      </w:r>
      <w:r>
        <w:rPr/>
        <w:t>from</w:t>
      </w:r>
      <w:r>
        <w:rPr>
          <w:spacing w:val="-15"/>
        </w:rPr>
        <w:t> </w:t>
      </w:r>
      <w:r>
        <w:rPr/>
        <w:t>firms,</w:t>
      </w:r>
      <w:r>
        <w:rPr>
          <w:spacing w:val="-57"/>
        </w:rPr>
        <w:t> </w:t>
      </w:r>
      <w:r>
        <w:rPr/>
        <w:t>issue bonds, collects lump sum taxes, and makes transfer payment to keep balanced budget.</w:t>
      </w:r>
      <w:r>
        <w:rPr>
          <w:spacing w:val="1"/>
        </w:rPr>
        <w:t> </w:t>
      </w:r>
      <w:r>
        <w:rPr/>
        <w:t>Secondly, in these studies, the government commits to a fiscal rule in spending and taxes. This</w:t>
      </w:r>
      <w:r>
        <w:rPr>
          <w:spacing w:val="1"/>
        </w:rPr>
        <w:t> </w:t>
      </w:r>
      <w:r>
        <w:rPr/>
        <w:t>present study deviates from these two assumptions, since they may not be realistic in developing</w:t>
      </w:r>
      <w:r>
        <w:rPr>
          <w:spacing w:val="1"/>
        </w:rPr>
        <w:t> </w:t>
      </w:r>
      <w:r>
        <w:rPr/>
        <w:t>economies</w:t>
      </w:r>
      <w:r>
        <w:rPr>
          <w:spacing w:val="-1"/>
        </w:rPr>
        <w:t> </w:t>
      </w:r>
      <w:r>
        <w:rPr/>
        <w:t>such as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  <w:spacing w:line="360" w:lineRule="auto" w:before="202"/>
        <w:ind w:left="500" w:right="498"/>
        <w:jc w:val="both"/>
      </w:pPr>
      <w:r>
        <w:rPr/>
        <w:t>The study rather assumes the existence of political friction i.e. the government may be concerned</w:t>
      </w:r>
      <w:r>
        <w:rPr>
          <w:spacing w:val="-57"/>
        </w:rPr>
        <w:t> </w:t>
      </w:r>
      <w:r>
        <w:rPr/>
        <w:t>with maximising the benefit of a subset of its citizen due to its rent-seeking tendencies (Miller,</w:t>
      </w:r>
      <w:r>
        <w:rPr>
          <w:spacing w:val="1"/>
        </w:rPr>
        <w:t> </w:t>
      </w:r>
      <w:r>
        <w:rPr/>
        <w:t>2016). Secondly, it is postulated that the fiscal authority uses discretion in choosing its policy on</w:t>
      </w:r>
      <w:r>
        <w:rPr>
          <w:spacing w:val="1"/>
        </w:rPr>
        <w:t> </w:t>
      </w:r>
      <w:r>
        <w:rPr/>
        <w:t>spending and taxes. An implication is that, if the monetary authority commits to a rule while the</w:t>
      </w:r>
      <w:r>
        <w:rPr>
          <w:spacing w:val="1"/>
        </w:rPr>
        <w:t> </w:t>
      </w:r>
      <w:r>
        <w:rPr/>
        <w:t>fiscal authority relies on discretion, this can be termed a non-cooperative policy game, further</w:t>
      </w:r>
      <w:r>
        <w:rPr>
          <w:spacing w:val="1"/>
        </w:rPr>
        <w:t> </w:t>
      </w:r>
      <w:r>
        <w:rPr/>
        <w:t>implying weak or non-existing coordination between the two policies (Dixit and Lambertini,</w:t>
      </w:r>
      <w:r>
        <w:rPr>
          <w:spacing w:val="1"/>
        </w:rPr>
        <w:t> </w:t>
      </w:r>
      <w:r>
        <w:rPr/>
        <w:t>2003).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conjecture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realistic</w:t>
      </w:r>
      <w:r>
        <w:rPr>
          <w:spacing w:val="-3"/>
        </w:rPr>
        <w:t> </w:t>
      </w:r>
      <w:r>
        <w:rPr/>
        <w:t>since</w:t>
      </w:r>
      <w:r>
        <w:rPr>
          <w:spacing w:val="-3"/>
        </w:rPr>
        <w:t> </w:t>
      </w:r>
      <w:r>
        <w:rPr/>
        <w:t>there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evidence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weak</w:t>
      </w:r>
      <w:r>
        <w:rPr>
          <w:spacing w:val="-1"/>
        </w:rPr>
        <w:t> </w:t>
      </w:r>
      <w:r>
        <w:rPr/>
        <w:t>coordination</w:t>
      </w:r>
      <w:r>
        <w:rPr>
          <w:spacing w:val="-2"/>
        </w:rPr>
        <w:t> </w:t>
      </w:r>
      <w:r>
        <w:rPr/>
        <w:t>between</w:t>
      </w:r>
      <w:r>
        <w:rPr>
          <w:spacing w:val="-1"/>
        </w:rPr>
        <w:t> </w:t>
      </w:r>
      <w:r>
        <w:rPr/>
        <w:t>fiscal</w:t>
      </w:r>
      <w:r>
        <w:rPr>
          <w:spacing w:val="-1"/>
        </w:rPr>
        <w:t> </w:t>
      </w:r>
      <w:r>
        <w:rPr/>
        <w:t>and</w:t>
      </w:r>
      <w:r>
        <w:rPr>
          <w:spacing w:val="-58"/>
        </w:rPr>
        <w:t> </w:t>
      </w:r>
      <w:r>
        <w:rPr/>
        <w:t>monetary</w:t>
      </w:r>
      <w:r>
        <w:rPr>
          <w:spacing w:val="-9"/>
        </w:rPr>
        <w:t> </w:t>
      </w:r>
      <w:r>
        <w:rPr/>
        <w:t>policy</w:t>
      </w:r>
      <w:r>
        <w:rPr>
          <w:spacing w:val="-6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(Englama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2013).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model</w:t>
      </w:r>
      <w:r>
        <w:rPr>
          <w:spacing w:val="-1"/>
        </w:rPr>
        <w:t> </w:t>
      </w:r>
      <w:r>
        <w:rPr/>
        <w:t>adopted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study,</w:t>
      </w:r>
      <w:r>
        <w:rPr>
          <w:spacing w:val="-1"/>
        </w:rPr>
        <w:t> </w:t>
      </w:r>
      <w:r>
        <w:rPr/>
        <w:t>therefore, is</w:t>
      </w:r>
      <w:r>
        <w:rPr>
          <w:spacing w:val="-58"/>
        </w:rPr>
        <w:t> </w:t>
      </w:r>
      <w:r>
        <w:rPr/>
        <w:t>a</w:t>
      </w:r>
      <w:r>
        <w:rPr>
          <w:spacing w:val="-6"/>
        </w:rPr>
        <w:t> </w:t>
      </w:r>
      <w:r>
        <w:rPr/>
        <w:t>Small</w:t>
      </w:r>
      <w:r>
        <w:rPr>
          <w:spacing w:val="-3"/>
        </w:rPr>
        <w:t> </w:t>
      </w:r>
      <w:r>
        <w:rPr/>
        <w:t>Open</w:t>
      </w:r>
      <w:r>
        <w:rPr>
          <w:spacing w:val="-5"/>
        </w:rPr>
        <w:t> </w:t>
      </w:r>
      <w:r>
        <w:rPr/>
        <w:t>Economy,</w:t>
      </w:r>
      <w:r>
        <w:rPr>
          <w:spacing w:val="-1"/>
        </w:rPr>
        <w:t> </w:t>
      </w:r>
      <w:r>
        <w:rPr/>
        <w:t>Dynamic</w:t>
      </w:r>
      <w:r>
        <w:rPr>
          <w:spacing w:val="-5"/>
        </w:rPr>
        <w:t> </w:t>
      </w:r>
      <w:r>
        <w:rPr/>
        <w:t>Stochastic</w:t>
      </w:r>
      <w:r>
        <w:rPr>
          <w:spacing w:val="-6"/>
        </w:rPr>
        <w:t> </w:t>
      </w:r>
      <w:r>
        <w:rPr/>
        <w:t>General</w:t>
      </w:r>
      <w:r>
        <w:rPr>
          <w:spacing w:val="-3"/>
        </w:rPr>
        <w:t> </w:t>
      </w:r>
      <w:r>
        <w:rPr/>
        <w:t>Equilibrium</w:t>
      </w:r>
      <w:r>
        <w:rPr>
          <w:spacing w:val="-4"/>
        </w:rPr>
        <w:t> </w:t>
      </w:r>
      <w:r>
        <w:rPr/>
        <w:t>model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comprises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two</w:t>
      </w:r>
      <w:r>
        <w:rPr>
          <w:spacing w:val="-58"/>
        </w:rPr>
        <w:t> </w:t>
      </w:r>
      <w:r>
        <w:rPr/>
        <w:t>types</w:t>
      </w:r>
      <w:r>
        <w:rPr>
          <w:spacing w:val="-1"/>
        </w:rPr>
        <w:t> </w:t>
      </w:r>
      <w:r>
        <w:rPr/>
        <w:t>of households, firms, the monetary</w:t>
      </w:r>
      <w:r>
        <w:rPr>
          <w:spacing w:val="-5"/>
        </w:rPr>
        <w:t> </w:t>
      </w:r>
      <w:r>
        <w:rPr/>
        <w:t>authority</w:t>
      </w:r>
      <w:r>
        <w:rPr>
          <w:spacing w:val="-3"/>
        </w:rPr>
        <w:t> </w:t>
      </w:r>
      <w:r>
        <w:rPr/>
        <w:t>and a</w:t>
      </w:r>
      <w:r>
        <w:rPr>
          <w:spacing w:val="-1"/>
        </w:rPr>
        <w:t> </w:t>
      </w:r>
      <w:r>
        <w:rPr/>
        <w:t>rent-seeking, discretionary</w:t>
      </w:r>
      <w:r>
        <w:rPr>
          <w:spacing w:val="-5"/>
        </w:rPr>
        <w:t> </w:t>
      </w:r>
      <w:r>
        <w:rPr/>
        <w:t>fiscal bloc.</w:t>
      </w:r>
    </w:p>
    <w:p>
      <w:pPr>
        <w:pStyle w:val="Heading1"/>
        <w:numPr>
          <w:ilvl w:val="0"/>
          <w:numId w:val="23"/>
        </w:numPr>
        <w:tabs>
          <w:tab w:pos="947" w:val="left" w:leader="none"/>
        </w:tabs>
        <w:spacing w:line="240" w:lineRule="auto" w:before="207" w:after="0"/>
        <w:ind w:left="946" w:right="0" w:hanging="382"/>
        <w:jc w:val="left"/>
      </w:pPr>
      <w:r>
        <w:rPr/>
        <w:t>The</w:t>
      </w:r>
      <w:r>
        <w:rPr>
          <w:spacing w:val="-1"/>
        </w:rPr>
        <w:t> </w:t>
      </w:r>
      <w:r>
        <w:rPr/>
        <w:t>Model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BodyText"/>
        <w:spacing w:line="360" w:lineRule="auto"/>
        <w:ind w:left="500" w:right="499"/>
        <w:jc w:val="both"/>
      </w:pPr>
      <w:r>
        <w:rPr/>
        <w:t>In what follows, the study presents the relevant equations of the Small Open Economy, Dynamic</w:t>
      </w:r>
      <w:r>
        <w:rPr>
          <w:spacing w:val="-57"/>
        </w:rPr>
        <w:t> </w:t>
      </w:r>
      <w:r>
        <w:rPr/>
        <w:t>Stochastic</w:t>
      </w:r>
      <w:r>
        <w:rPr>
          <w:spacing w:val="-14"/>
        </w:rPr>
        <w:t> </w:t>
      </w:r>
      <w:r>
        <w:rPr/>
        <w:t>General</w:t>
      </w:r>
      <w:r>
        <w:rPr>
          <w:spacing w:val="-13"/>
        </w:rPr>
        <w:t> </w:t>
      </w:r>
      <w:r>
        <w:rPr/>
        <w:t>Equilibrium</w:t>
      </w:r>
      <w:r>
        <w:rPr>
          <w:spacing w:val="-13"/>
        </w:rPr>
        <w:t> </w:t>
      </w:r>
      <w:r>
        <w:rPr/>
        <w:t>model.</w:t>
      </w:r>
      <w:r>
        <w:rPr>
          <w:spacing w:val="-13"/>
        </w:rPr>
        <w:t> </w:t>
      </w:r>
      <w:r>
        <w:rPr/>
        <w:t>Each</w:t>
      </w:r>
      <w:r>
        <w:rPr>
          <w:spacing w:val="-10"/>
        </w:rPr>
        <w:t> </w:t>
      </w:r>
      <w:r>
        <w:rPr/>
        <w:t>sector</w:t>
      </w:r>
      <w:r>
        <w:rPr>
          <w:spacing w:val="-12"/>
        </w:rPr>
        <w:t> </w:t>
      </w:r>
      <w:r>
        <w:rPr/>
        <w:t>is</w:t>
      </w:r>
      <w:r>
        <w:rPr>
          <w:spacing w:val="-13"/>
        </w:rPr>
        <w:t> </w:t>
      </w:r>
      <w:r>
        <w:rPr/>
        <w:t>considered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order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derive</w:t>
      </w:r>
      <w:r>
        <w:rPr>
          <w:spacing w:val="-15"/>
        </w:rPr>
        <w:t> </w:t>
      </w:r>
      <w:r>
        <w:rPr/>
        <w:t>its</w:t>
      </w:r>
      <w:r>
        <w:rPr>
          <w:spacing w:val="-12"/>
        </w:rPr>
        <w:t> </w:t>
      </w:r>
      <w:r>
        <w:rPr/>
        <w:t>optimisation</w:t>
      </w:r>
      <w:r>
        <w:rPr>
          <w:spacing w:val="-58"/>
        </w:rPr>
        <w:t> </w:t>
      </w:r>
      <w:r>
        <w:rPr/>
        <w:t>conditions.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Heading1"/>
        <w:numPr>
          <w:ilvl w:val="0"/>
          <w:numId w:val="24"/>
        </w:numPr>
        <w:tabs>
          <w:tab w:pos="811" w:val="left" w:leader="none"/>
        </w:tabs>
        <w:spacing w:line="240" w:lineRule="auto" w:before="62" w:after="0"/>
        <w:ind w:left="810" w:right="0" w:hanging="311"/>
        <w:jc w:val="left"/>
      </w:pPr>
      <w:r>
        <w:rPr/>
        <w:t>The</w:t>
      </w:r>
      <w:r>
        <w:rPr>
          <w:spacing w:val="-3"/>
        </w:rPr>
        <w:t> </w:t>
      </w:r>
      <w:r>
        <w:rPr/>
        <w:t>households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BodyText"/>
        <w:spacing w:line="360" w:lineRule="auto"/>
        <w:ind w:left="500" w:right="492"/>
        <w:jc w:val="both"/>
      </w:pPr>
      <w:r>
        <w:rPr>
          <w:spacing w:val="-1"/>
        </w:rPr>
        <w:t>There</w:t>
      </w:r>
      <w:r>
        <w:rPr>
          <w:spacing w:val="-17"/>
        </w:rPr>
        <w:t> </w:t>
      </w:r>
      <w:r>
        <w:rPr/>
        <w:t>is</w:t>
      </w:r>
      <w:r>
        <w:rPr>
          <w:spacing w:val="-12"/>
        </w:rPr>
        <w:t> </w:t>
      </w:r>
      <w:r>
        <w:rPr/>
        <w:t>a</w:t>
      </w:r>
      <w:r>
        <w:rPr>
          <w:spacing w:val="-16"/>
        </w:rPr>
        <w:t> </w:t>
      </w:r>
      <w:r>
        <w:rPr/>
        <w:t>continuum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infinitely</w:t>
      </w:r>
      <w:r>
        <w:rPr>
          <w:spacing w:val="-20"/>
        </w:rPr>
        <w:t> </w:t>
      </w:r>
      <w:r>
        <w:rPr/>
        <w:t>lived</w:t>
      </w:r>
      <w:r>
        <w:rPr>
          <w:spacing w:val="-14"/>
        </w:rPr>
        <w:t> </w:t>
      </w:r>
      <w:r>
        <w:rPr/>
        <w:t>households</w:t>
      </w:r>
      <w:r>
        <w:rPr>
          <w:spacing w:val="-12"/>
        </w:rPr>
        <w:t> </w:t>
      </w:r>
      <w:r>
        <w:rPr>
          <w:rFonts w:ascii="Cambria Math" w:hAnsi="Cambria Math" w:eastAsia="Cambria Math"/>
        </w:rPr>
        <w:t>𝑗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∈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  <w:position w:val="1"/>
        </w:rPr>
        <w:t>[</w:t>
      </w:r>
      <w:r>
        <w:rPr>
          <w:rFonts w:ascii="Cambria Math" w:hAnsi="Cambria Math" w:eastAsia="Cambria Math"/>
        </w:rPr>
        <w:t>0,1</w:t>
      </w:r>
      <w:r>
        <w:rPr>
          <w:rFonts w:ascii="Cambria Math" w:hAnsi="Cambria Math" w:eastAsia="Cambria Math"/>
          <w:position w:val="1"/>
        </w:rPr>
        <w:t>]</w:t>
      </w:r>
      <w:r>
        <w:rPr>
          <w:rFonts w:ascii="Cambria Math" w:hAnsi="Cambria Math" w:eastAsia="Cambria Math"/>
          <w:spacing w:val="-8"/>
          <w:position w:val="1"/>
        </w:rPr>
        <w:t> </w:t>
      </w:r>
      <w:r>
        <w:rPr/>
        <w:t>who</w:t>
      </w:r>
      <w:r>
        <w:rPr>
          <w:spacing w:val="-14"/>
        </w:rPr>
        <w:t> </w:t>
      </w:r>
      <w:r>
        <w:rPr/>
        <w:t>decides</w:t>
      </w:r>
      <w:r>
        <w:rPr>
          <w:spacing w:val="-15"/>
        </w:rPr>
        <w:t> </w:t>
      </w:r>
      <w:r>
        <w:rPr/>
        <w:t>how</w:t>
      </w:r>
      <w:r>
        <w:rPr>
          <w:spacing w:val="-15"/>
        </w:rPr>
        <w:t> </w:t>
      </w:r>
      <w:r>
        <w:rPr/>
        <w:t>much</w:t>
      </w:r>
      <w:r>
        <w:rPr>
          <w:spacing w:val="-12"/>
        </w:rPr>
        <w:t> </w:t>
      </w:r>
      <w:r>
        <w:rPr/>
        <w:t>units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goods</w:t>
      </w:r>
      <w:r>
        <w:rPr>
          <w:spacing w:val="-57"/>
        </w:rPr>
        <w:t> </w:t>
      </w:r>
      <w:r>
        <w:rPr/>
        <w:t>to consume and labour to supply in order to maximise its lifetime utility subject to its inter-</w:t>
      </w:r>
      <w:r>
        <w:rPr>
          <w:spacing w:val="1"/>
        </w:rPr>
        <w:t> </w:t>
      </w:r>
      <w:r>
        <w:rPr/>
        <w:t>temporal budget constraints. It is made up of two types of household, where the fraction </w:t>
      </w:r>
      <w:r>
        <w:rPr>
          <w:rFonts w:ascii="Cambria Math" w:hAnsi="Cambria Math" w:eastAsia="Cambria Math"/>
        </w:rPr>
        <w:t>𝜇 </w:t>
      </w:r>
      <w:r>
        <w:rPr/>
        <w:t>are</w:t>
      </w:r>
      <w:r>
        <w:rPr>
          <w:spacing w:val="1"/>
        </w:rPr>
        <w:t> </w:t>
      </w:r>
      <w:r>
        <w:rPr/>
        <w:t>Ricardian households. They are forward-looking optimisers who have access to the financial</w:t>
      </w:r>
      <w:r>
        <w:rPr>
          <w:spacing w:val="1"/>
        </w:rPr>
        <w:t> </w:t>
      </w:r>
      <w:r>
        <w:rPr/>
        <w:t>markets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(1 − 𝜇) </w:t>
      </w:r>
      <w:r>
        <w:rPr/>
        <w:t>are</w:t>
      </w:r>
      <w:r>
        <w:rPr>
          <w:spacing w:val="1"/>
        </w:rPr>
        <w:t> </w:t>
      </w:r>
      <w:r>
        <w:rPr/>
        <w:t>non-Ricardian</w:t>
      </w:r>
      <w:r>
        <w:rPr>
          <w:spacing w:val="1"/>
        </w:rPr>
        <w:t> </w:t>
      </w:r>
      <w:r>
        <w:rPr/>
        <w:t>households</w:t>
      </w:r>
      <w:r>
        <w:rPr>
          <w:spacing w:val="-1"/>
        </w:rPr>
        <w:t> </w:t>
      </w:r>
      <w:r>
        <w:rPr/>
        <w:t>who are</w:t>
      </w:r>
      <w:r>
        <w:rPr>
          <w:spacing w:val="-2"/>
        </w:rPr>
        <w:t> </w:t>
      </w:r>
      <w:r>
        <w:rPr/>
        <w:t>liquidity</w:t>
      </w:r>
      <w:r>
        <w:rPr>
          <w:spacing w:val="-5"/>
        </w:rPr>
        <w:t> </w:t>
      </w:r>
      <w:r>
        <w:rPr/>
        <w:t>constrained since</w:t>
      </w:r>
      <w:r>
        <w:rPr>
          <w:spacing w:val="-1"/>
        </w:rPr>
        <w:t> </w:t>
      </w:r>
      <w:r>
        <w:rPr/>
        <w:t>they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</w:t>
      </w:r>
      <w:r>
        <w:rPr/>
        <w:t>neither borrow nor</w:t>
      </w:r>
      <w:r>
        <w:rPr>
          <w:spacing w:val="1"/>
        </w:rPr>
        <w:t> </w:t>
      </w:r>
      <w:r>
        <w:rPr/>
        <w:t>own firms.</w:t>
      </w:r>
    </w:p>
    <w:p>
      <w:pPr>
        <w:pStyle w:val="Heading1"/>
        <w:spacing w:before="211"/>
      </w:pPr>
      <w:r>
        <w:rPr/>
        <w:t>Ricardian</w:t>
      </w:r>
      <w:r>
        <w:rPr>
          <w:spacing w:val="-1"/>
        </w:rPr>
        <w:t> </w:t>
      </w:r>
      <w:r>
        <w:rPr/>
        <w:t>Households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BodyText"/>
        <w:spacing w:line="362" w:lineRule="auto" w:before="1"/>
        <w:ind w:left="500" w:right="716"/>
      </w:pPr>
      <w:r>
        <w:rPr/>
        <w:t>The</w:t>
      </w:r>
      <w:r>
        <w:rPr>
          <w:spacing w:val="-3"/>
        </w:rPr>
        <w:t> </w:t>
      </w:r>
      <w:r>
        <w:rPr/>
        <w:t>Ricardian</w:t>
      </w:r>
      <w:r>
        <w:rPr>
          <w:spacing w:val="1"/>
        </w:rPr>
        <w:t> </w:t>
      </w:r>
      <w:r>
        <w:rPr/>
        <w:t>consumer derives</w:t>
      </w:r>
      <w:r>
        <w:rPr>
          <w:spacing w:val="-1"/>
        </w:rPr>
        <w:t> </w:t>
      </w:r>
      <w:r>
        <w:rPr/>
        <w:t>utility</w:t>
      </w:r>
      <w:r>
        <w:rPr>
          <w:spacing w:val="-6"/>
        </w:rPr>
        <w:t> </w:t>
      </w:r>
      <w:r>
        <w:rPr/>
        <w:t>at</w:t>
      </w:r>
      <w:r>
        <w:rPr>
          <w:spacing w:val="-1"/>
        </w:rPr>
        <w:t> </w:t>
      </w:r>
      <w:r>
        <w:rPr/>
        <w:t>time</w:t>
      </w:r>
      <w:r>
        <w:rPr>
          <w:spacing w:val="3"/>
        </w:rPr>
        <w:t> </w:t>
      </w: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spacing w:val="12"/>
        </w:rPr>
        <w:t> </w:t>
      </w:r>
      <w:r>
        <w:rPr/>
        <w:t>from</w:t>
      </w:r>
      <w:r>
        <w:rPr>
          <w:spacing w:val="-1"/>
        </w:rPr>
        <w:t> </w:t>
      </w:r>
      <w:r>
        <w:rPr/>
        <w:t>consuming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composite</w:t>
      </w:r>
      <w:r>
        <w:rPr>
          <w:spacing w:val="-2"/>
        </w:rPr>
        <w:t> </w:t>
      </w:r>
      <w:r>
        <w:rPr/>
        <w:t>good,</w:t>
      </w:r>
      <w:r>
        <w:rPr>
          <w:spacing w:val="3"/>
        </w:rPr>
        <w:t> </w:t>
      </w:r>
      <w:r>
        <w:rPr>
          <w:rFonts w:ascii="Cambria Math" w:hAnsi="Cambria Math" w:eastAsia="Cambria Math"/>
        </w:rPr>
        <w:t>𝐶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vertAlign w:val="baseline"/>
        </w:rPr>
        <w:t>relative</w:t>
      </w:r>
      <w:r>
        <w:rPr>
          <w:spacing w:val="-57"/>
          <w:vertAlign w:val="baseline"/>
        </w:rPr>
        <w:t> </w:t>
      </w:r>
      <w:r>
        <w:rPr>
          <w:vertAlign w:val="baseline"/>
        </w:rPr>
        <w:t>to habit formation, public good</w:t>
      </w:r>
      <w:r>
        <w:rPr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𝐺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vertAlign w:val="baseline"/>
        </w:rPr>
        <w:t>and leisure</w:t>
      </w:r>
      <w:r>
        <w:rPr>
          <w:spacing w:val="-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 𝑁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vertAlign w:val="baseline"/>
        </w:rPr>
        <w:t>. There is neither saving</w:t>
      </w:r>
      <w:r>
        <w:rPr>
          <w:spacing w:val="-2"/>
          <w:vertAlign w:val="baseline"/>
        </w:rPr>
        <w:t> </w:t>
      </w:r>
      <w:r>
        <w:rPr>
          <w:vertAlign w:val="baseline"/>
        </w:rPr>
        <w:t>nor investment.</w:t>
      </w:r>
    </w:p>
    <w:p>
      <w:pPr>
        <w:pStyle w:val="BodyText"/>
        <w:spacing w:before="2"/>
        <w:rPr>
          <w:sz w:val="9"/>
        </w:rPr>
      </w:pPr>
    </w:p>
    <w:p>
      <w:pPr>
        <w:pStyle w:val="BodyText"/>
        <w:tabs>
          <w:tab w:pos="1277" w:val="left" w:leader="none"/>
          <w:tab w:pos="9381" w:val="left" w:leader="none"/>
        </w:tabs>
        <w:spacing w:before="105"/>
        <w:ind w:left="500"/>
      </w:pPr>
      <w:r>
        <w:rPr/>
        <w:pict>
          <v:shape style="position:absolute;margin-left:93.863998pt;margin-top:13.156879pt;width:15.15pt;height:8.550pt;mso-position-horizontal-relative:page;mso-position-vertical-relative:paragraph;z-index:-21455360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z w:val="17"/>
                    </w:rPr>
                    <w:t>𝑡=0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w w:val="105"/>
        </w:rPr>
        <w:t>𝐸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-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position w:val="1"/>
          <w:vertAlign w:val="baseline"/>
        </w:rPr>
        <w:t>∑</w:t>
      </w:r>
      <w:r>
        <w:rPr>
          <w:i/>
          <w:w w:val="105"/>
          <w:position w:val="1"/>
          <w:vertAlign w:val="superscript"/>
        </w:rPr>
        <w:t>∞</w:t>
      </w:r>
      <w:r>
        <w:rPr>
          <w:i/>
          <w:w w:val="105"/>
          <w:position w:val="1"/>
          <w:vertAlign w:val="baseline"/>
        </w:rPr>
        <w:tab/>
      </w:r>
      <w:r>
        <w:rPr>
          <w:rFonts w:ascii="Cambria Math" w:hAnsi="Cambria Math" w:eastAsia="Cambria Math"/>
          <w:vertAlign w:val="baseline"/>
        </w:rPr>
        <w:t>𝛽</w:t>
      </w:r>
      <w:r>
        <w:rPr>
          <w:rFonts w:ascii="Cambria Math" w:hAnsi="Cambria Math" w:eastAsia="Cambria Math"/>
          <w:vertAlign w:val="superscript"/>
        </w:rPr>
        <w:t>𝑡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𝑈((𝐶</w:t>
      </w:r>
      <w:r>
        <w:rPr>
          <w:rFonts w:ascii="Cambria Math" w:hAnsi="Cambria Math" w:eastAsia="Cambria Math"/>
          <w:vertAlign w:val="subscript"/>
        </w:rPr>
        <w:t>𝑅,𝑡</w:t>
      </w:r>
      <w:r>
        <w:rPr>
          <w:rFonts w:ascii="Cambria Math" w:hAnsi="Cambria Math" w:eastAsia="Cambria Math"/>
          <w:spacing w:val="3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ℎ𝐶</w:t>
      </w:r>
      <w:r>
        <w:rPr>
          <w:rFonts w:ascii="Cambria Math" w:hAnsi="Cambria Math" w:eastAsia="Cambria Math"/>
          <w:vertAlign w:val="subscript"/>
        </w:rPr>
        <w:t>𝑅,𝑡−1</w:t>
      </w:r>
      <w:r>
        <w:rPr>
          <w:rFonts w:ascii="Cambria Math" w:hAnsi="Cambria Math" w:eastAsia="Cambria Math"/>
          <w:vertAlign w:val="baseline"/>
        </w:rPr>
        <w:t>),</w:t>
      </w:r>
      <w:r>
        <w:rPr>
          <w:rFonts w:ascii="Cambria Math" w:hAnsi="Cambria Math" w:eastAsia="Cambria Math"/>
          <w:spacing w:val="-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𝐺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𝑁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)</w:t>
        <w:tab/>
      </w:r>
      <w:r>
        <w:rPr>
          <w:w w:val="105"/>
          <w:vertAlign w:val="baseline"/>
        </w:rPr>
        <w:t>(4.9)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0" w:lineRule="auto" w:before="90"/>
        <w:ind w:left="500" w:right="679"/>
      </w:pPr>
      <w:r>
        <w:rPr/>
        <w:t>Equation (4.9) is stated in its explicit form in equation (4.10). The households’ objective is</w:t>
      </w:r>
      <w:r>
        <w:rPr>
          <w:spacing w:val="1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maximise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discounted expected</w:t>
      </w:r>
      <w:r>
        <w:rPr>
          <w:spacing w:val="-1"/>
        </w:rPr>
        <w:t> </w:t>
      </w:r>
      <w:r>
        <w:rPr/>
        <w:t>future</w:t>
      </w:r>
      <w:r>
        <w:rPr>
          <w:spacing w:val="-3"/>
        </w:rPr>
        <w:t> </w:t>
      </w:r>
      <w:r>
        <w:rPr/>
        <w:t>utility</w:t>
      </w:r>
      <w:r>
        <w:rPr>
          <w:spacing w:val="-4"/>
        </w:rPr>
        <w:t> </w:t>
      </w:r>
      <w:r>
        <w:rPr/>
        <w:t>as shown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equation (4.10)</w:t>
      </w:r>
      <w:r>
        <w:rPr>
          <w:spacing w:val="-57"/>
        </w:rPr>
        <w:t> </w:t>
      </w:r>
      <w:r>
        <w:rPr/>
        <w:t>subject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nominal budget</w:t>
      </w:r>
      <w:r>
        <w:rPr>
          <w:spacing w:val="2"/>
        </w:rPr>
        <w:t> </w:t>
      </w:r>
      <w:r>
        <w:rPr/>
        <w:t>constraint in equation</w:t>
      </w:r>
      <w:r>
        <w:rPr>
          <w:spacing w:val="-1"/>
        </w:rPr>
        <w:t> </w:t>
      </w:r>
      <w:r>
        <w:rPr/>
        <w:t>(4.20):</w:t>
      </w:r>
    </w:p>
    <w:p>
      <w:pPr>
        <w:pStyle w:val="BodyText"/>
        <w:spacing w:before="9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header="0" w:footer="935" w:top="1380" w:bottom="1200" w:left="940" w:right="940"/>
        </w:sectPr>
      </w:pPr>
    </w:p>
    <w:p>
      <w:pPr>
        <w:tabs>
          <w:tab w:pos="2956" w:val="left" w:leader="none"/>
        </w:tabs>
        <w:spacing w:line="108" w:lineRule="exact" w:before="72"/>
        <w:ind w:left="1770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position w:val="-9"/>
          <w:sz w:val="17"/>
        </w:rPr>
        <w:t>(</w:t>
        <w:tab/>
      </w:r>
      <w:r>
        <w:rPr>
          <w:rFonts w:ascii="Cambria Math" w:hAnsi="Cambria Math" w:eastAsia="Cambria Math"/>
          <w:spacing w:val="-68"/>
          <w:w w:val="105"/>
          <w:sz w:val="17"/>
        </w:rPr>
        <w:t>1−𝜎</w:t>
      </w:r>
    </w:p>
    <w:p>
      <w:pPr>
        <w:pStyle w:val="BodyText"/>
        <w:spacing w:before="2"/>
        <w:rPr>
          <w:rFonts w:ascii="Cambria Math"/>
          <w:sz w:val="11"/>
        </w:rPr>
      </w:pPr>
      <w:r>
        <w:rPr/>
        <w:br w:type="column"/>
      </w:r>
      <w:r>
        <w:rPr>
          <w:rFonts w:ascii="Cambria Math"/>
          <w:sz w:val="11"/>
        </w:rPr>
      </w:r>
    </w:p>
    <w:p>
      <w:pPr>
        <w:spacing w:line="48" w:lineRule="exact" w:before="0"/>
        <w:ind w:left="0" w:right="0" w:firstLine="0"/>
        <w:jc w:val="righ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0"/>
          <w:sz w:val="14"/>
        </w:rPr>
        <w:t>1−𝜌</w:t>
      </w:r>
    </w:p>
    <w:p>
      <w:pPr>
        <w:pStyle w:val="BodyText"/>
        <w:spacing w:before="5"/>
        <w:rPr>
          <w:rFonts w:ascii="Cambria Math"/>
          <w:sz w:val="11"/>
        </w:rPr>
      </w:pPr>
      <w:r>
        <w:rPr/>
        <w:br w:type="column"/>
      </w:r>
      <w:r>
        <w:rPr>
          <w:rFonts w:ascii="Cambria Math"/>
          <w:sz w:val="11"/>
        </w:rPr>
      </w:r>
    </w:p>
    <w:p>
      <w:pPr>
        <w:spacing w:line="46" w:lineRule="exact" w:before="0"/>
        <w:ind w:left="361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4"/>
        </w:rPr>
        <w:t>1+𝜑</w:t>
      </w:r>
    </w:p>
    <w:p>
      <w:pPr>
        <w:spacing w:after="0" w:line="46" w:lineRule="exact"/>
        <w:jc w:val="left"/>
        <w:rPr>
          <w:rFonts w:ascii="Cambria Math" w:eastAsia="Cambria Math"/>
          <w:sz w:val="14"/>
        </w:rPr>
        <w:sectPr>
          <w:type w:val="continuous"/>
          <w:pgSz w:w="12240" w:h="15840"/>
          <w:pgMar w:top="1500" w:bottom="1120" w:left="940" w:right="940"/>
          <w:cols w:num="3" w:equalWidth="0">
            <w:col w:w="3291" w:space="40"/>
            <w:col w:w="900" w:space="39"/>
            <w:col w:w="6090"/>
          </w:cols>
        </w:sectPr>
      </w:pPr>
    </w:p>
    <w:p>
      <w:pPr>
        <w:pStyle w:val="BodyText"/>
        <w:spacing w:line="153" w:lineRule="exact" w:before="60"/>
        <w:ind w:left="500"/>
        <w:rPr>
          <w:i/>
        </w:rPr>
      </w:pPr>
      <w:r>
        <w:rPr/>
        <w:pict>
          <v:shape style="position:absolute;margin-left:110.900002pt;margin-top:5.556655pt;width:24.65pt;height:12.05pt;mso-position-horizontal-relative:page;mso-position-vertical-relative:paragraph;z-index:-21454848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  <w:w w:val="110"/>
                    </w:rPr>
                    <w:t>𝛽</w:t>
                  </w:r>
                  <w:r>
                    <w:rPr>
                      <w:rFonts w:ascii="Cambria Math" w:eastAsia="Cambria Math"/>
                      <w:spacing w:val="56"/>
                      <w:w w:val="110"/>
                    </w:rPr>
                    <w:t> </w:t>
                  </w:r>
                  <w:r>
                    <w:rPr>
                      <w:rFonts w:ascii="Cambria Math" w:eastAsia="Cambria Math"/>
                      <w:w w:val="110"/>
                    </w:rPr>
                    <w:t>[(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</w:rPr>
        <w:t>𝐸</w:t>
      </w:r>
      <w:r>
        <w:rPr>
          <w:rFonts w:ascii="Cambria Math" w:hAnsi="Cambria Math" w:eastAsia="Cambria Math"/>
          <w:spacing w:val="53"/>
        </w:rPr>
        <w:t> </w:t>
      </w:r>
      <w:r>
        <w:rPr>
          <w:rFonts w:ascii="Cambria Math" w:hAnsi="Cambria Math" w:eastAsia="Cambria Math"/>
          <w:position w:val="1"/>
        </w:rPr>
        <w:t>∑</w:t>
      </w:r>
      <w:r>
        <w:rPr>
          <w:i/>
          <w:position w:val="1"/>
          <w:vertAlign w:val="superscript"/>
        </w:rPr>
        <w:t>∞</w:t>
      </w:r>
    </w:p>
    <w:p>
      <w:pPr>
        <w:tabs>
          <w:tab w:pos="671" w:val="left" w:leader="none"/>
        </w:tabs>
        <w:spacing w:line="214" w:lineRule="exact" w:before="0"/>
        <w:ind w:left="332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10"/>
          <w:position w:val="-1"/>
          <w:sz w:val="17"/>
        </w:rPr>
        <w:t>𝑡</w:t>
        <w:tab/>
      </w:r>
      <w:r>
        <w:rPr>
          <w:rFonts w:ascii="Cambria Math" w:hAnsi="Cambria Math" w:eastAsia="Cambria Math"/>
          <w:w w:val="105"/>
          <w:position w:val="3"/>
          <w:sz w:val="17"/>
          <w:u w:val="single"/>
        </w:rPr>
        <w:t>𝐶</w:t>
      </w:r>
      <w:r>
        <w:rPr>
          <w:rFonts w:ascii="Cambria Math" w:hAnsi="Cambria Math" w:eastAsia="Cambria Math"/>
          <w:w w:val="105"/>
          <w:sz w:val="14"/>
          <w:u w:val="single"/>
        </w:rPr>
        <w:t>𝑅,𝑡</w:t>
      </w:r>
      <w:r>
        <w:rPr>
          <w:rFonts w:ascii="Cambria Math" w:hAnsi="Cambria Math" w:eastAsia="Cambria Math"/>
          <w:w w:val="105"/>
          <w:position w:val="3"/>
          <w:sz w:val="17"/>
          <w:u w:val="single"/>
        </w:rPr>
        <w:t>−ℎ𝐶</w:t>
      </w:r>
      <w:r>
        <w:rPr>
          <w:rFonts w:ascii="Cambria Math" w:hAnsi="Cambria Math" w:eastAsia="Cambria Math"/>
          <w:w w:val="105"/>
          <w:sz w:val="14"/>
          <w:u w:val="single"/>
        </w:rPr>
        <w:t>𝑅,𝑡−1</w:t>
      </w:r>
      <w:r>
        <w:rPr>
          <w:rFonts w:ascii="Cambria Math" w:hAnsi="Cambria Math" w:eastAsia="Cambria Math"/>
          <w:w w:val="105"/>
          <w:position w:val="4"/>
          <w:sz w:val="17"/>
          <w:u w:val="single"/>
        </w:rPr>
        <w:t>)</w:t>
      </w:r>
    </w:p>
    <w:p>
      <w:pPr>
        <w:tabs>
          <w:tab w:pos="1237" w:val="left" w:leader="none"/>
          <w:tab w:pos="1940" w:val="left" w:leader="none"/>
          <w:tab w:pos="6261" w:val="left" w:leader="none"/>
        </w:tabs>
        <w:spacing w:line="214" w:lineRule="exact" w:before="0"/>
        <w:ind w:left="354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 w:hAnsi="Cambria Math" w:eastAsia="Cambria Math"/>
          <w:spacing w:val="-8"/>
          <w:w w:val="95"/>
          <w:sz w:val="24"/>
        </w:rPr>
        <w:t>+</w:t>
      </w:r>
      <w:r>
        <w:rPr>
          <w:rFonts w:ascii="Cambria Math" w:hAnsi="Cambria Math" w:eastAsia="Cambria Math"/>
          <w:spacing w:val="2"/>
          <w:w w:val="95"/>
          <w:sz w:val="24"/>
        </w:rPr>
        <w:t> </w:t>
      </w:r>
      <w:r>
        <w:rPr>
          <w:rFonts w:ascii="Cambria Math" w:hAnsi="Cambria Math" w:eastAsia="Cambria Math"/>
          <w:spacing w:val="-8"/>
          <w:w w:val="95"/>
          <w:sz w:val="24"/>
        </w:rPr>
        <w:t>𝜒</w:t>
      </w:r>
      <w:r>
        <w:rPr>
          <w:rFonts w:ascii="Cambria Math" w:hAnsi="Cambria Math" w:eastAsia="Cambria Math"/>
          <w:spacing w:val="-7"/>
          <w:w w:val="95"/>
          <w:sz w:val="24"/>
        </w:rPr>
        <w:t> </w:t>
      </w:r>
      <w:r>
        <w:rPr>
          <w:rFonts w:ascii="Cambria Math" w:hAnsi="Cambria Math" w:eastAsia="Cambria Math"/>
          <w:spacing w:val="-8"/>
          <w:w w:val="95"/>
          <w:position w:val="14"/>
          <w:sz w:val="17"/>
          <w:u w:val="single"/>
        </w:rPr>
        <w:t>𝐺</w:t>
      </w:r>
      <w:r>
        <w:rPr>
          <w:rFonts w:ascii="Cambria Math" w:hAnsi="Cambria Math" w:eastAsia="Cambria Math"/>
          <w:spacing w:val="-8"/>
          <w:w w:val="95"/>
          <w:position w:val="11"/>
          <w:sz w:val="14"/>
          <w:u w:val="single"/>
        </w:rPr>
        <w:t>𝑡</w:t>
        <w:tab/>
      </w:r>
      <w:r>
        <w:rPr>
          <w:rFonts w:ascii="Cambria Math" w:hAnsi="Cambria Math" w:eastAsia="Cambria Math"/>
          <w:sz w:val="24"/>
        </w:rPr>
        <w:t>–</w:t>
      </w:r>
      <w:r>
        <w:rPr>
          <w:rFonts w:ascii="Cambria Math" w:hAnsi="Cambria Math" w:eastAsia="Cambria Math"/>
          <w:spacing w:val="-12"/>
          <w:sz w:val="24"/>
        </w:rPr>
        <w:t> </w:t>
      </w:r>
      <w:r>
        <w:rPr>
          <w:rFonts w:ascii="Cambria Math" w:hAnsi="Cambria Math" w:eastAsia="Cambria Math"/>
          <w:position w:val="14"/>
          <w:sz w:val="17"/>
          <w:u w:val="single"/>
        </w:rPr>
        <w:t>𝑁</w:t>
      </w:r>
      <w:r>
        <w:rPr>
          <w:rFonts w:ascii="Cambria Math" w:hAnsi="Cambria Math" w:eastAsia="Cambria Math"/>
          <w:position w:val="11"/>
          <w:sz w:val="14"/>
          <w:u w:val="single"/>
        </w:rPr>
        <w:t>𝑡</w:t>
        <w:tab/>
      </w:r>
      <w:r>
        <w:rPr>
          <w:rFonts w:ascii="Cambria Math" w:hAnsi="Cambria Math" w:eastAsia="Cambria Math"/>
          <w:sz w:val="24"/>
        </w:rPr>
        <w:t>)]</w:t>
        <w:tab/>
      </w:r>
      <w:r>
        <w:rPr>
          <w:sz w:val="24"/>
        </w:rPr>
        <w:t>(4.10)</w:t>
      </w:r>
    </w:p>
    <w:p>
      <w:pPr>
        <w:spacing w:after="0" w:line="214" w:lineRule="exact"/>
        <w:jc w:val="left"/>
        <w:rPr>
          <w:sz w:val="24"/>
        </w:rPr>
        <w:sectPr>
          <w:type w:val="continuous"/>
          <w:pgSz w:w="12240" w:h="15840"/>
          <w:pgMar w:top="1500" w:bottom="1120" w:left="940" w:right="940"/>
          <w:cols w:num="3" w:equalWidth="0">
            <w:col w:w="1059" w:space="40"/>
            <w:col w:w="1862" w:space="39"/>
            <w:col w:w="7360"/>
          </w:cols>
        </w:sectPr>
      </w:pPr>
    </w:p>
    <w:p>
      <w:pPr>
        <w:tabs>
          <w:tab w:pos="937" w:val="left" w:leader="none"/>
        </w:tabs>
        <w:spacing w:line="175" w:lineRule="exact" w:before="0"/>
        <w:ind w:left="637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</w:t>
        <w:tab/>
        <w:t>𝑡=0</w:t>
      </w:r>
    </w:p>
    <w:p>
      <w:pPr>
        <w:spacing w:before="43"/>
        <w:ind w:left="637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1−𝜎</w:t>
      </w:r>
    </w:p>
    <w:p>
      <w:pPr>
        <w:spacing w:before="43"/>
        <w:ind w:left="637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1−𝜌</w:t>
      </w:r>
    </w:p>
    <w:p>
      <w:pPr>
        <w:spacing w:before="43"/>
        <w:ind w:left="303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1+𝜑</w:t>
      </w:r>
    </w:p>
    <w:p>
      <w:pPr>
        <w:spacing w:after="0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4" w:equalWidth="0">
            <w:col w:w="1280" w:space="277"/>
            <w:col w:w="1012" w:space="631"/>
            <w:col w:w="971" w:space="39"/>
            <w:col w:w="6150"/>
          </w:cols>
        </w:sectPr>
      </w:pPr>
    </w:p>
    <w:p>
      <w:pPr>
        <w:pStyle w:val="BodyText"/>
        <w:spacing w:before="5"/>
        <w:rPr>
          <w:rFonts w:ascii="Cambria Math"/>
          <w:sz w:val="22"/>
        </w:rPr>
      </w:pPr>
    </w:p>
    <w:p>
      <w:pPr>
        <w:pStyle w:val="BodyText"/>
        <w:spacing w:before="86"/>
        <w:ind w:left="500"/>
      </w:pPr>
      <w:r>
        <w:rPr/>
        <w:t>Where</w:t>
      </w:r>
      <w:r>
        <w:rPr>
          <w:spacing w:val="-2"/>
        </w:rPr>
        <w:t> </w:t>
      </w:r>
      <w:r>
        <w:rPr>
          <w:rFonts w:ascii="Cambria Math" w:eastAsia="Cambria Math"/>
        </w:rPr>
        <w:t>𝐸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Rational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expectation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operator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500"/>
      </w:pPr>
      <w:r>
        <w:rPr>
          <w:rFonts w:ascii="Cambria Math" w:eastAsia="Cambria Math"/>
        </w:rPr>
        <w:t>𝛽</w:t>
      </w:r>
      <w:r>
        <w:rPr>
          <w:rFonts w:ascii="Cambria Math" w:eastAsia="Cambria Math"/>
          <w:vertAlign w:val="superscript"/>
        </w:rPr>
        <w:t>𝑡</w:t>
      </w:r>
      <w:r>
        <w:rPr>
          <w:vertAlign w:val="baseline"/>
        </w:rPr>
        <w:t>:</w:t>
      </w:r>
      <w:r>
        <w:rPr>
          <w:spacing w:val="7"/>
          <w:vertAlign w:val="baseline"/>
        </w:rPr>
        <w:t> </w:t>
      </w:r>
      <w:r>
        <w:rPr>
          <w:vertAlign w:val="baseline"/>
        </w:rPr>
        <w:t>Inter-temporal</w:t>
      </w:r>
      <w:r>
        <w:rPr>
          <w:spacing w:val="5"/>
          <w:vertAlign w:val="baseline"/>
        </w:rPr>
        <w:t> </w:t>
      </w:r>
      <w:r>
        <w:rPr>
          <w:vertAlign w:val="baseline"/>
        </w:rPr>
        <w:t>discount</w:t>
      </w:r>
      <w:r>
        <w:rPr>
          <w:spacing w:val="6"/>
          <w:vertAlign w:val="baseline"/>
        </w:rPr>
        <w:t> </w:t>
      </w:r>
      <w:r>
        <w:rPr>
          <w:vertAlign w:val="baseline"/>
        </w:rPr>
        <w:t>factor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500"/>
      </w:pPr>
      <w:r>
        <w:rPr>
          <w:rFonts w:ascii="Cambria Math" w:eastAsia="Cambria Math"/>
        </w:rPr>
        <w:t>𝐶</w:t>
      </w:r>
      <w:r>
        <w:rPr>
          <w:rFonts w:ascii="Cambria Math" w:eastAsia="Cambria Math"/>
          <w:vertAlign w:val="subscript"/>
        </w:rPr>
        <w:t>𝑅,𝑡</w:t>
      </w:r>
      <w:r>
        <w:rPr>
          <w:vertAlign w:val="baseline"/>
        </w:rPr>
        <w:t>:</w:t>
      </w:r>
      <w:r>
        <w:rPr>
          <w:spacing w:val="3"/>
          <w:vertAlign w:val="baseline"/>
        </w:rPr>
        <w:t> </w:t>
      </w:r>
      <w:r>
        <w:rPr>
          <w:vertAlign w:val="baseline"/>
        </w:rPr>
        <w:t>Private</w:t>
      </w:r>
      <w:r>
        <w:rPr>
          <w:spacing w:val="3"/>
          <w:vertAlign w:val="baseline"/>
        </w:rPr>
        <w:t> </w:t>
      </w:r>
      <w:r>
        <w:rPr>
          <w:vertAlign w:val="baseline"/>
        </w:rPr>
        <w:t>consumption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3"/>
          <w:vertAlign w:val="baseline"/>
        </w:rPr>
        <w:t> </w:t>
      </w:r>
      <w:r>
        <w:rPr>
          <w:vertAlign w:val="baseline"/>
        </w:rPr>
        <w:t>composite</w:t>
      </w:r>
      <w:r>
        <w:rPr>
          <w:spacing w:val="2"/>
          <w:vertAlign w:val="baseline"/>
        </w:rPr>
        <w:t> </w:t>
      </w:r>
      <w:r>
        <w:rPr>
          <w:vertAlign w:val="baseline"/>
        </w:rPr>
        <w:t>goods</w:t>
      </w:r>
    </w:p>
    <w:p>
      <w:pPr>
        <w:pStyle w:val="BodyText"/>
        <w:rPr>
          <w:sz w:val="31"/>
        </w:rPr>
      </w:pPr>
    </w:p>
    <w:p>
      <w:pPr>
        <w:pStyle w:val="BodyText"/>
        <w:ind w:left="500"/>
      </w:pPr>
      <w:r>
        <w:rPr>
          <w:rFonts w:ascii="Cambria Math" w:eastAsia="Cambria Math"/>
        </w:rPr>
        <w:t>𝐺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:</w:t>
      </w:r>
      <w:r>
        <w:rPr>
          <w:spacing w:val="2"/>
          <w:vertAlign w:val="baseline"/>
        </w:rPr>
        <w:t> </w:t>
      </w:r>
      <w:r>
        <w:rPr>
          <w:vertAlign w:val="baseline"/>
        </w:rPr>
        <w:t>Consumption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public</w:t>
      </w:r>
      <w:r>
        <w:rPr>
          <w:spacing w:val="-2"/>
          <w:vertAlign w:val="baseline"/>
        </w:rPr>
        <w:t> </w:t>
      </w:r>
      <w:r>
        <w:rPr>
          <w:vertAlign w:val="baseline"/>
        </w:rPr>
        <w:t>goods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ind w:left="500"/>
      </w:pPr>
      <w:r>
        <w:rPr>
          <w:rFonts w:ascii="Cambria Math" w:eastAsia="Cambria Math"/>
        </w:rPr>
        <w:t>𝑁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: Amount</w:t>
      </w:r>
      <w:r>
        <w:rPr>
          <w:spacing w:val="1"/>
          <w:vertAlign w:val="baseline"/>
        </w:rPr>
        <w:t> </w:t>
      </w:r>
      <w:r>
        <w:rPr>
          <w:vertAlign w:val="baseline"/>
        </w:rPr>
        <w:t>of labour supplied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before="1"/>
        <w:ind w:left="500"/>
      </w:pPr>
      <w:r>
        <w:rPr>
          <w:rFonts w:ascii="Cambria Math" w:hAnsi="Cambria Math"/>
        </w:rPr>
        <w:t>ℎ</w:t>
      </w:r>
      <w:r>
        <w:rPr/>
        <w:t>:</w:t>
      </w:r>
      <w:r>
        <w:rPr>
          <w:spacing w:val="-1"/>
        </w:rPr>
        <w:t> </w:t>
      </w:r>
      <w:r>
        <w:rPr/>
        <w:t>Co-efficient of</w:t>
      </w:r>
      <w:r>
        <w:rPr>
          <w:spacing w:val="-1"/>
        </w:rPr>
        <w:t> </w:t>
      </w:r>
      <w:r>
        <w:rPr/>
        <w:t>habit formation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500"/>
      </w:pPr>
      <w:r>
        <w:rPr>
          <w:rFonts w:ascii="Cambria Math" w:eastAsia="Cambria Math"/>
        </w:rPr>
        <w:t>𝜎</w:t>
      </w:r>
      <w:r>
        <w:rPr/>
        <w:t>:</w:t>
      </w:r>
      <w:r>
        <w:rPr>
          <w:spacing w:val="2"/>
        </w:rPr>
        <w:t> </w:t>
      </w:r>
      <w:r>
        <w:rPr/>
        <w:t>Inverse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elasticity</w:t>
      </w:r>
      <w:r>
        <w:rPr>
          <w:spacing w:val="-4"/>
        </w:rPr>
        <w:t> </w:t>
      </w:r>
      <w:r>
        <w:rPr/>
        <w:t>of substitution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500"/>
      </w:pPr>
      <w:r>
        <w:rPr>
          <w:rFonts w:ascii="Cambria Math" w:eastAsia="Cambria Math"/>
        </w:rPr>
        <w:t>𝜒</w:t>
      </w:r>
      <w:r>
        <w:rPr/>
        <w:t>:</w:t>
      </w:r>
      <w:r>
        <w:rPr>
          <w:spacing w:val="-10"/>
        </w:rPr>
        <w:t> </w:t>
      </w:r>
      <w:r>
        <w:rPr/>
        <w:t>Weight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public</w:t>
      </w:r>
      <w:r>
        <w:rPr>
          <w:spacing w:val="-10"/>
        </w:rPr>
        <w:t> </w:t>
      </w:r>
      <w:r>
        <w:rPr/>
        <w:t>goods</w:t>
      </w:r>
      <w:r>
        <w:rPr>
          <w:spacing w:val="-8"/>
        </w:rPr>
        <w:t> </w:t>
      </w:r>
      <w:r>
        <w:rPr/>
        <w:t>consumption</w:t>
      </w:r>
    </w:p>
    <w:p>
      <w:pPr>
        <w:spacing w:after="0"/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75"/>
        <w:ind w:left="500"/>
        <w:jc w:val="both"/>
      </w:pPr>
      <w:r>
        <w:rPr>
          <w:rFonts w:ascii="Cambria Math" w:eastAsia="Cambria Math"/>
        </w:rPr>
        <w:t>𝜑</w:t>
      </w:r>
      <w:r>
        <w:rPr/>
        <w:t>:</w:t>
      </w:r>
      <w:r>
        <w:rPr>
          <w:spacing w:val="-5"/>
        </w:rPr>
        <w:t> </w:t>
      </w:r>
      <w:r>
        <w:rPr/>
        <w:t>Inverse</w:t>
      </w:r>
      <w:r>
        <w:rPr>
          <w:spacing w:val="-8"/>
        </w:rPr>
        <w:t> </w:t>
      </w:r>
      <w:r>
        <w:rPr/>
        <w:t>on</w:t>
      </w:r>
      <w:r>
        <w:rPr>
          <w:spacing w:val="-5"/>
        </w:rPr>
        <w:t> </w:t>
      </w:r>
      <w:r>
        <w:rPr/>
        <w:t>Frisch</w:t>
      </w:r>
      <w:r>
        <w:rPr>
          <w:spacing w:val="-4"/>
        </w:rPr>
        <w:t> </w:t>
      </w:r>
      <w:r>
        <w:rPr/>
        <w:t>elasticity</w:t>
      </w:r>
      <w:r>
        <w:rPr>
          <w:spacing w:val="-11"/>
        </w:rPr>
        <w:t> </w:t>
      </w:r>
      <w:r>
        <w:rPr/>
        <w:t>of</w:t>
      </w:r>
      <w:r>
        <w:rPr>
          <w:spacing w:val="-6"/>
        </w:rPr>
        <w:t> </w:t>
      </w:r>
      <w:r>
        <w:rPr/>
        <w:t>labour</w:t>
      </w:r>
      <w:r>
        <w:rPr>
          <w:spacing w:val="-7"/>
        </w:rPr>
        <w:t> </w:t>
      </w:r>
      <w:r>
        <w:rPr/>
        <w:t>supply</w:t>
      </w:r>
    </w:p>
    <w:p>
      <w:pPr>
        <w:pStyle w:val="BodyText"/>
        <w:rPr>
          <w:sz w:val="30"/>
        </w:rPr>
      </w:pPr>
    </w:p>
    <w:p>
      <w:pPr>
        <w:pStyle w:val="BodyText"/>
        <w:tabs>
          <w:tab w:pos="2861" w:val="left" w:leader="none"/>
        </w:tabs>
        <w:ind w:left="500"/>
        <w:jc w:val="both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90"/>
        </w:rPr>
        <w:t>ℎ,</w:t>
      </w:r>
      <w:r>
        <w:rPr>
          <w:rFonts w:ascii="Cambria Math" w:hAnsi="Cambria Math" w:eastAsia="Cambria Math"/>
          <w:spacing w:val="-8"/>
          <w:w w:val="90"/>
        </w:rPr>
        <w:t> </w:t>
      </w:r>
      <w:r>
        <w:rPr>
          <w:rFonts w:ascii="Cambria Math" w:hAnsi="Cambria Math" w:eastAsia="Cambria Math"/>
          <w:w w:val="90"/>
        </w:rPr>
        <w:t>𝜎,</w:t>
      </w:r>
      <w:r>
        <w:rPr>
          <w:rFonts w:ascii="Cambria Math" w:hAnsi="Cambria Math" w:eastAsia="Cambria Math"/>
          <w:spacing w:val="-8"/>
          <w:w w:val="90"/>
        </w:rPr>
        <w:t> </w:t>
      </w:r>
      <w:r>
        <w:rPr>
          <w:rFonts w:ascii="Cambria Math" w:hAnsi="Cambria Math" w:eastAsia="Cambria Math"/>
          <w:w w:val="90"/>
        </w:rPr>
        <w:t>𝜒,</w:t>
      </w:r>
      <w:r>
        <w:rPr>
          <w:rFonts w:ascii="Cambria Math" w:hAnsi="Cambria Math" w:eastAsia="Cambria Math"/>
          <w:spacing w:val="-7"/>
          <w:w w:val="90"/>
        </w:rPr>
        <w:t> </w:t>
      </w:r>
      <w:r>
        <w:rPr>
          <w:rFonts w:ascii="Cambria Math" w:hAnsi="Cambria Math" w:eastAsia="Cambria Math"/>
          <w:w w:val="90"/>
        </w:rPr>
        <w:t>𝜑</w:t>
      </w:r>
      <w:r>
        <w:rPr>
          <w:rFonts w:ascii="Cambria Math" w:hAnsi="Cambria Math" w:eastAsia="Cambria Math"/>
          <w:spacing w:val="24"/>
          <w:w w:val="90"/>
        </w:rPr>
        <w:t> </w:t>
      </w:r>
      <w:r>
        <w:rPr>
          <w:rFonts w:ascii="Cambria Math" w:hAnsi="Cambria Math" w:eastAsia="Cambria Math"/>
          <w:w w:val="90"/>
        </w:rPr>
        <w:t>&gt;</w:t>
      </w:r>
      <w:r>
        <w:rPr>
          <w:rFonts w:ascii="Cambria Math" w:hAnsi="Cambria Math" w:eastAsia="Cambria Math"/>
          <w:spacing w:val="21"/>
          <w:w w:val="90"/>
        </w:rPr>
        <w:t> </w:t>
      </w:r>
      <w:r>
        <w:rPr>
          <w:rFonts w:ascii="Cambria Math" w:hAnsi="Cambria Math" w:eastAsia="Cambria Math"/>
          <w:w w:val="90"/>
        </w:rPr>
        <w:t>0;</w:t>
        <w:tab/>
      </w:r>
      <w:r>
        <w:rPr>
          <w:rFonts w:ascii="Cambria Math" w:hAnsi="Cambria Math" w:eastAsia="Cambria Math"/>
        </w:rPr>
        <w:t>0</w:t>
      </w:r>
      <w:r>
        <w:rPr>
          <w:rFonts w:ascii="Cambria Math" w:hAnsi="Cambria Math" w:eastAsia="Cambria Math"/>
          <w:spacing w:val="18"/>
        </w:rPr>
        <w:t> </w:t>
      </w:r>
      <w:r>
        <w:rPr>
          <w:rFonts w:ascii="Cambria Math" w:hAnsi="Cambria Math" w:eastAsia="Cambria Math"/>
        </w:rPr>
        <w:t>&lt;</w:t>
      </w:r>
      <w:r>
        <w:rPr>
          <w:rFonts w:ascii="Cambria Math" w:hAnsi="Cambria Math" w:eastAsia="Cambria Math"/>
          <w:spacing w:val="18"/>
        </w:rPr>
        <w:t> </w:t>
      </w:r>
      <w:r>
        <w:rPr>
          <w:rFonts w:ascii="Cambria Math" w:hAnsi="Cambria Math" w:eastAsia="Cambria Math"/>
        </w:rPr>
        <w:t>𝛽</w:t>
      </w:r>
      <w:r>
        <w:rPr>
          <w:rFonts w:ascii="Cambria Math" w:hAnsi="Cambria Math" w:eastAsia="Cambria Math"/>
          <w:vertAlign w:val="superscript"/>
        </w:rPr>
        <w:t>𝑡</w:t>
      </w:r>
      <w:r>
        <w:rPr>
          <w:rFonts w:ascii="Cambria Math" w:hAnsi="Cambria Math" w:eastAsia="Cambria Math"/>
          <w:spacing w:val="2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&lt;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</w:p>
    <w:p>
      <w:pPr>
        <w:pStyle w:val="BodyText"/>
        <w:spacing w:before="10"/>
        <w:rPr>
          <w:rFonts w:ascii="Cambria Math"/>
          <w:sz w:val="28"/>
        </w:rPr>
      </w:pPr>
    </w:p>
    <w:p>
      <w:pPr>
        <w:pStyle w:val="BodyText"/>
        <w:ind w:left="500"/>
        <w:jc w:val="both"/>
      </w:pPr>
      <w:r>
        <w:rPr/>
        <w:t>Consumption,</w:t>
      </w:r>
      <w:r>
        <w:rPr>
          <w:rFonts w:ascii="Cambria Math" w:eastAsia="Cambria Math"/>
        </w:rPr>
        <w:t>𝐶</w:t>
      </w:r>
      <w:r>
        <w:rPr>
          <w:rFonts w:ascii="Cambria Math" w:eastAsia="Cambria Math"/>
          <w:vertAlign w:val="subscript"/>
        </w:rPr>
        <w:t>𝑅,𝑡</w:t>
      </w:r>
      <w:r>
        <w:rPr>
          <w:vertAlign w:val="baseline"/>
        </w:rPr>
        <w:t>,</w:t>
      </w:r>
      <w:r>
        <w:rPr>
          <w:spacing w:val="7"/>
          <w:vertAlign w:val="baseline"/>
        </w:rPr>
        <w:t> </w:t>
      </w:r>
      <w:r>
        <w:rPr>
          <w:vertAlign w:val="baseline"/>
        </w:rPr>
        <w:t>is</w:t>
      </w:r>
      <w:r>
        <w:rPr>
          <w:spacing w:val="9"/>
          <w:vertAlign w:val="baseline"/>
        </w:rPr>
        <w:t> </w:t>
      </w:r>
      <w:r>
        <w:rPr>
          <w:vertAlign w:val="baseline"/>
        </w:rPr>
        <w:t>a</w:t>
      </w:r>
      <w:r>
        <w:rPr>
          <w:spacing w:val="8"/>
          <w:vertAlign w:val="baseline"/>
        </w:rPr>
        <w:t> </w:t>
      </w:r>
      <w:r>
        <w:rPr>
          <w:vertAlign w:val="baseline"/>
        </w:rPr>
        <w:t>composite</w:t>
      </w:r>
      <w:r>
        <w:rPr>
          <w:spacing w:val="7"/>
          <w:vertAlign w:val="baseline"/>
        </w:rPr>
        <w:t> </w:t>
      </w:r>
      <w:r>
        <w:rPr>
          <w:vertAlign w:val="baseline"/>
        </w:rPr>
        <w:t>good</w:t>
      </w:r>
      <w:r>
        <w:rPr>
          <w:spacing w:val="8"/>
          <w:vertAlign w:val="baseline"/>
        </w:rPr>
        <w:t> </w:t>
      </w:r>
      <w:r>
        <w:rPr>
          <w:vertAlign w:val="baseline"/>
        </w:rPr>
        <w:t>which</w:t>
      </w:r>
      <w:r>
        <w:rPr>
          <w:spacing w:val="8"/>
          <w:vertAlign w:val="baseline"/>
        </w:rPr>
        <w:t> </w:t>
      </w:r>
      <w:r>
        <w:rPr>
          <w:vertAlign w:val="baseline"/>
        </w:rPr>
        <w:t>consists</w:t>
      </w:r>
      <w:r>
        <w:rPr>
          <w:spacing w:val="8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vertAlign w:val="baseline"/>
        </w:rPr>
        <w:t>domestic</w:t>
      </w:r>
      <w:r>
        <w:rPr>
          <w:spacing w:val="8"/>
          <w:vertAlign w:val="baseline"/>
        </w:rPr>
        <w:t> </w:t>
      </w:r>
      <w:r>
        <w:rPr>
          <w:vertAlign w:val="baseline"/>
        </w:rPr>
        <w:t>goods</w:t>
      </w:r>
      <w:r>
        <w:rPr>
          <w:spacing w:val="13"/>
          <w:vertAlign w:val="baseline"/>
        </w:rPr>
        <w:t> </w:t>
      </w:r>
      <w:r>
        <w:rPr>
          <w:rFonts w:ascii="Cambria Math" w:eastAsia="Cambria Math"/>
          <w:vertAlign w:val="baseline"/>
        </w:rPr>
        <w:t>𝐶</w:t>
      </w:r>
      <w:r>
        <w:rPr>
          <w:rFonts w:ascii="Cambria Math" w:eastAsia="Cambria Math"/>
          <w:vertAlign w:val="subscript"/>
        </w:rPr>
        <w:t>𝐷,𝑡</w:t>
      </w:r>
      <w:r>
        <w:rPr>
          <w:rFonts w:ascii="Cambria Math" w:eastAsia="Cambria Math"/>
          <w:spacing w:val="30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9"/>
          <w:vertAlign w:val="baseline"/>
        </w:rPr>
        <w:t> </w:t>
      </w:r>
      <w:r>
        <w:rPr>
          <w:vertAlign w:val="baseline"/>
        </w:rPr>
        <w:t>goods</w:t>
      </w:r>
    </w:p>
    <w:p>
      <w:pPr>
        <w:pStyle w:val="BodyText"/>
        <w:spacing w:line="374" w:lineRule="auto" w:before="160"/>
        <w:ind w:left="500" w:right="497"/>
        <w:jc w:val="both"/>
      </w:pPr>
      <w:r>
        <w:rPr>
          <w:rFonts w:ascii="Cambria Math" w:eastAsia="Cambria Math"/>
        </w:rPr>
        <w:t>𝐶</w:t>
      </w:r>
      <w:r>
        <w:rPr>
          <w:rFonts w:ascii="Cambria Math" w:eastAsia="Cambria Math"/>
          <w:vertAlign w:val="subscript"/>
        </w:rPr>
        <w:t>𝐹,𝑡</w:t>
      </w:r>
      <w:r>
        <w:rPr>
          <w:vertAlign w:val="baseline"/>
        </w:rPr>
        <w:t>. This implies that the household allocates its resources in consuming both domestically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produced goods and imported goods. The composite good </w:t>
      </w:r>
      <w:r>
        <w:rPr>
          <w:rFonts w:ascii="Cambria Math" w:eastAsia="Cambria Math"/>
          <w:vertAlign w:val="baseline"/>
        </w:rPr>
        <w:t>𝐶</w:t>
      </w:r>
      <w:r>
        <w:rPr>
          <w:rFonts w:ascii="Cambria Math" w:eastAsia="Cambria Math"/>
          <w:vertAlign w:val="subscript"/>
        </w:rPr>
        <w:t>𝑅,𝑡</w:t>
      </w:r>
      <w:r>
        <w:rPr>
          <w:rFonts w:ascii="Cambria Math" w:eastAsia="Cambria Math"/>
          <w:vertAlign w:val="baseline"/>
        </w:rPr>
        <w:t> </w:t>
      </w:r>
      <w:r>
        <w:rPr>
          <w:vertAlign w:val="baseline"/>
        </w:rPr>
        <w:t>is defined using the Dixit-Stiglitz</w:t>
      </w:r>
      <w:r>
        <w:rPr>
          <w:spacing w:val="1"/>
          <w:vertAlign w:val="baseline"/>
        </w:rPr>
        <w:t> </w:t>
      </w:r>
      <w:r>
        <w:rPr>
          <w:vertAlign w:val="baseline"/>
        </w:rPr>
        <w:t>(1977)</w:t>
      </w:r>
      <w:r>
        <w:rPr>
          <w:spacing w:val="-1"/>
          <w:vertAlign w:val="baseline"/>
        </w:rPr>
        <w:t> </w:t>
      </w:r>
      <w:r>
        <w:rPr>
          <w:vertAlign w:val="baseline"/>
        </w:rPr>
        <w:t>Constant Elasticity</w:t>
      </w:r>
      <w:r>
        <w:rPr>
          <w:spacing w:val="-3"/>
          <w:vertAlign w:val="baseline"/>
        </w:rPr>
        <w:t> </w:t>
      </w:r>
      <w:r>
        <w:rPr>
          <w:vertAlign w:val="baseline"/>
        </w:rPr>
        <w:t>of Substitution in equation (4.11)</w:t>
      </w:r>
    </w:p>
    <w:p>
      <w:pPr>
        <w:spacing w:after="0" w:line="374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1"/>
        <w:rPr>
          <w:sz w:val="11"/>
        </w:rPr>
      </w:pPr>
    </w:p>
    <w:p>
      <w:pPr>
        <w:tabs>
          <w:tab w:pos="477" w:val="left" w:leader="none"/>
        </w:tabs>
        <w:spacing w:before="1"/>
        <w:ind w:left="0" w:right="0" w:firstLine="0"/>
        <w:jc w:val="righ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05"/>
          <w:sz w:val="14"/>
        </w:rPr>
        <w:t>1</w:t>
        <w:tab/>
        <w:t>𝑦−1</w:t>
      </w:r>
    </w:p>
    <w:p>
      <w:pPr>
        <w:tabs>
          <w:tab w:pos="2526" w:val="left" w:leader="none"/>
        </w:tabs>
        <w:spacing w:line="20" w:lineRule="exact"/>
        <w:ind w:left="2043" w:right="-58" w:firstLine="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.7pt;height:.6pt;mso-position-horizontal-relative:char;mso-position-vertical-relative:line" coordorigin="0,0" coordsize="94,12">
            <v:rect style="position:absolute;left:0;top:0;width:94;height: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14.05pt;height:.6pt;mso-position-horizontal-relative:char;mso-position-vertical-relative:line" coordorigin="0,0" coordsize="281,12">
            <v:rect style="position:absolute;left:0;top:0;width:281;height: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rPr>
          <w:rFonts w:ascii="Cambria Math"/>
          <w:sz w:val="14"/>
        </w:rPr>
      </w:pPr>
      <w:r>
        <w:rPr/>
        <w:br w:type="column"/>
      </w:r>
      <w:r>
        <w:rPr>
          <w:rFonts w:ascii="Cambria Math"/>
          <w:sz w:val="14"/>
        </w:rPr>
      </w:r>
    </w:p>
    <w:p>
      <w:pPr>
        <w:tabs>
          <w:tab w:pos="1075" w:val="left" w:leader="none"/>
        </w:tabs>
        <w:spacing w:before="125"/>
        <w:ind w:left="614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05"/>
          <w:sz w:val="14"/>
        </w:rPr>
        <w:t>1</w:t>
        <w:tab/>
        <w:t>𝑦−1</w:t>
      </w:r>
    </w:p>
    <w:p>
      <w:pPr>
        <w:tabs>
          <w:tab w:pos="1075" w:val="left" w:leader="none"/>
        </w:tabs>
        <w:spacing w:line="20" w:lineRule="exact"/>
        <w:ind w:left="609" w:right="-58" w:firstLine="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.7pt;height:.6pt;mso-position-horizontal-relative:char;mso-position-vertical-relative:line" coordorigin="0,0" coordsize="94,12">
            <v:rect style="position:absolute;left:0;top:0;width:94;height: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14.05pt;height:.6pt;mso-position-horizontal-relative:char;mso-position-vertical-relative:line" coordorigin="0,0" coordsize="281,12">
            <v:rect style="position:absolute;left:0;top:0;width:281;height: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before="7"/>
        <w:rPr>
          <w:rFonts w:ascii="Cambria Math"/>
          <w:sz w:val="13"/>
        </w:rPr>
      </w:pPr>
      <w:r>
        <w:rPr/>
        <w:br w:type="column"/>
      </w:r>
      <w:r>
        <w:rPr>
          <w:rFonts w:ascii="Cambria Math"/>
          <w:sz w:val="13"/>
        </w:rPr>
      </w:r>
    </w:p>
    <w:p>
      <w:pPr>
        <w:spacing w:before="0"/>
        <w:ind w:left="155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20"/>
          <w:sz w:val="14"/>
        </w:rPr>
        <w:t>𝑦</w:t>
      </w:r>
    </w:p>
    <w:p>
      <w:pPr>
        <w:pStyle w:val="BodyText"/>
        <w:spacing w:line="20" w:lineRule="exact"/>
        <w:ind w:left="6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4.05pt;height:.6pt;mso-position-horizontal-relative:char;mso-position-vertical-relative:line" coordorigin="0,0" coordsize="281,12">
            <v:rect style="position:absolute;left:0;top:0;width:281;height: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07" w:lineRule="exact" w:before="3"/>
        <w:ind w:left="62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0"/>
          <w:sz w:val="14"/>
        </w:rPr>
        <w:t>𝑦−1</w:t>
      </w:r>
    </w:p>
    <w:p>
      <w:pPr>
        <w:spacing w:after="0" w:line="107" w:lineRule="exact"/>
        <w:jc w:val="left"/>
        <w:rPr>
          <w:rFonts w:ascii="Cambria Math" w:hAnsi="Cambria Math" w:eastAsia="Cambria Math"/>
          <w:sz w:val="14"/>
        </w:rPr>
        <w:sectPr>
          <w:type w:val="continuous"/>
          <w:pgSz w:w="12240" w:h="15840"/>
          <w:pgMar w:top="1500" w:bottom="1120" w:left="940" w:right="940"/>
          <w:cols w:num="3" w:equalWidth="0">
            <w:col w:w="2806" w:space="40"/>
            <w:col w:w="1355" w:space="39"/>
            <w:col w:w="6120"/>
          </w:cols>
        </w:sectPr>
      </w:pPr>
    </w:p>
    <w:p>
      <w:pPr>
        <w:pStyle w:val="BodyText"/>
        <w:spacing w:line="248" w:lineRule="exact"/>
        <w:ind w:left="50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𝐶</w:t>
      </w:r>
      <w:r>
        <w:rPr>
          <w:rFonts w:ascii="Cambria Math" w:hAnsi="Cambria Math" w:eastAsia="Cambria Math"/>
          <w:w w:val="105"/>
          <w:vertAlign w:val="subscript"/>
        </w:rPr>
        <w:t>𝑅,𝑡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≡ [(1 −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𝛼)</w:t>
      </w:r>
      <w:r>
        <w:rPr>
          <w:rFonts w:ascii="Cambria Math" w:hAnsi="Cambria Math" w:eastAsia="Cambria Math"/>
          <w:w w:val="105"/>
          <w:position w:val="6"/>
          <w:sz w:val="14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baseline"/>
        </w:rPr>
        <w:t>𝐶</w:t>
      </w:r>
      <w:r>
        <w:rPr>
          <w:rFonts w:ascii="Cambria Math" w:hAnsi="Cambria Math" w:eastAsia="Cambria Math"/>
          <w:w w:val="105"/>
          <w:vertAlign w:val="subscript"/>
        </w:rPr>
        <w:t>𝐷,𝑡</w:t>
      </w:r>
    </w:p>
    <w:p>
      <w:pPr>
        <w:spacing w:line="248" w:lineRule="exact" w:before="0"/>
        <w:ind w:left="67" w:right="0" w:firstLine="0"/>
        <w:jc w:val="lef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w w:val="110"/>
          <w:position w:val="6"/>
          <w:sz w:val="14"/>
        </w:rPr>
        <w:t>𝑦     </w:t>
      </w:r>
      <w:r>
        <w:rPr>
          <w:rFonts w:ascii="Cambria Math" w:eastAsia="Cambria Math"/>
          <w:w w:val="110"/>
          <w:sz w:val="24"/>
        </w:rPr>
        <w:t>+</w:t>
      </w:r>
      <w:r>
        <w:rPr>
          <w:rFonts w:ascii="Cambria Math" w:eastAsia="Cambria Math"/>
          <w:spacing w:val="1"/>
          <w:w w:val="110"/>
          <w:sz w:val="24"/>
        </w:rPr>
        <w:t> </w:t>
      </w:r>
      <w:r>
        <w:rPr>
          <w:rFonts w:ascii="Cambria Math" w:eastAsia="Cambria Math"/>
          <w:w w:val="110"/>
          <w:sz w:val="24"/>
        </w:rPr>
        <w:t>(𝛼)</w:t>
      </w:r>
      <w:r>
        <w:rPr>
          <w:rFonts w:ascii="Cambria Math" w:eastAsia="Cambria Math"/>
          <w:w w:val="110"/>
          <w:position w:val="6"/>
          <w:sz w:val="14"/>
        </w:rPr>
        <w:t>𝑦</w:t>
      </w:r>
      <w:r>
        <w:rPr>
          <w:rFonts w:ascii="Cambria Math" w:eastAsia="Cambria Math"/>
          <w:w w:val="110"/>
          <w:sz w:val="24"/>
        </w:rPr>
        <w:t>𝐶</w:t>
      </w:r>
      <w:r>
        <w:rPr>
          <w:rFonts w:ascii="Cambria Math" w:eastAsia="Cambria Math"/>
          <w:w w:val="110"/>
          <w:sz w:val="24"/>
          <w:vertAlign w:val="subscript"/>
        </w:rPr>
        <w:t>𝐹,𝑡</w:t>
      </w:r>
    </w:p>
    <w:p>
      <w:pPr>
        <w:spacing w:line="250" w:lineRule="exact" w:before="0"/>
        <w:ind w:left="67" w:right="0" w:firstLine="0"/>
        <w:jc w:val="lef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w w:val="115"/>
          <w:sz w:val="14"/>
        </w:rPr>
        <w:t>𝑦 </w:t>
      </w:r>
      <w:r>
        <w:rPr>
          <w:rFonts w:ascii="Cambria Math" w:eastAsia="Cambria Math"/>
          <w:spacing w:val="30"/>
          <w:w w:val="115"/>
          <w:sz w:val="14"/>
        </w:rPr>
        <w:t> </w:t>
      </w:r>
      <w:r>
        <w:rPr>
          <w:rFonts w:ascii="Cambria Math" w:eastAsia="Cambria Math"/>
          <w:w w:val="115"/>
          <w:position w:val="-5"/>
          <w:sz w:val="24"/>
        </w:rPr>
        <w:t>]</w:t>
      </w:r>
    </w:p>
    <w:p>
      <w:pPr>
        <w:pStyle w:val="BodyText"/>
        <w:spacing w:line="246" w:lineRule="exact"/>
        <w:ind w:left="500"/>
      </w:pPr>
      <w:r>
        <w:rPr/>
        <w:br w:type="column"/>
      </w:r>
      <w:r>
        <w:rPr/>
        <w:t>(4.11)</w:t>
      </w:r>
    </w:p>
    <w:p>
      <w:pPr>
        <w:spacing w:after="0" w:line="246" w:lineRule="exact"/>
        <w:sectPr>
          <w:type w:val="continuous"/>
          <w:pgSz w:w="12240" w:h="15840"/>
          <w:pgMar w:top="1500" w:bottom="1120" w:left="940" w:right="940"/>
          <w:cols w:num="4" w:equalWidth="0">
            <w:col w:w="2513" w:space="40"/>
            <w:col w:w="1355" w:space="39"/>
            <w:col w:w="396" w:space="4419"/>
            <w:col w:w="159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3"/>
        <w:ind w:left="500"/>
      </w:pPr>
      <w:r>
        <w:rPr/>
        <w:t>Where</w:t>
      </w:r>
      <w:r>
        <w:rPr>
          <w:spacing w:val="-8"/>
        </w:rPr>
        <w:t> </w:t>
      </w:r>
      <w:r>
        <w:rPr>
          <w:rFonts w:ascii="Cambria Math" w:eastAsia="Cambria Math"/>
        </w:rPr>
        <w:t>𝐶</w:t>
      </w:r>
      <w:r>
        <w:rPr>
          <w:rFonts w:ascii="Cambria Math" w:eastAsia="Cambria Math"/>
          <w:vertAlign w:val="subscript"/>
        </w:rPr>
        <w:t>𝐷,𝑡</w:t>
      </w:r>
      <w:r>
        <w:rPr>
          <w:vertAlign w:val="baseline"/>
        </w:rPr>
        <w:t>:</w:t>
      </w:r>
      <w:r>
        <w:rPr>
          <w:spacing w:val="5"/>
          <w:vertAlign w:val="baseline"/>
        </w:rPr>
        <w:t> </w:t>
      </w:r>
      <w:r>
        <w:rPr>
          <w:vertAlign w:val="baseline"/>
        </w:rPr>
        <w:t>Index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consumption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domestic</w:t>
      </w:r>
      <w:r>
        <w:rPr>
          <w:spacing w:val="1"/>
          <w:vertAlign w:val="baseline"/>
        </w:rPr>
        <w:t> </w:t>
      </w:r>
      <w:r>
        <w:rPr>
          <w:vertAlign w:val="baseline"/>
        </w:rPr>
        <w:t>goods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500"/>
      </w:pPr>
      <w:r>
        <w:rPr>
          <w:rFonts w:ascii="Cambria Math" w:eastAsia="Cambria Math"/>
        </w:rPr>
        <w:t>𝐶</w:t>
      </w:r>
      <w:r>
        <w:rPr>
          <w:rFonts w:ascii="Cambria Math" w:eastAsia="Cambria Math"/>
          <w:vertAlign w:val="subscript"/>
        </w:rPr>
        <w:t>𝐹,𝑡</w:t>
      </w:r>
      <w:r>
        <w:rPr>
          <w:vertAlign w:val="baseline"/>
        </w:rPr>
        <w:t>:</w:t>
      </w:r>
      <w:r>
        <w:rPr>
          <w:spacing w:val="3"/>
          <w:vertAlign w:val="baseline"/>
        </w:rPr>
        <w:t> </w:t>
      </w:r>
      <w:r>
        <w:rPr>
          <w:vertAlign w:val="baseline"/>
        </w:rPr>
        <w:t>Index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consumption</w:t>
      </w:r>
      <w:r>
        <w:rPr>
          <w:spacing w:val="2"/>
          <w:vertAlign w:val="baseline"/>
        </w:rPr>
        <w:t> </w:t>
      </w:r>
      <w:r>
        <w:rPr>
          <w:vertAlign w:val="baseline"/>
        </w:rPr>
        <w:t>of foreign</w:t>
      </w:r>
      <w:r>
        <w:rPr>
          <w:spacing w:val="4"/>
          <w:vertAlign w:val="baseline"/>
        </w:rPr>
        <w:t> </w:t>
      </w:r>
      <w:r>
        <w:rPr>
          <w:vertAlign w:val="baseline"/>
        </w:rPr>
        <w:t>goods</w:t>
      </w:r>
    </w:p>
    <w:p>
      <w:pPr>
        <w:pStyle w:val="BodyText"/>
        <w:rPr>
          <w:sz w:val="31"/>
        </w:rPr>
      </w:pPr>
    </w:p>
    <w:p>
      <w:pPr>
        <w:pStyle w:val="BodyText"/>
        <w:ind w:left="500"/>
      </w:pPr>
      <w:r>
        <w:rPr>
          <w:rFonts w:ascii="Cambria Math" w:hAnsi="Cambria Math" w:eastAsia="Cambria Math"/>
        </w:rPr>
        <w:t>1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𝛼</w:t>
      </w:r>
      <w:r>
        <w:rPr/>
        <w:t>:</w:t>
      </w:r>
      <w:r>
        <w:rPr>
          <w:spacing w:val="1"/>
        </w:rPr>
        <w:t> </w:t>
      </w:r>
      <w:r>
        <w:rPr/>
        <w:t>Degree of openness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500"/>
      </w:pPr>
      <w:r>
        <w:rPr>
          <w:rFonts w:ascii="Cambria Math" w:eastAsia="Cambria Math"/>
        </w:rPr>
        <w:t>𝛼</w:t>
      </w:r>
      <w:r>
        <w:rPr/>
        <w:t>: Home-bias</w:t>
      </w:r>
      <w:r>
        <w:rPr>
          <w:spacing w:val="1"/>
        </w:rPr>
        <w:t> </w:t>
      </w:r>
      <w:r>
        <w:rPr/>
        <w:t>parameter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500"/>
      </w:pPr>
      <w:r>
        <w:rPr>
          <w:rFonts w:ascii="Cambria Math" w:eastAsia="Cambria Math"/>
        </w:rPr>
        <w:t>𝜂</w:t>
      </w:r>
      <w:r>
        <w:rPr/>
        <w:t>:</w:t>
      </w:r>
      <w:r>
        <w:rPr>
          <w:spacing w:val="-1"/>
        </w:rPr>
        <w:t> </w:t>
      </w:r>
      <w:r>
        <w:rPr/>
        <w:t>Elasticity</w:t>
      </w:r>
      <w:r>
        <w:rPr>
          <w:spacing w:val="-5"/>
        </w:rPr>
        <w:t> </w:t>
      </w:r>
      <w:r>
        <w:rPr/>
        <w:t>of substitution between domestic</w:t>
      </w:r>
      <w:r>
        <w:rPr>
          <w:spacing w:val="1"/>
        </w:rPr>
        <w:t> </w:t>
      </w:r>
      <w:r>
        <w:rPr/>
        <w:t>and foreign</w:t>
      </w:r>
      <w:r>
        <w:rPr>
          <w:spacing w:val="2"/>
        </w:rPr>
        <w:t> </w:t>
      </w:r>
      <w:r>
        <w:rPr/>
        <w:t>goods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72" w:lineRule="auto"/>
        <w:ind w:left="500" w:right="492"/>
      </w:pPr>
      <w:r>
        <w:rPr/>
        <w:t>And</w:t>
      </w:r>
      <w:r>
        <w:rPr>
          <w:spacing w:val="57"/>
        </w:rPr>
        <w:t> </w:t>
      </w:r>
      <w:r>
        <w:rPr/>
        <w:t>where</w:t>
      </w:r>
      <w:r>
        <w:rPr>
          <w:spacing w:val="2"/>
        </w:rPr>
        <w:t> </w:t>
      </w:r>
      <w:r>
        <w:rPr>
          <w:rFonts w:ascii="Cambria Math" w:eastAsia="Cambria Math"/>
        </w:rPr>
        <w:t>𝐶</w:t>
      </w:r>
      <w:r>
        <w:rPr>
          <w:rFonts w:ascii="Cambria Math" w:eastAsia="Cambria Math"/>
          <w:vertAlign w:val="subscript"/>
        </w:rPr>
        <w:t>𝐷,𝑡</w:t>
      </w:r>
      <w:r>
        <w:rPr>
          <w:rFonts w:ascii="Cambria Math" w:eastAsia="Cambria Math"/>
          <w:spacing w:val="27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rFonts w:ascii="Cambria Math" w:eastAsia="Cambria Math"/>
          <w:vertAlign w:val="baseline"/>
        </w:rPr>
        <w:t>𝐶</w:t>
      </w:r>
      <w:r>
        <w:rPr>
          <w:rFonts w:ascii="Cambria Math" w:eastAsia="Cambria Math"/>
          <w:vertAlign w:val="subscript"/>
        </w:rPr>
        <w:t>𝐹,𝑡</w:t>
      </w:r>
      <w:r>
        <w:rPr>
          <w:rFonts w:ascii="Cambria Math" w:eastAsia="Cambria Math"/>
          <w:spacing w:val="27"/>
          <w:vertAlign w:val="baseline"/>
        </w:rPr>
        <w:t> </w:t>
      </w:r>
      <w:r>
        <w:rPr>
          <w:vertAlign w:val="baseline"/>
        </w:rPr>
        <w:t>are</w:t>
      </w:r>
      <w:r>
        <w:rPr>
          <w:spacing w:val="59"/>
          <w:vertAlign w:val="baseline"/>
        </w:rPr>
        <w:t> </w:t>
      </w:r>
      <w:r>
        <w:rPr>
          <w:vertAlign w:val="baseline"/>
        </w:rPr>
        <w:t>assumed</w:t>
      </w:r>
      <w:r>
        <w:rPr>
          <w:spacing w:val="58"/>
          <w:vertAlign w:val="baseline"/>
        </w:rPr>
        <w:t> </w:t>
      </w:r>
      <w:r>
        <w:rPr>
          <w:vertAlign w:val="baseline"/>
        </w:rPr>
        <w:t>to</w:t>
      </w:r>
      <w:r>
        <w:rPr>
          <w:spacing w:val="59"/>
          <w:vertAlign w:val="baseline"/>
        </w:rPr>
        <w:t> </w:t>
      </w:r>
      <w:r>
        <w:rPr>
          <w:vertAlign w:val="baseline"/>
        </w:rPr>
        <w:t>be</w:t>
      </w:r>
      <w:r>
        <w:rPr>
          <w:spacing w:val="57"/>
          <w:vertAlign w:val="baseline"/>
        </w:rPr>
        <w:t> </w:t>
      </w:r>
      <w:r>
        <w:rPr>
          <w:vertAlign w:val="baseline"/>
        </w:rPr>
        <w:t>Dixit-Stiglitz</w:t>
      </w:r>
      <w:r>
        <w:rPr>
          <w:spacing w:val="1"/>
          <w:vertAlign w:val="baseline"/>
        </w:rPr>
        <w:t> </w:t>
      </w:r>
      <w:r>
        <w:rPr>
          <w:vertAlign w:val="baseline"/>
        </w:rPr>
        <w:t>(1977)</w:t>
      </w:r>
      <w:r>
        <w:rPr>
          <w:spacing w:val="58"/>
          <w:vertAlign w:val="baseline"/>
        </w:rPr>
        <w:t> </w:t>
      </w:r>
      <w:r>
        <w:rPr>
          <w:vertAlign w:val="baseline"/>
        </w:rPr>
        <w:t>aggregators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57"/>
          <w:vertAlign w:val="baseline"/>
        </w:rPr>
        <w:t> </w:t>
      </w:r>
      <w:r>
        <w:rPr>
          <w:vertAlign w:val="baseline"/>
        </w:rPr>
        <w:t>individual</w:t>
      </w:r>
      <w:r>
        <w:rPr>
          <w:spacing w:val="-57"/>
          <w:vertAlign w:val="baseline"/>
        </w:rPr>
        <w:t> </w:t>
      </w:r>
      <w:r>
        <w:rPr>
          <w:vertAlign w:val="baseline"/>
        </w:rPr>
        <w:t>consumption</w:t>
      </w:r>
      <w:r>
        <w:rPr>
          <w:spacing w:val="-2"/>
          <w:vertAlign w:val="baseline"/>
        </w:rPr>
        <w:t> </w:t>
      </w:r>
      <w:r>
        <w:rPr>
          <w:vertAlign w:val="baseline"/>
        </w:rPr>
        <w:t>goods.</w:t>
      </w:r>
      <w:r>
        <w:rPr>
          <w:spacing w:val="-1"/>
          <w:vertAlign w:val="baseline"/>
        </w:rPr>
        <w:t> </w:t>
      </w:r>
      <w:r>
        <w:rPr>
          <w:vertAlign w:val="baseline"/>
        </w:rPr>
        <w:t>They</w:t>
      </w:r>
      <w:r>
        <w:rPr>
          <w:spacing w:val="-4"/>
          <w:vertAlign w:val="baseline"/>
        </w:rPr>
        <w:t> </w:t>
      </w:r>
      <w:r>
        <w:rPr>
          <w:vertAlign w:val="baseline"/>
        </w:rPr>
        <w:t>comprise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3"/>
          <w:vertAlign w:val="baseline"/>
        </w:rPr>
        <w:t> </w:t>
      </w:r>
      <w:r>
        <w:rPr>
          <w:vertAlign w:val="baseline"/>
        </w:rPr>
        <w:t>continuum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both</w:t>
      </w:r>
      <w:r>
        <w:rPr>
          <w:spacing w:val="-2"/>
          <w:vertAlign w:val="baseline"/>
        </w:rPr>
        <w:t> </w:t>
      </w:r>
      <w:r>
        <w:rPr>
          <w:vertAlign w:val="baseline"/>
        </w:rPr>
        <w:t>domestic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1"/>
          <w:vertAlign w:val="baseline"/>
        </w:rPr>
        <w:t> </w:t>
      </w:r>
      <w:r>
        <w:rPr>
          <w:vertAlign w:val="baseline"/>
        </w:rPr>
        <w:t>goods</w:t>
      </w:r>
      <w:r>
        <w:rPr>
          <w:spacing w:val="1"/>
          <w:vertAlign w:val="baseline"/>
        </w:rPr>
        <w:t> </w:t>
      </w:r>
      <w:r>
        <w:rPr>
          <w:vertAlign w:val="baseline"/>
        </w:rPr>
        <w:t>given</w:t>
      </w:r>
      <w:r>
        <w:rPr>
          <w:spacing w:val="-1"/>
          <w:vertAlign w:val="baseline"/>
        </w:rPr>
        <w:t> </w:t>
      </w:r>
      <w:r>
        <w:rPr>
          <w:vertAlign w:val="baseline"/>
        </w:rPr>
        <w:t>by:</w:t>
      </w:r>
    </w:p>
    <w:p>
      <w:pPr>
        <w:spacing w:after="0" w:line="372" w:lineRule="auto"/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1"/>
        </w:rPr>
      </w:pPr>
    </w:p>
    <w:p>
      <w:pPr>
        <w:spacing w:line="144" w:lineRule="exact" w:before="0"/>
        <w:ind w:left="0" w:right="319" w:firstLine="0"/>
        <w:jc w:val="righ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0"/>
          <w:sz w:val="14"/>
        </w:rPr>
        <w:t>𝗌−1</w:t>
      </w:r>
    </w:p>
    <w:p>
      <w:pPr>
        <w:pStyle w:val="BodyText"/>
        <w:rPr>
          <w:rFonts w:ascii="Cambria Math"/>
          <w:sz w:val="3"/>
        </w:rPr>
      </w:pPr>
    </w:p>
    <w:p>
      <w:pPr>
        <w:pStyle w:val="BodyText"/>
        <w:spacing w:line="20" w:lineRule="exact"/>
        <w:ind w:left="2216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3.2pt;height:.6pt;mso-position-horizontal-relative:char;mso-position-vertical-relative:line" coordorigin="0,0" coordsize="264,12">
            <v:rect style="position:absolute;left:0;top:0;width:264;height: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216" w:lineRule="exact"/>
        <w:ind w:left="50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position w:val="1"/>
        </w:rPr>
        <w:t>𝐶</w:t>
      </w:r>
      <w:r>
        <w:rPr>
          <w:rFonts w:ascii="Cambria Math" w:hAnsi="Cambria Math" w:eastAsia="Cambria Math"/>
          <w:position w:val="1"/>
          <w:vertAlign w:val="subscript"/>
        </w:rPr>
        <w:t>𝐷,𝑡</w:t>
      </w:r>
      <w:r>
        <w:rPr>
          <w:rFonts w:ascii="Cambria Math" w:hAnsi="Cambria Math" w:eastAsia="Cambria Math"/>
          <w:spacing w:val="37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=</w:t>
      </w:r>
      <w:r>
        <w:rPr>
          <w:rFonts w:ascii="Cambria Math" w:hAnsi="Cambria Math" w:eastAsia="Cambria Math"/>
          <w:spacing w:val="79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[</w:t>
      </w:r>
      <w:r>
        <w:rPr>
          <w:rFonts w:ascii="Cambria Math" w:hAnsi="Cambria Math" w:eastAsia="Cambria Math"/>
          <w:vertAlign w:val="baseline"/>
        </w:rPr>
        <w:t>∫</w:t>
      </w:r>
      <w:r>
        <w:rPr>
          <w:rFonts w:ascii="Cambria Math" w:hAnsi="Cambria Math" w:eastAsia="Cambria Math"/>
          <w:spacing w:val="-9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𝐶</w:t>
      </w:r>
      <w:r>
        <w:rPr>
          <w:rFonts w:ascii="Cambria Math" w:hAnsi="Cambria Math" w:eastAsia="Cambria Math"/>
          <w:position w:val="1"/>
          <w:vertAlign w:val="subscript"/>
        </w:rPr>
        <w:t>𝐷,𝑡</w:t>
      </w:r>
      <w:r>
        <w:rPr>
          <w:rFonts w:ascii="Cambria Math" w:hAnsi="Cambria Math" w:eastAsia="Cambria Math"/>
          <w:spacing w:val="7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(𝑖)</w:t>
      </w:r>
      <w:r>
        <w:rPr>
          <w:rFonts w:ascii="Cambria Math" w:hAnsi="Cambria Math" w:eastAsia="Cambria Math"/>
          <w:spacing w:val="53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4"/>
          <w:sz w:val="14"/>
          <w:vertAlign w:val="baseline"/>
        </w:rPr>
        <w:t>𝗌  </w:t>
      </w:r>
      <w:r>
        <w:rPr>
          <w:rFonts w:ascii="Cambria Math" w:hAnsi="Cambria Math" w:eastAsia="Cambria Math"/>
          <w:spacing w:val="25"/>
          <w:position w:val="4"/>
          <w:sz w:val="14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𝑑𝑖]</w:t>
      </w:r>
    </w:p>
    <w:p>
      <w:pPr>
        <w:pStyle w:val="BodyText"/>
        <w:spacing w:before="10"/>
        <w:rPr>
          <w:rFonts w:ascii="Cambria Math"/>
          <w:sz w:val="13"/>
        </w:rPr>
      </w:pPr>
      <w:r>
        <w:rPr/>
        <w:br w:type="column"/>
      </w:r>
      <w:r>
        <w:rPr>
          <w:rFonts w:ascii="Cambria Math"/>
          <w:sz w:val="13"/>
        </w:rPr>
      </w:r>
    </w:p>
    <w:p>
      <w:pPr>
        <w:spacing w:before="0"/>
        <w:ind w:left="55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30"/>
          <w:sz w:val="14"/>
        </w:rPr>
        <w:t>𝗌</w:t>
      </w:r>
    </w:p>
    <w:p>
      <w:pPr>
        <w:spacing w:before="23"/>
        <w:ind w:left="-39" w:right="0" w:firstLine="0"/>
        <w:jc w:val="left"/>
        <w:rPr>
          <w:rFonts w:ascii="Cambria Math" w:hAnsi="Cambria Math" w:eastAsia="Cambria Math"/>
          <w:sz w:val="14"/>
        </w:rPr>
      </w:pPr>
      <w:r>
        <w:rPr/>
        <w:pict>
          <v:rect style="position:absolute;margin-left:187.100006pt;margin-top:.721363pt;width:13.224pt;height:.600010pt;mso-position-horizontal-relative:page;mso-position-vertical-relative:paragraph;z-index:1574502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10"/>
          <w:sz w:val="14"/>
        </w:rPr>
        <w:t>𝗌−1</w:t>
      </w:r>
    </w:p>
    <w:p>
      <w:pPr>
        <w:pStyle w:val="BodyText"/>
        <w:spacing w:before="6"/>
        <w:rPr>
          <w:rFonts w:ascii="Cambria Math"/>
          <w:sz w:val="35"/>
        </w:rPr>
      </w:pPr>
      <w:r>
        <w:rPr/>
        <w:br w:type="column"/>
      </w:r>
      <w:r>
        <w:rPr>
          <w:rFonts w:ascii="Cambria Math"/>
          <w:sz w:val="35"/>
        </w:rPr>
      </w:r>
    </w:p>
    <w:p>
      <w:pPr>
        <w:pStyle w:val="BodyText"/>
        <w:ind w:left="500"/>
      </w:pPr>
      <w:r>
        <w:rPr/>
        <w:t>(4.12)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3" w:equalWidth="0">
            <w:col w:w="2801" w:space="40"/>
            <w:col w:w="263" w:space="5658"/>
            <w:col w:w="1598"/>
          </w:cols>
        </w:sectPr>
      </w:pPr>
    </w:p>
    <w:p>
      <w:pPr>
        <w:pStyle w:val="BodyText"/>
        <w:spacing w:before="3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9"/>
        <w:rPr>
          <w:sz w:val="17"/>
        </w:rPr>
      </w:pPr>
    </w:p>
    <w:p>
      <w:pPr>
        <w:spacing w:line="144" w:lineRule="exact" w:before="0"/>
        <w:ind w:left="0" w:right="322" w:firstLine="0"/>
        <w:jc w:val="righ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0"/>
          <w:sz w:val="14"/>
        </w:rPr>
        <w:t>𝗌−1</w:t>
      </w:r>
    </w:p>
    <w:p>
      <w:pPr>
        <w:pStyle w:val="BodyText"/>
        <w:rPr>
          <w:rFonts w:ascii="Cambria Math"/>
          <w:sz w:val="3"/>
        </w:rPr>
      </w:pPr>
    </w:p>
    <w:p>
      <w:pPr>
        <w:pStyle w:val="BodyText"/>
        <w:spacing w:line="20" w:lineRule="exact"/>
        <w:ind w:left="219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3.2pt;height:.6pt;mso-position-horizontal-relative:char;mso-position-vertical-relative:line" coordorigin="0,0" coordsize="264,12">
            <v:rect style="position:absolute;left:0;top:0;width:264;height: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216" w:lineRule="exact"/>
        <w:ind w:left="50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position w:val="1"/>
        </w:rPr>
        <w:t>𝐶</w:t>
      </w:r>
      <w:r>
        <w:rPr>
          <w:rFonts w:ascii="Cambria Math" w:hAnsi="Cambria Math" w:eastAsia="Cambria Math"/>
          <w:position w:val="1"/>
          <w:vertAlign w:val="subscript"/>
        </w:rPr>
        <w:t>𝐹,𝑡</w:t>
      </w:r>
      <w:r>
        <w:rPr>
          <w:rFonts w:ascii="Cambria Math" w:hAnsi="Cambria Math" w:eastAsia="Cambria Math"/>
          <w:spacing w:val="35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=</w:t>
      </w:r>
      <w:r>
        <w:rPr>
          <w:rFonts w:ascii="Cambria Math" w:hAnsi="Cambria Math" w:eastAsia="Cambria Math"/>
          <w:spacing w:val="82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[</w:t>
      </w:r>
      <w:r>
        <w:rPr>
          <w:rFonts w:ascii="Cambria Math" w:hAnsi="Cambria Math" w:eastAsia="Cambria Math"/>
          <w:vertAlign w:val="baseline"/>
        </w:rPr>
        <w:t>∫</w:t>
      </w:r>
      <w:r>
        <w:rPr>
          <w:rFonts w:ascii="Cambria Math" w:hAnsi="Cambria Math" w:eastAsia="Cambria Math"/>
          <w:spacing w:val="-1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𝐶</w:t>
      </w:r>
      <w:r>
        <w:rPr>
          <w:rFonts w:ascii="Cambria Math" w:hAnsi="Cambria Math" w:eastAsia="Cambria Math"/>
          <w:position w:val="1"/>
          <w:vertAlign w:val="subscript"/>
        </w:rPr>
        <w:t>𝐹,𝑡</w:t>
      </w:r>
      <w:r>
        <w:rPr>
          <w:rFonts w:ascii="Cambria Math" w:hAnsi="Cambria Math" w:eastAsia="Cambria Math"/>
          <w:spacing w:val="6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(𝑖)</w:t>
      </w:r>
      <w:r>
        <w:rPr>
          <w:rFonts w:ascii="Cambria Math" w:hAnsi="Cambria Math" w:eastAsia="Cambria Math"/>
          <w:spacing w:val="54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4"/>
          <w:sz w:val="14"/>
          <w:vertAlign w:val="baseline"/>
        </w:rPr>
        <w:t>𝗌  </w:t>
      </w:r>
      <w:r>
        <w:rPr>
          <w:rFonts w:ascii="Cambria Math" w:hAnsi="Cambria Math" w:eastAsia="Cambria Math"/>
          <w:spacing w:val="25"/>
          <w:position w:val="4"/>
          <w:sz w:val="14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𝑑𝑖]</w:t>
      </w:r>
    </w:p>
    <w:p>
      <w:pPr>
        <w:spacing w:before="75"/>
        <w:ind w:left="54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w w:val="130"/>
          <w:sz w:val="14"/>
        </w:rPr>
        <w:t>𝗌</w:t>
      </w:r>
    </w:p>
    <w:p>
      <w:pPr>
        <w:spacing w:before="23"/>
        <w:ind w:left="-39" w:right="0" w:firstLine="0"/>
        <w:jc w:val="left"/>
        <w:rPr>
          <w:rFonts w:ascii="Cambria Math" w:hAnsi="Cambria Math" w:eastAsia="Cambria Math"/>
          <w:sz w:val="14"/>
        </w:rPr>
      </w:pPr>
      <w:r>
        <w:rPr/>
        <w:pict>
          <v:rect style="position:absolute;margin-left:185.779999pt;margin-top:.721331pt;width:13.224pt;height:.60004pt;mso-position-horizontal-relative:page;mso-position-vertical-relative:paragraph;z-index:1574553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10"/>
          <w:sz w:val="14"/>
        </w:rPr>
        <w:t>𝗌−1</w:t>
      </w:r>
    </w:p>
    <w:p>
      <w:pPr>
        <w:pStyle w:val="BodyText"/>
        <w:spacing w:before="1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sz w:val="28"/>
        </w:rPr>
      </w:r>
    </w:p>
    <w:p>
      <w:pPr>
        <w:pStyle w:val="BodyText"/>
        <w:spacing w:before="1"/>
        <w:ind w:left="500"/>
      </w:pPr>
      <w:r>
        <w:rPr/>
        <w:t>(4.13)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3" w:equalWidth="0">
            <w:col w:w="2775" w:space="40"/>
            <w:col w:w="263" w:space="5684"/>
            <w:col w:w="1598"/>
          </w:cols>
        </w:sect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2" w:lineRule="auto" w:before="86"/>
        <w:ind w:left="500" w:right="496"/>
        <w:jc w:val="both"/>
      </w:pPr>
      <w:r>
        <w:rPr/>
        <w:t>In equations (4.12) and (4.13), parameter </w:t>
      </w:r>
      <w:r>
        <w:rPr>
          <w:rFonts w:ascii="Cambria Math" w:eastAsia="Cambria Math"/>
        </w:rPr>
        <w:t>𝜀 &gt; 1 </w:t>
      </w:r>
      <w:r>
        <w:rPr/>
        <w:t>is the elasticity of substitution between different</w:t>
      </w:r>
      <w:r>
        <w:rPr>
          <w:spacing w:val="1"/>
        </w:rPr>
        <w:t> </w:t>
      </w:r>
      <w:r>
        <w:rPr/>
        <w:t>goods</w:t>
      </w:r>
      <w:r>
        <w:rPr>
          <w:spacing w:val="-1"/>
        </w:rPr>
        <w:t> </w:t>
      </w:r>
      <w:r>
        <w:rPr/>
        <w:t>produced in the</w:t>
      </w:r>
      <w:r>
        <w:rPr>
          <w:spacing w:val="-1"/>
        </w:rPr>
        <w:t> </w:t>
      </w:r>
      <w:r>
        <w:rPr/>
        <w:t>domestic economy.</w:t>
      </w:r>
    </w:p>
    <w:p>
      <w:pPr>
        <w:pStyle w:val="BodyText"/>
        <w:tabs>
          <w:tab w:pos="9261" w:val="left" w:leader="none"/>
        </w:tabs>
        <w:spacing w:line="362" w:lineRule="auto" w:before="196"/>
        <w:ind w:left="500" w:right="504"/>
        <w:jc w:val="both"/>
      </w:pPr>
      <w:r>
        <w:rPr/>
        <w:t>The household decides to allocate a given level of expenditure between domestic and foreign</w:t>
      </w:r>
      <w:r>
        <w:rPr>
          <w:spacing w:val="1"/>
        </w:rPr>
        <w:t> </w:t>
      </w:r>
      <w:r>
        <w:rPr/>
        <w:t>goods.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minimise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expenditure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domestic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foreign</w:t>
      </w:r>
      <w:r>
        <w:rPr>
          <w:spacing w:val="60"/>
        </w:rPr>
        <w:t> </w:t>
      </w:r>
      <w:r>
        <w:rPr/>
        <w:t>goods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equation</w:t>
      </w:r>
      <w:r>
        <w:rPr>
          <w:spacing w:val="60"/>
        </w:rPr>
        <w:t> </w:t>
      </w:r>
      <w:r>
        <w:rPr/>
        <w:t>(4.14)</w:t>
      </w:r>
      <w:r>
        <w:rPr>
          <w:spacing w:val="-57"/>
        </w:rPr>
        <w:t> </w:t>
      </w:r>
      <w:r>
        <w:rPr>
          <w:rFonts w:ascii="Cambria Math" w:eastAsia="Cambria Math"/>
        </w:rPr>
        <w:t>Min</w:t>
      </w:r>
      <w:r>
        <w:rPr>
          <w:rFonts w:ascii="Cambria Math" w:eastAsia="Cambria Math"/>
          <w:spacing w:val="-10"/>
        </w:rPr>
        <w:t> </w:t>
      </w:r>
      <w:r>
        <w:rPr>
          <w:rFonts w:ascii="Cambria Math" w:eastAsia="Cambria Math"/>
        </w:rPr>
        <w:t>𝑃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vertAlign w:val="baseline"/>
        </w:rPr>
        <w:t>𝐶</w:t>
      </w:r>
      <w:r>
        <w:rPr>
          <w:rFonts w:ascii="Cambria Math" w:eastAsia="Cambria Math"/>
          <w:vertAlign w:val="subscript"/>
        </w:rPr>
        <w:t>𝑅,𝑡</w:t>
      </w:r>
      <w:r>
        <w:rPr>
          <w:rFonts w:ascii="Cambria Math" w:eastAsia="Cambria Math"/>
          <w:spacing w:val="94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83"/>
          <w:vertAlign w:val="baseline"/>
        </w:rPr>
        <w:t> </w:t>
      </w:r>
      <w:r>
        <w:rPr>
          <w:rFonts w:ascii="Cambria Math" w:eastAsia="Cambria Math"/>
          <w:vertAlign w:val="baseline"/>
        </w:rPr>
        <w:t>𝑃</w:t>
      </w:r>
      <w:r>
        <w:rPr>
          <w:rFonts w:ascii="Cambria Math" w:eastAsia="Cambria Math"/>
          <w:vertAlign w:val="subscript"/>
        </w:rPr>
        <w:t>𝐷,𝑡</w:t>
      </w:r>
      <w:r>
        <w:rPr>
          <w:rFonts w:ascii="Cambria Math" w:eastAsia="Cambria Math"/>
          <w:vertAlign w:val="baseline"/>
        </w:rPr>
        <w:t>𝐶</w:t>
      </w:r>
      <w:r>
        <w:rPr>
          <w:rFonts w:ascii="Cambria Math" w:eastAsia="Cambria Math"/>
          <w:vertAlign w:val="subscript"/>
        </w:rPr>
        <w:t>𝐷,𝑡</w:t>
      </w:r>
      <w:r>
        <w:rPr>
          <w:rFonts w:ascii="Cambria Math" w:eastAsia="Cambria Math"/>
          <w:spacing w:val="21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67"/>
          <w:vertAlign w:val="baseline"/>
        </w:rPr>
        <w:t> </w:t>
      </w:r>
      <w:r>
        <w:rPr>
          <w:rFonts w:ascii="Cambria Math" w:eastAsia="Cambria Math"/>
          <w:vertAlign w:val="baseline"/>
        </w:rPr>
        <w:t>𝑃</w:t>
      </w:r>
      <w:r>
        <w:rPr>
          <w:rFonts w:ascii="Cambria Math" w:eastAsia="Cambria Math"/>
          <w:vertAlign w:val="subscript"/>
        </w:rPr>
        <w:t>𝐹,𝑡</w:t>
      </w:r>
      <w:r>
        <w:rPr>
          <w:rFonts w:ascii="Cambria Math" w:eastAsia="Cambria Math"/>
          <w:vertAlign w:val="baseline"/>
        </w:rPr>
        <w:t>𝐶</w:t>
      </w:r>
      <w:r>
        <w:rPr>
          <w:rFonts w:ascii="Cambria Math" w:eastAsia="Cambria Math"/>
          <w:vertAlign w:val="subscript"/>
        </w:rPr>
        <w:t>𝐹,𝑡</w:t>
      </w:r>
      <w:r>
        <w:rPr>
          <w:rFonts w:ascii="Cambria Math" w:eastAsia="Cambria Math"/>
          <w:vertAlign w:val="baseline"/>
        </w:rPr>
        <w:tab/>
      </w:r>
      <w:r>
        <w:rPr>
          <w:vertAlign w:val="baseline"/>
        </w:rPr>
        <w:t>(4.14)</w:t>
      </w:r>
    </w:p>
    <w:p>
      <w:pPr>
        <w:spacing w:after="0" w:line="362" w:lineRule="auto"/>
        <w:jc w:val="both"/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74"/>
        <w:ind w:left="500"/>
      </w:pPr>
      <w:r>
        <w:rPr/>
        <w:t>subject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(4.11) to</w:t>
      </w:r>
      <w:r>
        <w:rPr>
          <w:spacing w:val="1"/>
        </w:rPr>
        <w:t> </w:t>
      </w:r>
      <w:r>
        <w:rPr/>
        <w:t>yield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demand</w:t>
      </w:r>
      <w:r>
        <w:rPr>
          <w:spacing w:val="-1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both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domestic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foreign</w:t>
      </w:r>
      <w:r>
        <w:rPr>
          <w:spacing w:val="1"/>
        </w:rPr>
        <w:t> </w:t>
      </w:r>
      <w:r>
        <w:rPr/>
        <w:t>goods:</w:t>
      </w: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0" w:footer="935" w:top="1360" w:bottom="1200" w:left="940" w:right="940"/>
        </w:sectPr>
      </w:pPr>
    </w:p>
    <w:p>
      <w:pPr>
        <w:spacing w:before="217"/>
        <w:ind w:left="500" w:right="0" w:firstLine="0"/>
        <w:jc w:val="left"/>
        <w:rPr>
          <w:rFonts w:ascii="Cambria Math" w:eastAsia="Cambria Math"/>
          <w:sz w:val="24"/>
        </w:rPr>
      </w:pPr>
      <w:r>
        <w:rPr>
          <w:rFonts w:ascii="Cambria Math" w:eastAsia="Cambria Math"/>
          <w:position w:val="5"/>
          <w:sz w:val="24"/>
        </w:rPr>
        <w:t>𝐶</w:t>
      </w:r>
      <w:r>
        <w:rPr>
          <w:rFonts w:ascii="Cambria Math" w:eastAsia="Cambria Math"/>
          <w:sz w:val="17"/>
        </w:rPr>
        <w:t>𝐷,𝑡</w:t>
      </w:r>
      <w:r>
        <w:rPr>
          <w:rFonts w:ascii="Cambria Math" w:eastAsia="Cambria Math"/>
          <w:spacing w:val="30"/>
          <w:sz w:val="17"/>
        </w:rPr>
        <w:t> </w:t>
      </w:r>
      <w:r>
        <w:rPr>
          <w:rFonts w:ascii="Cambria Math" w:eastAsia="Cambria Math"/>
          <w:position w:val="5"/>
          <w:sz w:val="24"/>
        </w:rPr>
        <w:t>=</w:t>
      </w:r>
    </w:p>
    <w:p>
      <w:pPr>
        <w:pStyle w:val="BodyText"/>
        <w:spacing w:before="209"/>
        <w:ind w:left="25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1</w:t>
      </w:r>
      <w:r>
        <w:rPr>
          <w:rFonts w:ascii="Cambria Math" w:hAnsi="Cambria Math" w:eastAsia="Cambria Math"/>
          <w:spacing w:val="-4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-2"/>
        </w:rPr>
        <w:t> </w:t>
      </w:r>
      <w:r>
        <w:rPr>
          <w:rFonts w:ascii="Cambria Math" w:hAnsi="Cambria Math" w:eastAsia="Cambria Math"/>
        </w:rPr>
        <w:t>𝛼</w:t>
      </w:r>
      <w:r>
        <w:rPr>
          <w:rFonts w:ascii="Cambria Math" w:hAnsi="Cambria Math" w:eastAsia="Cambria Math"/>
          <w:position w:val="1"/>
        </w:rPr>
        <w:t>)</w:t>
      </w:r>
    </w:p>
    <w:p>
      <w:pPr>
        <w:spacing w:before="145"/>
        <w:ind w:left="117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w w:val="110"/>
          <w:position w:val="3"/>
          <w:sz w:val="17"/>
          <w:u w:val="single"/>
        </w:rPr>
        <w:t>𝑃</w:t>
      </w:r>
      <w:r>
        <w:rPr>
          <w:rFonts w:ascii="Cambria Math" w:eastAsia="Cambria Math"/>
          <w:w w:val="110"/>
          <w:sz w:val="14"/>
          <w:u w:val="single"/>
        </w:rPr>
        <w:t>𝐷,𝑡</w:t>
      </w:r>
    </w:p>
    <w:p>
      <w:pPr>
        <w:spacing w:before="38"/>
        <w:ind w:left="198" w:right="0" w:firstLine="0"/>
        <w:jc w:val="left"/>
        <w:rPr>
          <w:rFonts w:ascii="Cambria Math" w:eastAsia="Cambria Math"/>
          <w:sz w:val="14"/>
        </w:rPr>
      </w:pPr>
      <w:r>
        <w:rPr/>
        <w:pict>
          <v:shape style="position:absolute;margin-left:147.020004pt;margin-top:-5.369036pt;width:5.9pt;height:12.05pt;mso-position-horizontal-relative:page;mso-position-vertical-relative:paragraph;z-index:15747584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/>
                    </w:rPr>
                  </w:pPr>
                  <w:r>
                    <w:rPr>
                      <w:rFonts w:ascii="Cambria Math"/>
                      <w:w w:val="118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10"/>
          <w:sz w:val="17"/>
        </w:rPr>
        <w:t>𝑃</w:t>
      </w:r>
      <w:r>
        <w:rPr>
          <w:rFonts w:ascii="Cambria Math" w:eastAsia="Cambria Math"/>
          <w:w w:val="110"/>
          <w:position w:val="-2"/>
          <w:sz w:val="14"/>
        </w:rPr>
        <w:t>𝑡</w:t>
      </w:r>
    </w:p>
    <w:p>
      <w:pPr>
        <w:spacing w:line="173" w:lineRule="exact" w:before="72"/>
        <w:ind w:left="83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sz w:val="17"/>
        </w:rPr>
        <w:t>−𝑦</w:t>
      </w:r>
    </w:p>
    <w:p>
      <w:pPr>
        <w:pStyle w:val="BodyText"/>
        <w:spacing w:line="255" w:lineRule="exact"/>
        <w:ind w:left="-34"/>
        <w:rPr>
          <w:rFonts w:ascii="Cambria Math"/>
        </w:rPr>
      </w:pPr>
      <w:r>
        <w:rPr>
          <w:rFonts w:ascii="Cambria Math"/>
          <w:w w:val="118"/>
        </w:rPr>
        <w:t>)</w:t>
      </w:r>
    </w:p>
    <w:p>
      <w:pPr>
        <w:pStyle w:val="BodyText"/>
        <w:tabs>
          <w:tab w:pos="6434" w:val="left" w:leader="none"/>
        </w:tabs>
        <w:spacing w:before="219"/>
        <w:ind w:left="13"/>
      </w:pPr>
      <w:r>
        <w:rPr/>
        <w:br w:type="column"/>
      </w:r>
      <w:r>
        <w:rPr>
          <w:rFonts w:ascii="Cambria Math" w:eastAsia="Cambria Math"/>
          <w:w w:val="105"/>
        </w:rPr>
        <w:t>𝐶</w:t>
      </w:r>
      <w:r>
        <w:rPr>
          <w:rFonts w:ascii="Cambria Math" w:eastAsia="Cambria Math"/>
          <w:w w:val="105"/>
          <w:vertAlign w:val="subscript"/>
        </w:rPr>
        <w:t>𝑅,𝑡</w:t>
      </w:r>
      <w:r>
        <w:rPr>
          <w:rFonts w:ascii="Cambria Math" w:eastAsia="Cambria Math"/>
          <w:w w:val="105"/>
          <w:vertAlign w:val="baseline"/>
        </w:rPr>
        <w:tab/>
      </w:r>
      <w:r>
        <w:rPr>
          <w:w w:val="105"/>
          <w:vertAlign w:val="baseline"/>
        </w:rPr>
        <w:t>(4.15)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5" w:equalWidth="0">
            <w:col w:w="1127" w:space="40"/>
            <w:col w:w="795" w:space="39"/>
            <w:col w:w="435" w:space="39"/>
            <w:col w:w="312" w:space="40"/>
            <w:col w:w="7533"/>
          </w:cols>
        </w:sectPr>
      </w:pP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spacing w:before="216"/>
        <w:ind w:left="500" w:right="0" w:firstLine="0"/>
        <w:jc w:val="left"/>
        <w:rPr>
          <w:rFonts w:ascii="Cambria Math" w:eastAsia="Cambria Math"/>
          <w:sz w:val="24"/>
        </w:rPr>
      </w:pPr>
      <w:r>
        <w:rPr>
          <w:rFonts w:ascii="Cambria Math" w:eastAsia="Cambria Math"/>
          <w:position w:val="5"/>
          <w:sz w:val="24"/>
        </w:rPr>
        <w:t>𝐶</w:t>
      </w:r>
      <w:r>
        <w:rPr>
          <w:rFonts w:ascii="Cambria Math" w:eastAsia="Cambria Math"/>
          <w:sz w:val="17"/>
        </w:rPr>
        <w:t>𝐹,𝑡</w:t>
      </w:r>
      <w:r>
        <w:rPr>
          <w:rFonts w:ascii="Cambria Math" w:eastAsia="Cambria Math"/>
          <w:spacing w:val="29"/>
          <w:sz w:val="17"/>
        </w:rPr>
        <w:t> </w:t>
      </w:r>
      <w:r>
        <w:rPr>
          <w:rFonts w:ascii="Cambria Math" w:eastAsia="Cambria Math"/>
          <w:position w:val="5"/>
          <w:sz w:val="24"/>
        </w:rPr>
        <w:t>=</w:t>
      </w:r>
    </w:p>
    <w:p>
      <w:pPr>
        <w:pStyle w:val="BodyText"/>
        <w:spacing w:before="208"/>
        <w:ind w:left="27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𝛼</w:t>
      </w:r>
      <w:r>
        <w:rPr>
          <w:rFonts w:ascii="Cambria Math" w:eastAsia="Cambria Math"/>
          <w:position w:val="1"/>
        </w:rPr>
        <w:t>)</w:t>
      </w:r>
    </w:p>
    <w:p>
      <w:pPr>
        <w:spacing w:before="145"/>
        <w:ind w:left="114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pacing w:val="-1"/>
          <w:w w:val="110"/>
          <w:position w:val="3"/>
          <w:sz w:val="17"/>
          <w:u w:val="single"/>
        </w:rPr>
        <w:t>𝑃</w:t>
      </w:r>
      <w:r>
        <w:rPr>
          <w:rFonts w:ascii="Cambria Math" w:eastAsia="Cambria Math"/>
          <w:spacing w:val="-1"/>
          <w:w w:val="110"/>
          <w:sz w:val="14"/>
          <w:u w:val="single"/>
        </w:rPr>
        <w:t>𝐹,𝑡</w:t>
      </w:r>
    </w:p>
    <w:p>
      <w:pPr>
        <w:spacing w:before="37"/>
        <w:ind w:left="186" w:right="0" w:firstLine="0"/>
        <w:jc w:val="left"/>
        <w:rPr>
          <w:rFonts w:ascii="Cambria Math" w:eastAsia="Cambria Math"/>
          <w:sz w:val="14"/>
        </w:rPr>
      </w:pPr>
      <w:r>
        <w:rPr/>
        <w:pict>
          <v:shape style="position:absolute;margin-left:125.419998pt;margin-top:-5.419055pt;width:5.9pt;height:12.05pt;mso-position-horizontal-relative:page;mso-position-vertical-relative:paragraph;z-index:1574809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/>
                    </w:rPr>
                  </w:pPr>
                  <w:r>
                    <w:rPr>
                      <w:rFonts w:ascii="Cambria Math"/>
                      <w:w w:val="118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10"/>
          <w:sz w:val="17"/>
        </w:rPr>
        <w:t>𝑃</w:t>
      </w:r>
      <w:r>
        <w:rPr>
          <w:rFonts w:ascii="Cambria Math" w:eastAsia="Cambria Math"/>
          <w:w w:val="110"/>
          <w:position w:val="-2"/>
          <w:sz w:val="14"/>
        </w:rPr>
        <w:t>𝑡</w:t>
      </w:r>
    </w:p>
    <w:p>
      <w:pPr>
        <w:spacing w:line="173" w:lineRule="exact" w:before="71"/>
        <w:ind w:left="86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sz w:val="17"/>
        </w:rPr>
        <w:t>−𝑦</w:t>
      </w:r>
    </w:p>
    <w:p>
      <w:pPr>
        <w:pStyle w:val="BodyText"/>
        <w:spacing w:line="255" w:lineRule="exact"/>
        <w:ind w:left="-32"/>
        <w:rPr>
          <w:rFonts w:ascii="Cambria Math"/>
        </w:rPr>
      </w:pPr>
      <w:r>
        <w:rPr>
          <w:rFonts w:ascii="Cambria Math"/>
          <w:w w:val="118"/>
        </w:rPr>
        <w:t>)</w:t>
      </w:r>
    </w:p>
    <w:p>
      <w:pPr>
        <w:pStyle w:val="BodyText"/>
        <w:tabs>
          <w:tab w:pos="6881" w:val="left" w:leader="none"/>
        </w:tabs>
        <w:spacing w:before="218"/>
        <w:ind w:left="13"/>
      </w:pPr>
      <w:r>
        <w:rPr/>
        <w:br w:type="column"/>
      </w:r>
      <w:r>
        <w:rPr>
          <w:rFonts w:ascii="Cambria Math" w:eastAsia="Cambria Math"/>
          <w:w w:val="105"/>
        </w:rPr>
        <w:t>𝐶</w:t>
      </w:r>
      <w:r>
        <w:rPr>
          <w:rFonts w:ascii="Cambria Math" w:eastAsia="Cambria Math"/>
          <w:w w:val="105"/>
          <w:vertAlign w:val="subscript"/>
        </w:rPr>
        <w:t>𝑅,𝑡</w:t>
      </w:r>
      <w:r>
        <w:rPr>
          <w:rFonts w:ascii="Cambria Math" w:eastAsia="Cambria Math"/>
          <w:w w:val="105"/>
          <w:vertAlign w:val="baseline"/>
        </w:rPr>
        <w:tab/>
      </w:r>
      <w:r>
        <w:rPr>
          <w:w w:val="105"/>
          <w:vertAlign w:val="baseline"/>
        </w:rPr>
        <w:t>(4.16)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5" w:equalWidth="0">
            <w:col w:w="1112" w:space="40"/>
            <w:col w:w="380" w:space="39"/>
            <w:col w:w="416" w:space="40"/>
            <w:col w:w="314" w:space="39"/>
            <w:col w:w="7980"/>
          </w:cols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86"/>
        <w:ind w:left="500"/>
      </w:pPr>
      <w:r>
        <w:rPr/>
        <w:t>Where,</w:t>
      </w:r>
      <w:r>
        <w:rPr>
          <w:spacing w:val="-1"/>
        </w:rPr>
        <w:t> </w:t>
      </w:r>
      <w:r>
        <w:rPr>
          <w:rFonts w:ascii="Cambria Math" w:eastAsia="Cambria Math"/>
        </w:rPr>
        <w:t>𝑃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: Aggregate</w:t>
      </w:r>
      <w:r>
        <w:rPr>
          <w:spacing w:val="-1"/>
          <w:vertAlign w:val="baseline"/>
        </w:rPr>
        <w:t> </w:t>
      </w:r>
      <w:r>
        <w:rPr>
          <w:vertAlign w:val="baseline"/>
        </w:rPr>
        <w:t>consumer</w:t>
      </w:r>
      <w:r>
        <w:rPr>
          <w:spacing w:val="-2"/>
          <w:vertAlign w:val="baseline"/>
        </w:rPr>
        <w:t> </w:t>
      </w:r>
      <w:r>
        <w:rPr>
          <w:vertAlign w:val="baseline"/>
        </w:rPr>
        <w:t>price</w:t>
      </w:r>
      <w:r>
        <w:rPr>
          <w:spacing w:val="-2"/>
          <w:vertAlign w:val="baseline"/>
        </w:rPr>
        <w:t> </w:t>
      </w:r>
      <w:r>
        <w:rPr>
          <w:vertAlign w:val="baseline"/>
        </w:rPr>
        <w:t>index</w:t>
      </w:r>
    </w:p>
    <w:p>
      <w:pPr>
        <w:pStyle w:val="BodyText"/>
        <w:rPr>
          <w:sz w:val="30"/>
        </w:rPr>
      </w:pPr>
    </w:p>
    <w:p>
      <w:pPr>
        <w:pStyle w:val="BodyText"/>
        <w:ind w:left="500"/>
      </w:pPr>
      <w:r>
        <w:rPr>
          <w:rFonts w:ascii="Cambria Math" w:eastAsia="Cambria Math"/>
        </w:rPr>
        <w:t>𝐶</w:t>
      </w:r>
      <w:r>
        <w:rPr>
          <w:rFonts w:ascii="Cambria Math" w:eastAsia="Cambria Math"/>
          <w:vertAlign w:val="subscript"/>
        </w:rPr>
        <w:t>𝑅,𝑡</w:t>
      </w:r>
      <w:r>
        <w:rPr>
          <w:vertAlign w:val="baseline"/>
        </w:rPr>
        <w:t>:</w:t>
      </w:r>
      <w:r>
        <w:rPr>
          <w:spacing w:val="5"/>
          <w:vertAlign w:val="baseline"/>
        </w:rPr>
        <w:t> </w:t>
      </w:r>
      <w:r>
        <w:rPr>
          <w:vertAlign w:val="baseline"/>
        </w:rPr>
        <w:t>Composite</w:t>
      </w:r>
      <w:r>
        <w:rPr>
          <w:spacing w:val="4"/>
          <w:vertAlign w:val="baseline"/>
        </w:rPr>
        <w:t> </w:t>
      </w:r>
      <w:r>
        <w:rPr>
          <w:vertAlign w:val="baseline"/>
        </w:rPr>
        <w:t>consumption</w:t>
      </w:r>
      <w:r>
        <w:rPr>
          <w:spacing w:val="6"/>
          <w:vertAlign w:val="baseline"/>
        </w:rPr>
        <w:t> </w:t>
      </w:r>
      <w:r>
        <w:rPr>
          <w:vertAlign w:val="baseline"/>
        </w:rPr>
        <w:t>index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500"/>
      </w:pPr>
      <w:r>
        <w:rPr>
          <w:rFonts w:ascii="Cambria Math" w:eastAsia="Cambria Math"/>
        </w:rPr>
        <w:t>𝑃</w:t>
      </w:r>
      <w:r>
        <w:rPr>
          <w:rFonts w:ascii="Cambria Math" w:eastAsia="Cambria Math"/>
          <w:vertAlign w:val="subscript"/>
        </w:rPr>
        <w:t>𝐷,𝑡</w:t>
      </w:r>
      <w:r>
        <w:rPr>
          <w:vertAlign w:val="baseline"/>
        </w:rPr>
        <w:t>,</w:t>
      </w:r>
      <w:r>
        <w:rPr>
          <w:rFonts w:ascii="Cambria Math" w:eastAsia="Cambria Math"/>
          <w:vertAlign w:val="baseline"/>
        </w:rPr>
        <w:t>𝑃</w:t>
      </w:r>
      <w:r>
        <w:rPr>
          <w:rFonts w:ascii="Cambria Math" w:eastAsia="Cambria Math"/>
          <w:vertAlign w:val="subscript"/>
        </w:rPr>
        <w:t>𝐹,𝑡</w:t>
      </w:r>
      <w:r>
        <w:rPr>
          <w:vertAlign w:val="baseline"/>
        </w:rPr>
        <w:t>:</w:t>
      </w:r>
      <w:r>
        <w:rPr>
          <w:spacing w:val="8"/>
          <w:vertAlign w:val="baseline"/>
        </w:rPr>
        <w:t> </w:t>
      </w:r>
      <w:r>
        <w:rPr>
          <w:vertAlign w:val="baseline"/>
        </w:rPr>
        <w:t>domestic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4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3"/>
          <w:vertAlign w:val="baseline"/>
        </w:rPr>
        <w:t> </w:t>
      </w:r>
      <w:r>
        <w:rPr>
          <w:vertAlign w:val="baseline"/>
        </w:rPr>
        <w:t>price</w:t>
      </w:r>
      <w:r>
        <w:rPr>
          <w:spacing w:val="3"/>
          <w:vertAlign w:val="baseline"/>
        </w:rPr>
        <w:t> </w:t>
      </w:r>
      <w:r>
        <w:rPr>
          <w:vertAlign w:val="baseline"/>
        </w:rPr>
        <w:t>index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before="1"/>
        <w:ind w:left="500"/>
      </w:pPr>
      <w:r>
        <w:rPr>
          <w:rFonts w:ascii="Cambria Math" w:eastAsia="Cambria Math"/>
        </w:rPr>
        <w:t>𝐶</w:t>
      </w:r>
      <w:r>
        <w:rPr>
          <w:rFonts w:ascii="Cambria Math" w:eastAsia="Cambria Math"/>
          <w:vertAlign w:val="subscript"/>
        </w:rPr>
        <w:t>𝐷,𝑡</w:t>
      </w:r>
      <w:r>
        <w:rPr>
          <w:vertAlign w:val="baseline"/>
        </w:rPr>
        <w:t>,</w:t>
      </w:r>
      <w:r>
        <w:rPr>
          <w:spacing w:val="5"/>
          <w:vertAlign w:val="baseline"/>
        </w:rPr>
        <w:t> </w:t>
      </w:r>
      <w:r>
        <w:rPr>
          <w:rFonts w:ascii="Cambria Math" w:eastAsia="Cambria Math"/>
          <w:vertAlign w:val="baseline"/>
        </w:rPr>
        <w:t>𝐶</w:t>
      </w:r>
      <w:r>
        <w:rPr>
          <w:rFonts w:ascii="Cambria Math" w:eastAsia="Cambria Math"/>
          <w:vertAlign w:val="subscript"/>
        </w:rPr>
        <w:t>𝐹,𝑡</w:t>
      </w:r>
      <w:r>
        <w:rPr>
          <w:vertAlign w:val="baseline"/>
        </w:rPr>
        <w:t>:</w:t>
      </w:r>
      <w:r>
        <w:rPr>
          <w:spacing w:val="5"/>
          <w:vertAlign w:val="baseline"/>
        </w:rPr>
        <w:t> </w:t>
      </w:r>
      <w:r>
        <w:rPr>
          <w:vertAlign w:val="baseline"/>
        </w:rPr>
        <w:t>consumption</w:t>
      </w:r>
      <w:r>
        <w:rPr>
          <w:spacing w:val="5"/>
          <w:vertAlign w:val="baseline"/>
        </w:rPr>
        <w:t> </w:t>
      </w:r>
      <w:r>
        <w:rPr>
          <w:vertAlign w:val="baseline"/>
        </w:rPr>
        <w:t>index</w:t>
      </w:r>
      <w:r>
        <w:rPr>
          <w:spacing w:val="7"/>
          <w:vertAlign w:val="baseline"/>
        </w:rPr>
        <w:t> </w:t>
      </w:r>
      <w:r>
        <w:rPr>
          <w:vertAlign w:val="baseline"/>
        </w:rPr>
        <w:t>on</w:t>
      </w:r>
      <w:r>
        <w:rPr>
          <w:spacing w:val="2"/>
          <w:vertAlign w:val="baseline"/>
        </w:rPr>
        <w:t> </w:t>
      </w:r>
      <w:r>
        <w:rPr>
          <w:vertAlign w:val="baseline"/>
        </w:rPr>
        <w:t>domestic</w:t>
      </w:r>
      <w:r>
        <w:rPr>
          <w:spacing w:val="4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8"/>
          <w:vertAlign w:val="baseline"/>
        </w:rPr>
        <w:t> </w:t>
      </w:r>
      <w:r>
        <w:rPr>
          <w:vertAlign w:val="baseline"/>
        </w:rPr>
        <w:t>goods</w:t>
      </w:r>
    </w:p>
    <w:p>
      <w:pPr>
        <w:pStyle w:val="BodyText"/>
        <w:rPr>
          <w:sz w:val="31"/>
        </w:rPr>
      </w:pPr>
    </w:p>
    <w:p>
      <w:pPr>
        <w:pStyle w:val="BodyText"/>
        <w:spacing w:line="376" w:lineRule="auto"/>
        <w:ind w:left="500" w:right="519"/>
        <w:rPr>
          <w:i/>
          <w:sz w:val="18"/>
        </w:rPr>
      </w:pPr>
      <w:r>
        <w:rPr/>
        <w:t>The</w:t>
      </w:r>
      <w:r>
        <w:rPr>
          <w:spacing w:val="-2"/>
        </w:rPr>
        <w:t> </w:t>
      </w:r>
      <w:r>
        <w:rPr/>
        <w:t>price indices</w:t>
      </w:r>
      <w:r>
        <w:rPr>
          <w:spacing w:val="3"/>
        </w:rPr>
        <w:t> </w:t>
      </w:r>
      <w:r>
        <w:rPr>
          <w:rFonts w:ascii="Cambria Math"/>
        </w:rPr>
        <w:t>P</w:t>
      </w:r>
      <w:r>
        <w:rPr>
          <w:rFonts w:ascii="Cambria Math"/>
          <w:vertAlign w:val="subscript"/>
        </w:rPr>
        <w:t>F,t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rFonts w:ascii="Cambria Math"/>
          <w:vertAlign w:val="baseline"/>
        </w:rPr>
        <w:t>P</w:t>
      </w:r>
      <w:r>
        <w:rPr>
          <w:rFonts w:ascii="Cambria Math"/>
          <w:vertAlign w:val="subscript"/>
        </w:rPr>
        <w:t>D,t</w:t>
      </w:r>
      <w:r>
        <w:rPr>
          <w:vertAlign w:val="baseline"/>
        </w:rPr>
        <w:t>,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is the</w:t>
      </w:r>
      <w:r>
        <w:rPr>
          <w:spacing w:val="1"/>
          <w:vertAlign w:val="baseline"/>
        </w:rPr>
        <w:t> </w:t>
      </w:r>
      <w:r>
        <w:rPr>
          <w:vertAlign w:val="baseline"/>
        </w:rPr>
        <w:t>minimum</w:t>
      </w:r>
      <w:r>
        <w:rPr>
          <w:spacing w:val="1"/>
          <w:vertAlign w:val="baseline"/>
        </w:rPr>
        <w:t> </w:t>
      </w:r>
      <w:r>
        <w:rPr>
          <w:vertAlign w:val="baseline"/>
        </w:rPr>
        <w:t>expenditure</w:t>
      </w:r>
      <w:r>
        <w:rPr>
          <w:spacing w:val="-2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the household can</w:t>
      </w:r>
      <w:r>
        <w:rPr>
          <w:spacing w:val="1"/>
          <w:vertAlign w:val="baseline"/>
        </w:rPr>
        <w:t> </w:t>
      </w:r>
      <w:r>
        <w:rPr>
          <w:vertAlign w:val="baseline"/>
        </w:rPr>
        <w:t>buy</w:t>
      </w:r>
      <w:r>
        <w:rPr>
          <w:spacing w:val="-57"/>
          <w:vertAlign w:val="baseline"/>
        </w:rPr>
        <w:t> </w:t>
      </w:r>
      <w:r>
        <w:rPr>
          <w:vertAlign w:val="baseline"/>
        </w:rPr>
        <w:t>one</w:t>
      </w:r>
      <w:r>
        <w:rPr>
          <w:spacing w:val="-1"/>
          <w:vertAlign w:val="baseline"/>
        </w:rPr>
        <w:t> </w:t>
      </w:r>
      <w:r>
        <w:rPr>
          <w:vertAlign w:val="baseline"/>
        </w:rPr>
        <w:t>unit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rFonts w:ascii="Cambria Math"/>
          <w:vertAlign w:val="baseline"/>
        </w:rPr>
        <w:t>C</w:t>
      </w:r>
      <w:r>
        <w:rPr>
          <w:rFonts w:ascii="Cambria Math"/>
          <w:vertAlign w:val="subscript"/>
        </w:rPr>
        <w:t>D,t</w:t>
      </w:r>
      <w:r>
        <w:rPr>
          <w:rFonts w:ascii="Cambria Math"/>
          <w:spacing w:val="15"/>
          <w:vertAlign w:val="baseline"/>
        </w:rPr>
        <w:t> </w:t>
      </w:r>
      <w:r>
        <w:rPr>
          <w:vertAlign w:val="baseline"/>
        </w:rPr>
        <w:t>and</w:t>
      </w:r>
      <w:r>
        <w:rPr>
          <w:spacing w:val="3"/>
          <w:vertAlign w:val="baseline"/>
        </w:rPr>
        <w:t> </w:t>
      </w:r>
      <w:r>
        <w:rPr>
          <w:rFonts w:ascii="Cambria Math"/>
          <w:vertAlign w:val="baseline"/>
        </w:rPr>
        <w:t>C</w:t>
      </w:r>
      <w:r>
        <w:rPr>
          <w:rFonts w:ascii="Cambria Math"/>
          <w:vertAlign w:val="subscript"/>
        </w:rPr>
        <w:t>F,t</w:t>
      </w:r>
      <w:r>
        <w:rPr>
          <w:vertAlign w:val="baseline"/>
        </w:rPr>
        <w:t>are given</w:t>
      </w:r>
      <w:r>
        <w:rPr>
          <w:spacing w:val="2"/>
          <w:vertAlign w:val="baseline"/>
        </w:rPr>
        <w:t> </w:t>
      </w:r>
      <w:r>
        <w:rPr>
          <w:vertAlign w:val="baseline"/>
        </w:rPr>
        <w:t>by</w:t>
      </w:r>
      <w:r>
        <w:rPr>
          <w:i/>
          <w:sz w:val="18"/>
          <w:vertAlign w:val="baseline"/>
        </w:rPr>
        <w:t>:</w:t>
      </w:r>
    </w:p>
    <w:p>
      <w:pPr>
        <w:spacing w:line="148" w:lineRule="exact" w:before="0" w:after="15"/>
        <w:ind w:left="2826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6"/>
          <w:sz w:val="14"/>
        </w:rPr>
        <w:t>1</w:t>
      </w:r>
    </w:p>
    <w:p>
      <w:pPr>
        <w:pStyle w:val="BodyText"/>
        <w:spacing w:line="20" w:lineRule="exact"/>
        <w:ind w:left="2737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3.25pt;height:.6pt;mso-position-horizontal-relative:char;mso-position-vertical-relative:line" coordorigin="0,0" coordsize="265,12">
            <v:rect style="position:absolute;left:0;top:0;width:265;height: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tabs>
          <w:tab w:pos="9261" w:val="left" w:leader="none"/>
        </w:tabs>
        <w:ind w:left="500"/>
      </w:pPr>
      <w:r>
        <w:rPr>
          <w:rFonts w:ascii="Cambria Math" w:hAnsi="Cambria Math" w:eastAsia="Cambria Math"/>
          <w:position w:val="1"/>
        </w:rPr>
        <w:t>𝑃</w:t>
      </w:r>
      <w:r>
        <w:rPr>
          <w:rFonts w:ascii="Cambria Math" w:hAnsi="Cambria Math" w:eastAsia="Cambria Math"/>
          <w:position w:val="1"/>
          <w:vertAlign w:val="subscript"/>
        </w:rPr>
        <w:t>𝐷,𝑡</w:t>
      </w:r>
      <w:r>
        <w:rPr>
          <w:rFonts w:ascii="Cambria Math" w:hAnsi="Cambria Math" w:eastAsia="Cambria Math"/>
          <w:spacing w:val="39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=</w:t>
      </w:r>
      <w:r>
        <w:rPr>
          <w:rFonts w:ascii="Cambria Math" w:hAnsi="Cambria Math" w:eastAsia="Cambria Math"/>
          <w:spacing w:val="26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[</w:t>
      </w:r>
      <w:r>
        <w:rPr>
          <w:rFonts w:ascii="Cambria Math" w:hAnsi="Cambria Math" w:eastAsia="Cambria Math"/>
          <w:vertAlign w:val="baseline"/>
        </w:rPr>
        <w:t>∫</w:t>
      </w:r>
      <w:r>
        <w:rPr>
          <w:rFonts w:ascii="Cambria Math" w:hAnsi="Cambria Math" w:eastAsia="Cambria Math"/>
          <w:spacing w:val="-6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𝑃</w:t>
      </w:r>
      <w:r>
        <w:rPr>
          <w:rFonts w:ascii="Cambria Math" w:hAnsi="Cambria Math" w:eastAsia="Cambria Math"/>
          <w:position w:val="1"/>
          <w:vertAlign w:val="subscript"/>
        </w:rPr>
        <w:t>𝐷,𝑡</w:t>
      </w:r>
      <w:r>
        <w:rPr>
          <w:rFonts w:ascii="Cambria Math" w:hAnsi="Cambria Math" w:eastAsia="Cambria Math"/>
          <w:position w:val="1"/>
          <w:vertAlign w:val="baseline"/>
        </w:rPr>
        <w:t>(𝑖)</w:t>
      </w:r>
      <w:r>
        <w:rPr>
          <w:rFonts w:ascii="Cambria Math" w:hAnsi="Cambria Math" w:eastAsia="Cambria Math"/>
          <w:position w:val="1"/>
          <w:vertAlign w:val="superscript"/>
        </w:rPr>
        <w:t>1−𝗌</w:t>
      </w:r>
      <w:r>
        <w:rPr>
          <w:rFonts w:ascii="Cambria Math" w:hAnsi="Cambria Math" w:eastAsia="Cambria Math"/>
          <w:position w:val="1"/>
          <w:vertAlign w:val="baseline"/>
        </w:rPr>
        <w:t>𝑑𝑖]</w:t>
      </w:r>
      <w:r>
        <w:rPr>
          <w:rFonts w:ascii="Cambria Math" w:hAnsi="Cambria Math" w:eastAsia="Cambria Math"/>
          <w:position w:val="1"/>
          <w:vertAlign w:val="superscript"/>
        </w:rPr>
        <w:t>1−𝗌</w:t>
      </w:r>
      <w:r>
        <w:rPr>
          <w:rFonts w:ascii="Cambria Math" w:hAnsi="Cambria Math" w:eastAsia="Cambria Math"/>
          <w:position w:val="1"/>
          <w:vertAlign w:val="baseline"/>
        </w:rPr>
        <w:tab/>
      </w:r>
      <w:r>
        <w:rPr>
          <w:w w:val="105"/>
          <w:position w:val="1"/>
          <w:vertAlign w:val="baseline"/>
        </w:rPr>
        <w:t>(4.17)</w:t>
      </w:r>
    </w:p>
    <w:p>
      <w:pPr>
        <w:pStyle w:val="BodyText"/>
        <w:rPr>
          <w:sz w:val="30"/>
        </w:rPr>
      </w:pPr>
    </w:p>
    <w:p>
      <w:pPr>
        <w:pStyle w:val="BodyText"/>
        <w:spacing w:before="248"/>
        <w:ind w:left="500"/>
      </w:pPr>
      <w:r>
        <w:rPr/>
        <w:t>and</w:t>
      </w:r>
    </w:p>
    <w:p>
      <w:pPr>
        <w:pStyle w:val="BodyText"/>
        <w:spacing w:before="9"/>
        <w:rPr>
          <w:sz w:val="21"/>
        </w:rPr>
      </w:pPr>
    </w:p>
    <w:p>
      <w:pPr>
        <w:spacing w:before="75" w:after="15"/>
        <w:ind w:left="2799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6"/>
          <w:sz w:val="14"/>
        </w:rPr>
        <w:t>1</w:t>
      </w:r>
    </w:p>
    <w:p>
      <w:pPr>
        <w:pStyle w:val="BodyText"/>
        <w:spacing w:line="20" w:lineRule="exact"/>
        <w:ind w:left="271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3.25pt;height:.6pt;mso-position-horizontal-relative:char;mso-position-vertical-relative:line" coordorigin="0,0" coordsize="265,12">
            <v:rect style="position:absolute;left:0;top:0;width:265;height: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tabs>
          <w:tab w:pos="9261" w:val="left" w:leader="none"/>
        </w:tabs>
        <w:ind w:left="500"/>
      </w:pPr>
      <w:r>
        <w:rPr>
          <w:rFonts w:ascii="Cambria Math" w:hAnsi="Cambria Math" w:eastAsia="Cambria Math"/>
          <w:position w:val="1"/>
        </w:rPr>
        <w:t>𝑃</w:t>
      </w:r>
      <w:r>
        <w:rPr>
          <w:rFonts w:ascii="Cambria Math" w:hAnsi="Cambria Math" w:eastAsia="Cambria Math"/>
          <w:position w:val="1"/>
          <w:vertAlign w:val="subscript"/>
        </w:rPr>
        <w:t>𝐹,𝑡</w:t>
      </w:r>
      <w:r>
        <w:rPr>
          <w:rFonts w:ascii="Cambria Math" w:hAnsi="Cambria Math" w:eastAsia="Cambria Math"/>
          <w:spacing w:val="42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=</w:t>
      </w:r>
      <w:r>
        <w:rPr>
          <w:rFonts w:ascii="Cambria Math" w:hAnsi="Cambria Math" w:eastAsia="Cambria Math"/>
          <w:spacing w:val="23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[</w:t>
      </w:r>
      <w:r>
        <w:rPr>
          <w:rFonts w:ascii="Cambria Math" w:hAnsi="Cambria Math" w:eastAsia="Cambria Math"/>
          <w:vertAlign w:val="baseline"/>
        </w:rPr>
        <w:t>∫</w:t>
      </w:r>
      <w:r>
        <w:rPr>
          <w:rFonts w:ascii="Cambria Math" w:hAnsi="Cambria Math" w:eastAsia="Cambria Math"/>
          <w:spacing w:val="-7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𝑃</w:t>
      </w:r>
      <w:r>
        <w:rPr>
          <w:rFonts w:ascii="Cambria Math" w:hAnsi="Cambria Math" w:eastAsia="Cambria Math"/>
          <w:position w:val="1"/>
          <w:vertAlign w:val="subscript"/>
        </w:rPr>
        <w:t>𝐹,𝑡</w:t>
      </w:r>
      <w:r>
        <w:rPr>
          <w:rFonts w:ascii="Cambria Math" w:hAnsi="Cambria Math" w:eastAsia="Cambria Math"/>
          <w:position w:val="1"/>
          <w:vertAlign w:val="baseline"/>
        </w:rPr>
        <w:t>(𝑖)</w:t>
      </w:r>
      <w:r>
        <w:rPr>
          <w:rFonts w:ascii="Cambria Math" w:hAnsi="Cambria Math" w:eastAsia="Cambria Math"/>
          <w:position w:val="1"/>
          <w:vertAlign w:val="superscript"/>
        </w:rPr>
        <w:t>1−𝗌</w:t>
      </w:r>
      <w:r>
        <w:rPr>
          <w:rFonts w:ascii="Cambria Math" w:hAnsi="Cambria Math" w:eastAsia="Cambria Math"/>
          <w:position w:val="1"/>
          <w:vertAlign w:val="baseline"/>
        </w:rPr>
        <w:t>𝑑𝑖]</w:t>
      </w:r>
      <w:r>
        <w:rPr>
          <w:rFonts w:ascii="Cambria Math" w:hAnsi="Cambria Math" w:eastAsia="Cambria Math"/>
          <w:position w:val="1"/>
          <w:vertAlign w:val="superscript"/>
        </w:rPr>
        <w:t>1−𝗌</w:t>
      </w:r>
      <w:r>
        <w:rPr>
          <w:rFonts w:ascii="Cambria Math" w:hAnsi="Cambria Math" w:eastAsia="Cambria Math"/>
          <w:position w:val="1"/>
          <w:vertAlign w:val="baseline"/>
        </w:rPr>
        <w:tab/>
      </w:r>
      <w:r>
        <w:rPr>
          <w:w w:val="105"/>
          <w:position w:val="1"/>
          <w:vertAlign w:val="baseline"/>
        </w:rPr>
        <w:t>(4.18)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360" w:lineRule="auto"/>
        <w:ind w:left="500" w:right="1464"/>
      </w:pPr>
      <w:r>
        <w:rPr/>
        <w:t>The</w:t>
      </w:r>
      <w:r>
        <w:rPr>
          <w:spacing w:val="-3"/>
        </w:rPr>
        <w:t> </w:t>
      </w:r>
      <w:r>
        <w:rPr/>
        <w:t>aggregate</w:t>
      </w:r>
      <w:r>
        <w:rPr>
          <w:spacing w:val="-1"/>
        </w:rPr>
        <w:t> </w:t>
      </w:r>
      <w:r>
        <w:rPr/>
        <w:t>price</w:t>
      </w:r>
      <w:r>
        <w:rPr>
          <w:spacing w:val="-1"/>
        </w:rPr>
        <w:t> </w:t>
      </w:r>
      <w:r>
        <w:rPr/>
        <w:t>level,</w:t>
      </w:r>
      <w:r>
        <w:rPr>
          <w:spacing w:val="-1"/>
        </w:rPr>
        <w:t> </w:t>
      </w:r>
      <w:r>
        <w:rPr/>
        <w:t>which 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consumer</w:t>
      </w:r>
      <w:r>
        <w:rPr>
          <w:spacing w:val="-1"/>
        </w:rPr>
        <w:t> </w:t>
      </w:r>
      <w:r>
        <w:rPr/>
        <w:t>price</w:t>
      </w:r>
      <w:r>
        <w:rPr>
          <w:spacing w:val="-1"/>
        </w:rPr>
        <w:t> </w:t>
      </w:r>
      <w:r>
        <w:rPr/>
        <w:t>index,</w:t>
      </w:r>
      <w:r>
        <w:rPr>
          <w:spacing w:val="-1"/>
        </w:rPr>
        <w:t> </w:t>
      </w:r>
      <w:r>
        <w:rPr/>
        <w:t>is defined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aggregating</w:t>
      </w:r>
      <w:r>
        <w:rPr>
          <w:spacing w:val="-57"/>
        </w:rPr>
        <w:t> </w:t>
      </w:r>
      <w:r>
        <w:rPr/>
        <w:t>equations</w:t>
      </w:r>
      <w:r>
        <w:rPr>
          <w:spacing w:val="-1"/>
        </w:rPr>
        <w:t> </w:t>
      </w:r>
      <w:r>
        <w:rPr/>
        <w:t>(4.15)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(4.16) as:</w:t>
      </w:r>
    </w:p>
    <w:p>
      <w:pPr>
        <w:spacing w:line="148" w:lineRule="exact" w:before="0"/>
        <w:ind w:left="0" w:right="1161" w:firstLine="0"/>
        <w:jc w:val="center"/>
        <w:rPr>
          <w:rFonts w:ascii="Cambria Math"/>
          <w:sz w:val="14"/>
        </w:rPr>
      </w:pPr>
      <w:r>
        <w:rPr>
          <w:rFonts w:ascii="Cambria Math"/>
          <w:w w:val="106"/>
          <w:sz w:val="14"/>
        </w:rPr>
        <w:t>1</w:t>
      </w:r>
    </w:p>
    <w:p>
      <w:pPr>
        <w:pStyle w:val="BodyText"/>
        <w:tabs>
          <w:tab w:pos="9201" w:val="left" w:leader="none"/>
        </w:tabs>
        <w:spacing w:line="288" w:lineRule="exact"/>
        <w:ind w:left="500"/>
        <w:jc w:val="both"/>
      </w:pPr>
      <w:r>
        <w:rPr/>
        <w:pict>
          <v:rect style="position:absolute;margin-left:269.929993pt;margin-top:.913541pt;width:14.04pt;height:.60004pt;mso-position-horizontal-relative:page;mso-position-vertical-relative:paragraph;z-index:1574707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pacing w:val="-2"/>
          <w:w w:val="105"/>
        </w:rPr>
        <w:t>𝑃</w:t>
      </w:r>
      <w:r>
        <w:rPr>
          <w:rFonts w:ascii="Cambria Math" w:hAnsi="Cambria Math" w:eastAsia="Cambria Math"/>
          <w:spacing w:val="-2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16"/>
          <w:w w:val="105"/>
          <w:vertAlign w:val="baseline"/>
        </w:rPr>
        <w:t> </w:t>
      </w:r>
      <w:r>
        <w:rPr>
          <w:rFonts w:ascii="Cambria Math" w:hAnsi="Cambria Math" w:eastAsia="Cambria Math"/>
          <w:spacing w:val="-2"/>
          <w:w w:val="105"/>
          <w:vertAlign w:val="baseline"/>
        </w:rPr>
        <w:t>=</w:t>
      </w:r>
      <w:r>
        <w:rPr>
          <w:rFonts w:ascii="Cambria Math" w:hAnsi="Cambria Math" w:eastAsia="Cambria Math"/>
          <w:spacing w:val="52"/>
          <w:w w:val="105"/>
          <w:vertAlign w:val="baseline"/>
        </w:rPr>
        <w:t> </w:t>
      </w:r>
      <w:r>
        <w:rPr>
          <w:rFonts w:ascii="Cambria Math" w:hAnsi="Cambria Math" w:eastAsia="Cambria Math"/>
          <w:spacing w:val="-2"/>
          <w:w w:val="105"/>
          <w:vertAlign w:val="baseline"/>
        </w:rPr>
        <w:t>[</w:t>
      </w:r>
      <w:r>
        <w:rPr>
          <w:rFonts w:ascii="Cambria Math" w:hAnsi="Cambria Math" w:eastAsia="Cambria Math"/>
          <w:spacing w:val="-2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spacing w:val="-2"/>
          <w:w w:val="105"/>
          <w:vertAlign w:val="baseline"/>
        </w:rPr>
        <w:t>1</w:t>
      </w:r>
      <w:r>
        <w:rPr>
          <w:rFonts w:ascii="Cambria Math" w:hAnsi="Cambria Math" w:eastAsia="Cambria Math"/>
          <w:spacing w:val="-12"/>
          <w:w w:val="105"/>
          <w:vertAlign w:val="baseline"/>
        </w:rPr>
        <w:t> </w:t>
      </w:r>
      <w:r>
        <w:rPr>
          <w:rFonts w:ascii="Cambria Math" w:hAnsi="Cambria Math" w:eastAsia="Cambria Math"/>
          <w:spacing w:val="-2"/>
          <w:w w:val="105"/>
          <w:vertAlign w:val="baseline"/>
        </w:rPr>
        <w:t>−</w:t>
      </w:r>
      <w:r>
        <w:rPr>
          <w:rFonts w:ascii="Cambria Math" w:hAnsi="Cambria Math" w:eastAsia="Cambria Math"/>
          <w:spacing w:val="-8"/>
          <w:w w:val="105"/>
          <w:vertAlign w:val="baseline"/>
        </w:rPr>
        <w:t> </w:t>
      </w:r>
      <w:r>
        <w:rPr>
          <w:rFonts w:ascii="Cambria Math" w:hAnsi="Cambria Math" w:eastAsia="Cambria Math"/>
          <w:spacing w:val="-2"/>
          <w:w w:val="105"/>
          <w:vertAlign w:val="baseline"/>
        </w:rPr>
        <w:t>𝛼</w:t>
      </w:r>
      <w:r>
        <w:rPr>
          <w:rFonts w:ascii="Cambria Math" w:hAnsi="Cambria Math" w:eastAsia="Cambria Math"/>
          <w:spacing w:val="-2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-2"/>
          <w:w w:val="105"/>
          <w:vertAlign w:val="baseline"/>
        </w:rPr>
        <w:t>(𝑃</w:t>
      </w:r>
      <w:r>
        <w:rPr>
          <w:rFonts w:ascii="Cambria Math" w:hAnsi="Cambria Math" w:eastAsia="Cambria Math"/>
          <w:spacing w:val="-2"/>
          <w:w w:val="105"/>
          <w:vertAlign w:val="subscript"/>
        </w:rPr>
        <w:t>𝐷,𝑡</w:t>
      </w:r>
      <w:r>
        <w:rPr>
          <w:rFonts w:ascii="Cambria Math" w:hAnsi="Cambria Math" w:eastAsia="Cambria Math"/>
          <w:spacing w:val="-2"/>
          <w:w w:val="105"/>
          <w:vertAlign w:val="baseline"/>
        </w:rPr>
        <w:t>)</w:t>
      </w:r>
      <w:r>
        <w:rPr>
          <w:rFonts w:ascii="Cambria Math" w:hAnsi="Cambria Math" w:eastAsia="Cambria Math"/>
          <w:spacing w:val="-2"/>
          <w:w w:val="105"/>
          <w:vertAlign w:val="superscript"/>
        </w:rPr>
        <w:t>1−𝑦</w:t>
      </w:r>
      <w:r>
        <w:rPr>
          <w:rFonts w:ascii="Cambria Math" w:hAnsi="Cambria Math" w:eastAsia="Cambria Math"/>
          <w:spacing w:val="3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+</w:t>
      </w:r>
      <w:r>
        <w:rPr>
          <w:rFonts w:ascii="Cambria Math" w:hAnsi="Cambria Math" w:eastAsia="Cambria Math"/>
          <w:spacing w:val="-8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spacing w:val="-1"/>
          <w:w w:val="105"/>
          <w:vertAlign w:val="baseline"/>
        </w:rPr>
        <w:t>𝛼</w:t>
      </w:r>
      <w:r>
        <w:rPr>
          <w:rFonts w:ascii="Cambria Math" w:hAnsi="Cambria Math" w:eastAsia="Cambria Math"/>
          <w:spacing w:val="-1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-1"/>
          <w:w w:val="105"/>
          <w:vertAlign w:val="baseline"/>
        </w:rPr>
        <w:t>(𝑃</w:t>
      </w:r>
      <w:r>
        <w:rPr>
          <w:rFonts w:ascii="Cambria Math" w:hAnsi="Cambria Math" w:eastAsia="Cambria Math"/>
          <w:spacing w:val="-1"/>
          <w:w w:val="105"/>
          <w:vertAlign w:val="subscript"/>
        </w:rPr>
        <w:t>𝐹,𝑡</w:t>
      </w:r>
      <w:r>
        <w:rPr>
          <w:rFonts w:ascii="Cambria Math" w:hAnsi="Cambria Math" w:eastAsia="Cambria Math"/>
          <w:spacing w:val="-1"/>
          <w:w w:val="105"/>
          <w:vertAlign w:val="baseline"/>
        </w:rPr>
        <w:t>)</w:t>
      </w:r>
      <w:r>
        <w:rPr>
          <w:rFonts w:ascii="Cambria Math" w:hAnsi="Cambria Math" w:eastAsia="Cambria Math"/>
          <w:spacing w:val="-1"/>
          <w:w w:val="105"/>
          <w:vertAlign w:val="superscript"/>
        </w:rPr>
        <w:t>1−𝑦</w:t>
      </w:r>
      <w:r>
        <w:rPr>
          <w:rFonts w:ascii="Cambria Math" w:hAnsi="Cambria Math" w:eastAsia="Cambria Math"/>
          <w:spacing w:val="-1"/>
          <w:w w:val="105"/>
          <w:vertAlign w:val="baseline"/>
        </w:rPr>
        <w:t>]</w:t>
      </w:r>
      <w:r>
        <w:rPr>
          <w:rFonts w:ascii="Cambria Math" w:hAnsi="Cambria Math" w:eastAsia="Cambria Math"/>
          <w:spacing w:val="-1"/>
          <w:w w:val="105"/>
          <w:vertAlign w:val="superscript"/>
        </w:rPr>
        <w:t>1−𝑦</w:t>
      </w:r>
      <w:r>
        <w:rPr>
          <w:rFonts w:ascii="Cambria Math" w:hAnsi="Cambria Math" w:eastAsia="Cambria Math"/>
          <w:spacing w:val="-1"/>
          <w:w w:val="105"/>
          <w:vertAlign w:val="baseline"/>
        </w:rPr>
        <w:tab/>
      </w:r>
      <w:r>
        <w:rPr>
          <w:w w:val="105"/>
          <w:vertAlign w:val="baseline"/>
        </w:rPr>
        <w:t>(4.19)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62" w:lineRule="auto"/>
        <w:ind w:left="500" w:right="492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household</w:t>
      </w:r>
      <w:r>
        <w:rPr>
          <w:spacing w:val="-12"/>
        </w:rPr>
        <w:t> </w:t>
      </w:r>
      <w:r>
        <w:rPr/>
        <w:t>maximises</w:t>
      </w:r>
      <w:r>
        <w:rPr>
          <w:spacing w:val="-12"/>
        </w:rPr>
        <w:t> </w:t>
      </w:r>
      <w:r>
        <w:rPr/>
        <w:t>utility</w:t>
      </w:r>
      <w:r>
        <w:rPr>
          <w:spacing w:val="-19"/>
        </w:rPr>
        <w:t> </w:t>
      </w:r>
      <w:r>
        <w:rPr/>
        <w:t>function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equation</w:t>
      </w:r>
      <w:r>
        <w:rPr>
          <w:spacing w:val="-11"/>
        </w:rPr>
        <w:t> </w:t>
      </w:r>
      <w:r>
        <w:rPr/>
        <w:t>(4.10)</w:t>
      </w:r>
      <w:r>
        <w:rPr>
          <w:spacing w:val="-13"/>
        </w:rPr>
        <w:t> </w:t>
      </w:r>
      <w:r>
        <w:rPr/>
        <w:t>subject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standard</w:t>
      </w:r>
      <w:r>
        <w:rPr>
          <w:spacing w:val="-13"/>
        </w:rPr>
        <w:t> </w:t>
      </w:r>
      <w:r>
        <w:rPr/>
        <w:t>budget</w:t>
      </w:r>
      <w:r>
        <w:rPr>
          <w:spacing w:val="-12"/>
        </w:rPr>
        <w:t> </w:t>
      </w:r>
      <w:r>
        <w:rPr/>
        <w:t>constraint</w:t>
      </w:r>
      <w:r>
        <w:rPr>
          <w:spacing w:val="-57"/>
        </w:rPr>
        <w:t> </w:t>
      </w:r>
      <w:r>
        <w:rPr/>
        <w:t>in nominal terms. The budget constraint postulates that the household receive wages for their</w:t>
      </w:r>
      <w:r>
        <w:rPr>
          <w:spacing w:val="1"/>
        </w:rPr>
        <w:t> </w:t>
      </w:r>
      <w:r>
        <w:rPr>
          <w:spacing w:val="-1"/>
        </w:rPr>
        <w:t>labour</w:t>
      </w:r>
      <w:r>
        <w:rPr>
          <w:spacing w:val="-11"/>
        </w:rPr>
        <w:t> </w:t>
      </w:r>
      <w:r>
        <w:rPr>
          <w:spacing w:val="-1"/>
        </w:rPr>
        <w:t>supply</w:t>
      </w:r>
      <w:r>
        <w:rPr>
          <w:spacing w:val="-12"/>
        </w:rPr>
        <w:t> </w:t>
      </w:r>
      <w:r>
        <w:rPr>
          <w:rFonts w:ascii="Cambria Math" w:eastAsia="Cambria Math"/>
          <w:spacing w:val="-1"/>
        </w:rPr>
        <w:t>𝑊</w:t>
      </w:r>
      <w:r>
        <w:rPr>
          <w:rFonts w:ascii="Cambria Math" w:eastAsia="Cambria Math"/>
          <w:spacing w:val="-1"/>
          <w:vertAlign w:val="subscript"/>
        </w:rPr>
        <w:t>𝑡</w:t>
      </w:r>
      <w:r>
        <w:rPr>
          <w:rFonts w:ascii="Cambria Math" w:eastAsia="Cambria Math"/>
          <w:spacing w:val="-1"/>
          <w:vertAlign w:val="baseline"/>
        </w:rPr>
        <w:t>𝑁</w:t>
      </w:r>
      <w:r>
        <w:rPr>
          <w:rFonts w:ascii="Cambria Math" w:eastAsia="Cambria Math"/>
          <w:spacing w:val="-1"/>
          <w:vertAlign w:val="subscript"/>
        </w:rPr>
        <w:t>𝑡</w:t>
      </w:r>
      <w:r>
        <w:rPr>
          <w:rFonts w:ascii="Cambria Math" w:eastAsia="Cambria Math"/>
          <w:spacing w:val="13"/>
          <w:vertAlign w:val="baseline"/>
        </w:rPr>
        <w:t> </w:t>
      </w:r>
      <w:r>
        <w:rPr>
          <w:rFonts w:ascii="Cambria Math" w:eastAsia="Cambria Math"/>
          <w:spacing w:val="-1"/>
          <w:vertAlign w:val="baseline"/>
        </w:rPr>
        <w:t>,</w:t>
      </w:r>
      <w:r>
        <w:rPr>
          <w:rFonts w:ascii="Cambria Math" w:eastAsia="Cambria Math"/>
          <w:spacing w:val="3"/>
          <w:vertAlign w:val="baseline"/>
        </w:rPr>
        <w:t> </w:t>
      </w:r>
      <w:r>
        <w:rPr>
          <w:spacing w:val="-1"/>
          <w:vertAlign w:val="baseline"/>
        </w:rPr>
        <w:t>they</w:t>
      </w:r>
      <w:r>
        <w:rPr>
          <w:spacing w:val="-15"/>
          <w:vertAlign w:val="baseline"/>
        </w:rPr>
        <w:t> </w:t>
      </w:r>
      <w:r>
        <w:rPr>
          <w:vertAlign w:val="baseline"/>
        </w:rPr>
        <w:t>own</w:t>
      </w:r>
      <w:r>
        <w:rPr>
          <w:spacing w:val="-11"/>
          <w:vertAlign w:val="baseline"/>
        </w:rPr>
        <w:t> </w:t>
      </w:r>
      <w:r>
        <w:rPr>
          <w:vertAlign w:val="baseline"/>
        </w:rPr>
        <w:t>the</w:t>
      </w:r>
      <w:r>
        <w:rPr>
          <w:spacing w:val="-11"/>
          <w:vertAlign w:val="baseline"/>
        </w:rPr>
        <w:t> </w:t>
      </w:r>
      <w:r>
        <w:rPr>
          <w:vertAlign w:val="baseline"/>
        </w:rPr>
        <w:t>firm</w:t>
      </w:r>
      <w:r>
        <w:rPr>
          <w:spacing w:val="-10"/>
          <w:vertAlign w:val="baseline"/>
        </w:rPr>
        <w:t> </w:t>
      </w:r>
      <w:r>
        <w:rPr>
          <w:vertAlign w:val="baseline"/>
        </w:rPr>
        <w:t>and</w:t>
      </w:r>
      <w:r>
        <w:rPr>
          <w:spacing w:val="-10"/>
          <w:vertAlign w:val="baseline"/>
        </w:rPr>
        <w:t> </w:t>
      </w:r>
      <w:r>
        <w:rPr>
          <w:vertAlign w:val="baseline"/>
        </w:rPr>
        <w:t>receive</w:t>
      </w:r>
      <w:r>
        <w:rPr>
          <w:spacing w:val="-11"/>
          <w:vertAlign w:val="baseline"/>
        </w:rPr>
        <w:t> </w:t>
      </w:r>
      <w:r>
        <w:rPr>
          <w:vertAlign w:val="baseline"/>
        </w:rPr>
        <w:t>profit</w:t>
      </w:r>
      <w:r>
        <w:rPr>
          <w:spacing w:val="-10"/>
          <w:vertAlign w:val="baseline"/>
        </w:rPr>
        <w:t> </w:t>
      </w:r>
      <w:r>
        <w:rPr>
          <w:vertAlign w:val="baseline"/>
        </w:rPr>
        <w:t>in</w:t>
      </w:r>
      <w:r>
        <w:rPr>
          <w:spacing w:val="-10"/>
          <w:vertAlign w:val="baseline"/>
        </w:rPr>
        <w:t> </w:t>
      </w:r>
      <w:r>
        <w:rPr>
          <w:vertAlign w:val="baseline"/>
        </w:rPr>
        <w:t>form</w:t>
      </w:r>
      <w:r>
        <w:rPr>
          <w:spacing w:val="-10"/>
          <w:vertAlign w:val="baseline"/>
        </w:rPr>
        <w:t> </w:t>
      </w:r>
      <w:r>
        <w:rPr>
          <w:vertAlign w:val="baseline"/>
        </w:rPr>
        <w:t>of</w:t>
      </w:r>
      <w:r>
        <w:rPr>
          <w:spacing w:val="-11"/>
          <w:vertAlign w:val="baseline"/>
        </w:rPr>
        <w:t> </w:t>
      </w:r>
      <w:r>
        <w:rPr>
          <w:vertAlign w:val="baseline"/>
        </w:rPr>
        <w:t>dividend</w:t>
      </w:r>
      <w:r>
        <w:rPr>
          <w:spacing w:val="-5"/>
          <w:vertAlign w:val="baseline"/>
        </w:rPr>
        <w:t> </w:t>
      </w:r>
      <w:r>
        <w:rPr>
          <w:rFonts w:ascii="Cambria Math" w:eastAsia="Cambria Math"/>
          <w:vertAlign w:val="baseline"/>
        </w:rPr>
        <w:t>𝐷𝑉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,</w:t>
      </w:r>
      <w:r>
        <w:rPr>
          <w:spacing w:val="-10"/>
          <w:vertAlign w:val="baseline"/>
        </w:rPr>
        <w:t> </w:t>
      </w:r>
      <w:r>
        <w:rPr>
          <w:vertAlign w:val="baseline"/>
        </w:rPr>
        <w:t>they</w:t>
      </w:r>
      <w:r>
        <w:rPr>
          <w:spacing w:val="-12"/>
          <w:vertAlign w:val="baseline"/>
        </w:rPr>
        <w:t> </w:t>
      </w:r>
      <w:r>
        <w:rPr>
          <w:vertAlign w:val="baseline"/>
        </w:rPr>
        <w:t>own</w:t>
      </w:r>
      <w:r>
        <w:rPr>
          <w:spacing w:val="-11"/>
          <w:vertAlign w:val="baseline"/>
        </w:rPr>
        <w:t> </w:t>
      </w:r>
      <w:r>
        <w:rPr>
          <w:vertAlign w:val="baseline"/>
        </w:rPr>
        <w:t>stock</w:t>
      </w:r>
      <w:r>
        <w:rPr>
          <w:spacing w:val="-58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risk-free</w:t>
      </w:r>
      <w:r>
        <w:rPr>
          <w:spacing w:val="1"/>
          <w:vertAlign w:val="baseline"/>
        </w:rPr>
        <w:t> </w:t>
      </w:r>
      <w:r>
        <w:rPr>
          <w:vertAlign w:val="baseline"/>
        </w:rPr>
        <w:t>financial</w:t>
      </w:r>
      <w:r>
        <w:rPr>
          <w:spacing w:val="1"/>
          <w:vertAlign w:val="baseline"/>
        </w:rPr>
        <w:t> </w:t>
      </w:r>
      <w:r>
        <w:rPr>
          <w:vertAlign w:val="baseline"/>
        </w:rPr>
        <w:t>assets,</w:t>
      </w:r>
      <w:r>
        <w:rPr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𝐷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receive</w:t>
      </w:r>
      <w:r>
        <w:rPr>
          <w:spacing w:val="1"/>
          <w:vertAlign w:val="baseline"/>
        </w:rPr>
        <w:t> </w:t>
      </w:r>
      <w:r>
        <w:rPr>
          <w:vertAlign w:val="baseline"/>
        </w:rPr>
        <w:t>lump</w:t>
      </w:r>
      <w:r>
        <w:rPr>
          <w:spacing w:val="1"/>
          <w:vertAlign w:val="baseline"/>
        </w:rPr>
        <w:t> </w:t>
      </w:r>
      <w:r>
        <w:rPr>
          <w:vertAlign w:val="baseline"/>
        </w:rPr>
        <w:t>sum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transfer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 </w:t>
      </w:r>
      <w:r>
        <w:rPr>
          <w:rFonts w:ascii="Cambria Math" w:eastAsia="Cambria Math"/>
          <w:vertAlign w:val="baseline"/>
        </w:rPr>
        <w:t>𝑇𝑃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household use their resources to pay consumption goods </w:t>
      </w:r>
      <w:r>
        <w:rPr>
          <w:rFonts w:ascii="Cambria Math" w:eastAsia="Cambria Math"/>
          <w:vertAlign w:val="baseline"/>
        </w:rPr>
        <w:t>𝑃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vertAlign w:val="baseline"/>
        </w:rPr>
        <w:t>𝐶</w:t>
      </w:r>
      <w:r>
        <w:rPr>
          <w:rFonts w:ascii="Cambria Math" w:eastAsia="Cambria Math"/>
          <w:vertAlign w:val="subscript"/>
        </w:rPr>
        <w:t>𝑅,𝑡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vertAlign w:val="baseline"/>
        </w:rPr>
        <w:t>and to purchase portfolio of</w:t>
      </w:r>
      <w:r>
        <w:rPr>
          <w:spacing w:val="1"/>
          <w:vertAlign w:val="baseline"/>
        </w:rPr>
        <w:t> </w:t>
      </w:r>
      <w:r>
        <w:rPr>
          <w:vertAlign w:val="baseline"/>
        </w:rPr>
        <w:t>financial assets,</w:t>
      </w:r>
      <w:r>
        <w:rPr>
          <w:spacing w:val="-5"/>
          <w:vertAlign w:val="baseline"/>
        </w:rPr>
        <w:t> </w:t>
      </w:r>
      <w:r>
        <w:rPr>
          <w:rFonts w:ascii="Cambria Math" w:eastAsia="Cambria Math"/>
          <w:vertAlign w:val="baseline"/>
        </w:rPr>
        <w:t>𝐷</w:t>
      </w:r>
      <w:r>
        <w:rPr>
          <w:rFonts w:ascii="Cambria Math" w:eastAsia="Cambria Math"/>
          <w:vertAlign w:val="subscript"/>
        </w:rPr>
        <w:t>𝑡+1</w:t>
      </w:r>
      <w:r>
        <w:rPr>
          <w:vertAlign w:val="baseline"/>
        </w:rPr>
        <w:t>. This relation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can be</w:t>
      </w:r>
      <w:r>
        <w:rPr>
          <w:spacing w:val="-1"/>
          <w:vertAlign w:val="baseline"/>
        </w:rPr>
        <w:t> </w:t>
      </w:r>
      <w:r>
        <w:rPr>
          <w:vertAlign w:val="baseline"/>
        </w:rPr>
        <w:t>written as:</w:t>
      </w:r>
    </w:p>
    <w:p>
      <w:pPr>
        <w:pStyle w:val="BodyText"/>
        <w:tabs>
          <w:tab w:pos="9261" w:val="left" w:leader="none"/>
        </w:tabs>
        <w:spacing w:before="205"/>
        <w:ind w:left="500"/>
        <w:jc w:val="both"/>
      </w:pPr>
      <w:r>
        <w:rPr>
          <w:rFonts w:ascii="Cambria Math" w:hAnsi="Cambria Math" w:eastAsia="Cambria Math"/>
        </w:rPr>
        <w:t>𝑃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𝐶</w:t>
      </w:r>
      <w:r>
        <w:rPr>
          <w:rFonts w:ascii="Cambria Math" w:hAnsi="Cambria Math" w:eastAsia="Cambria Math"/>
          <w:vertAlign w:val="subscript"/>
        </w:rPr>
        <w:t>𝑅,𝑡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𝐸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(𝑄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-11"/>
          <w:vertAlign w:val="baseline"/>
        </w:rPr>
        <w:t> </w:t>
      </w:r>
      <w:r>
        <w:rPr>
          <w:rFonts w:ascii="Cambria Math" w:hAnsi="Cambria Math" w:eastAsia="Cambria Math"/>
          <w:vertAlign w:val="subscript"/>
        </w:rPr>
        <w:t>,𝑡+1</w:t>
      </w:r>
      <w:r>
        <w:rPr>
          <w:rFonts w:ascii="Cambria Math" w:hAnsi="Cambria Math" w:eastAsia="Cambria Math"/>
          <w:vertAlign w:val="baseline"/>
        </w:rPr>
        <w:t>𝐷</w:t>
      </w:r>
      <w:r>
        <w:rPr>
          <w:rFonts w:ascii="Cambria Math" w:hAnsi="Cambria Math" w:eastAsia="Cambria Math"/>
          <w:vertAlign w:val="subscript"/>
        </w:rPr>
        <w:t>𝑡+1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≤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𝑊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𝑁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𝐷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𝑇𝑃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𝐷𝑉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ab/>
      </w:r>
      <w:r>
        <w:rPr>
          <w:w w:val="105"/>
          <w:vertAlign w:val="baseline"/>
        </w:rPr>
        <w:t>(4.20)</w:t>
      </w:r>
    </w:p>
    <w:p>
      <w:pPr>
        <w:spacing w:after="0"/>
        <w:jc w:val="both"/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74"/>
        <w:ind w:left="500"/>
      </w:pPr>
      <w:r>
        <w:rPr/>
        <w:t>Where</w:t>
      </w:r>
    </w:p>
    <w:p>
      <w:pPr>
        <w:pStyle w:val="BodyText"/>
        <w:spacing w:before="6"/>
        <w:rPr>
          <w:sz w:val="28"/>
        </w:rPr>
      </w:pPr>
    </w:p>
    <w:p>
      <w:pPr>
        <w:spacing w:after="0"/>
        <w:rPr>
          <w:sz w:val="28"/>
        </w:rPr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line="143" w:lineRule="exact" w:before="86"/>
        <w:ind w:left="500"/>
        <w:rPr>
          <w:rFonts w:ascii="Cambria Math" w:eastAsia="Cambria Math"/>
        </w:rPr>
      </w:pPr>
      <w:r>
        <w:rPr>
          <w:rFonts w:ascii="Cambria Math" w:eastAsia="Cambria Math"/>
        </w:rPr>
        <w:t>𝐸</w:t>
      </w:r>
      <w:r>
        <w:rPr>
          <w:rFonts w:ascii="Cambria Math" w:eastAsia="Cambria Math"/>
          <w:spacing w:val="17"/>
        </w:rPr>
        <w:t> </w:t>
      </w:r>
      <w:r>
        <w:rPr>
          <w:rFonts w:ascii="Cambria Math" w:eastAsia="Cambria Math"/>
          <w:spacing w:val="-103"/>
        </w:rPr>
        <w:t>(𝑄</w:t>
      </w:r>
    </w:p>
    <w:p>
      <w:pPr>
        <w:pStyle w:val="BodyText"/>
        <w:tabs>
          <w:tab w:pos="1856" w:val="left" w:leader="none"/>
        </w:tabs>
        <w:spacing w:line="143" w:lineRule="exact" w:before="86"/>
        <w:ind w:left="416"/>
      </w:pPr>
      <w:r>
        <w:rPr/>
        <w:br w:type="column"/>
      </w:r>
      <w:r>
        <w:rPr>
          <w:rFonts w:ascii="Cambria Math" w:hAnsi="Cambria Math" w:eastAsia="Cambria Math"/>
        </w:rPr>
        <w:t>)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</w:rPr>
        <w:t>≡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𝑄</w:t>
      </w:r>
      <w:r>
        <w:rPr>
          <w:rFonts w:ascii="Cambria Math" w:hAnsi="Cambria Math" w:eastAsia="Cambria Math"/>
          <w:spacing w:val="102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(</w:t>
        <w:tab/>
        <w:t>)</w:t>
      </w:r>
      <w:r>
        <w:rPr/>
        <w:t>:</w:t>
      </w:r>
      <w:r>
        <w:rPr>
          <w:spacing w:val="2"/>
        </w:rPr>
        <w:t> </w:t>
      </w:r>
      <w:r>
        <w:rPr/>
        <w:t>One</w:t>
      </w:r>
      <w:r>
        <w:rPr>
          <w:spacing w:val="1"/>
        </w:rPr>
        <w:t> </w:t>
      </w:r>
      <w:r>
        <w:rPr/>
        <w:t>period</w:t>
      </w:r>
      <w:r>
        <w:rPr>
          <w:spacing w:val="2"/>
        </w:rPr>
        <w:t> </w:t>
      </w:r>
      <w:r>
        <w:rPr/>
        <w:t>ahead</w:t>
      </w:r>
      <w:r>
        <w:rPr>
          <w:spacing w:val="2"/>
        </w:rPr>
        <w:t> </w:t>
      </w:r>
      <w:r>
        <w:rPr/>
        <w:t>stochastic</w:t>
      </w:r>
      <w:r>
        <w:rPr>
          <w:spacing w:val="1"/>
        </w:rPr>
        <w:t> </w:t>
      </w:r>
      <w:r>
        <w:rPr/>
        <w:t>discount</w:t>
      </w:r>
      <w:r>
        <w:rPr>
          <w:spacing w:val="2"/>
        </w:rPr>
        <w:t> </w:t>
      </w:r>
      <w:r>
        <w:rPr/>
        <w:t>factor</w:t>
      </w:r>
    </w:p>
    <w:p>
      <w:pPr>
        <w:spacing w:after="0" w:line="143" w:lineRule="exact"/>
        <w:sectPr>
          <w:type w:val="continuous"/>
          <w:pgSz w:w="12240" w:h="15840"/>
          <w:pgMar w:top="1500" w:bottom="1120" w:left="940" w:right="940"/>
          <w:cols w:num="2" w:equalWidth="0">
            <w:col w:w="990" w:space="40"/>
            <w:col w:w="9330"/>
          </w:cols>
        </w:sectPr>
      </w:pPr>
    </w:p>
    <w:p>
      <w:pPr>
        <w:tabs>
          <w:tab w:pos="982" w:val="left" w:leader="none"/>
        </w:tabs>
        <w:spacing w:line="171" w:lineRule="exact" w:before="0"/>
        <w:ind w:left="637" w:right="0" w:firstLine="0"/>
        <w:jc w:val="left"/>
        <w:rPr>
          <w:rFonts w:ascii="Cambria Math" w:eastAsia="Cambria Math"/>
          <w:sz w:val="17"/>
        </w:rPr>
      </w:pPr>
      <w:r>
        <w:rPr/>
        <w:pict>
          <v:shape style="position:absolute;margin-left:173.539993pt;margin-top:-10.416645pt;width:17.8pt;height:9.5pt;mso-position-horizontal-relative:page;mso-position-vertical-relative:paragraph;z-index:-21445632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rFonts w:ascii="Cambria Math"/>
                      <w:sz w:val="17"/>
                    </w:rPr>
                  </w:pPr>
                  <w:r>
                    <w:rPr>
                      <w:w w:val="100"/>
                      <w:sz w:val="17"/>
                      <w:u w:val="single"/>
                    </w:rPr>
                    <w:t> </w:t>
                  </w:r>
                  <w:r>
                    <w:rPr>
                      <w:sz w:val="17"/>
                      <w:u w:val="single"/>
                    </w:rPr>
                    <w:t> </w:t>
                  </w:r>
                  <w:r>
                    <w:rPr>
                      <w:spacing w:val="-1"/>
                      <w:sz w:val="17"/>
                      <w:u w:val="single"/>
                    </w:rPr>
                    <w:t> </w:t>
                  </w:r>
                  <w:r>
                    <w:rPr>
                      <w:rFonts w:ascii="Cambria Math"/>
                      <w:w w:val="105"/>
                      <w:sz w:val="17"/>
                      <w:u w:val="single"/>
                    </w:rPr>
                    <w:t>1</w:t>
                  </w:r>
                  <w:r>
                    <w:rPr>
                      <w:rFonts w:ascii="Cambria Math"/>
                      <w:spacing w:val="17"/>
                      <w:sz w:val="17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05"/>
          <w:sz w:val="17"/>
        </w:rPr>
        <w:t>𝑡</w:t>
        <w:tab/>
        <w:t>𝑡</w:t>
      </w:r>
      <w:r>
        <w:rPr>
          <w:rFonts w:ascii="Cambria Math" w:eastAsia="Cambria Math"/>
          <w:spacing w:val="-8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,𝑡+1</w:t>
      </w:r>
    </w:p>
    <w:p>
      <w:pPr>
        <w:tabs>
          <w:tab w:pos="1054" w:val="left" w:leader="none"/>
        </w:tabs>
        <w:spacing w:line="266" w:lineRule="exact" w:before="0"/>
        <w:ind w:left="535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w w:val="110"/>
          <w:position w:val="7"/>
          <w:sz w:val="17"/>
        </w:rPr>
        <w:t>𝑡</w:t>
        <w:tab/>
      </w:r>
      <w:r>
        <w:rPr>
          <w:rFonts w:ascii="Cambria Math" w:eastAsia="Cambria Math"/>
          <w:w w:val="110"/>
          <w:sz w:val="17"/>
        </w:rPr>
        <w:t>1+𝑖</w:t>
      </w:r>
      <w:r>
        <w:rPr>
          <w:rFonts w:ascii="Cambria Math" w:eastAsia="Cambria Math"/>
          <w:w w:val="110"/>
          <w:position w:val="-2"/>
          <w:sz w:val="14"/>
        </w:rPr>
        <w:t>𝑡</w:t>
      </w:r>
    </w:p>
    <w:p>
      <w:pPr>
        <w:spacing w:after="0" w:line="266" w:lineRule="exact"/>
        <w:jc w:val="left"/>
        <w:rPr>
          <w:rFonts w:ascii="Cambria Math" w:eastAsia="Cambria Math"/>
          <w:sz w:val="14"/>
        </w:rPr>
        <w:sectPr>
          <w:type w:val="continuous"/>
          <w:pgSz w:w="12240" w:h="15840"/>
          <w:pgMar w:top="1500" w:bottom="1120" w:left="940" w:right="940"/>
          <w:cols w:num="2" w:equalWidth="0">
            <w:col w:w="1437" w:space="40"/>
            <w:col w:w="8883"/>
          </w:cols>
        </w:sectPr>
      </w:pPr>
    </w:p>
    <w:p>
      <w:pPr>
        <w:pStyle w:val="BodyText"/>
        <w:spacing w:before="7"/>
        <w:rPr>
          <w:rFonts w:ascii="Cambria Math"/>
          <w:sz w:val="19"/>
        </w:rPr>
      </w:pPr>
    </w:p>
    <w:p>
      <w:pPr>
        <w:pStyle w:val="BodyText"/>
        <w:spacing w:before="86"/>
        <w:ind w:left="500"/>
      </w:pPr>
      <w:r>
        <w:rPr>
          <w:rFonts w:ascii="Cambria Math" w:eastAsia="Cambria Math"/>
        </w:rPr>
        <w:t>𝑖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:</w:t>
      </w:r>
      <w:r>
        <w:rPr>
          <w:spacing w:val="4"/>
          <w:vertAlign w:val="baseline"/>
        </w:rPr>
        <w:t> </w:t>
      </w:r>
      <w:r>
        <w:rPr>
          <w:vertAlign w:val="baseline"/>
        </w:rPr>
        <w:t>Nominal</w:t>
      </w:r>
      <w:r>
        <w:rPr>
          <w:spacing w:val="5"/>
          <w:vertAlign w:val="baseline"/>
        </w:rPr>
        <w:t> </w:t>
      </w:r>
      <w:r>
        <w:rPr>
          <w:vertAlign w:val="baseline"/>
        </w:rPr>
        <w:t>interest</w:t>
      </w:r>
      <w:r>
        <w:rPr>
          <w:spacing w:val="4"/>
          <w:vertAlign w:val="baseline"/>
        </w:rPr>
        <w:t> </w:t>
      </w:r>
      <w:r>
        <w:rPr>
          <w:vertAlign w:val="baseline"/>
        </w:rPr>
        <w:t>rate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500"/>
      </w:pPr>
      <w:r>
        <w:rPr>
          <w:rFonts w:ascii="Cambria Math" w:eastAsia="Cambria Math"/>
        </w:rPr>
        <w:t>𝐷</w:t>
      </w:r>
      <w:r>
        <w:rPr>
          <w:rFonts w:ascii="Cambria Math" w:eastAsia="Cambria Math"/>
          <w:vertAlign w:val="subscript"/>
        </w:rPr>
        <w:t>𝑡+1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Payment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period</w:t>
      </w:r>
      <w:r>
        <w:rPr>
          <w:spacing w:val="2"/>
          <w:vertAlign w:val="baseline"/>
        </w:rPr>
        <w:t> </w:t>
      </w:r>
      <w:r>
        <w:rPr>
          <w:rFonts w:ascii="Cambria Math" w:eastAsia="Cambria Math"/>
          <w:vertAlign w:val="baseline"/>
        </w:rPr>
        <w:t>𝑡</w:t>
      </w:r>
      <w:r>
        <w:rPr>
          <w:rFonts w:ascii="Cambria Math" w:eastAsia="Cambria Math"/>
          <w:spacing w:val="7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1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portfolio</w:t>
      </w:r>
      <w:r>
        <w:rPr>
          <w:spacing w:val="1"/>
          <w:vertAlign w:val="baseline"/>
        </w:rPr>
        <w:t> </w:t>
      </w:r>
      <w:r>
        <w:rPr>
          <w:vertAlign w:val="baseline"/>
        </w:rPr>
        <w:t>held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end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period</w:t>
      </w:r>
      <w:r>
        <w:rPr>
          <w:spacing w:val="1"/>
          <w:vertAlign w:val="baseline"/>
        </w:rPr>
        <w:t> </w:t>
      </w:r>
      <w:r>
        <w:rPr>
          <w:vertAlign w:val="baseline"/>
        </w:rPr>
        <w:t>t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360" w:lineRule="auto"/>
        <w:ind w:left="500" w:right="499"/>
      </w:pP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Langragian</w:t>
      </w:r>
      <w:r>
        <w:rPr>
          <w:spacing w:val="-13"/>
        </w:rPr>
        <w:t> </w:t>
      </w:r>
      <w:r>
        <w:rPr/>
        <w:t>function</w:t>
      </w:r>
      <w:r>
        <w:rPr>
          <w:spacing w:val="-10"/>
        </w:rPr>
        <w:t> </w:t>
      </w:r>
      <w:r>
        <w:rPr/>
        <w:t>derived</w:t>
      </w:r>
      <w:r>
        <w:rPr>
          <w:spacing w:val="-12"/>
        </w:rPr>
        <w:t> </w:t>
      </w:r>
      <w:r>
        <w:rPr/>
        <w:t>by</w:t>
      </w:r>
      <w:r>
        <w:rPr>
          <w:spacing w:val="-16"/>
        </w:rPr>
        <w:t> </w:t>
      </w:r>
      <w:r>
        <w:rPr/>
        <w:t>maximising</w:t>
      </w:r>
      <w:r>
        <w:rPr>
          <w:spacing w:val="-15"/>
        </w:rPr>
        <w:t> </w:t>
      </w:r>
      <w:r>
        <w:rPr/>
        <w:t>equation</w:t>
      </w:r>
      <w:r>
        <w:rPr>
          <w:spacing w:val="-12"/>
        </w:rPr>
        <w:t> </w:t>
      </w:r>
      <w:r>
        <w:rPr/>
        <w:t>(4.10)</w:t>
      </w:r>
      <w:r>
        <w:rPr>
          <w:spacing w:val="-13"/>
        </w:rPr>
        <w:t> </w:t>
      </w:r>
      <w:r>
        <w:rPr/>
        <w:t>subject</w:t>
      </w:r>
      <w:r>
        <w:rPr>
          <w:spacing w:val="-12"/>
        </w:rPr>
        <w:t> </w:t>
      </w:r>
      <w:r>
        <w:rPr/>
        <w:t>to</w:t>
      </w:r>
      <w:r>
        <w:rPr>
          <w:spacing w:val="-9"/>
        </w:rPr>
        <w:t> </w:t>
      </w:r>
      <w:r>
        <w:rPr/>
        <w:t>equation</w:t>
      </w:r>
      <w:r>
        <w:rPr>
          <w:spacing w:val="-12"/>
        </w:rPr>
        <w:t> </w:t>
      </w:r>
      <w:r>
        <w:rPr/>
        <w:t>(4.20)</w:t>
      </w:r>
      <w:r>
        <w:rPr>
          <w:spacing w:val="-13"/>
        </w:rPr>
        <w:t> </w:t>
      </w:r>
      <w:r>
        <w:rPr/>
        <w:t>is</w:t>
      </w:r>
      <w:r>
        <w:rPr>
          <w:spacing w:val="-9"/>
        </w:rPr>
        <w:t> </w:t>
      </w:r>
      <w:r>
        <w:rPr/>
        <w:t>given</w:t>
      </w:r>
      <w:r>
        <w:rPr>
          <w:spacing w:val="-57"/>
        </w:rPr>
        <w:t> </w:t>
      </w:r>
      <w:r>
        <w:rPr/>
        <w:t>by:</w:t>
      </w:r>
    </w:p>
    <w:p>
      <w:pPr>
        <w:pStyle w:val="BodyText"/>
        <w:spacing w:before="9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tabs>
          <w:tab w:pos="3203" w:val="left" w:leader="none"/>
        </w:tabs>
        <w:spacing w:line="108" w:lineRule="exact" w:before="71"/>
        <w:ind w:left="2017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position w:val="-9"/>
          <w:sz w:val="17"/>
        </w:rPr>
        <w:t>(</w:t>
        <w:tab/>
      </w:r>
      <w:r>
        <w:rPr>
          <w:rFonts w:ascii="Cambria Math" w:hAnsi="Cambria Math" w:eastAsia="Cambria Math"/>
          <w:spacing w:val="-68"/>
          <w:w w:val="105"/>
          <w:sz w:val="17"/>
        </w:rPr>
        <w:t>1−𝜎</w:t>
      </w:r>
    </w:p>
    <w:p>
      <w:pPr>
        <w:pStyle w:val="BodyText"/>
        <w:spacing w:before="2"/>
        <w:rPr>
          <w:rFonts w:ascii="Cambria Math"/>
          <w:sz w:val="11"/>
        </w:rPr>
      </w:pPr>
      <w:r>
        <w:rPr/>
        <w:br w:type="column"/>
      </w:r>
      <w:r>
        <w:rPr>
          <w:rFonts w:ascii="Cambria Math"/>
          <w:sz w:val="11"/>
        </w:rPr>
      </w:r>
    </w:p>
    <w:p>
      <w:pPr>
        <w:spacing w:line="48" w:lineRule="exact" w:before="0"/>
        <w:ind w:left="0" w:right="0" w:firstLine="0"/>
        <w:jc w:val="righ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0"/>
          <w:sz w:val="14"/>
        </w:rPr>
        <w:t>1−𝜌</w:t>
      </w:r>
    </w:p>
    <w:p>
      <w:pPr>
        <w:pStyle w:val="BodyText"/>
        <w:spacing w:before="4"/>
        <w:rPr>
          <w:rFonts w:ascii="Cambria Math"/>
          <w:sz w:val="11"/>
        </w:rPr>
      </w:pPr>
      <w:r>
        <w:rPr/>
        <w:br w:type="column"/>
      </w:r>
      <w:r>
        <w:rPr>
          <w:rFonts w:ascii="Cambria Math"/>
          <w:sz w:val="11"/>
        </w:rPr>
      </w:r>
    </w:p>
    <w:p>
      <w:pPr>
        <w:spacing w:line="46" w:lineRule="exact" w:before="0"/>
        <w:ind w:left="449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4"/>
        </w:rPr>
        <w:t>1+𝜑</w:t>
      </w:r>
    </w:p>
    <w:p>
      <w:pPr>
        <w:spacing w:after="0" w:line="46" w:lineRule="exact"/>
        <w:jc w:val="left"/>
        <w:rPr>
          <w:rFonts w:ascii="Cambria Math" w:eastAsia="Cambria Math"/>
          <w:sz w:val="14"/>
        </w:rPr>
        <w:sectPr>
          <w:type w:val="continuous"/>
          <w:pgSz w:w="12240" w:h="15840"/>
          <w:pgMar w:top="1500" w:bottom="1120" w:left="940" w:right="940"/>
          <w:cols w:num="3" w:equalWidth="0">
            <w:col w:w="3538" w:space="40"/>
            <w:col w:w="903" w:space="39"/>
            <w:col w:w="5840"/>
          </w:cols>
        </w:sectPr>
      </w:pPr>
    </w:p>
    <w:p>
      <w:pPr>
        <w:pStyle w:val="BodyText"/>
        <w:spacing w:line="153" w:lineRule="exact" w:before="60"/>
        <w:ind w:left="500"/>
        <w:rPr>
          <w:rFonts w:ascii="Cambria Math" w:hAnsi="Cambria Math" w:eastAsia="Cambria Math"/>
        </w:rPr>
      </w:pPr>
      <w:r>
        <w:rPr/>
        <w:pict>
          <v:shape style="position:absolute;margin-left:123.379997pt;margin-top:5.556628pt;width:24.55pt;height:12.05pt;mso-position-horizontal-relative:page;mso-position-vertical-relative:paragraph;z-index:-21445120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  <w:w w:val="110"/>
                    </w:rPr>
                    <w:t>𝛽</w:t>
                  </w:r>
                  <w:r>
                    <w:rPr>
                      <w:rFonts w:ascii="Cambria Math" w:eastAsia="Cambria Math"/>
                      <w:spacing w:val="53"/>
                      <w:w w:val="110"/>
                    </w:rPr>
                    <w:t> </w:t>
                  </w:r>
                  <w:r>
                    <w:rPr>
                      <w:rFonts w:ascii="Cambria Math" w:eastAsia="Cambria Math"/>
                      <w:w w:val="110"/>
                    </w:rPr>
                    <w:t>[(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w w:val="105"/>
        </w:rPr>
        <w:t>𝑓</w:t>
      </w:r>
      <w:r>
        <w:rPr>
          <w:rFonts w:ascii="Cambria Math" w:hAnsi="Cambria Math" w:eastAsia="Cambria Math"/>
          <w:spacing w:val="12"/>
          <w:w w:val="105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52"/>
          <w:w w:val="105"/>
        </w:rPr>
        <w:t> </w:t>
      </w:r>
      <w:r>
        <w:rPr>
          <w:rFonts w:ascii="Cambria Math" w:hAnsi="Cambria Math" w:eastAsia="Cambria Math"/>
          <w:w w:val="105"/>
          <w:position w:val="1"/>
        </w:rPr>
        <w:t>∑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∞</w:t>
      </w:r>
    </w:p>
    <w:p>
      <w:pPr>
        <w:tabs>
          <w:tab w:pos="635" w:val="left" w:leader="none"/>
        </w:tabs>
        <w:spacing w:line="214" w:lineRule="exact" w:before="0"/>
        <w:ind w:left="299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10"/>
          <w:position w:val="-1"/>
          <w:sz w:val="17"/>
        </w:rPr>
        <w:t>𝑡</w:t>
        <w:tab/>
      </w:r>
      <w:r>
        <w:rPr>
          <w:rFonts w:ascii="Cambria Math" w:hAnsi="Cambria Math" w:eastAsia="Cambria Math"/>
          <w:w w:val="105"/>
          <w:position w:val="3"/>
          <w:sz w:val="17"/>
          <w:u w:val="single"/>
        </w:rPr>
        <w:t>𝐶</w:t>
      </w:r>
      <w:r>
        <w:rPr>
          <w:rFonts w:ascii="Cambria Math" w:hAnsi="Cambria Math" w:eastAsia="Cambria Math"/>
          <w:w w:val="105"/>
          <w:sz w:val="14"/>
          <w:u w:val="single"/>
        </w:rPr>
        <w:t>𝑅,𝑡</w:t>
      </w:r>
      <w:r>
        <w:rPr>
          <w:rFonts w:ascii="Cambria Math" w:hAnsi="Cambria Math" w:eastAsia="Cambria Math"/>
          <w:w w:val="105"/>
          <w:position w:val="3"/>
          <w:sz w:val="17"/>
          <w:u w:val="single"/>
        </w:rPr>
        <w:t>−ℎ𝐶</w:t>
      </w:r>
      <w:r>
        <w:rPr>
          <w:rFonts w:ascii="Cambria Math" w:hAnsi="Cambria Math" w:eastAsia="Cambria Math"/>
          <w:w w:val="105"/>
          <w:sz w:val="14"/>
          <w:u w:val="single"/>
        </w:rPr>
        <w:t>𝑅,𝑡−1</w:t>
      </w:r>
      <w:r>
        <w:rPr>
          <w:rFonts w:ascii="Cambria Math" w:hAnsi="Cambria Math" w:eastAsia="Cambria Math"/>
          <w:w w:val="105"/>
          <w:position w:val="4"/>
          <w:sz w:val="17"/>
          <w:u w:val="single"/>
        </w:rPr>
        <w:t>)</w:t>
      </w:r>
    </w:p>
    <w:p>
      <w:pPr>
        <w:tabs>
          <w:tab w:pos="1239" w:val="left" w:leader="none"/>
          <w:tab w:pos="2028" w:val="left" w:leader="none"/>
        </w:tabs>
        <w:spacing w:line="214" w:lineRule="exact" w:before="0"/>
        <w:ind w:left="356" w:right="0" w:firstLine="0"/>
        <w:jc w:val="left"/>
        <w:rPr>
          <w:rFonts w:ascii="Cambria Math" w:hAnsi="Cambria Math" w:eastAsia="Cambria Math"/>
          <w:sz w:val="24"/>
        </w:rPr>
      </w:pPr>
      <w:r>
        <w:rPr/>
        <w:br w:type="column"/>
      </w:r>
      <w:r>
        <w:rPr>
          <w:rFonts w:ascii="Cambria Math" w:hAnsi="Cambria Math" w:eastAsia="Cambria Math"/>
          <w:spacing w:val="-8"/>
          <w:w w:val="95"/>
          <w:sz w:val="24"/>
        </w:rPr>
        <w:t>+</w:t>
      </w:r>
      <w:r>
        <w:rPr>
          <w:rFonts w:ascii="Cambria Math" w:hAnsi="Cambria Math" w:eastAsia="Cambria Math"/>
          <w:spacing w:val="2"/>
          <w:w w:val="95"/>
          <w:sz w:val="24"/>
        </w:rPr>
        <w:t> </w:t>
      </w:r>
      <w:r>
        <w:rPr>
          <w:rFonts w:ascii="Cambria Math" w:hAnsi="Cambria Math" w:eastAsia="Cambria Math"/>
          <w:spacing w:val="-8"/>
          <w:w w:val="95"/>
          <w:sz w:val="24"/>
        </w:rPr>
        <w:t>𝜒</w:t>
      </w:r>
      <w:r>
        <w:rPr>
          <w:rFonts w:ascii="Cambria Math" w:hAnsi="Cambria Math" w:eastAsia="Cambria Math"/>
          <w:spacing w:val="-7"/>
          <w:w w:val="95"/>
          <w:sz w:val="24"/>
        </w:rPr>
        <w:t> </w:t>
      </w:r>
      <w:r>
        <w:rPr>
          <w:rFonts w:ascii="Cambria Math" w:hAnsi="Cambria Math" w:eastAsia="Cambria Math"/>
          <w:spacing w:val="-8"/>
          <w:w w:val="95"/>
          <w:position w:val="14"/>
          <w:sz w:val="17"/>
          <w:u w:val="single"/>
        </w:rPr>
        <w:t>𝐺</w:t>
      </w:r>
      <w:r>
        <w:rPr>
          <w:rFonts w:ascii="Cambria Math" w:hAnsi="Cambria Math" w:eastAsia="Cambria Math"/>
          <w:spacing w:val="-8"/>
          <w:w w:val="95"/>
          <w:position w:val="11"/>
          <w:sz w:val="14"/>
          <w:u w:val="single"/>
        </w:rPr>
        <w:t>𝑡</w:t>
        <w:tab/>
      </w:r>
      <w:r>
        <w:rPr>
          <w:rFonts w:ascii="Cambria Math" w:hAnsi="Cambria Math" w:eastAsia="Cambria Math"/>
          <w:sz w:val="24"/>
        </w:rPr>
        <w:t>–</w:t>
      </w:r>
      <w:r>
        <w:rPr>
          <w:rFonts w:ascii="Cambria Math" w:hAnsi="Cambria Math" w:eastAsia="Cambria Math"/>
          <w:spacing w:val="24"/>
          <w:position w:val="14"/>
          <w:sz w:val="24"/>
          <w:u w:val="single"/>
        </w:rPr>
        <w:t> </w:t>
      </w:r>
      <w:r>
        <w:rPr>
          <w:rFonts w:ascii="Cambria Math" w:hAnsi="Cambria Math" w:eastAsia="Cambria Math"/>
          <w:position w:val="14"/>
          <w:sz w:val="17"/>
          <w:u w:val="single"/>
        </w:rPr>
        <w:t>𝑁</w:t>
      </w:r>
      <w:r>
        <w:rPr>
          <w:rFonts w:ascii="Cambria Math" w:hAnsi="Cambria Math" w:eastAsia="Cambria Math"/>
          <w:position w:val="11"/>
          <w:sz w:val="14"/>
          <w:u w:val="single"/>
        </w:rPr>
        <w:t>𝑡</w:t>
        <w:tab/>
      </w:r>
      <w:r>
        <w:rPr>
          <w:rFonts w:ascii="Cambria Math" w:hAnsi="Cambria Math" w:eastAsia="Cambria Math"/>
          <w:sz w:val="24"/>
        </w:rPr>
        <w:t>)]</w:t>
      </w:r>
      <w:r>
        <w:rPr>
          <w:rFonts w:ascii="Cambria Math" w:hAnsi="Cambria Math" w:eastAsia="Cambria Math"/>
          <w:spacing w:val="13"/>
          <w:sz w:val="24"/>
        </w:rPr>
        <w:t> </w:t>
      </w:r>
      <w:r>
        <w:rPr>
          <w:rFonts w:ascii="Cambria Math" w:hAnsi="Cambria Math" w:eastAsia="Cambria Math"/>
          <w:sz w:val="24"/>
        </w:rPr>
        <w:t>+</w:t>
      </w:r>
      <w:r>
        <w:rPr>
          <w:rFonts w:ascii="Cambria Math" w:hAnsi="Cambria Math" w:eastAsia="Cambria Math"/>
          <w:spacing w:val="13"/>
          <w:sz w:val="24"/>
        </w:rPr>
        <w:t> </w:t>
      </w:r>
      <w:r>
        <w:rPr>
          <w:rFonts w:ascii="Cambria Math" w:hAnsi="Cambria Math" w:eastAsia="Cambria Math"/>
          <w:sz w:val="24"/>
        </w:rPr>
        <w:t>𝜆</w:t>
      </w:r>
      <w:r>
        <w:rPr>
          <w:rFonts w:ascii="Cambria Math" w:hAnsi="Cambria Math" w:eastAsia="Cambria Math"/>
          <w:spacing w:val="58"/>
          <w:sz w:val="24"/>
        </w:rPr>
        <w:t> </w:t>
      </w:r>
      <w:r>
        <w:rPr>
          <w:rFonts w:ascii="Cambria Math" w:hAnsi="Cambria Math" w:eastAsia="Cambria Math"/>
          <w:sz w:val="24"/>
        </w:rPr>
        <w:t>𝛽</w:t>
      </w:r>
      <w:r>
        <w:rPr>
          <w:rFonts w:ascii="Cambria Math" w:hAnsi="Cambria Math" w:eastAsia="Cambria Math"/>
          <w:sz w:val="24"/>
          <w:vertAlign w:val="superscript"/>
        </w:rPr>
        <w:t>𝑡</w:t>
      </w:r>
      <w:r>
        <w:rPr>
          <w:rFonts w:ascii="Cambria Math" w:hAnsi="Cambria Math" w:eastAsia="Cambria Math"/>
          <w:sz w:val="24"/>
          <w:vertAlign w:val="baseline"/>
        </w:rPr>
        <w:t>[𝑊</w:t>
      </w:r>
      <w:r>
        <w:rPr>
          <w:rFonts w:ascii="Cambria Math" w:hAnsi="Cambria Math" w:eastAsia="Cambria Math"/>
          <w:spacing w:val="17"/>
          <w:sz w:val="24"/>
          <w:vertAlign w:val="baseline"/>
        </w:rPr>
        <w:t> </w:t>
      </w:r>
      <w:r>
        <w:rPr>
          <w:rFonts w:ascii="Cambria Math" w:hAnsi="Cambria Math" w:eastAsia="Cambria Math"/>
          <w:spacing w:val="-149"/>
          <w:sz w:val="24"/>
          <w:vertAlign w:val="baseline"/>
        </w:rPr>
        <w:t>𝑁</w:t>
      </w:r>
    </w:p>
    <w:p>
      <w:pPr>
        <w:pStyle w:val="BodyText"/>
        <w:spacing w:line="143" w:lineRule="exact" w:before="70"/>
        <w:ind w:left="81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  <w:spacing w:val="-157"/>
        </w:rPr>
        <w:t>𝐷</w:t>
      </w:r>
    </w:p>
    <w:p>
      <w:pPr>
        <w:pStyle w:val="BodyText"/>
        <w:spacing w:line="143" w:lineRule="exact" w:before="70"/>
        <w:ind w:left="89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  <w:spacing w:val="-84"/>
        </w:rPr>
        <w:t>𝑇𝑃</w:t>
      </w:r>
    </w:p>
    <w:p>
      <w:pPr>
        <w:pStyle w:val="BodyText"/>
        <w:spacing w:line="143" w:lineRule="exact" w:before="70"/>
        <w:ind w:left="74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  <w:spacing w:val="-84"/>
        </w:rPr>
        <w:t>𝐷𝑉</w:t>
      </w:r>
    </w:p>
    <w:p>
      <w:pPr>
        <w:pStyle w:val="BodyText"/>
        <w:tabs>
          <w:tab w:pos="940" w:val="left" w:leader="none"/>
        </w:tabs>
        <w:spacing w:line="143" w:lineRule="exact" w:before="70"/>
        <w:ind w:left="72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− 𝑃</w:t>
      </w:r>
      <w:r>
        <w:rPr>
          <w:rFonts w:ascii="Cambria Math" w:hAnsi="Cambria Math" w:eastAsia="Cambria Math"/>
          <w:spacing w:val="9"/>
        </w:rPr>
        <w:t> </w:t>
      </w:r>
      <w:r>
        <w:rPr>
          <w:rFonts w:ascii="Cambria Math" w:hAnsi="Cambria Math" w:eastAsia="Cambria Math"/>
        </w:rPr>
        <w:t>𝐶</w:t>
        <w:tab/>
        <w:t>−</w:t>
      </w:r>
    </w:p>
    <w:p>
      <w:pPr>
        <w:spacing w:after="0" w:line="143" w:lineRule="exact"/>
        <w:rPr>
          <w:rFonts w:ascii="Cambria Math" w:hAnsi="Cambria Math" w:eastAsia="Cambria Math"/>
        </w:rPr>
        <w:sectPr>
          <w:type w:val="continuous"/>
          <w:pgSz w:w="12240" w:h="15840"/>
          <w:pgMar w:top="1500" w:bottom="1120" w:left="940" w:right="940"/>
          <w:cols w:num="7" w:equalWidth="0">
            <w:col w:w="1342" w:space="40"/>
            <w:col w:w="1827" w:space="39"/>
            <w:col w:w="3531" w:space="39"/>
            <w:col w:w="481" w:space="39"/>
            <w:col w:w="616" w:space="40"/>
            <w:col w:w="623" w:space="40"/>
            <w:col w:w="1703"/>
          </w:cols>
        </w:sectPr>
      </w:pPr>
    </w:p>
    <w:p>
      <w:pPr>
        <w:spacing w:line="175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𝑡=0</w:t>
      </w:r>
    </w:p>
    <w:p>
      <w:pPr>
        <w:spacing w:before="43"/>
        <w:ind w:left="0" w:right="38" w:firstLine="0"/>
        <w:jc w:val="righ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1−𝜎</w:t>
      </w:r>
    </w:p>
    <w:p>
      <w:pPr>
        <w:spacing w:before="43"/>
        <w:ind w:left="0" w:right="0" w:firstLine="0"/>
        <w:jc w:val="righ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1−𝜌</w:t>
      </w:r>
    </w:p>
    <w:p>
      <w:pPr>
        <w:spacing w:before="43"/>
        <w:ind w:left="371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1+𝜑</w:t>
      </w:r>
    </w:p>
    <w:p>
      <w:pPr>
        <w:tabs>
          <w:tab w:pos="1288" w:val="left" w:leader="none"/>
          <w:tab w:pos="2058" w:val="left" w:leader="none"/>
          <w:tab w:pos="2702" w:val="left" w:leader="none"/>
        </w:tabs>
        <w:spacing w:line="170" w:lineRule="exact" w:before="0"/>
        <w:ind w:left="674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𝑡</w:t>
        <w:tab/>
        <w:t>𝑡   </w:t>
      </w:r>
      <w:r>
        <w:rPr>
          <w:rFonts w:ascii="Cambria Math" w:eastAsia="Cambria Math"/>
          <w:spacing w:val="5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𝑡</w:t>
        <w:tab/>
        <w:t>𝑡</w:t>
        <w:tab/>
      </w:r>
      <w:r>
        <w:rPr>
          <w:rFonts w:ascii="Cambria Math" w:eastAsia="Cambria Math"/>
          <w:spacing w:val="-153"/>
          <w:w w:val="110"/>
          <w:sz w:val="17"/>
        </w:rPr>
        <w:t>𝑡</w:t>
      </w:r>
    </w:p>
    <w:p>
      <w:pPr>
        <w:tabs>
          <w:tab w:pos="1042" w:val="left" w:leader="none"/>
        </w:tabs>
        <w:spacing w:line="170" w:lineRule="exact" w:before="0"/>
        <w:ind w:left="545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𝑡</w:t>
        <w:tab/>
      </w:r>
      <w:r>
        <w:rPr>
          <w:rFonts w:ascii="Cambria Math" w:eastAsia="Cambria Math"/>
          <w:spacing w:val="-153"/>
          <w:w w:val="110"/>
          <w:sz w:val="17"/>
        </w:rPr>
        <w:t>𝑡</w:t>
      </w:r>
    </w:p>
    <w:p>
      <w:pPr>
        <w:spacing w:line="170" w:lineRule="exact" w:before="0"/>
        <w:ind w:left="103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𝑅,𝑡</w:t>
      </w:r>
    </w:p>
    <w:p>
      <w:pPr>
        <w:spacing w:after="0" w:line="170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7" w:equalWidth="0">
            <w:col w:w="1487" w:space="40"/>
            <w:col w:w="1292" w:space="83"/>
            <w:col w:w="1518" w:space="40"/>
            <w:col w:w="726" w:space="39"/>
            <w:col w:w="2778" w:space="39"/>
            <w:col w:w="1118" w:space="40"/>
            <w:col w:w="1160"/>
          </w:cols>
        </w:sectPr>
      </w:pPr>
    </w:p>
    <w:p>
      <w:pPr>
        <w:pStyle w:val="BodyText"/>
        <w:tabs>
          <w:tab w:pos="9261" w:val="left" w:leader="none"/>
        </w:tabs>
        <w:spacing w:before="176"/>
        <w:ind w:left="500"/>
      </w:pPr>
      <w:r>
        <w:rPr>
          <w:rFonts w:ascii="Cambria Math" w:eastAsia="Cambria Math"/>
          <w:spacing w:val="-1"/>
          <w:w w:val="105"/>
        </w:rPr>
        <w:t>𝐸</w:t>
      </w:r>
      <w:r>
        <w:rPr>
          <w:rFonts w:ascii="Cambria Math" w:eastAsia="Cambria Math"/>
          <w:spacing w:val="-1"/>
          <w:w w:val="105"/>
          <w:vertAlign w:val="subscript"/>
        </w:rPr>
        <w:t>𝑡</w:t>
      </w:r>
      <w:r>
        <w:rPr>
          <w:rFonts w:ascii="Cambria Math" w:eastAsia="Cambria Math"/>
          <w:spacing w:val="-4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(𝑄</w:t>
      </w:r>
      <w:r>
        <w:rPr>
          <w:rFonts w:ascii="Cambria Math" w:eastAsia="Cambria Math"/>
          <w:w w:val="105"/>
          <w:vertAlign w:val="subscript"/>
        </w:rPr>
        <w:t>𝑡</w:t>
      </w:r>
      <w:r>
        <w:rPr>
          <w:rFonts w:ascii="Cambria Math" w:eastAsia="Cambria Math"/>
          <w:spacing w:val="-15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subscript"/>
        </w:rPr>
        <w:t>,𝑡+1</w:t>
      </w:r>
      <w:r>
        <w:rPr>
          <w:rFonts w:ascii="Cambria Math" w:eastAsia="Cambria Math"/>
          <w:w w:val="105"/>
          <w:vertAlign w:val="baseline"/>
        </w:rPr>
        <w:t>𝐷</w:t>
      </w:r>
      <w:r>
        <w:rPr>
          <w:rFonts w:ascii="Cambria Math" w:eastAsia="Cambria Math"/>
          <w:w w:val="105"/>
          <w:vertAlign w:val="subscript"/>
        </w:rPr>
        <w:t>𝑡+1</w:t>
      </w:r>
      <w:r>
        <w:rPr>
          <w:rFonts w:ascii="Cambria Math" w:eastAsia="Cambria Math"/>
          <w:w w:val="105"/>
          <w:vertAlign w:val="baseline"/>
        </w:rPr>
        <w:t>)]</w:t>
        <w:tab/>
      </w:r>
      <w:r>
        <w:rPr>
          <w:w w:val="105"/>
          <w:vertAlign w:val="baseline"/>
        </w:rPr>
        <w:t>(4.21)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360" w:lineRule="auto"/>
        <w:ind w:left="500" w:right="494"/>
      </w:pPr>
      <w:r>
        <w:rPr/>
        <w:t>The</w:t>
      </w:r>
      <w:r>
        <w:rPr>
          <w:spacing w:val="-3"/>
        </w:rPr>
        <w:t> </w:t>
      </w:r>
      <w:r>
        <w:rPr/>
        <w:t>first</w:t>
      </w:r>
      <w:r>
        <w:rPr>
          <w:spacing w:val="-1"/>
        </w:rPr>
        <w:t> </w:t>
      </w:r>
      <w:r>
        <w:rPr/>
        <w:t>order</w:t>
      </w:r>
      <w:r>
        <w:rPr>
          <w:spacing w:val="-1"/>
        </w:rPr>
        <w:t> </w:t>
      </w:r>
      <w:r>
        <w:rPr/>
        <w:t>conditions (FOCs)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respect to</w:t>
      </w:r>
      <w:r>
        <w:rPr>
          <w:spacing w:val="1"/>
        </w:rPr>
        <w:t> </w:t>
      </w:r>
      <w:r>
        <w:rPr/>
        <w:t>consumption,</w:t>
      </w:r>
      <w:r>
        <w:rPr>
          <w:spacing w:val="-1"/>
        </w:rPr>
        <w:t> </w:t>
      </w:r>
      <w:r>
        <w:rPr/>
        <w:t>labour</w:t>
      </w:r>
      <w:r>
        <w:rPr>
          <w:spacing w:val="-3"/>
        </w:rPr>
        <w:t> </w:t>
      </w:r>
      <w:r>
        <w:rPr/>
        <w:t>supply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assets</w:t>
      </w:r>
      <w:r>
        <w:rPr>
          <w:spacing w:val="-57"/>
        </w:rPr>
        <w:t> </w:t>
      </w:r>
      <w:r>
        <w:rPr/>
        <w:t>are</w:t>
      </w:r>
      <w:r>
        <w:rPr>
          <w:spacing w:val="-3"/>
        </w:rPr>
        <w:t> </w:t>
      </w:r>
      <w:r>
        <w:rPr/>
        <w:t>obtained</w:t>
      </w:r>
      <w:r>
        <w:rPr>
          <w:spacing w:val="2"/>
        </w:rPr>
        <w:t> </w:t>
      </w:r>
      <w:r>
        <w:rPr/>
        <w:t>from equation (4.21) as:</w:t>
      </w:r>
    </w:p>
    <w:p>
      <w:pPr>
        <w:pStyle w:val="BodyText"/>
        <w:spacing w:line="374" w:lineRule="auto" w:before="202"/>
        <w:ind w:left="500" w:right="495"/>
      </w:pPr>
      <w:r>
        <w:rPr/>
        <w:t>The</w:t>
      </w:r>
      <w:r>
        <w:rPr>
          <w:spacing w:val="-11"/>
        </w:rPr>
        <w:t> </w:t>
      </w:r>
      <w:r>
        <w:rPr/>
        <w:t>FOC</w:t>
      </w:r>
      <w:r>
        <w:rPr>
          <w:spacing w:val="-9"/>
        </w:rPr>
        <w:t> </w:t>
      </w:r>
      <w:r>
        <w:rPr/>
        <w:t>with</w:t>
      </w:r>
      <w:r>
        <w:rPr>
          <w:spacing w:val="-9"/>
        </w:rPr>
        <w:t> </w:t>
      </w:r>
      <w:r>
        <w:rPr/>
        <w:t>respect</w:t>
      </w:r>
      <w:r>
        <w:rPr>
          <w:spacing w:val="-10"/>
        </w:rPr>
        <w:t> </w:t>
      </w:r>
      <w:r>
        <w:rPr/>
        <w:t>to</w:t>
      </w:r>
      <w:r>
        <w:rPr>
          <w:spacing w:val="-6"/>
        </w:rPr>
        <w:t> </w:t>
      </w:r>
      <w:r>
        <w:rPr/>
        <w:t>consumption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derived</w:t>
      </w:r>
      <w:r>
        <w:rPr>
          <w:spacing w:val="-10"/>
        </w:rPr>
        <w:t> </w:t>
      </w:r>
      <w:r>
        <w:rPr/>
        <w:t>by</w:t>
      </w:r>
      <w:r>
        <w:rPr>
          <w:spacing w:val="-11"/>
        </w:rPr>
        <w:t> </w:t>
      </w:r>
      <w:r>
        <w:rPr/>
        <w:t>taking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partial</w:t>
      </w:r>
      <w:r>
        <w:rPr>
          <w:spacing w:val="-10"/>
        </w:rPr>
        <w:t> </w:t>
      </w:r>
      <w:r>
        <w:rPr/>
        <w:t>derivative</w:t>
      </w:r>
      <w:r>
        <w:rPr>
          <w:spacing w:val="-10"/>
        </w:rPr>
        <w:t> </w:t>
      </w:r>
      <w:r>
        <w:rPr/>
        <w:t>of</w:t>
      </w:r>
      <w:r>
        <w:rPr>
          <w:spacing w:val="-2"/>
        </w:rPr>
        <w:t> </w:t>
      </w:r>
      <w:r>
        <w:rPr>
          <w:rFonts w:ascii="Cambria Math" w:eastAsia="Cambria Math"/>
        </w:rPr>
        <w:t>𝐶</w:t>
      </w:r>
      <w:r>
        <w:rPr>
          <w:rFonts w:ascii="Cambria Math" w:eastAsia="Cambria Math"/>
          <w:vertAlign w:val="subscript"/>
        </w:rPr>
        <w:t>𝑅,𝑡</w:t>
      </w:r>
      <w:r>
        <w:rPr>
          <w:rFonts w:ascii="Cambria Math" w:eastAsia="Cambria Math"/>
          <w:spacing w:val="12"/>
          <w:vertAlign w:val="baseline"/>
        </w:rPr>
        <w:t> </w:t>
      </w:r>
      <w:r>
        <w:rPr>
          <w:vertAlign w:val="baseline"/>
        </w:rPr>
        <w:t>in</w:t>
      </w:r>
      <w:r>
        <w:rPr>
          <w:spacing w:val="-9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(4.21)</w:t>
      </w:r>
      <w:r>
        <w:rPr>
          <w:spacing w:val="-1"/>
          <w:vertAlign w:val="baseline"/>
        </w:rPr>
        <w:t> </w:t>
      </w:r>
      <w:r>
        <w:rPr>
          <w:vertAlign w:val="baseline"/>
        </w:rPr>
        <w:t>as:</w:t>
      </w:r>
    </w:p>
    <w:p>
      <w:pPr>
        <w:spacing w:after="0" w:line="374" w:lineRule="auto"/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9"/>
        <w:rPr>
          <w:sz w:val="15"/>
        </w:rPr>
      </w:pPr>
    </w:p>
    <w:p>
      <w:pPr>
        <w:spacing w:before="0"/>
        <w:ind w:left="0" w:right="97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𝜕𝑓</w:t>
      </w:r>
    </w:p>
    <w:p>
      <w:pPr>
        <w:pStyle w:val="BodyText"/>
        <w:spacing w:before="4"/>
        <w:rPr>
          <w:rFonts w:ascii="Cambria Math"/>
          <w:sz w:val="2"/>
        </w:rPr>
      </w:pPr>
    </w:p>
    <w:p>
      <w:pPr>
        <w:pStyle w:val="BodyText"/>
        <w:spacing w:line="20" w:lineRule="exact"/>
        <w:ind w:left="500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0.9pt;height:.85pt;mso-position-horizontal-relative:char;mso-position-vertical-relative:line" coordorigin="0,0" coordsize="418,17">
            <v:rect style="position:absolute;left:0;top:0;width:418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19"/>
        <w:ind w:left="0" w:right="0" w:firstLine="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3"/>
          <w:sz w:val="17"/>
        </w:rPr>
        <w:t>𝜕𝐶</w:t>
      </w:r>
      <w:r>
        <w:rPr>
          <w:rFonts w:ascii="Cambria Math" w:eastAsia="Cambria Math"/>
          <w:w w:val="110"/>
          <w:sz w:val="14"/>
        </w:rPr>
        <w:t>𝑅,𝑡</w:t>
      </w:r>
    </w:p>
    <w:p>
      <w:pPr>
        <w:pStyle w:val="BodyText"/>
        <w:spacing w:before="257"/>
        <w:ind w:left="-32"/>
        <w:rPr>
          <w:rFonts w:ascii="Cambria Math" w:eastAsia="Cambria Math"/>
        </w:rPr>
      </w:pPr>
      <w:r>
        <w:rPr/>
        <w:br w:type="column"/>
      </w:r>
      <w:r>
        <w:rPr>
          <w:w w:val="105"/>
        </w:rPr>
        <w:t>:</w:t>
      </w:r>
      <w:r>
        <w:rPr>
          <w:spacing w:val="1"/>
          <w:w w:val="105"/>
        </w:rPr>
        <w:t> </w:t>
      </w:r>
      <w:r>
        <w:rPr>
          <w:rFonts w:ascii="Cambria Math" w:eastAsia="Cambria Math"/>
          <w:spacing w:val="-26"/>
          <w:w w:val="105"/>
        </w:rPr>
        <w:t>(𝐶</w:t>
      </w:r>
      <w:r>
        <w:rPr>
          <w:rFonts w:ascii="Cambria Math" w:eastAsia="Cambria Math"/>
          <w:spacing w:val="-26"/>
          <w:w w:val="105"/>
          <w:vertAlign w:val="subscript"/>
        </w:rPr>
        <w:t>𝑅,𝑡</w:t>
      </w:r>
    </w:p>
    <w:p>
      <w:pPr>
        <w:pStyle w:val="BodyText"/>
        <w:spacing w:before="8"/>
        <w:rPr>
          <w:rFonts w:ascii="Cambria Math"/>
          <w:sz w:val="21"/>
        </w:rPr>
      </w:pPr>
      <w:r>
        <w:rPr/>
        <w:br w:type="column"/>
      </w:r>
      <w:r>
        <w:rPr>
          <w:rFonts w:ascii="Cambria Math"/>
          <w:sz w:val="21"/>
        </w:rPr>
      </w:r>
    </w:p>
    <w:p>
      <w:pPr>
        <w:spacing w:before="1"/>
        <w:ind w:left="26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position w:val="5"/>
          <w:sz w:val="24"/>
        </w:rPr>
        <w:t>−</w:t>
      </w:r>
      <w:r>
        <w:rPr>
          <w:rFonts w:ascii="Cambria Math" w:hAnsi="Cambria Math" w:eastAsia="Cambria Math"/>
          <w:spacing w:val="-2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ℎ𝐶</w:t>
      </w:r>
      <w:r>
        <w:rPr>
          <w:rFonts w:ascii="Cambria Math" w:hAnsi="Cambria Math" w:eastAsia="Cambria Math"/>
          <w:sz w:val="17"/>
        </w:rPr>
        <w:t>𝑅,𝑡−1</w:t>
      </w:r>
    </w:p>
    <w:p>
      <w:pPr>
        <w:pStyle w:val="BodyText"/>
        <w:spacing w:before="10"/>
        <w:rPr>
          <w:rFonts w:ascii="Cambria Math"/>
          <w:sz w:val="13"/>
        </w:rPr>
      </w:pPr>
      <w:r>
        <w:rPr/>
        <w:br w:type="column"/>
      </w:r>
      <w:r>
        <w:rPr>
          <w:rFonts w:ascii="Cambria Math"/>
          <w:sz w:val="13"/>
        </w:rPr>
      </w:r>
    </w:p>
    <w:p>
      <w:pPr>
        <w:spacing w:line="147" w:lineRule="exact" w:before="0"/>
        <w:ind w:left="77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−𝜎</w:t>
      </w:r>
    </w:p>
    <w:p>
      <w:pPr>
        <w:pStyle w:val="BodyText"/>
        <w:tabs>
          <w:tab w:pos="509" w:val="left" w:leader="none"/>
        </w:tabs>
        <w:spacing w:line="229" w:lineRule="exact"/>
        <w:ind w:left="-31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10"/>
        </w:rPr>
        <w:t>)</w:t>
        <w:tab/>
        <w:t>−</w:t>
      </w:r>
      <w:r>
        <w:rPr>
          <w:rFonts w:ascii="Cambria Math" w:hAnsi="Cambria Math" w:eastAsia="Cambria Math"/>
          <w:spacing w:val="1"/>
          <w:w w:val="110"/>
        </w:rPr>
        <w:t> </w:t>
      </w:r>
      <w:r>
        <w:rPr>
          <w:rFonts w:ascii="Cambria Math" w:hAnsi="Cambria Math" w:eastAsia="Cambria Math"/>
          <w:w w:val="110"/>
        </w:rPr>
        <w:t>𝜆</w:t>
      </w:r>
      <w:r>
        <w:rPr>
          <w:rFonts w:ascii="Cambria Math" w:hAnsi="Cambria Math" w:eastAsia="Cambria Math"/>
          <w:w w:val="110"/>
          <w:vertAlign w:val="subscript"/>
        </w:rPr>
        <w:t>𝑡</w:t>
      </w:r>
      <w:r>
        <w:rPr>
          <w:rFonts w:ascii="Cambria Math" w:hAnsi="Cambria Math" w:eastAsia="Cambria Math"/>
          <w:w w:val="110"/>
          <w:vertAlign w:val="baseline"/>
        </w:rPr>
        <w:t>𝑃</w:t>
      </w:r>
      <w:r>
        <w:rPr>
          <w:rFonts w:ascii="Cambria Math" w:hAnsi="Cambria Math" w:eastAsia="Cambria Math"/>
          <w:w w:val="110"/>
          <w:vertAlign w:val="subscript"/>
        </w:rPr>
        <w:t>𝑡</w:t>
      </w:r>
    </w:p>
    <w:p>
      <w:pPr>
        <w:pStyle w:val="BodyText"/>
        <w:spacing w:before="10"/>
        <w:rPr>
          <w:rFonts w:ascii="Cambria Math"/>
          <w:sz w:val="21"/>
        </w:rPr>
      </w:pPr>
      <w:r>
        <w:rPr/>
        <w:br w:type="column"/>
      </w:r>
      <w:r>
        <w:rPr>
          <w:rFonts w:ascii="Cambria Math"/>
          <w:sz w:val="21"/>
        </w:rPr>
      </w:r>
    </w:p>
    <w:p>
      <w:pPr>
        <w:pStyle w:val="BodyText"/>
        <w:tabs>
          <w:tab w:pos="5497" w:val="left" w:leader="none"/>
        </w:tabs>
        <w:spacing w:before="1"/>
        <w:ind w:left="40"/>
      </w:pPr>
      <w:r>
        <w:rPr>
          <w:rFonts w:ascii="Cambria Math"/>
        </w:rPr>
        <w:t>=</w:t>
      </w:r>
      <w:r>
        <w:rPr>
          <w:rFonts w:ascii="Cambria Math"/>
          <w:spacing w:val="15"/>
        </w:rPr>
        <w:t> </w:t>
      </w:r>
      <w:r>
        <w:rPr>
          <w:rFonts w:ascii="Cambria Math"/>
        </w:rPr>
        <w:t>0</w:t>
        <w:tab/>
      </w:r>
      <w:r>
        <w:rPr/>
        <w:t>(4.22)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5" w:equalWidth="0">
            <w:col w:w="910" w:space="40"/>
            <w:col w:w="562" w:space="39"/>
            <w:col w:w="980" w:space="40"/>
            <w:col w:w="1154" w:space="39"/>
            <w:col w:w="6596"/>
          </w:cols>
        </w:sectPr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5"/>
        <w:rPr>
          <w:sz w:val="30"/>
        </w:rPr>
      </w:pPr>
    </w:p>
    <w:p>
      <w:pPr>
        <w:pStyle w:val="BodyText"/>
        <w:ind w:left="500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𝜆</w:t>
      </w:r>
      <w:r>
        <w:rPr>
          <w:rFonts w:ascii="Cambria Math" w:eastAsia="Cambria Math"/>
          <w:w w:val="105"/>
          <w:vertAlign w:val="subscript"/>
        </w:rPr>
        <w:t>𝑡</w:t>
      </w:r>
      <w:r>
        <w:rPr>
          <w:rFonts w:ascii="Cambria Math" w:eastAsia="Cambria Math"/>
          <w:spacing w:val="5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</w:p>
    <w:p>
      <w:pPr>
        <w:spacing w:before="164"/>
        <w:ind w:left="25" w:right="0" w:firstLine="0"/>
        <w:jc w:val="center"/>
        <w:rPr>
          <w:rFonts w:ascii="Cambria Math" w:hAnsi="Cambria Math" w:eastAsia="Cambria Math"/>
          <w:sz w:val="24"/>
        </w:rPr>
      </w:pPr>
      <w:r>
        <w:rPr/>
        <w:br w:type="column"/>
      </w:r>
      <w:r>
        <w:rPr>
          <w:rFonts w:ascii="Cambria Math" w:hAnsi="Cambria Math" w:eastAsia="Cambria Math"/>
          <w:spacing w:val="-2"/>
          <w:w w:val="105"/>
          <w:position w:val="5"/>
          <w:sz w:val="24"/>
        </w:rPr>
        <w:t>(𝐶</w:t>
      </w:r>
      <w:r>
        <w:rPr>
          <w:rFonts w:ascii="Cambria Math" w:hAnsi="Cambria Math" w:eastAsia="Cambria Math"/>
          <w:spacing w:val="-2"/>
          <w:w w:val="105"/>
          <w:sz w:val="17"/>
        </w:rPr>
        <w:t>𝑅,𝑡</w:t>
      </w:r>
      <w:r>
        <w:rPr>
          <w:rFonts w:ascii="Cambria Math" w:hAnsi="Cambria Math" w:eastAsia="Cambria Math"/>
          <w:spacing w:val="18"/>
          <w:w w:val="105"/>
          <w:sz w:val="17"/>
        </w:rPr>
        <w:t> </w:t>
      </w:r>
      <w:r>
        <w:rPr>
          <w:rFonts w:ascii="Cambria Math" w:hAnsi="Cambria Math" w:eastAsia="Cambria Math"/>
          <w:spacing w:val="-2"/>
          <w:w w:val="105"/>
          <w:position w:val="5"/>
          <w:sz w:val="24"/>
        </w:rPr>
        <w:t>−</w:t>
      </w:r>
      <w:r>
        <w:rPr>
          <w:rFonts w:ascii="Cambria Math" w:hAnsi="Cambria Math" w:eastAsia="Cambria Math"/>
          <w:spacing w:val="-10"/>
          <w:w w:val="105"/>
          <w:position w:val="5"/>
          <w:sz w:val="24"/>
        </w:rPr>
        <w:t> </w:t>
      </w:r>
      <w:r>
        <w:rPr>
          <w:rFonts w:ascii="Cambria Math" w:hAnsi="Cambria Math" w:eastAsia="Cambria Math"/>
          <w:spacing w:val="-2"/>
          <w:w w:val="105"/>
          <w:position w:val="5"/>
          <w:sz w:val="24"/>
        </w:rPr>
        <w:t>ℎ𝐶</w:t>
      </w:r>
      <w:r>
        <w:rPr>
          <w:rFonts w:ascii="Cambria Math" w:hAnsi="Cambria Math" w:eastAsia="Cambria Math"/>
          <w:spacing w:val="-2"/>
          <w:w w:val="105"/>
          <w:sz w:val="17"/>
        </w:rPr>
        <w:t>𝑅,𝑡−1</w:t>
      </w:r>
      <w:r>
        <w:rPr>
          <w:rFonts w:ascii="Cambria Math" w:hAnsi="Cambria Math" w:eastAsia="Cambria Math"/>
          <w:spacing w:val="-2"/>
          <w:w w:val="105"/>
          <w:position w:val="5"/>
          <w:sz w:val="24"/>
        </w:rPr>
        <w:t>)</w:t>
      </w:r>
    </w:p>
    <w:p>
      <w:pPr>
        <w:pStyle w:val="BodyText"/>
        <w:spacing w:line="20" w:lineRule="exact"/>
        <w:ind w:left="25" w:right="-5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80.05pt;height:.85pt;mso-position-horizontal-relative:char;mso-position-vertical-relative:line" coordorigin="0,0" coordsize="1601,17">
            <v:rect style="position:absolute;left:0;top:0;width:1601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before="11"/>
        <w:ind w:left="11"/>
        <w:jc w:val="center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𝑃</w:t>
      </w:r>
      <w:r>
        <w:rPr>
          <w:rFonts w:ascii="Cambria Math" w:eastAsia="Cambria Math"/>
          <w:w w:val="110"/>
          <w:vertAlign w:val="subscript"/>
        </w:rPr>
        <w:t>𝑡</w:t>
      </w:r>
    </w:p>
    <w:p>
      <w:pPr>
        <w:spacing w:before="71"/>
        <w:ind w:left="-40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−𝜎</w:t>
      </w:r>
    </w:p>
    <w:p>
      <w:pPr>
        <w:spacing w:after="0"/>
        <w:jc w:val="left"/>
        <w:rPr>
          <w:rFonts w:ascii="Cambria Math" w:hAns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3" w:equalWidth="0">
            <w:col w:w="961" w:space="40"/>
            <w:col w:w="1629" w:space="39"/>
            <w:col w:w="7691"/>
          </w:cols>
        </w:sectPr>
      </w:pPr>
    </w:p>
    <w:p>
      <w:pPr>
        <w:pStyle w:val="BodyText"/>
        <w:spacing w:before="4"/>
        <w:rPr>
          <w:rFonts w:ascii="Cambria Math"/>
          <w:sz w:val="21"/>
        </w:rPr>
      </w:pPr>
    </w:p>
    <w:p>
      <w:pPr>
        <w:pStyle w:val="BodyText"/>
        <w:spacing w:before="86"/>
        <w:ind w:left="500"/>
        <w:rPr>
          <w:rFonts w:ascii="Cambria Math" w:eastAsia="Cambria Math"/>
        </w:rPr>
      </w:pPr>
      <w:r>
        <w:rPr/>
        <w:t>and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period</w:t>
      </w:r>
      <w:r>
        <w:rPr>
          <w:spacing w:val="2"/>
        </w:rPr>
        <w:t> </w:t>
      </w:r>
      <w:r>
        <w:rPr>
          <w:rFonts w:ascii="Cambria Math" w:eastAsia="Cambria Math"/>
        </w:rPr>
        <w:t>𝑡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1"/>
        </w:rPr>
        <w:t> </w:t>
      </w:r>
      <w:r>
        <w:rPr>
          <w:rFonts w:ascii="Cambria Math" w:eastAsia="Cambria Math"/>
        </w:rPr>
        <w:t>1</w:t>
      </w:r>
    </w:p>
    <w:p>
      <w:pPr>
        <w:pStyle w:val="BodyText"/>
        <w:spacing w:before="2"/>
        <w:rPr>
          <w:rFonts w:ascii="Cambria Math"/>
          <w:sz w:val="19"/>
        </w:rPr>
      </w:pPr>
    </w:p>
    <w:p>
      <w:pPr>
        <w:spacing w:after="0"/>
        <w:rPr>
          <w:rFonts w:ascii="Cambria Math"/>
          <w:sz w:val="19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8"/>
        <w:rPr>
          <w:rFonts w:ascii="Cambria Math"/>
          <w:sz w:val="29"/>
        </w:rPr>
      </w:pPr>
    </w:p>
    <w:p>
      <w:pPr>
        <w:spacing w:before="0"/>
        <w:ind w:left="500" w:right="0" w:firstLine="0"/>
        <w:jc w:val="left"/>
        <w:rPr>
          <w:rFonts w:ascii="Cambria Math" w:eastAsia="Cambria Math"/>
          <w:sz w:val="24"/>
        </w:rPr>
      </w:pPr>
      <w:r>
        <w:rPr>
          <w:rFonts w:ascii="Cambria Math" w:eastAsia="Cambria Math"/>
          <w:position w:val="5"/>
          <w:sz w:val="24"/>
        </w:rPr>
        <w:t>𝜆</w:t>
      </w:r>
      <w:r>
        <w:rPr>
          <w:rFonts w:ascii="Cambria Math" w:eastAsia="Cambria Math"/>
          <w:sz w:val="17"/>
        </w:rPr>
        <w:t>𝑡+1</w:t>
      </w:r>
      <w:r>
        <w:rPr>
          <w:rFonts w:ascii="Cambria Math" w:eastAsia="Cambria Math"/>
          <w:spacing w:val="33"/>
          <w:sz w:val="17"/>
        </w:rPr>
        <w:t> </w:t>
      </w:r>
      <w:r>
        <w:rPr>
          <w:rFonts w:ascii="Cambria Math" w:eastAsia="Cambria Math"/>
          <w:position w:val="5"/>
          <w:sz w:val="24"/>
        </w:rPr>
        <w:t>=</w:t>
      </w:r>
    </w:p>
    <w:p>
      <w:pPr>
        <w:spacing w:before="163"/>
        <w:ind w:left="27" w:right="0" w:firstLine="0"/>
        <w:jc w:val="center"/>
        <w:rPr>
          <w:rFonts w:ascii="Cambria Math" w:hAnsi="Cambria Math" w:eastAsia="Cambria Math"/>
          <w:sz w:val="24"/>
        </w:rPr>
      </w:pPr>
      <w:r>
        <w:rPr/>
        <w:br w:type="column"/>
      </w:r>
      <w:r>
        <w:rPr>
          <w:rFonts w:ascii="Cambria Math" w:hAnsi="Cambria Math" w:eastAsia="Cambria Math"/>
          <w:position w:val="5"/>
          <w:sz w:val="24"/>
        </w:rPr>
        <w:t>(𝐶</w:t>
      </w:r>
      <w:r>
        <w:rPr>
          <w:rFonts w:ascii="Cambria Math" w:hAnsi="Cambria Math" w:eastAsia="Cambria Math"/>
          <w:sz w:val="17"/>
        </w:rPr>
        <w:t>𝑅,𝑡+1</w:t>
      </w:r>
      <w:r>
        <w:rPr>
          <w:rFonts w:ascii="Cambria Math" w:hAnsi="Cambria Math" w:eastAsia="Cambria Math"/>
          <w:spacing w:val="41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−</w:t>
      </w:r>
      <w:r>
        <w:rPr>
          <w:rFonts w:ascii="Cambria Math" w:hAnsi="Cambria Math" w:eastAsia="Cambria Math"/>
          <w:spacing w:val="15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ℎ𝐶</w:t>
      </w:r>
      <w:r>
        <w:rPr>
          <w:rFonts w:ascii="Cambria Math" w:hAnsi="Cambria Math" w:eastAsia="Cambria Math"/>
          <w:sz w:val="17"/>
        </w:rPr>
        <w:t>𝑅,𝑡</w:t>
      </w:r>
      <w:r>
        <w:rPr>
          <w:rFonts w:ascii="Cambria Math" w:hAnsi="Cambria Math" w:eastAsia="Cambria Math"/>
          <w:position w:val="5"/>
          <w:sz w:val="24"/>
        </w:rPr>
        <w:t>)</w:t>
      </w:r>
    </w:p>
    <w:p>
      <w:pPr>
        <w:pStyle w:val="BodyText"/>
        <w:spacing w:line="20" w:lineRule="exact"/>
        <w:ind w:left="27" w:right="-5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80.05pt;height:.85pt;mso-position-horizontal-relative:char;mso-position-vertical-relative:line" coordorigin="0,0" coordsize="1601,17">
            <v:rect style="position:absolute;left:0;top:0;width:1601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10"/>
        <w:ind w:left="18" w:right="0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position w:val="5"/>
          <w:sz w:val="24"/>
        </w:rPr>
        <w:t>𝑃</w:t>
      </w:r>
      <w:r>
        <w:rPr>
          <w:rFonts w:ascii="Cambria Math" w:eastAsia="Cambria Math"/>
          <w:w w:val="105"/>
          <w:sz w:val="17"/>
        </w:rPr>
        <w:t>𝑡+1</w:t>
      </w:r>
    </w:p>
    <w:p>
      <w:pPr>
        <w:spacing w:before="71"/>
        <w:ind w:left="-40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−𝜎</w:t>
      </w:r>
    </w:p>
    <w:p>
      <w:pPr>
        <w:spacing w:after="0"/>
        <w:jc w:val="left"/>
        <w:rPr>
          <w:rFonts w:ascii="Cambria Math" w:hAns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3" w:equalWidth="0">
            <w:col w:w="1182" w:space="40"/>
            <w:col w:w="1629" w:space="39"/>
            <w:col w:w="7470"/>
          </w:cols>
        </w:sectPr>
      </w:pPr>
    </w:p>
    <w:p>
      <w:pPr>
        <w:pStyle w:val="BodyText"/>
        <w:spacing w:before="7"/>
        <w:rPr>
          <w:rFonts w:ascii="Cambria Math"/>
          <w:sz w:val="18"/>
        </w:rPr>
      </w:pPr>
    </w:p>
    <w:p>
      <w:pPr>
        <w:pStyle w:val="BodyText"/>
        <w:spacing w:before="86"/>
        <w:ind w:left="500"/>
      </w:pPr>
      <w:r>
        <w:rPr/>
        <w:t>We</w:t>
      </w:r>
      <w:r>
        <w:rPr>
          <w:spacing w:val="-2"/>
        </w:rPr>
        <w:t> </w:t>
      </w:r>
      <w:r>
        <w:rPr/>
        <w:t>divide</w:t>
      </w:r>
      <w:r>
        <w:rPr>
          <w:spacing w:val="-1"/>
        </w:rPr>
        <w:t> </w:t>
      </w:r>
      <w:r>
        <w:rPr/>
        <w:t>the FOC on consumption at</w:t>
      </w:r>
      <w:r>
        <w:rPr>
          <w:spacing w:val="-1"/>
        </w:rPr>
        <w:t> </w:t>
      </w:r>
      <w:r>
        <w:rPr/>
        <w:t>period</w:t>
      </w:r>
      <w:r>
        <w:rPr>
          <w:spacing w:val="2"/>
        </w:rPr>
        <w:t> </w:t>
      </w:r>
      <w:r>
        <w:rPr>
          <w:rFonts w:ascii="Cambria Math" w:eastAsia="Cambria Math"/>
        </w:rPr>
        <w:t>𝑡</w:t>
      </w:r>
      <w:r>
        <w:rPr>
          <w:rFonts w:ascii="Cambria Math" w:eastAsia="Cambria Math"/>
          <w:spacing w:val="6"/>
        </w:rPr>
        <w:t> </w:t>
      </w:r>
      <w:r>
        <w:rPr>
          <w:rFonts w:ascii="Cambria Math" w:eastAsia="Cambria Math"/>
        </w:rPr>
        <w:t>+ 1</w:t>
      </w:r>
      <w:r>
        <w:rPr>
          <w:rFonts w:ascii="Cambria Math" w:eastAsia="Cambria Math"/>
          <w:spacing w:val="6"/>
        </w:rPr>
        <w:t> </w:t>
      </w:r>
      <w:r>
        <w:rPr/>
        <w:t>by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period</w:t>
      </w:r>
      <w:r>
        <w:rPr>
          <w:spacing w:val="2"/>
        </w:rPr>
        <w:t> </w:t>
      </w:r>
      <w:r>
        <w:rPr>
          <w:rFonts w:ascii="Cambria Math" w:eastAsia="Cambria Math"/>
        </w:rPr>
        <w:t>𝑡</w:t>
      </w:r>
      <w:r>
        <w:rPr>
          <w:rFonts w:ascii="Cambria Math" w:eastAsia="Cambria Math"/>
          <w:spacing w:val="13"/>
        </w:rPr>
        <w:t> </w:t>
      </w:r>
      <w:r>
        <w:rPr/>
        <w:t>which leads to: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1"/>
        <w:rPr>
          <w:sz w:val="16"/>
        </w:rPr>
      </w:pPr>
    </w:p>
    <w:p>
      <w:pPr>
        <w:spacing w:before="0"/>
        <w:ind w:left="0" w:right="0" w:firstLine="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3"/>
          <w:sz w:val="17"/>
          <w:u w:val="single"/>
        </w:rPr>
        <w:t>𝜆</w:t>
      </w:r>
      <w:r>
        <w:rPr>
          <w:rFonts w:ascii="Cambria Math" w:eastAsia="Cambria Math"/>
          <w:w w:val="110"/>
          <w:sz w:val="14"/>
          <w:u w:val="single"/>
        </w:rPr>
        <w:t>𝑡+1</w:t>
      </w:r>
    </w:p>
    <w:p>
      <w:pPr>
        <w:spacing w:before="35"/>
        <w:ind w:left="0" w:right="91" w:firstLine="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15"/>
          <w:sz w:val="17"/>
        </w:rPr>
        <w:t>𝜆</w:t>
      </w:r>
      <w:r>
        <w:rPr>
          <w:rFonts w:ascii="Cambria Math" w:eastAsia="Cambria Math"/>
          <w:w w:val="115"/>
          <w:position w:val="-2"/>
          <w:sz w:val="14"/>
        </w:rPr>
        <w:t>𝑡</w:t>
      </w:r>
    </w:p>
    <w:p>
      <w:pPr>
        <w:spacing w:line="172" w:lineRule="auto" w:before="216"/>
        <w:ind w:left="-32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w w:val="105"/>
          <w:position w:val="-10"/>
          <w:sz w:val="24"/>
        </w:rPr>
        <w:t>=</w:t>
      </w:r>
      <w:r>
        <w:rPr>
          <w:spacing w:val="1"/>
          <w:w w:val="105"/>
          <w:position w:val="-10"/>
          <w:sz w:val="24"/>
        </w:rPr>
        <w:t> </w:t>
      </w:r>
      <w:r>
        <w:rPr>
          <w:rFonts w:ascii="Cambria Math" w:hAnsi="Cambria Math" w:eastAsia="Cambria Math"/>
          <w:spacing w:val="-3"/>
          <w:w w:val="105"/>
          <w:position w:val="-10"/>
          <w:sz w:val="24"/>
        </w:rPr>
        <w:t>(</w:t>
      </w:r>
      <w:r>
        <w:rPr>
          <w:rFonts w:ascii="Cambria Math" w:hAnsi="Cambria Math" w:eastAsia="Cambria Math"/>
          <w:spacing w:val="-3"/>
          <w:w w:val="105"/>
          <w:position w:val="3"/>
          <w:sz w:val="17"/>
          <w:u w:val="single"/>
        </w:rPr>
        <w:t>𝐶</w:t>
      </w:r>
      <w:r>
        <w:rPr>
          <w:rFonts w:ascii="Cambria Math" w:hAnsi="Cambria Math" w:eastAsia="Cambria Math"/>
          <w:spacing w:val="-3"/>
          <w:w w:val="105"/>
          <w:sz w:val="14"/>
          <w:u w:val="single"/>
        </w:rPr>
        <w:t>𝑅,𝑡+1</w:t>
      </w:r>
      <w:r>
        <w:rPr>
          <w:rFonts w:ascii="Cambria Math" w:hAnsi="Cambria Math" w:eastAsia="Cambria Math"/>
          <w:spacing w:val="-3"/>
          <w:w w:val="105"/>
          <w:position w:val="3"/>
          <w:sz w:val="17"/>
          <w:u w:val="single"/>
        </w:rPr>
        <w:t>−ℎ𝐶</w:t>
      </w:r>
      <w:r>
        <w:rPr>
          <w:rFonts w:ascii="Cambria Math" w:hAnsi="Cambria Math" w:eastAsia="Cambria Math"/>
          <w:spacing w:val="-3"/>
          <w:w w:val="105"/>
          <w:sz w:val="14"/>
          <w:u w:val="single"/>
        </w:rPr>
        <w:t>𝑅,𝑡</w:t>
      </w:r>
    </w:p>
    <w:p>
      <w:pPr>
        <w:spacing w:line="178" w:lineRule="exact" w:before="0"/>
        <w:ind w:left="282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05"/>
          <w:position w:val="3"/>
          <w:sz w:val="17"/>
        </w:rPr>
        <w:t>𝐶</w:t>
      </w:r>
      <w:r>
        <w:rPr>
          <w:rFonts w:ascii="Cambria Math" w:hAnsi="Cambria Math" w:eastAsia="Cambria Math"/>
          <w:w w:val="105"/>
          <w:sz w:val="14"/>
        </w:rPr>
        <w:t>𝑅,𝑡</w:t>
      </w:r>
      <w:r>
        <w:rPr>
          <w:rFonts w:ascii="Cambria Math" w:hAnsi="Cambria Math" w:eastAsia="Cambria Math"/>
          <w:w w:val="105"/>
          <w:position w:val="3"/>
          <w:sz w:val="17"/>
        </w:rPr>
        <w:t>−ℎ𝐶</w:t>
      </w:r>
      <w:r>
        <w:rPr>
          <w:rFonts w:ascii="Cambria Math" w:hAnsi="Cambria Math" w:eastAsia="Cambria Math"/>
          <w:w w:val="105"/>
          <w:sz w:val="14"/>
        </w:rPr>
        <w:t>𝑅,𝑡−1</w:t>
      </w:r>
    </w:p>
    <w:p>
      <w:pPr>
        <w:spacing w:line="136" w:lineRule="auto" w:before="83"/>
        <w:ind w:left="86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sz w:val="17"/>
        </w:rPr>
        <w:t>−𝜎     </w:t>
      </w:r>
      <w:r>
        <w:rPr>
          <w:rFonts w:ascii="Cambria Math" w:hAnsi="Cambria Math" w:eastAsia="Cambria Math"/>
          <w:position w:val="-10"/>
          <w:sz w:val="17"/>
          <w:u w:val="single"/>
        </w:rPr>
        <w:t> </w:t>
      </w:r>
      <w:r>
        <w:rPr>
          <w:rFonts w:ascii="Cambria Math" w:hAnsi="Cambria Math" w:eastAsia="Cambria Math"/>
          <w:spacing w:val="23"/>
          <w:position w:val="-10"/>
          <w:sz w:val="17"/>
          <w:u w:val="single"/>
        </w:rPr>
        <w:t> </w:t>
      </w:r>
      <w:r>
        <w:rPr>
          <w:rFonts w:ascii="Cambria Math" w:hAnsi="Cambria Math" w:eastAsia="Cambria Math"/>
          <w:w w:val="110"/>
          <w:position w:val="-10"/>
          <w:sz w:val="17"/>
          <w:u w:val="single"/>
        </w:rPr>
        <w:t>𝑃</w:t>
      </w:r>
      <w:r>
        <w:rPr>
          <w:rFonts w:ascii="Cambria Math" w:hAnsi="Cambria Math" w:eastAsia="Cambria Math"/>
          <w:w w:val="110"/>
          <w:position w:val="-13"/>
          <w:sz w:val="14"/>
          <w:u w:val="single"/>
        </w:rPr>
        <w:t>𝑡</w:t>
      </w:r>
      <w:r>
        <w:rPr>
          <w:rFonts w:ascii="Cambria Math" w:hAnsi="Cambria Math" w:eastAsia="Cambria Math"/>
          <w:spacing w:val="7"/>
          <w:position w:val="-13"/>
          <w:sz w:val="14"/>
          <w:u w:val="single"/>
        </w:rPr>
        <w:t> </w:t>
      </w:r>
    </w:p>
    <w:p>
      <w:pPr>
        <w:pStyle w:val="BodyText"/>
        <w:spacing w:line="162" w:lineRule="exact"/>
        <w:ind w:left="-32"/>
        <w:rPr>
          <w:rFonts w:ascii="Cambria Math"/>
        </w:rPr>
      </w:pPr>
      <w:r>
        <w:rPr>
          <w:rFonts w:ascii="Cambria Math"/>
          <w:w w:val="119"/>
        </w:rPr>
        <w:t>)</w:t>
      </w:r>
    </w:p>
    <w:p>
      <w:pPr>
        <w:spacing w:line="177" w:lineRule="exact" w:before="0"/>
        <w:ind w:left="506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position w:val="3"/>
          <w:sz w:val="17"/>
        </w:rPr>
        <w:t>𝑃</w:t>
      </w:r>
      <w:r>
        <w:rPr>
          <w:rFonts w:ascii="Cambria Math" w:eastAsia="Cambria Math"/>
          <w:w w:val="105"/>
          <w:sz w:val="14"/>
        </w:rPr>
        <w:t>𝑡+1</w:t>
      </w:r>
    </w:p>
    <w:p>
      <w:pPr>
        <w:pStyle w:val="BodyText"/>
        <w:spacing w:before="2"/>
        <w:rPr>
          <w:rFonts w:ascii="Cambria Math"/>
          <w:sz w:val="22"/>
        </w:rPr>
      </w:pPr>
      <w:r>
        <w:rPr/>
        <w:br w:type="column"/>
      </w:r>
      <w:r>
        <w:rPr>
          <w:rFonts w:ascii="Cambria Math"/>
          <w:sz w:val="22"/>
        </w:rPr>
      </w:r>
    </w:p>
    <w:p>
      <w:pPr>
        <w:pStyle w:val="BodyText"/>
        <w:spacing w:before="1"/>
        <w:ind w:left="500"/>
      </w:pPr>
      <w:r>
        <w:rPr/>
        <w:t>(4.23)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4" w:equalWidth="0">
            <w:col w:w="853" w:space="40"/>
            <w:col w:w="1312" w:space="39"/>
            <w:col w:w="900" w:space="5618"/>
            <w:col w:w="1598"/>
          </w:cols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86"/>
        <w:ind w:left="500"/>
      </w:pPr>
      <w:r>
        <w:rPr/>
        <w:t>The</w:t>
      </w:r>
      <w:r>
        <w:rPr>
          <w:spacing w:val="-2"/>
        </w:rPr>
        <w:t> </w:t>
      </w:r>
      <w:r>
        <w:rPr/>
        <w:t>FOC with respect to</w:t>
      </w:r>
      <w:r>
        <w:rPr>
          <w:spacing w:val="2"/>
        </w:rPr>
        <w:t> </w:t>
      </w:r>
      <w:r>
        <w:rPr/>
        <w:t>labour</w:t>
      </w:r>
      <w:r>
        <w:rPr>
          <w:spacing w:val="-1"/>
        </w:rPr>
        <w:t> </w:t>
      </w:r>
      <w:r>
        <w:rPr/>
        <w:t>supply</w:t>
      </w:r>
      <w:r>
        <w:rPr>
          <w:spacing w:val="-5"/>
        </w:rPr>
        <w:t> </w:t>
      </w:r>
      <w:r>
        <w:rPr/>
        <w:t>is obtained</w:t>
      </w:r>
      <w:r>
        <w:rPr>
          <w:spacing w:val="2"/>
        </w:rPr>
        <w:t> </w:t>
      </w:r>
      <w:r>
        <w:rPr/>
        <w:t>by</w:t>
      </w:r>
      <w:r>
        <w:rPr>
          <w:spacing w:val="-5"/>
        </w:rPr>
        <w:t> </w:t>
      </w:r>
      <w:r>
        <w:rPr/>
        <w:t>taking</w:t>
      </w:r>
      <w:r>
        <w:rPr>
          <w:spacing w:val="-3"/>
        </w:rPr>
        <w:t> </w:t>
      </w:r>
      <w:r>
        <w:rPr/>
        <w:t>the partial</w:t>
      </w:r>
      <w:r>
        <w:rPr>
          <w:spacing w:val="1"/>
        </w:rPr>
        <w:t> </w:t>
      </w:r>
      <w:r>
        <w:rPr/>
        <w:t>derivative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rFonts w:ascii="Cambria Math" w:eastAsia="Cambria Math"/>
        </w:rPr>
        <w:t>𝑁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such that:</w:t>
      </w:r>
    </w:p>
    <w:p>
      <w:pPr>
        <w:spacing w:after="0"/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line="143" w:lineRule="exact" w:before="127"/>
        <w:ind w:left="546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  <w:vertAlign w:val="superscript"/>
        </w:rPr>
        <w:t>𝜕𝑓</w:t>
      </w:r>
      <w:r>
        <w:rPr>
          <w:rFonts w:ascii="Cambria Math" w:hAnsi="Cambria Math" w:eastAsia="Cambria Math"/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:</w:t>
      </w:r>
      <w:r>
        <w:rPr>
          <w:rFonts w:ascii="Cambria Math" w:hAnsi="Cambria Math" w:eastAsia="Cambria Math"/>
          <w:w w:val="105"/>
          <w:vertAlign w:val="baseline"/>
        </w:rPr>
        <w:t>−𝑁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superscript"/>
        </w:rPr>
        <w:t>𝜑</w:t>
      </w:r>
      <w:r>
        <w:rPr>
          <w:w w:val="105"/>
          <w:vertAlign w:val="baseline"/>
        </w:rPr>
        <w:t>+</w:t>
      </w:r>
      <w:r>
        <w:rPr>
          <w:spacing w:val="-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𝜆</w:t>
      </w:r>
      <w:r>
        <w:rPr>
          <w:rFonts w:ascii="Cambria Math" w:hAnsi="Cambria Math" w:eastAsia="Cambria Math"/>
          <w:spacing w:val="30"/>
          <w:w w:val="105"/>
          <w:vertAlign w:val="baseline"/>
        </w:rPr>
        <w:t> </w:t>
      </w:r>
      <w:r>
        <w:rPr>
          <w:rFonts w:ascii="Cambria Math" w:hAnsi="Cambria Math" w:eastAsia="Cambria Math"/>
          <w:spacing w:val="-126"/>
          <w:w w:val="105"/>
          <w:vertAlign w:val="baseline"/>
        </w:rPr>
        <w:t>𝑊</w:t>
      </w:r>
    </w:p>
    <w:p>
      <w:pPr>
        <w:pStyle w:val="BodyText"/>
        <w:spacing w:line="20" w:lineRule="exact"/>
        <w:ind w:left="50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5.15pt;height:.85pt;mso-position-horizontal-relative:char;mso-position-vertical-relative:line" coordorigin="0,0" coordsize="303,17">
            <v:rect style="position:absolute;left:0;top:0;width:303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tabs>
          <w:tab w:pos="7149" w:val="left" w:leader="none"/>
        </w:tabs>
        <w:spacing w:line="143" w:lineRule="exact" w:before="127"/>
        <w:ind w:left="84"/>
      </w:pPr>
      <w:r>
        <w:rPr/>
        <w:br w:type="column"/>
      </w:r>
      <w:r>
        <w:rPr>
          <w:rFonts w:ascii="Cambria Math"/>
        </w:rPr>
        <w:t>=</w:t>
      </w:r>
      <w:r>
        <w:rPr>
          <w:rFonts w:ascii="Cambria Math"/>
          <w:spacing w:val="12"/>
        </w:rPr>
        <w:t> </w:t>
      </w:r>
      <w:r>
        <w:rPr>
          <w:rFonts w:ascii="Cambria Math"/>
        </w:rPr>
        <w:t>0</w:t>
        <w:tab/>
      </w:r>
      <w:r>
        <w:rPr/>
        <w:t>(4.24)</w:t>
      </w:r>
    </w:p>
    <w:p>
      <w:pPr>
        <w:spacing w:after="0" w:line="143" w:lineRule="exact"/>
        <w:sectPr>
          <w:pgSz w:w="12240" w:h="15840"/>
          <w:pgMar w:header="0" w:footer="935" w:top="1380" w:bottom="1200" w:left="940" w:right="940"/>
          <w:cols w:num="2" w:equalWidth="0">
            <w:col w:w="2073" w:space="40"/>
            <w:col w:w="8247"/>
          </w:cols>
        </w:sectPr>
      </w:pPr>
    </w:p>
    <w:p>
      <w:pPr>
        <w:spacing w:before="23"/>
        <w:ind w:left="500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7"/>
        </w:rPr>
        <w:t>𝜕𝑁</w:t>
      </w:r>
      <w:r>
        <w:rPr>
          <w:rFonts w:ascii="Cambria Math" w:eastAsia="Cambria Math"/>
          <w:w w:val="110"/>
          <w:position w:val="-2"/>
          <w:sz w:val="14"/>
        </w:rPr>
        <w:t>𝑡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3"/>
        <w:rPr>
          <w:rFonts w:ascii="Cambria Math"/>
          <w:sz w:val="22"/>
        </w:rPr>
      </w:pPr>
    </w:p>
    <w:p>
      <w:pPr>
        <w:pStyle w:val="BodyText"/>
        <w:spacing w:before="1"/>
        <w:ind w:left="500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𝜆</w:t>
      </w:r>
      <w:r>
        <w:rPr>
          <w:rFonts w:ascii="Cambria Math" w:eastAsia="Cambria Math"/>
          <w:w w:val="105"/>
          <w:vertAlign w:val="subscript"/>
        </w:rPr>
        <w:t>𝑡</w:t>
      </w:r>
      <w:r>
        <w:rPr>
          <w:rFonts w:ascii="Cambria Math" w:eastAsia="Cambria Math"/>
          <w:spacing w:val="5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</w:p>
    <w:p>
      <w:pPr>
        <w:spacing w:line="151" w:lineRule="exact" w:before="0"/>
        <w:ind w:left="34" w:right="0" w:firstLine="0"/>
        <w:jc w:val="center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𝑡</w:t>
      </w:r>
    </w:p>
    <w:p>
      <w:pPr>
        <w:pStyle w:val="BodyText"/>
        <w:rPr>
          <w:rFonts w:ascii="Cambria Math"/>
          <w:sz w:val="16"/>
        </w:rPr>
      </w:pPr>
    </w:p>
    <w:p>
      <w:pPr>
        <w:pStyle w:val="BodyText"/>
        <w:spacing w:before="3"/>
        <w:rPr>
          <w:rFonts w:ascii="Cambria Math"/>
          <w:sz w:val="15"/>
        </w:rPr>
      </w:pPr>
    </w:p>
    <w:p>
      <w:pPr>
        <w:spacing w:before="0"/>
        <w:ind w:left="78" w:right="0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spacing w:val="-1"/>
          <w:w w:val="105"/>
          <w:position w:val="-10"/>
          <w:sz w:val="24"/>
        </w:rPr>
        <w:t>𝑁</w:t>
      </w:r>
      <w:r>
        <w:rPr>
          <w:rFonts w:ascii="Cambria Math" w:eastAsia="Cambria Math"/>
          <w:spacing w:val="-1"/>
          <w:w w:val="105"/>
          <w:position w:val="-15"/>
          <w:sz w:val="17"/>
        </w:rPr>
        <w:t>𝑡</w:t>
      </w:r>
      <w:r>
        <w:rPr>
          <w:rFonts w:ascii="Cambria Math" w:eastAsia="Cambria Math"/>
          <w:spacing w:val="-1"/>
          <w:w w:val="105"/>
          <w:sz w:val="17"/>
        </w:rPr>
        <w:t>𝜑</w:t>
      </w:r>
    </w:p>
    <w:p>
      <w:pPr>
        <w:pStyle w:val="BodyText"/>
        <w:spacing w:line="20" w:lineRule="exact"/>
        <w:ind w:left="78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9.350pt;height:.85pt;mso-position-horizontal-relative:char;mso-position-vertical-relative:line" coordorigin="0,0" coordsize="387,17">
            <v:rect style="position:absolute;left:0;top:0;width:387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before="6"/>
        <w:ind w:left="77"/>
        <w:jc w:val="center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𝑊</w:t>
      </w:r>
      <w:r>
        <w:rPr>
          <w:rFonts w:ascii="Cambria Math" w:eastAsia="Cambria Math"/>
          <w:w w:val="110"/>
          <w:vertAlign w:val="subscript"/>
        </w:rPr>
        <w:t>𝑡</w:t>
      </w:r>
    </w:p>
    <w:p>
      <w:pPr>
        <w:tabs>
          <w:tab w:pos="548" w:val="left" w:leader="none"/>
        </w:tabs>
        <w:spacing w:line="151" w:lineRule="exact" w:before="0"/>
        <w:ind w:left="263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𝑡</w:t>
        <w:tab/>
        <w:t>𝑡</w:t>
      </w:r>
    </w:p>
    <w:p>
      <w:pPr>
        <w:spacing w:after="0" w:line="151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3" w:equalWidth="0">
            <w:col w:w="961" w:space="40"/>
            <w:col w:w="452" w:space="39"/>
            <w:col w:w="8868"/>
          </w:cols>
        </w:sectPr>
      </w:pPr>
    </w:p>
    <w:p>
      <w:pPr>
        <w:pStyle w:val="BodyText"/>
        <w:spacing w:before="3"/>
        <w:rPr>
          <w:rFonts w:ascii="Cambria Math"/>
          <w:sz w:val="21"/>
        </w:rPr>
      </w:pPr>
    </w:p>
    <w:p>
      <w:pPr>
        <w:pStyle w:val="BodyText"/>
        <w:spacing w:before="86"/>
        <w:ind w:left="500"/>
      </w:pPr>
      <w:r>
        <w:rPr/>
        <w:t>As usual, the FOC</w:t>
      </w:r>
      <w:r>
        <w:rPr>
          <w:spacing w:val="1"/>
        </w:rPr>
        <w:t> </w:t>
      </w:r>
      <w:r>
        <w:rPr/>
        <w:t>on financial asset</w:t>
      </w:r>
      <w:r>
        <w:rPr>
          <w:spacing w:val="1"/>
        </w:rPr>
        <w:t> </w:t>
      </w:r>
      <w:r>
        <w:rPr/>
        <w:t>is derived by</w:t>
      </w:r>
      <w:r>
        <w:rPr>
          <w:spacing w:val="-2"/>
        </w:rPr>
        <w:t> </w:t>
      </w:r>
      <w:r>
        <w:rPr/>
        <w:t>taking</w:t>
      </w:r>
      <w:r>
        <w:rPr>
          <w:spacing w:val="-3"/>
        </w:rPr>
        <w:t> </w:t>
      </w:r>
      <w:r>
        <w:rPr/>
        <w:t>the partial</w:t>
      </w:r>
      <w:r>
        <w:rPr>
          <w:spacing w:val="1"/>
        </w:rPr>
        <w:t> </w:t>
      </w:r>
      <w:r>
        <w:rPr/>
        <w:t>derivative of</w:t>
      </w:r>
      <w:r>
        <w:rPr>
          <w:spacing w:val="2"/>
        </w:rPr>
        <w:t> </w:t>
      </w:r>
      <w:r>
        <w:rPr>
          <w:rFonts w:ascii="Cambria Math" w:eastAsia="Cambria Math"/>
        </w:rPr>
        <w:t>𝐷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2"/>
          <w:vertAlign w:val="baseline"/>
        </w:rPr>
        <w:t> </w:t>
      </w:r>
      <w:r>
        <w:rPr>
          <w:vertAlign w:val="baseline"/>
        </w:rPr>
        <w:t>yields:</w:t>
      </w:r>
    </w:p>
    <w:p>
      <w:pPr>
        <w:pStyle w:val="BodyText"/>
        <w:spacing w:before="1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spacing w:before="145"/>
        <w:ind w:left="500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pacing w:val="-3"/>
          <w:w w:val="105"/>
          <w:position w:val="5"/>
          <w:sz w:val="24"/>
        </w:rPr>
        <w:t>𝑄</w:t>
      </w:r>
      <w:r>
        <w:rPr>
          <w:rFonts w:ascii="Cambria Math" w:eastAsia="Cambria Math"/>
          <w:spacing w:val="-3"/>
          <w:w w:val="105"/>
          <w:sz w:val="17"/>
        </w:rPr>
        <w:t>𝑡</w:t>
      </w:r>
      <w:r>
        <w:rPr>
          <w:rFonts w:ascii="Cambria Math" w:eastAsia="Cambria Math"/>
          <w:spacing w:val="-5"/>
          <w:w w:val="105"/>
          <w:sz w:val="17"/>
        </w:rPr>
        <w:t> </w:t>
      </w:r>
      <w:r>
        <w:rPr>
          <w:rFonts w:ascii="Cambria Math" w:eastAsia="Cambria Math"/>
          <w:spacing w:val="-3"/>
          <w:w w:val="105"/>
          <w:sz w:val="17"/>
        </w:rPr>
        <w:t>,𝑡+1</w:t>
      </w:r>
    </w:p>
    <w:p>
      <w:pPr>
        <w:spacing w:line="168" w:lineRule="auto" w:before="111"/>
        <w:ind w:left="34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w w:val="105"/>
          <w:position w:val="-10"/>
          <w:sz w:val="24"/>
        </w:rPr>
        <w:t>=</w:t>
      </w:r>
      <w:r>
        <w:rPr>
          <w:rFonts w:ascii="Cambria Math" w:eastAsia="Cambria Math"/>
          <w:spacing w:val="9"/>
          <w:w w:val="105"/>
          <w:position w:val="-10"/>
          <w:sz w:val="24"/>
        </w:rPr>
        <w:t> </w:t>
      </w:r>
      <w:r>
        <w:rPr>
          <w:rFonts w:ascii="Cambria Math" w:eastAsia="Cambria Math"/>
          <w:w w:val="105"/>
          <w:position w:val="-10"/>
          <w:sz w:val="24"/>
        </w:rPr>
        <w:t>𝛽</w:t>
      </w:r>
      <w:r>
        <w:rPr>
          <w:rFonts w:ascii="Cambria Math" w:eastAsia="Cambria Math"/>
          <w:spacing w:val="39"/>
          <w:w w:val="105"/>
          <w:position w:val="-10"/>
          <w:sz w:val="24"/>
        </w:rPr>
        <w:t> </w:t>
      </w:r>
      <w:r>
        <w:rPr>
          <w:rFonts w:ascii="Cambria Math" w:eastAsia="Cambria Math"/>
          <w:w w:val="105"/>
          <w:position w:val="3"/>
          <w:sz w:val="17"/>
          <w:u w:val="single"/>
        </w:rPr>
        <w:t>𝜆</w:t>
      </w:r>
      <w:r>
        <w:rPr>
          <w:rFonts w:ascii="Cambria Math" w:eastAsia="Cambria Math"/>
          <w:w w:val="105"/>
          <w:sz w:val="14"/>
          <w:u w:val="single"/>
        </w:rPr>
        <w:t>𝑡+1</w:t>
      </w:r>
    </w:p>
    <w:p>
      <w:pPr>
        <w:spacing w:line="175" w:lineRule="exact" w:before="0"/>
        <w:ind w:left="0" w:right="131" w:firstLine="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15"/>
          <w:sz w:val="17"/>
        </w:rPr>
        <w:t>𝜆</w:t>
      </w:r>
      <w:r>
        <w:rPr>
          <w:rFonts w:ascii="Cambria Math" w:eastAsia="Cambria Math"/>
          <w:w w:val="115"/>
          <w:position w:val="-2"/>
          <w:sz w:val="14"/>
        </w:rPr>
        <w:t>𝑡</w:t>
      </w:r>
    </w:p>
    <w:p>
      <w:pPr>
        <w:pStyle w:val="BodyText"/>
        <w:spacing w:before="151"/>
        <w:ind w:left="500"/>
      </w:pPr>
      <w:r>
        <w:rPr/>
        <w:br w:type="column"/>
      </w:r>
      <w:r>
        <w:rPr/>
        <w:t>(4.25)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3" w:equalWidth="0">
            <w:col w:w="1111" w:space="40"/>
            <w:col w:w="918" w:space="6692"/>
            <w:col w:w="1599"/>
          </w:cols>
        </w:sect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90"/>
        <w:ind w:left="500"/>
      </w:pPr>
      <w:r>
        <w:rPr/>
        <w:t>Substitute</w:t>
      </w:r>
      <w:r>
        <w:rPr>
          <w:spacing w:val="-2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(4.23)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(4.25),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becomes:</w:t>
      </w: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tabs>
          <w:tab w:pos="1793" w:val="left" w:leader="none"/>
        </w:tabs>
        <w:spacing w:line="172" w:lineRule="auto" w:before="216"/>
        <w:ind w:left="500" w:right="0" w:firstLine="0"/>
        <w:jc w:val="left"/>
        <w:rPr>
          <w:rFonts w:ascii="Cambria Math" w:hAnsi="Cambria Math" w:eastAsia="Cambria Math"/>
          <w:sz w:val="14"/>
        </w:rPr>
      </w:pPr>
      <w:r>
        <w:rPr/>
        <w:pict>
          <v:shape style="position:absolute;margin-left:79.823997pt;margin-top:14.898296pt;width:56.95pt;height:13.65pt;mso-position-horizontal-relative:page;mso-position-vertical-relative:paragraph;z-index:-21442560" type="#_x0000_t202" filled="false" stroked="false">
            <v:textbox inset="0,0,0,0">
              <w:txbxContent>
                <w:p>
                  <w:pPr>
                    <w:spacing w:line="273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24"/>
                    </w:rPr>
                  </w:pPr>
                  <w:r>
                    <w:rPr>
                      <w:rFonts w:ascii="Cambria Math" w:eastAsia="Cambria Math"/>
                      <w:w w:val="105"/>
                      <w:sz w:val="17"/>
                    </w:rPr>
                    <w:t>𝑡 ,𝑡+1</w:t>
                  </w:r>
                  <w:r>
                    <w:rPr>
                      <w:rFonts w:ascii="Cambria Math" w:eastAsia="Cambria Math"/>
                      <w:spacing w:val="30"/>
                      <w:w w:val="105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w w:val="105"/>
                      <w:position w:val="5"/>
                      <w:sz w:val="24"/>
                    </w:rPr>
                    <w:t>=</w:t>
                  </w:r>
                  <w:r>
                    <w:rPr>
                      <w:rFonts w:ascii="Cambria Math" w:eastAsia="Cambria Math"/>
                      <w:spacing w:val="8"/>
                      <w:w w:val="105"/>
                      <w:position w:val="5"/>
                      <w:sz w:val="24"/>
                    </w:rPr>
                    <w:t> </w:t>
                  </w:r>
                  <w:r>
                    <w:rPr>
                      <w:rFonts w:ascii="Cambria Math" w:eastAsia="Cambria Math"/>
                      <w:w w:val="105"/>
                      <w:position w:val="5"/>
                      <w:sz w:val="24"/>
                    </w:rPr>
                    <w:t>𝛽</w:t>
                  </w:r>
                  <w:r>
                    <w:rPr>
                      <w:rFonts w:ascii="Cambria Math" w:eastAsia="Cambria Math"/>
                      <w:spacing w:val="37"/>
                      <w:w w:val="105"/>
                      <w:position w:val="5"/>
                      <w:sz w:val="24"/>
                    </w:rPr>
                    <w:t> </w:t>
                  </w:r>
                  <w:r>
                    <w:rPr>
                      <w:rFonts w:ascii="Cambria Math" w:eastAsia="Cambria Math"/>
                      <w:w w:val="105"/>
                      <w:position w:val="5"/>
                      <w:sz w:val="24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w w:val="105"/>
          <w:position w:val="-10"/>
          <w:sz w:val="24"/>
        </w:rPr>
        <w:t>𝑄</w:t>
        <w:tab/>
        <w:t> </w:t>
      </w:r>
      <w:r>
        <w:rPr>
          <w:rFonts w:ascii="Cambria Math" w:hAnsi="Cambria Math" w:eastAsia="Cambria Math"/>
          <w:w w:val="105"/>
          <w:position w:val="3"/>
          <w:sz w:val="17"/>
          <w:u w:val="single"/>
        </w:rPr>
        <w:t>𝐶</w:t>
      </w:r>
      <w:r>
        <w:rPr>
          <w:rFonts w:ascii="Cambria Math" w:hAnsi="Cambria Math" w:eastAsia="Cambria Math"/>
          <w:w w:val="105"/>
          <w:sz w:val="14"/>
          <w:u w:val="single"/>
        </w:rPr>
        <w:t>𝑅,𝑡+1</w:t>
      </w:r>
      <w:r>
        <w:rPr>
          <w:rFonts w:ascii="Cambria Math" w:hAnsi="Cambria Math" w:eastAsia="Cambria Math"/>
          <w:w w:val="105"/>
          <w:position w:val="3"/>
          <w:sz w:val="17"/>
          <w:u w:val="single"/>
        </w:rPr>
        <w:t>−ℎ𝐶</w:t>
      </w:r>
      <w:r>
        <w:rPr>
          <w:rFonts w:ascii="Cambria Math" w:hAnsi="Cambria Math" w:eastAsia="Cambria Math"/>
          <w:w w:val="105"/>
          <w:sz w:val="14"/>
          <w:u w:val="single"/>
        </w:rPr>
        <w:t>𝑅,𝑡</w:t>
      </w:r>
    </w:p>
    <w:p>
      <w:pPr>
        <w:spacing w:line="178" w:lineRule="exact" w:before="0"/>
        <w:ind w:left="1793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05"/>
          <w:position w:val="3"/>
          <w:sz w:val="17"/>
        </w:rPr>
        <w:t>𝐶</w:t>
      </w:r>
      <w:r>
        <w:rPr>
          <w:rFonts w:ascii="Cambria Math" w:hAnsi="Cambria Math" w:eastAsia="Cambria Math"/>
          <w:w w:val="105"/>
          <w:sz w:val="14"/>
        </w:rPr>
        <w:t>𝑅,𝑡</w:t>
      </w:r>
      <w:r>
        <w:rPr>
          <w:rFonts w:ascii="Cambria Math" w:hAnsi="Cambria Math" w:eastAsia="Cambria Math"/>
          <w:w w:val="105"/>
          <w:position w:val="3"/>
          <w:sz w:val="17"/>
        </w:rPr>
        <w:t>−ℎ𝐶</w:t>
      </w:r>
      <w:r>
        <w:rPr>
          <w:rFonts w:ascii="Cambria Math" w:hAnsi="Cambria Math" w:eastAsia="Cambria Math"/>
          <w:w w:val="105"/>
          <w:sz w:val="14"/>
        </w:rPr>
        <w:t>𝑅,𝑡−1</w:t>
      </w:r>
    </w:p>
    <w:p>
      <w:pPr>
        <w:spacing w:line="136" w:lineRule="auto" w:before="84"/>
        <w:ind w:left="86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sz w:val="17"/>
        </w:rPr>
        <w:t>−𝜎     </w:t>
      </w:r>
      <w:r>
        <w:rPr>
          <w:rFonts w:ascii="Cambria Math" w:hAnsi="Cambria Math" w:eastAsia="Cambria Math"/>
          <w:position w:val="-10"/>
          <w:sz w:val="17"/>
          <w:u w:val="single"/>
        </w:rPr>
        <w:t> </w:t>
      </w:r>
      <w:r>
        <w:rPr>
          <w:rFonts w:ascii="Cambria Math" w:hAnsi="Cambria Math" w:eastAsia="Cambria Math"/>
          <w:spacing w:val="23"/>
          <w:position w:val="-10"/>
          <w:sz w:val="17"/>
          <w:u w:val="single"/>
        </w:rPr>
        <w:t> </w:t>
      </w:r>
      <w:r>
        <w:rPr>
          <w:rFonts w:ascii="Cambria Math" w:hAnsi="Cambria Math" w:eastAsia="Cambria Math"/>
          <w:w w:val="110"/>
          <w:position w:val="-10"/>
          <w:sz w:val="17"/>
          <w:u w:val="single"/>
        </w:rPr>
        <w:t>𝑃</w:t>
      </w:r>
      <w:r>
        <w:rPr>
          <w:rFonts w:ascii="Cambria Math" w:hAnsi="Cambria Math" w:eastAsia="Cambria Math"/>
          <w:w w:val="110"/>
          <w:position w:val="-13"/>
          <w:sz w:val="14"/>
          <w:u w:val="single"/>
        </w:rPr>
        <w:t>𝑡</w:t>
      </w:r>
      <w:r>
        <w:rPr>
          <w:rFonts w:ascii="Cambria Math" w:hAnsi="Cambria Math" w:eastAsia="Cambria Math"/>
          <w:spacing w:val="7"/>
          <w:position w:val="-13"/>
          <w:sz w:val="14"/>
          <w:u w:val="single"/>
        </w:rPr>
        <w:t> </w:t>
      </w:r>
    </w:p>
    <w:p>
      <w:pPr>
        <w:pStyle w:val="BodyText"/>
        <w:spacing w:line="162" w:lineRule="exact"/>
        <w:ind w:left="-34"/>
        <w:rPr>
          <w:rFonts w:ascii="Cambria Math"/>
        </w:rPr>
      </w:pPr>
      <w:r>
        <w:rPr>
          <w:rFonts w:ascii="Cambria Math"/>
          <w:w w:val="119"/>
        </w:rPr>
        <w:t>)</w:t>
      </w:r>
    </w:p>
    <w:p>
      <w:pPr>
        <w:spacing w:line="177" w:lineRule="exact" w:before="0"/>
        <w:ind w:left="506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position w:val="3"/>
          <w:sz w:val="17"/>
        </w:rPr>
        <w:t>𝑃</w:t>
      </w:r>
      <w:r>
        <w:rPr>
          <w:rFonts w:ascii="Cambria Math" w:eastAsia="Cambria Math"/>
          <w:w w:val="105"/>
          <w:sz w:val="14"/>
        </w:rPr>
        <w:t>𝑡+1</w:t>
      </w:r>
    </w:p>
    <w:p>
      <w:pPr>
        <w:pStyle w:val="BodyText"/>
        <w:spacing w:before="3"/>
        <w:rPr>
          <w:rFonts w:ascii="Cambria Math"/>
          <w:sz w:val="22"/>
        </w:rPr>
      </w:pPr>
      <w:r>
        <w:rPr/>
        <w:br w:type="column"/>
      </w:r>
      <w:r>
        <w:rPr>
          <w:rFonts w:ascii="Cambria Math"/>
          <w:sz w:val="22"/>
        </w:rPr>
      </w:r>
    </w:p>
    <w:p>
      <w:pPr>
        <w:pStyle w:val="BodyText"/>
        <w:ind w:left="500"/>
      </w:pPr>
      <w:r>
        <w:rPr/>
        <w:t>(4.26)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3" w:equalWidth="0">
            <w:col w:w="2825" w:space="40"/>
            <w:col w:w="900" w:space="4996"/>
            <w:col w:w="1599"/>
          </w:cols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90"/>
        <w:ind w:left="500"/>
      </w:pPr>
      <w:r>
        <w:rPr/>
        <w:t>Take</w:t>
      </w:r>
      <w:r>
        <w:rPr>
          <w:spacing w:val="-2"/>
        </w:rPr>
        <w:t> </w:t>
      </w:r>
      <w:r>
        <w:rPr/>
        <w:t>expectations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sides of</w:t>
      </w:r>
      <w:r>
        <w:rPr>
          <w:spacing w:val="-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(4.26).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becomes:</w:t>
      </w: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10"/>
        <w:rPr>
          <w:sz w:val="15"/>
        </w:rPr>
      </w:pPr>
    </w:p>
    <w:p>
      <w:pPr>
        <w:spacing w:line="88" w:lineRule="exact" w:before="0"/>
        <w:ind w:left="0" w:right="0" w:firstLine="0"/>
        <w:jc w:val="righ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05"/>
          <w:position w:val="3"/>
          <w:sz w:val="17"/>
          <w:u w:val="single"/>
        </w:rPr>
        <w:t>𝐶</w:t>
      </w:r>
      <w:r>
        <w:rPr>
          <w:rFonts w:ascii="Cambria Math" w:hAnsi="Cambria Math" w:eastAsia="Cambria Math"/>
          <w:w w:val="105"/>
          <w:sz w:val="14"/>
          <w:u w:val="single"/>
        </w:rPr>
        <w:t>𝑅,𝑡+1</w:t>
      </w:r>
      <w:r>
        <w:rPr>
          <w:rFonts w:ascii="Cambria Math" w:hAnsi="Cambria Math" w:eastAsia="Cambria Math"/>
          <w:w w:val="105"/>
          <w:position w:val="3"/>
          <w:sz w:val="17"/>
          <w:u w:val="single"/>
        </w:rPr>
        <w:t>−ℎ𝐶</w:t>
      </w:r>
      <w:r>
        <w:rPr>
          <w:rFonts w:ascii="Cambria Math" w:hAnsi="Cambria Math" w:eastAsia="Cambria Math"/>
          <w:w w:val="105"/>
          <w:sz w:val="14"/>
          <w:u w:val="single"/>
        </w:rPr>
        <w:t>𝑅,𝑡</w:t>
      </w:r>
    </w:p>
    <w:p>
      <w:pPr>
        <w:spacing w:line="52" w:lineRule="auto" w:before="93"/>
        <w:ind w:left="86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sz w:val="17"/>
        </w:rPr>
        <w:t>−𝜎     </w:t>
      </w:r>
      <w:r>
        <w:rPr>
          <w:rFonts w:ascii="Cambria Math" w:hAnsi="Cambria Math" w:eastAsia="Cambria Math"/>
          <w:position w:val="-10"/>
          <w:sz w:val="17"/>
          <w:u w:val="single"/>
        </w:rPr>
        <w:t> </w:t>
      </w:r>
      <w:r>
        <w:rPr>
          <w:rFonts w:ascii="Cambria Math" w:hAnsi="Cambria Math" w:eastAsia="Cambria Math"/>
          <w:spacing w:val="23"/>
          <w:position w:val="-10"/>
          <w:sz w:val="17"/>
          <w:u w:val="single"/>
        </w:rPr>
        <w:t> </w:t>
      </w:r>
      <w:r>
        <w:rPr>
          <w:rFonts w:ascii="Cambria Math" w:hAnsi="Cambria Math" w:eastAsia="Cambria Math"/>
          <w:w w:val="110"/>
          <w:position w:val="-10"/>
          <w:sz w:val="17"/>
          <w:u w:val="single"/>
        </w:rPr>
        <w:t>𝑃</w:t>
      </w:r>
      <w:r>
        <w:rPr>
          <w:rFonts w:ascii="Cambria Math" w:hAnsi="Cambria Math" w:eastAsia="Cambria Math"/>
          <w:w w:val="110"/>
          <w:position w:val="-13"/>
          <w:sz w:val="14"/>
          <w:u w:val="single"/>
        </w:rPr>
        <w:t>𝑡</w:t>
      </w:r>
      <w:r>
        <w:rPr>
          <w:rFonts w:ascii="Cambria Math" w:hAnsi="Cambria Math" w:eastAsia="Cambria Math"/>
          <w:spacing w:val="7"/>
          <w:position w:val="-13"/>
          <w:sz w:val="14"/>
          <w:u w:val="single"/>
        </w:rPr>
        <w:t> </w:t>
      </w:r>
    </w:p>
    <w:p>
      <w:pPr>
        <w:spacing w:after="0" w:line="52" w:lineRule="auto"/>
        <w:jc w:val="left"/>
        <w:rPr>
          <w:rFonts w:ascii="Cambria Math" w:hAnsi="Cambria Math" w:eastAsia="Cambria Math"/>
          <w:sz w:val="14"/>
        </w:rPr>
        <w:sectPr>
          <w:type w:val="continuous"/>
          <w:pgSz w:w="12240" w:h="15840"/>
          <w:pgMar w:top="1500" w:bottom="1120" w:left="940" w:right="940"/>
          <w:cols w:num="2" w:equalWidth="0">
            <w:col w:w="3315" w:space="40"/>
            <w:col w:w="7005"/>
          </w:cols>
        </w:sectPr>
      </w:pPr>
    </w:p>
    <w:p>
      <w:pPr>
        <w:pStyle w:val="BodyText"/>
        <w:tabs>
          <w:tab w:pos="3323" w:val="left" w:leader="none"/>
        </w:tabs>
        <w:spacing w:line="222" w:lineRule="exact"/>
        <w:ind w:left="500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𝐸</w:t>
      </w:r>
      <w:r>
        <w:rPr>
          <w:rFonts w:ascii="Cambria Math" w:eastAsia="Cambria Math"/>
          <w:w w:val="105"/>
          <w:vertAlign w:val="subscript"/>
        </w:rPr>
        <w:t>𝑡</w:t>
      </w:r>
      <w:r>
        <w:rPr>
          <w:rFonts w:ascii="Cambria Math" w:eastAsia="Cambria Math"/>
          <w:w w:val="105"/>
          <w:vertAlign w:val="baseline"/>
        </w:rPr>
        <w:t>𝑄</w:t>
      </w:r>
      <w:r>
        <w:rPr>
          <w:rFonts w:ascii="Cambria Math" w:eastAsia="Cambria Math"/>
          <w:w w:val="105"/>
          <w:vertAlign w:val="subscript"/>
        </w:rPr>
        <w:t>𝑡</w:t>
      </w:r>
      <w:r>
        <w:rPr>
          <w:rFonts w:ascii="Cambria Math" w:eastAsia="Cambria Math"/>
          <w:spacing w:val="-13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subscript"/>
        </w:rPr>
        <w:t>,𝑡+1</w:t>
      </w:r>
      <w:r>
        <w:rPr>
          <w:rFonts w:ascii="Cambria Math" w:eastAsia="Cambria Math"/>
          <w:spacing w:val="2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1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𝛽𝐸</w:t>
      </w:r>
      <w:r>
        <w:rPr>
          <w:rFonts w:ascii="Cambria Math" w:eastAsia="Cambria Math"/>
          <w:w w:val="105"/>
          <w:vertAlign w:val="subscript"/>
        </w:rPr>
        <w:t>𝑡</w:t>
      </w:r>
      <w:r>
        <w:rPr>
          <w:rFonts w:ascii="Cambria Math" w:eastAsia="Cambria Math"/>
          <w:spacing w:val="-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[(</w:t>
        <w:tab/>
      </w:r>
      <w:r>
        <w:rPr>
          <w:rFonts w:ascii="Cambria Math" w:eastAsia="Cambria Math"/>
          <w:w w:val="110"/>
          <w:vertAlign w:val="baseline"/>
        </w:rPr>
        <w:t>)</w:t>
      </w:r>
    </w:p>
    <w:p>
      <w:pPr>
        <w:spacing w:line="177" w:lineRule="exact" w:before="0"/>
        <w:ind w:left="2286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05"/>
          <w:position w:val="3"/>
          <w:sz w:val="17"/>
        </w:rPr>
        <w:t>𝐶</w:t>
      </w:r>
      <w:r>
        <w:rPr>
          <w:rFonts w:ascii="Cambria Math" w:hAnsi="Cambria Math" w:eastAsia="Cambria Math"/>
          <w:w w:val="105"/>
          <w:sz w:val="14"/>
        </w:rPr>
        <w:t>𝑅,𝑡</w:t>
      </w:r>
      <w:r>
        <w:rPr>
          <w:rFonts w:ascii="Cambria Math" w:hAnsi="Cambria Math" w:eastAsia="Cambria Math"/>
          <w:w w:val="105"/>
          <w:position w:val="3"/>
          <w:sz w:val="17"/>
        </w:rPr>
        <w:t>−ℎ𝐶</w:t>
      </w:r>
      <w:r>
        <w:rPr>
          <w:rFonts w:ascii="Cambria Math" w:hAnsi="Cambria Math" w:eastAsia="Cambria Math"/>
          <w:w w:val="105"/>
          <w:sz w:val="14"/>
        </w:rPr>
        <w:t>𝑅,𝑡−1</w:t>
      </w:r>
    </w:p>
    <w:p>
      <w:pPr>
        <w:spacing w:before="176"/>
        <w:ind w:left="379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pacing w:val="-4"/>
          <w:w w:val="105"/>
          <w:position w:val="3"/>
          <w:sz w:val="17"/>
        </w:rPr>
        <w:t>𝑃</w:t>
      </w:r>
      <w:r>
        <w:rPr>
          <w:rFonts w:ascii="Cambria Math" w:eastAsia="Cambria Math"/>
          <w:spacing w:val="-4"/>
          <w:w w:val="105"/>
          <w:sz w:val="14"/>
        </w:rPr>
        <w:t>𝑡+1</w:t>
      </w:r>
    </w:p>
    <w:p>
      <w:pPr>
        <w:pStyle w:val="BodyText"/>
        <w:tabs>
          <w:tab w:pos="5016" w:val="left" w:leader="none"/>
        </w:tabs>
        <w:spacing w:line="268" w:lineRule="exact"/>
        <w:ind w:left="-32"/>
      </w:pPr>
      <w:r>
        <w:rPr/>
        <w:br w:type="column"/>
      </w:r>
      <w:r>
        <w:rPr>
          <w:rFonts w:ascii="Cambria Math"/>
          <w:w w:val="105"/>
        </w:rPr>
        <w:t>]</w:t>
        <w:tab/>
      </w:r>
      <w:r>
        <w:rPr>
          <w:w w:val="105"/>
        </w:rPr>
        <w:t>(4.27)</w:t>
      </w:r>
    </w:p>
    <w:p>
      <w:pPr>
        <w:spacing w:after="0" w:line="268" w:lineRule="exact"/>
        <w:sectPr>
          <w:type w:val="continuous"/>
          <w:pgSz w:w="12240" w:h="15840"/>
          <w:pgMar w:top="1500" w:bottom="1120" w:left="940" w:right="940"/>
          <w:cols w:num="3" w:equalWidth="0">
            <w:col w:w="3442" w:space="40"/>
            <w:col w:w="724" w:space="39"/>
            <w:col w:w="6115"/>
          </w:cols>
        </w:sectPr>
      </w:pP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line="143" w:lineRule="exact" w:before="147"/>
        <w:ind w:left="500"/>
        <w:rPr>
          <w:rFonts w:ascii="Cambria Math" w:eastAsia="Cambria Math"/>
        </w:rPr>
      </w:pPr>
      <w:r>
        <w:rPr/>
        <w:t>Where</w:t>
      </w:r>
      <w:r>
        <w:rPr>
          <w:spacing w:val="-2"/>
        </w:rPr>
        <w:t> </w:t>
      </w:r>
      <w:r>
        <w:rPr>
          <w:rFonts w:ascii="Cambria Math" w:eastAsia="Cambria Math"/>
        </w:rPr>
        <w:t>𝐸</w:t>
      </w:r>
      <w:r>
        <w:rPr>
          <w:rFonts w:ascii="Cambria Math" w:eastAsia="Cambria Math"/>
          <w:spacing w:val="26"/>
        </w:rPr>
        <w:t> </w:t>
      </w:r>
      <w:r>
        <w:rPr>
          <w:rFonts w:ascii="Cambria Math" w:eastAsia="Cambria Math"/>
          <w:spacing w:val="-159"/>
        </w:rPr>
        <w:t>𝑄</w:t>
      </w:r>
    </w:p>
    <w:p>
      <w:pPr>
        <w:pStyle w:val="BodyText"/>
        <w:tabs>
          <w:tab w:pos="1447" w:val="left" w:leader="none"/>
        </w:tabs>
        <w:spacing w:line="217" w:lineRule="exact" w:before="73"/>
        <w:ind w:left="481"/>
      </w:pPr>
      <w:r>
        <w:rPr/>
        <w:br w:type="column"/>
      </w:r>
      <w:r>
        <w:rPr>
          <w:rFonts w:ascii="Cambria Math" w:hAnsi="Cambria Math" w:eastAsia="Cambria Math"/>
        </w:rPr>
        <w:t>≡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𝑄</w:t>
      </w:r>
      <w:r>
        <w:rPr>
          <w:rFonts w:ascii="Cambria Math" w:hAnsi="Cambria Math" w:eastAsia="Cambria Math"/>
          <w:spacing w:val="96"/>
        </w:rPr>
        <w:t> </w:t>
      </w:r>
      <w:r>
        <w:rPr>
          <w:rFonts w:ascii="Cambria Math" w:hAnsi="Cambria Math" w:eastAsia="Cambria Math"/>
        </w:rPr>
        <w:t>=</w:t>
        <w:tab/>
      </w:r>
      <w:r>
        <w:rPr>
          <w:rFonts w:ascii="Cambria Math" w:hAnsi="Cambria Math" w:eastAsia="Cambria Math"/>
          <w:position w:val="14"/>
          <w:sz w:val="17"/>
        </w:rPr>
        <w:t>1  </w:t>
      </w:r>
      <w:r>
        <w:rPr>
          <w:rFonts w:ascii="Cambria Math" w:hAnsi="Cambria Math" w:eastAsia="Cambria Math"/>
          <w:spacing w:val="2"/>
          <w:position w:val="14"/>
          <w:sz w:val="17"/>
        </w:rPr>
        <w:t> </w:t>
      </w:r>
      <w:r>
        <w:rPr/>
        <w:t>. This is substituted</w:t>
      </w:r>
      <w:r>
        <w:rPr>
          <w:spacing w:val="-1"/>
        </w:rPr>
        <w:t> </w:t>
      </w:r>
      <w:r>
        <w:rPr/>
        <w:t>into equation (4.27) which can then be</w:t>
      </w:r>
      <w:r>
        <w:rPr>
          <w:spacing w:val="-1"/>
        </w:rPr>
        <w:t> </w:t>
      </w:r>
      <w:r>
        <w:rPr/>
        <w:t>re-</w:t>
      </w:r>
    </w:p>
    <w:p>
      <w:pPr>
        <w:pStyle w:val="BodyText"/>
        <w:spacing w:line="20" w:lineRule="exact"/>
        <w:ind w:left="1336"/>
        <w:rPr>
          <w:sz w:val="2"/>
        </w:rPr>
      </w:pPr>
      <w:r>
        <w:rPr>
          <w:sz w:val="2"/>
        </w:rPr>
        <w:pict>
          <v:group style="width:16.1pt;height:.85pt;mso-position-horizontal-relative:char;mso-position-vertical-relative:line" coordorigin="0,0" coordsize="322,17">
            <v:rect style="position:absolute;left:0;top:0;width:322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500" w:bottom="1120" w:left="940" w:right="940"/>
          <w:cols w:num="2" w:equalWidth="0">
            <w:col w:w="1590" w:space="40"/>
            <w:col w:w="8730"/>
          </w:cols>
        </w:sectPr>
      </w:pPr>
    </w:p>
    <w:p>
      <w:pPr>
        <w:spacing w:line="151" w:lineRule="exact" w:before="0"/>
        <w:ind w:left="133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𝑡   </w:t>
      </w:r>
      <w:r>
        <w:rPr>
          <w:rFonts w:ascii="Cambria Math" w:eastAsia="Cambria Math"/>
          <w:spacing w:val="18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𝑡</w:t>
      </w:r>
      <w:r>
        <w:rPr>
          <w:rFonts w:ascii="Cambria Math" w:eastAsia="Cambria Math"/>
          <w:spacing w:val="-7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,𝑡+1</w:t>
      </w:r>
    </w:p>
    <w:p>
      <w:pPr>
        <w:pStyle w:val="BodyText"/>
        <w:rPr>
          <w:rFonts w:ascii="Cambria Math"/>
          <w:sz w:val="18"/>
        </w:rPr>
      </w:pPr>
    </w:p>
    <w:p>
      <w:pPr>
        <w:pStyle w:val="BodyText"/>
        <w:ind w:left="500"/>
      </w:pPr>
      <w:r>
        <w:rPr/>
        <w:t>written</w:t>
      </w:r>
      <w:r>
        <w:rPr>
          <w:spacing w:val="-2"/>
        </w:rPr>
        <w:t> </w:t>
      </w:r>
      <w:r>
        <w:rPr/>
        <w:t>as:</w:t>
      </w:r>
    </w:p>
    <w:p>
      <w:pPr>
        <w:tabs>
          <w:tab w:pos="889" w:val="left" w:leader="none"/>
        </w:tabs>
        <w:spacing w:line="240" w:lineRule="auto" w:before="0"/>
        <w:ind w:left="435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position w:val="7"/>
          <w:sz w:val="17"/>
        </w:rPr>
        <w:t>𝑡</w:t>
        <w:tab/>
      </w:r>
      <w:r>
        <w:rPr>
          <w:rFonts w:ascii="Cambria Math" w:eastAsia="Cambria Math"/>
          <w:w w:val="110"/>
          <w:sz w:val="17"/>
        </w:rPr>
        <w:t>(𝑅</w:t>
      </w:r>
      <w:r>
        <w:rPr>
          <w:rFonts w:ascii="Cambria Math" w:eastAsia="Cambria Math"/>
          <w:w w:val="110"/>
          <w:position w:val="-2"/>
          <w:sz w:val="14"/>
        </w:rPr>
        <w:t>𝑡</w:t>
      </w:r>
      <w:r>
        <w:rPr>
          <w:rFonts w:ascii="Cambria Math" w:eastAsia="Cambria Math"/>
          <w:w w:val="110"/>
          <w:sz w:val="17"/>
        </w:rPr>
        <w:t>)</w:t>
      </w:r>
    </w:p>
    <w:p>
      <w:pPr>
        <w:spacing w:after="0" w:line="240" w:lineRule="auto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2" w:equalWidth="0">
            <w:col w:w="2037" w:space="40"/>
            <w:col w:w="8283"/>
          </w:cols>
        </w:sectPr>
      </w:pPr>
    </w:p>
    <w:p>
      <w:pPr>
        <w:pStyle w:val="BodyText"/>
        <w:spacing w:before="8"/>
        <w:rPr>
          <w:rFonts w:ascii="Cambria Math"/>
          <w:sz w:val="17"/>
        </w:rPr>
      </w:pPr>
    </w:p>
    <w:p>
      <w:pPr>
        <w:spacing w:before="0"/>
        <w:ind w:left="1722" w:right="0" w:firstLine="0"/>
        <w:jc w:val="left"/>
        <w:rPr>
          <w:rFonts w:ascii="Cambria Math" w:hAnsi="Cambria Math" w:eastAsia="Cambria Math"/>
          <w:sz w:val="14"/>
        </w:rPr>
      </w:pPr>
      <w:r>
        <w:rPr/>
        <w:pict>
          <v:shape style="position:absolute;margin-left:72.024002pt;margin-top:5.750972pt;width:61.15pt;height:12.05pt;mso-position-horizontal-relative:page;mso-position-vertical-relative:paragraph;z-index:15753728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</w:rPr>
                    <w:t>1</w:t>
                  </w:r>
                  <w:r>
                    <w:rPr>
                      <w:rFonts w:ascii="Cambria Math" w:eastAsia="Cambria Math"/>
                      <w:spacing w:val="14"/>
                    </w:rPr>
                    <w:t> </w:t>
                  </w:r>
                  <w:r>
                    <w:rPr>
                      <w:rFonts w:ascii="Cambria Math" w:eastAsia="Cambria Math"/>
                    </w:rPr>
                    <w:t>=</w:t>
                  </w:r>
                  <w:r>
                    <w:rPr>
                      <w:rFonts w:ascii="Cambria Math" w:eastAsia="Cambria Math"/>
                      <w:spacing w:val="16"/>
                    </w:rPr>
                    <w:t> </w:t>
                  </w:r>
                  <w:r>
                    <w:rPr>
                      <w:rFonts w:ascii="Cambria Math" w:eastAsia="Cambria Math"/>
                    </w:rPr>
                    <w:t>𝛽𝑅</w:t>
                  </w:r>
                  <w:r>
                    <w:rPr>
                      <w:rFonts w:ascii="Cambria Math" w:eastAsia="Cambria Math"/>
                      <w:spacing w:val="35"/>
                    </w:rPr>
                    <w:t> </w:t>
                  </w:r>
                  <w:r>
                    <w:rPr>
                      <w:rFonts w:ascii="Cambria Math" w:eastAsia="Cambria Math"/>
                    </w:rPr>
                    <w:t>𝐸</w:t>
                  </w:r>
                  <w:r>
                    <w:rPr>
                      <w:rFonts w:ascii="Cambria Math" w:eastAsia="Cambria Math"/>
                      <w:spacing w:val="65"/>
                    </w:rPr>
                    <w:t> </w:t>
                  </w:r>
                  <w:r>
                    <w:rPr>
                      <w:rFonts w:ascii="Cambria Math" w:eastAsia="Cambria Math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339996pt;margin-top:10.861225pt;width:15.2pt;height:8.550pt;mso-position-horizontal-relative:page;mso-position-vertical-relative:paragraph;z-index:15754240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  </w:t>
                  </w:r>
                  <w:r>
                    <w:rPr>
                      <w:rFonts w:ascii="Cambria Math" w:eastAsia="Cambria Math"/>
                      <w:spacing w:val="37"/>
                      <w:w w:val="110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spacing w:val="-153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w w:val="105"/>
          <w:position w:val="3"/>
          <w:sz w:val="17"/>
          <w:u w:val="single"/>
        </w:rPr>
        <w:t>𝐶</w:t>
      </w:r>
      <w:r>
        <w:rPr>
          <w:rFonts w:ascii="Cambria Math" w:hAnsi="Cambria Math" w:eastAsia="Cambria Math"/>
          <w:w w:val="105"/>
          <w:sz w:val="14"/>
          <w:u w:val="single"/>
        </w:rPr>
        <w:t>𝑅,𝑡+1</w:t>
      </w:r>
      <w:r>
        <w:rPr>
          <w:rFonts w:ascii="Cambria Math" w:hAnsi="Cambria Math" w:eastAsia="Cambria Math"/>
          <w:w w:val="105"/>
          <w:position w:val="3"/>
          <w:sz w:val="17"/>
          <w:u w:val="single"/>
        </w:rPr>
        <w:t>−ℎ𝐶</w:t>
      </w:r>
      <w:r>
        <w:rPr>
          <w:rFonts w:ascii="Cambria Math" w:hAnsi="Cambria Math" w:eastAsia="Cambria Math"/>
          <w:w w:val="105"/>
          <w:sz w:val="14"/>
          <w:u w:val="single"/>
        </w:rPr>
        <w:t>𝑅,𝑡</w:t>
      </w:r>
    </w:p>
    <w:p>
      <w:pPr>
        <w:spacing w:before="42"/>
        <w:ind w:left="1722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05"/>
          <w:position w:val="3"/>
          <w:sz w:val="17"/>
        </w:rPr>
        <w:t>𝐶</w:t>
      </w:r>
      <w:r>
        <w:rPr>
          <w:rFonts w:ascii="Cambria Math" w:hAnsi="Cambria Math" w:eastAsia="Cambria Math"/>
          <w:w w:val="105"/>
          <w:sz w:val="14"/>
        </w:rPr>
        <w:t>𝑅,𝑡</w:t>
      </w:r>
      <w:r>
        <w:rPr>
          <w:rFonts w:ascii="Cambria Math" w:hAnsi="Cambria Math" w:eastAsia="Cambria Math"/>
          <w:w w:val="105"/>
          <w:position w:val="3"/>
          <w:sz w:val="17"/>
        </w:rPr>
        <w:t>−ℎ𝐶</w:t>
      </w:r>
      <w:r>
        <w:rPr>
          <w:rFonts w:ascii="Cambria Math" w:hAnsi="Cambria Math" w:eastAsia="Cambria Math"/>
          <w:w w:val="105"/>
          <w:sz w:val="14"/>
        </w:rPr>
        <w:t>𝑅,𝑡−1</w:t>
      </w:r>
    </w:p>
    <w:p>
      <w:pPr>
        <w:spacing w:line="136" w:lineRule="auto" w:before="108"/>
        <w:ind w:left="86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sz w:val="17"/>
        </w:rPr>
        <w:t>−𝜎     </w:t>
      </w:r>
      <w:r>
        <w:rPr>
          <w:rFonts w:ascii="Cambria Math" w:hAnsi="Cambria Math" w:eastAsia="Cambria Math"/>
          <w:position w:val="-10"/>
          <w:sz w:val="17"/>
          <w:u w:val="single"/>
        </w:rPr>
        <w:t> </w:t>
      </w:r>
      <w:r>
        <w:rPr>
          <w:rFonts w:ascii="Cambria Math" w:hAnsi="Cambria Math" w:eastAsia="Cambria Math"/>
          <w:spacing w:val="24"/>
          <w:position w:val="-10"/>
          <w:sz w:val="17"/>
          <w:u w:val="single"/>
        </w:rPr>
        <w:t> </w:t>
      </w:r>
      <w:r>
        <w:rPr>
          <w:rFonts w:ascii="Cambria Math" w:hAnsi="Cambria Math" w:eastAsia="Cambria Math"/>
          <w:w w:val="110"/>
          <w:position w:val="-10"/>
          <w:sz w:val="17"/>
          <w:u w:val="single"/>
        </w:rPr>
        <w:t>𝑃</w:t>
      </w:r>
      <w:r>
        <w:rPr>
          <w:rFonts w:ascii="Cambria Math" w:hAnsi="Cambria Math" w:eastAsia="Cambria Math"/>
          <w:w w:val="110"/>
          <w:position w:val="-13"/>
          <w:sz w:val="14"/>
          <w:u w:val="single"/>
        </w:rPr>
        <w:t>𝑡</w:t>
      </w:r>
      <w:r>
        <w:rPr>
          <w:rFonts w:ascii="Cambria Math" w:hAnsi="Cambria Math" w:eastAsia="Cambria Math"/>
          <w:spacing w:val="7"/>
          <w:position w:val="-13"/>
          <w:sz w:val="14"/>
          <w:u w:val="single"/>
        </w:rPr>
        <w:t> </w:t>
      </w:r>
    </w:p>
    <w:p>
      <w:pPr>
        <w:pStyle w:val="BodyText"/>
        <w:spacing w:line="162" w:lineRule="exact"/>
        <w:ind w:left="-32"/>
        <w:rPr>
          <w:rFonts w:ascii="Cambria Math"/>
        </w:rPr>
      </w:pPr>
      <w:r>
        <w:rPr>
          <w:rFonts w:ascii="Cambria Math"/>
          <w:w w:val="119"/>
        </w:rPr>
        <w:t>)</w:t>
      </w:r>
    </w:p>
    <w:p>
      <w:pPr>
        <w:spacing w:line="177" w:lineRule="exact" w:before="0"/>
        <w:ind w:left="506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position w:val="3"/>
          <w:sz w:val="17"/>
        </w:rPr>
        <w:t>𝑃</w:t>
      </w:r>
      <w:r>
        <w:rPr>
          <w:rFonts w:ascii="Cambria Math" w:eastAsia="Cambria Math"/>
          <w:w w:val="105"/>
          <w:sz w:val="14"/>
        </w:rPr>
        <w:t>𝑡+1</w:t>
      </w:r>
    </w:p>
    <w:p>
      <w:pPr>
        <w:pStyle w:val="BodyText"/>
        <w:spacing w:before="4"/>
        <w:rPr>
          <w:rFonts w:ascii="Cambria Math"/>
        </w:rPr>
      </w:pPr>
      <w:r>
        <w:rPr/>
        <w:br w:type="column"/>
      </w:r>
      <w:r>
        <w:rPr>
          <w:rFonts w:ascii="Cambria Math"/>
        </w:rPr>
      </w:r>
    </w:p>
    <w:p>
      <w:pPr>
        <w:pStyle w:val="BodyText"/>
        <w:ind w:left="1722"/>
      </w:pPr>
      <w:r>
        <w:rPr/>
        <w:t>(4.28)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3" w:equalWidth="0">
            <w:col w:w="2751" w:space="40"/>
            <w:col w:w="900" w:space="3849"/>
            <w:col w:w="2820"/>
          </w:cols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0" w:lineRule="auto" w:before="90"/>
        <w:ind w:left="500" w:right="497"/>
        <w:jc w:val="both"/>
      </w:pPr>
      <w:r>
        <w:rPr/>
        <w:t>Equation</w:t>
      </w:r>
      <w:r>
        <w:rPr>
          <w:spacing w:val="1"/>
        </w:rPr>
        <w:t> </w:t>
      </w:r>
      <w:r>
        <w:rPr/>
        <w:t>(4.28)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Euler</w:t>
      </w:r>
      <w:r>
        <w:rPr>
          <w:spacing w:val="1"/>
        </w:rPr>
        <w:t> </w:t>
      </w:r>
      <w:r>
        <w:rPr/>
        <w:t>Equation.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inter-temporal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Euler</w:t>
      </w:r>
      <w:r>
        <w:rPr>
          <w:spacing w:val="1"/>
        </w:rPr>
        <w:t> </w:t>
      </w:r>
      <w:r>
        <w:rPr/>
        <w:t>equation is one of the two major optimality conditions for the household sector. It describes the</w:t>
      </w:r>
      <w:r>
        <w:rPr>
          <w:spacing w:val="1"/>
        </w:rPr>
        <w:t> </w:t>
      </w:r>
      <w:r>
        <w:rPr/>
        <w:t>optimal</w:t>
      </w:r>
      <w:r>
        <w:rPr>
          <w:spacing w:val="-1"/>
        </w:rPr>
        <w:t> </w:t>
      </w:r>
      <w:r>
        <w:rPr/>
        <w:t>consumption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household between</w:t>
      </w:r>
      <w:r>
        <w:rPr>
          <w:spacing w:val="-1"/>
        </w:rPr>
        <w:t> </w:t>
      </w:r>
      <w:r>
        <w:rPr/>
        <w:t>the current and future</w:t>
      </w:r>
      <w:r>
        <w:rPr>
          <w:spacing w:val="-1"/>
        </w:rPr>
        <w:t> </w:t>
      </w:r>
      <w:r>
        <w:rPr/>
        <w:t>period.</w:t>
      </w:r>
    </w:p>
    <w:p>
      <w:pPr>
        <w:pStyle w:val="BodyText"/>
        <w:spacing w:before="200"/>
        <w:ind w:left="500"/>
        <w:jc w:val="both"/>
      </w:pPr>
      <w:r>
        <w:rPr/>
        <w:t>Equation</w:t>
      </w:r>
      <w:r>
        <w:rPr>
          <w:spacing w:val="-2"/>
        </w:rPr>
        <w:t> </w:t>
      </w:r>
      <w:r>
        <w:rPr/>
        <w:t>(4.28)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log-linearised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obtain:</w:t>
      </w:r>
    </w:p>
    <w:p>
      <w:pPr>
        <w:pStyle w:val="BodyText"/>
        <w:spacing w:before="3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tabs>
          <w:tab w:pos="898" w:val="left" w:leader="none"/>
        </w:tabs>
        <w:spacing w:line="143" w:lineRule="exact" w:before="147"/>
        <w:ind w:left="50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𝑐</w:t>
        <w:tab/>
        <w:t>−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  <w:spacing w:val="-122"/>
        </w:rPr>
        <w:t>ℎ𝑐</w:t>
      </w:r>
    </w:p>
    <w:p>
      <w:pPr>
        <w:pStyle w:val="BodyText"/>
        <w:spacing w:line="143" w:lineRule="exact" w:before="147"/>
        <w:ind w:left="485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66"/>
        </w:rPr>
        <w:t> </w:t>
      </w:r>
      <w:r>
        <w:rPr>
          <w:rFonts w:ascii="Cambria Math" w:eastAsia="Cambria Math"/>
        </w:rPr>
        <w:t>𝐸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  <w:spacing w:val="-115"/>
        </w:rPr>
        <w:t>(𝑐</w:t>
      </w:r>
    </w:p>
    <w:p>
      <w:pPr>
        <w:pStyle w:val="BodyText"/>
        <w:spacing w:line="143" w:lineRule="exact" w:before="147"/>
        <w:ind w:left="471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  <w:spacing w:val="-122"/>
        </w:rPr>
        <w:t>ℎ𝑐</w:t>
      </w:r>
    </w:p>
    <w:p>
      <w:pPr>
        <w:spacing w:line="217" w:lineRule="exact" w:before="73"/>
        <w:ind w:left="195" w:right="0" w:firstLine="0"/>
        <w:jc w:val="left"/>
        <w:rPr>
          <w:rFonts w:ascii="Cambria Math" w:hAnsi="Cambria Math" w:eastAsia="Cambria Math"/>
          <w:sz w:val="24"/>
        </w:rPr>
      </w:pPr>
      <w:r>
        <w:rPr/>
        <w:br w:type="column"/>
      </w:r>
      <w:r>
        <w:rPr>
          <w:rFonts w:ascii="Cambria Math" w:hAnsi="Cambria Math" w:eastAsia="Cambria Math"/>
          <w:sz w:val="24"/>
        </w:rPr>
        <w:t>)</w:t>
      </w:r>
      <w:r>
        <w:rPr>
          <w:rFonts w:ascii="Cambria Math" w:hAnsi="Cambria Math" w:eastAsia="Cambria Math"/>
          <w:spacing w:val="1"/>
          <w:sz w:val="24"/>
        </w:rPr>
        <w:t> </w:t>
      </w:r>
      <w:r>
        <w:rPr>
          <w:rFonts w:ascii="Cambria Math" w:hAnsi="Cambria Math" w:eastAsia="Cambria Math"/>
          <w:sz w:val="24"/>
        </w:rPr>
        <w:t>−</w:t>
      </w:r>
      <w:r>
        <w:rPr>
          <w:rFonts w:ascii="Cambria Math" w:hAnsi="Cambria Math" w:eastAsia="Cambria Math"/>
          <w:spacing w:val="52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1−ℎ</w:t>
      </w:r>
      <w:r>
        <w:rPr>
          <w:rFonts w:ascii="Cambria Math" w:hAnsi="Cambria Math" w:eastAsia="Cambria Math"/>
          <w:spacing w:val="1"/>
          <w:position w:val="14"/>
          <w:sz w:val="17"/>
        </w:rPr>
        <w:t> </w:t>
      </w:r>
      <w:r>
        <w:rPr>
          <w:rFonts w:ascii="Cambria Math" w:hAnsi="Cambria Math" w:eastAsia="Cambria Math"/>
          <w:spacing w:val="-114"/>
          <w:position w:val="1"/>
          <w:sz w:val="24"/>
        </w:rPr>
        <w:t>(</w:t>
      </w:r>
      <w:r>
        <w:rPr>
          <w:rFonts w:ascii="Cambria Math" w:hAnsi="Cambria Math" w:eastAsia="Cambria Math"/>
          <w:spacing w:val="-114"/>
          <w:sz w:val="24"/>
        </w:rPr>
        <w:t>𝑟</w:t>
      </w:r>
    </w:p>
    <w:p>
      <w:pPr>
        <w:pStyle w:val="BodyText"/>
        <w:spacing w:line="20" w:lineRule="exact"/>
        <w:ind w:left="581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6.6pt;height:.85pt;mso-position-horizontal-relative:char;mso-position-vertical-relative:line" coordorigin="0,0" coordsize="332,17">
            <v:rect style="position:absolute;left:0;top:0;width:332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143" w:lineRule="exact" w:before="147"/>
        <w:ind w:left="73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-8"/>
        </w:rPr>
        <w:t> </w:t>
      </w:r>
      <w:r>
        <w:rPr>
          <w:rFonts w:ascii="Cambria Math" w:hAnsi="Cambria Math" w:eastAsia="Cambria Math"/>
        </w:rPr>
        <w:t>𝐸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Π</w:t>
      </w:r>
    </w:p>
    <w:p>
      <w:pPr>
        <w:pStyle w:val="BodyText"/>
        <w:tabs>
          <w:tab w:pos="3701" w:val="left" w:leader="none"/>
        </w:tabs>
        <w:spacing w:line="153" w:lineRule="exact" w:before="137"/>
        <w:ind w:left="273"/>
      </w:pPr>
      <w:r>
        <w:rPr/>
        <w:br w:type="column"/>
      </w:r>
      <w:r>
        <w:rPr>
          <w:rFonts w:ascii="Cambria Math"/>
          <w:position w:val="1"/>
        </w:rPr>
        <w:t>)</w:t>
        <w:tab/>
      </w:r>
      <w:r>
        <w:rPr/>
        <w:t>(4.29)</w:t>
      </w:r>
    </w:p>
    <w:p>
      <w:pPr>
        <w:spacing w:after="0" w:line="153" w:lineRule="exact"/>
        <w:sectPr>
          <w:type w:val="continuous"/>
          <w:pgSz w:w="12240" w:h="15840"/>
          <w:pgMar w:top="1500" w:bottom="1120" w:left="940" w:right="940"/>
          <w:cols w:num="6" w:equalWidth="0">
            <w:col w:w="1379" w:space="40"/>
            <w:col w:w="1168" w:space="39"/>
            <w:col w:w="952" w:space="39"/>
            <w:col w:w="1169" w:space="40"/>
            <w:col w:w="695" w:space="40"/>
            <w:col w:w="4799"/>
          </w:cols>
        </w:sectPr>
      </w:pPr>
    </w:p>
    <w:p>
      <w:pPr>
        <w:spacing w:line="151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𝑅,𝑡</w:t>
      </w:r>
    </w:p>
    <w:p>
      <w:pPr>
        <w:spacing w:line="151" w:lineRule="exact" w:before="0"/>
        <w:ind w:left="501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sz w:val="17"/>
        </w:rPr>
        <w:t>𝑅,𝑡−1</w:t>
      </w:r>
    </w:p>
    <w:p>
      <w:pPr>
        <w:tabs>
          <w:tab w:pos="713" w:val="left" w:leader="none"/>
        </w:tabs>
        <w:spacing w:line="151" w:lineRule="exact" w:before="0"/>
        <w:ind w:left="418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𝑡</w:t>
        <w:tab/>
      </w:r>
      <w:r>
        <w:rPr>
          <w:rFonts w:ascii="Cambria Math" w:eastAsia="Cambria Math"/>
          <w:spacing w:val="-1"/>
          <w:w w:val="105"/>
          <w:sz w:val="17"/>
        </w:rPr>
        <w:t>𝑅,𝑡+1</w:t>
      </w:r>
    </w:p>
    <w:p>
      <w:pPr>
        <w:spacing w:line="151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𝑅,𝑡</w:t>
      </w:r>
    </w:p>
    <w:p>
      <w:pPr>
        <w:tabs>
          <w:tab w:pos="921" w:val="left" w:leader="none"/>
        </w:tabs>
        <w:spacing w:line="168" w:lineRule="auto" w:before="0"/>
        <w:ind w:left="468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position w:val="-6"/>
          <w:sz w:val="17"/>
        </w:rPr>
        <w:t>𝜎</w:t>
        <w:tab/>
      </w:r>
      <w:r>
        <w:rPr>
          <w:rFonts w:ascii="Cambria Math" w:eastAsia="Cambria Math"/>
          <w:spacing w:val="-153"/>
          <w:w w:val="110"/>
          <w:sz w:val="17"/>
        </w:rPr>
        <w:t>𝑡</w:t>
      </w:r>
    </w:p>
    <w:p>
      <w:pPr>
        <w:spacing w:line="151" w:lineRule="exact" w:before="0"/>
        <w:ind w:left="393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𝑡   </w:t>
      </w:r>
      <w:r>
        <w:rPr>
          <w:rFonts w:ascii="Cambria Math" w:eastAsia="Cambria Math"/>
          <w:spacing w:val="10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𝑡+1</w:t>
      </w:r>
    </w:p>
    <w:p>
      <w:pPr>
        <w:spacing w:after="0" w:line="151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6" w:equalWidth="0">
            <w:col w:w="833" w:space="40"/>
            <w:col w:w="956" w:space="39"/>
            <w:col w:w="1168" w:space="39"/>
            <w:col w:w="724" w:space="40"/>
            <w:col w:w="997" w:space="40"/>
            <w:col w:w="5484"/>
          </w:cols>
        </w:sectPr>
      </w:pPr>
    </w:p>
    <w:p>
      <w:pPr>
        <w:pStyle w:val="BodyText"/>
        <w:spacing w:before="3"/>
        <w:rPr>
          <w:rFonts w:ascii="Cambria Math"/>
          <w:sz w:val="19"/>
        </w:rPr>
      </w:pPr>
    </w:p>
    <w:p>
      <w:pPr>
        <w:pStyle w:val="BodyText"/>
        <w:spacing w:before="90"/>
        <w:ind w:left="500"/>
      </w:pPr>
      <w:r>
        <w:rPr/>
        <w:t>Where,</w:t>
      </w:r>
    </w:p>
    <w:p>
      <w:pPr>
        <w:pStyle w:val="BodyText"/>
        <w:spacing w:before="8"/>
        <w:rPr>
          <w:sz w:val="29"/>
        </w:rPr>
      </w:pPr>
    </w:p>
    <w:p>
      <w:pPr>
        <w:spacing w:before="0"/>
        <w:ind w:left="500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pacing w:val="-3"/>
          <w:w w:val="105"/>
          <w:position w:val="5"/>
          <w:sz w:val="24"/>
        </w:rPr>
        <w:t>Π</w:t>
      </w:r>
      <w:r>
        <w:rPr>
          <w:rFonts w:ascii="Cambria Math" w:hAnsi="Cambria Math" w:eastAsia="Cambria Math"/>
          <w:spacing w:val="-3"/>
          <w:w w:val="105"/>
          <w:sz w:val="17"/>
        </w:rPr>
        <w:t>𝑡+1</w:t>
      </w:r>
      <w:r>
        <w:rPr>
          <w:rFonts w:ascii="Cambria Math" w:hAnsi="Cambria Math" w:eastAsia="Cambria Math"/>
          <w:spacing w:val="21"/>
          <w:w w:val="105"/>
          <w:sz w:val="17"/>
        </w:rPr>
        <w:t> </w:t>
      </w:r>
      <w:r>
        <w:rPr>
          <w:rFonts w:ascii="Cambria Math" w:hAnsi="Cambria Math" w:eastAsia="Cambria Math"/>
          <w:spacing w:val="-3"/>
          <w:w w:val="105"/>
          <w:position w:val="5"/>
          <w:sz w:val="24"/>
        </w:rPr>
        <w:t>=</w:t>
      </w:r>
      <w:r>
        <w:rPr>
          <w:rFonts w:ascii="Cambria Math" w:hAnsi="Cambria Math" w:eastAsia="Cambria Math"/>
          <w:spacing w:val="-1"/>
          <w:w w:val="105"/>
          <w:position w:val="5"/>
          <w:sz w:val="24"/>
        </w:rPr>
        <w:t> </w:t>
      </w:r>
      <w:r>
        <w:rPr>
          <w:rFonts w:ascii="Cambria Math" w:hAnsi="Cambria Math" w:eastAsia="Cambria Math"/>
          <w:spacing w:val="-3"/>
          <w:w w:val="105"/>
          <w:position w:val="5"/>
          <w:sz w:val="24"/>
        </w:rPr>
        <w:t>𝑃</w:t>
      </w:r>
      <w:r>
        <w:rPr>
          <w:rFonts w:ascii="Cambria Math" w:hAnsi="Cambria Math" w:eastAsia="Cambria Math"/>
          <w:spacing w:val="-3"/>
          <w:w w:val="105"/>
          <w:sz w:val="17"/>
        </w:rPr>
        <w:t>𝑡+1</w:t>
      </w:r>
      <w:r>
        <w:rPr>
          <w:rFonts w:ascii="Cambria Math" w:hAnsi="Cambria Math" w:eastAsia="Cambria Math"/>
          <w:spacing w:val="12"/>
          <w:w w:val="105"/>
          <w:sz w:val="17"/>
        </w:rPr>
        <w:t> </w:t>
      </w:r>
      <w:r>
        <w:rPr>
          <w:rFonts w:ascii="Cambria Math" w:hAnsi="Cambria Math" w:eastAsia="Cambria Math"/>
          <w:spacing w:val="-2"/>
          <w:w w:val="105"/>
          <w:position w:val="5"/>
          <w:sz w:val="24"/>
        </w:rPr>
        <w:t>−</w:t>
      </w:r>
      <w:r>
        <w:rPr>
          <w:rFonts w:ascii="Cambria Math" w:hAnsi="Cambria Math" w:eastAsia="Cambria Math"/>
          <w:spacing w:val="-12"/>
          <w:w w:val="105"/>
          <w:position w:val="5"/>
          <w:sz w:val="24"/>
        </w:rPr>
        <w:t> </w:t>
      </w:r>
      <w:r>
        <w:rPr>
          <w:rFonts w:ascii="Cambria Math" w:hAnsi="Cambria Math" w:eastAsia="Cambria Math"/>
          <w:spacing w:val="-2"/>
          <w:w w:val="105"/>
          <w:position w:val="5"/>
          <w:sz w:val="24"/>
        </w:rPr>
        <w:t>𝑃</w:t>
      </w:r>
      <w:r>
        <w:rPr>
          <w:rFonts w:ascii="Cambria Math" w:hAnsi="Cambria Math" w:eastAsia="Cambria Math"/>
          <w:spacing w:val="-2"/>
          <w:w w:val="105"/>
          <w:sz w:val="17"/>
        </w:rPr>
        <w:t>𝑡</w:t>
      </w:r>
    </w:p>
    <w:p>
      <w:pPr>
        <w:spacing w:after="0"/>
        <w:jc w:val="left"/>
        <w:rPr>
          <w:rFonts w:ascii="Cambria Math" w:hAnsi="Cambria Math" w:eastAsia="Cambria Math"/>
          <w:sz w:val="17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line="360" w:lineRule="auto" w:before="74"/>
        <w:ind w:left="500" w:right="499"/>
        <w:jc w:val="both"/>
      </w:pPr>
      <w:r>
        <w:rPr/>
        <w:t>The second optimality condition is the intra-temporal consumption. It shows the marginal rate of</w:t>
      </w:r>
      <w:r>
        <w:rPr>
          <w:spacing w:val="1"/>
        </w:rPr>
        <w:t> </w:t>
      </w:r>
      <w:r>
        <w:rPr/>
        <w:t>substitution between consumption and labour supply. To derive the intra-temporal consumption</w:t>
      </w:r>
      <w:r>
        <w:rPr>
          <w:spacing w:val="1"/>
        </w:rPr>
        <w:t> </w:t>
      </w:r>
      <w:r>
        <w:rPr/>
        <w:t>equation,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combine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FOC on</w:t>
      </w:r>
      <w:r>
        <w:rPr>
          <w:spacing w:val="-1"/>
        </w:rPr>
        <w:t> </w:t>
      </w:r>
      <w:r>
        <w:rPr/>
        <w:t>consumption</w:t>
      </w:r>
      <w:r>
        <w:rPr>
          <w:spacing w:val="2"/>
        </w:rPr>
        <w:t> </w:t>
      </w:r>
      <w:r>
        <w:rPr/>
        <w:t>with that of labour</w:t>
      </w:r>
      <w:r>
        <w:rPr>
          <w:spacing w:val="2"/>
        </w:rPr>
        <w:t> </w:t>
      </w:r>
      <w:r>
        <w:rPr/>
        <w:t>supply</w:t>
      </w:r>
      <w:r>
        <w:rPr>
          <w:spacing w:val="-4"/>
        </w:rPr>
        <w:t> </w:t>
      </w:r>
      <w:r>
        <w:rPr/>
        <w:t>such that: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5"/>
        <w:rPr>
          <w:sz w:val="33"/>
        </w:rPr>
      </w:pPr>
    </w:p>
    <w:p>
      <w:pPr>
        <w:pStyle w:val="BodyText"/>
        <w:ind w:left="500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𝜆</w:t>
      </w:r>
      <w:r>
        <w:rPr>
          <w:rFonts w:ascii="Cambria Math" w:eastAsia="Cambria Math"/>
          <w:w w:val="105"/>
          <w:vertAlign w:val="subscript"/>
        </w:rPr>
        <w:t>𝑡</w:t>
      </w:r>
      <w:r>
        <w:rPr>
          <w:rFonts w:ascii="Cambria Math" w:eastAsia="Cambria Math"/>
          <w:spacing w:val="5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</w:p>
    <w:p>
      <w:pPr>
        <w:spacing w:before="160"/>
        <w:ind w:left="78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position w:val="-10"/>
          <w:sz w:val="24"/>
        </w:rPr>
        <w:t>𝑁</w:t>
      </w:r>
      <w:r>
        <w:rPr>
          <w:rFonts w:ascii="Cambria Math" w:eastAsia="Cambria Math"/>
          <w:w w:val="110"/>
          <w:position w:val="-15"/>
          <w:sz w:val="17"/>
        </w:rPr>
        <w:t>𝑡</w:t>
      </w:r>
      <w:r>
        <w:rPr>
          <w:rFonts w:ascii="Cambria Math" w:eastAsia="Cambria Math"/>
          <w:w w:val="110"/>
          <w:sz w:val="17"/>
        </w:rPr>
        <w:t>𝜑</w:t>
      </w:r>
    </w:p>
    <w:p>
      <w:pPr>
        <w:pStyle w:val="BodyText"/>
        <w:spacing w:line="20" w:lineRule="exact"/>
        <w:ind w:left="7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9.350pt;height:.85pt;mso-position-horizontal-relative:char;mso-position-vertical-relative:line" coordorigin="0,0" coordsize="387,17">
            <v:rect style="position:absolute;left:0;top:0;width:387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before="6"/>
        <w:ind w:left="128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𝑊</w:t>
      </w:r>
      <w:r>
        <w:rPr>
          <w:rFonts w:ascii="Cambria Math" w:eastAsia="Cambria Math"/>
          <w:w w:val="110"/>
          <w:vertAlign w:val="subscript"/>
        </w:rPr>
        <w:t>𝑡</w:t>
      </w:r>
    </w:p>
    <w:p>
      <w:pPr>
        <w:spacing w:after="0"/>
        <w:rPr>
          <w:rFonts w:ascii="Cambria Math" w:eastAsia="Cambria Math"/>
        </w:rPr>
        <w:sectPr>
          <w:type w:val="continuous"/>
          <w:pgSz w:w="12240" w:h="15840"/>
          <w:pgMar w:top="1500" w:bottom="1120" w:left="940" w:right="940"/>
          <w:cols w:num="2" w:equalWidth="0">
            <w:col w:w="961" w:space="40"/>
            <w:col w:w="9359"/>
          </w:cols>
        </w:sectPr>
      </w:pPr>
    </w:p>
    <w:p>
      <w:pPr>
        <w:pStyle w:val="BodyText"/>
        <w:spacing w:before="10"/>
        <w:rPr>
          <w:rFonts w:ascii="Cambria Math"/>
          <w:sz w:val="20"/>
        </w:rPr>
      </w:pPr>
    </w:p>
    <w:p>
      <w:pPr>
        <w:pStyle w:val="BodyText"/>
        <w:spacing w:before="90"/>
        <w:ind w:left="500"/>
      </w:pPr>
      <w:r>
        <w:rPr/>
        <w:t>and</w:t>
      </w:r>
    </w:p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5"/>
        <w:rPr>
          <w:sz w:val="30"/>
        </w:rPr>
      </w:pPr>
    </w:p>
    <w:p>
      <w:pPr>
        <w:pStyle w:val="BodyText"/>
        <w:ind w:left="500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𝜆</w:t>
      </w:r>
      <w:r>
        <w:rPr>
          <w:rFonts w:ascii="Cambria Math" w:eastAsia="Cambria Math"/>
          <w:w w:val="105"/>
          <w:vertAlign w:val="subscript"/>
        </w:rPr>
        <w:t>𝑡</w:t>
      </w:r>
      <w:r>
        <w:rPr>
          <w:rFonts w:ascii="Cambria Math" w:eastAsia="Cambria Math"/>
          <w:spacing w:val="5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</w:p>
    <w:p>
      <w:pPr>
        <w:spacing w:before="164"/>
        <w:ind w:left="25" w:right="0" w:firstLine="0"/>
        <w:jc w:val="center"/>
        <w:rPr>
          <w:rFonts w:ascii="Cambria Math" w:hAnsi="Cambria Math" w:eastAsia="Cambria Math"/>
          <w:sz w:val="24"/>
        </w:rPr>
      </w:pPr>
      <w:r>
        <w:rPr/>
        <w:br w:type="column"/>
      </w:r>
      <w:r>
        <w:rPr>
          <w:rFonts w:ascii="Cambria Math" w:hAnsi="Cambria Math" w:eastAsia="Cambria Math"/>
          <w:spacing w:val="-2"/>
          <w:w w:val="105"/>
          <w:position w:val="5"/>
          <w:sz w:val="24"/>
        </w:rPr>
        <w:t>(𝐶</w:t>
      </w:r>
      <w:r>
        <w:rPr>
          <w:rFonts w:ascii="Cambria Math" w:hAnsi="Cambria Math" w:eastAsia="Cambria Math"/>
          <w:spacing w:val="-2"/>
          <w:w w:val="105"/>
          <w:sz w:val="17"/>
        </w:rPr>
        <w:t>𝑅,𝑡</w:t>
      </w:r>
      <w:r>
        <w:rPr>
          <w:rFonts w:ascii="Cambria Math" w:hAnsi="Cambria Math" w:eastAsia="Cambria Math"/>
          <w:spacing w:val="18"/>
          <w:w w:val="105"/>
          <w:sz w:val="17"/>
        </w:rPr>
        <w:t> </w:t>
      </w:r>
      <w:r>
        <w:rPr>
          <w:rFonts w:ascii="Cambria Math" w:hAnsi="Cambria Math" w:eastAsia="Cambria Math"/>
          <w:spacing w:val="-2"/>
          <w:w w:val="105"/>
          <w:position w:val="5"/>
          <w:sz w:val="24"/>
        </w:rPr>
        <w:t>−</w:t>
      </w:r>
      <w:r>
        <w:rPr>
          <w:rFonts w:ascii="Cambria Math" w:hAnsi="Cambria Math" w:eastAsia="Cambria Math"/>
          <w:spacing w:val="-10"/>
          <w:w w:val="105"/>
          <w:position w:val="5"/>
          <w:sz w:val="24"/>
        </w:rPr>
        <w:t> </w:t>
      </w:r>
      <w:r>
        <w:rPr>
          <w:rFonts w:ascii="Cambria Math" w:hAnsi="Cambria Math" w:eastAsia="Cambria Math"/>
          <w:spacing w:val="-2"/>
          <w:w w:val="105"/>
          <w:position w:val="5"/>
          <w:sz w:val="24"/>
        </w:rPr>
        <w:t>ℎ𝐶</w:t>
      </w:r>
      <w:r>
        <w:rPr>
          <w:rFonts w:ascii="Cambria Math" w:hAnsi="Cambria Math" w:eastAsia="Cambria Math"/>
          <w:spacing w:val="-2"/>
          <w:w w:val="105"/>
          <w:sz w:val="17"/>
        </w:rPr>
        <w:t>𝑅,𝑡−1</w:t>
      </w:r>
      <w:r>
        <w:rPr>
          <w:rFonts w:ascii="Cambria Math" w:hAnsi="Cambria Math" w:eastAsia="Cambria Math"/>
          <w:spacing w:val="-2"/>
          <w:w w:val="105"/>
          <w:position w:val="5"/>
          <w:sz w:val="24"/>
        </w:rPr>
        <w:t>)</w:t>
      </w:r>
    </w:p>
    <w:p>
      <w:pPr>
        <w:pStyle w:val="BodyText"/>
        <w:spacing w:line="20" w:lineRule="exact"/>
        <w:ind w:left="25" w:right="-5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80.05pt;height:.85pt;mso-position-horizontal-relative:char;mso-position-vertical-relative:line" coordorigin="0,0" coordsize="1601,17">
            <v:rect style="position:absolute;left:0;top:0;width:1601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before="12"/>
        <w:ind w:left="11"/>
        <w:jc w:val="center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𝑃</w:t>
      </w:r>
      <w:r>
        <w:rPr>
          <w:rFonts w:ascii="Cambria Math" w:eastAsia="Cambria Math"/>
          <w:w w:val="110"/>
          <w:vertAlign w:val="subscript"/>
        </w:rPr>
        <w:t>𝑡</w:t>
      </w:r>
    </w:p>
    <w:p>
      <w:pPr>
        <w:spacing w:before="71"/>
        <w:ind w:left="-40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−𝜎</w:t>
      </w:r>
    </w:p>
    <w:p>
      <w:pPr>
        <w:spacing w:after="0"/>
        <w:jc w:val="left"/>
        <w:rPr>
          <w:rFonts w:ascii="Cambria Math" w:hAns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3" w:equalWidth="0">
            <w:col w:w="961" w:space="40"/>
            <w:col w:w="1629" w:space="39"/>
            <w:col w:w="7691"/>
          </w:cols>
        </w:sectPr>
      </w:pPr>
    </w:p>
    <w:p>
      <w:pPr>
        <w:pStyle w:val="BodyText"/>
        <w:spacing w:before="10"/>
        <w:rPr>
          <w:rFonts w:ascii="Cambria Math"/>
          <w:sz w:val="20"/>
        </w:rPr>
      </w:pPr>
    </w:p>
    <w:p>
      <w:pPr>
        <w:pStyle w:val="BodyText"/>
        <w:spacing w:before="90"/>
        <w:ind w:left="500"/>
      </w:pPr>
      <w:r>
        <w:rPr/>
        <w:t>This</w:t>
      </w:r>
      <w:r>
        <w:rPr>
          <w:spacing w:val="-1"/>
        </w:rPr>
        <w:t> </w:t>
      </w:r>
      <w:r>
        <w:rPr/>
        <w:t>becomes:</w:t>
      </w: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spacing w:before="133"/>
        <w:ind w:left="500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-6"/>
          <w:sz w:val="17"/>
        </w:rPr>
        <w:t>𝑁</w:t>
      </w:r>
      <w:r>
        <w:rPr>
          <w:rFonts w:ascii="Cambria Math" w:eastAsia="Cambria Math"/>
          <w:w w:val="110"/>
          <w:position w:val="-9"/>
          <w:sz w:val="14"/>
        </w:rPr>
        <w:t>𝑡</w:t>
      </w:r>
      <w:r>
        <w:rPr>
          <w:rFonts w:ascii="Cambria Math" w:eastAsia="Cambria Math"/>
          <w:w w:val="110"/>
          <w:sz w:val="14"/>
        </w:rPr>
        <w:t>𝜑</w:t>
      </w:r>
    </w:p>
    <w:p>
      <w:pPr>
        <w:pStyle w:val="BodyText"/>
        <w:spacing w:line="20" w:lineRule="exact"/>
        <w:ind w:left="500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5.75pt;height:.85pt;mso-position-horizontal-relative:char;mso-position-vertical-relative:line" coordorigin="0,0" coordsize="315,17">
            <v:rect style="position:absolute;left:0;top:0;width:315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19"/>
        <w:ind w:left="550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7"/>
        </w:rPr>
        <w:t>𝑊</w:t>
      </w:r>
      <w:r>
        <w:rPr>
          <w:rFonts w:ascii="Cambria Math" w:eastAsia="Cambria Math"/>
          <w:w w:val="110"/>
          <w:position w:val="-2"/>
          <w:sz w:val="14"/>
        </w:rPr>
        <w:t>𝑡</w:t>
      </w:r>
    </w:p>
    <w:p>
      <w:pPr>
        <w:spacing w:line="249" w:lineRule="exact" w:before="73"/>
        <w:ind w:left="281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4"/>
          <w:sz w:val="17"/>
          <w:u w:val="single"/>
        </w:rPr>
        <w:t>(</w:t>
      </w:r>
      <w:r>
        <w:rPr>
          <w:rFonts w:ascii="Cambria Math" w:hAnsi="Cambria Math" w:eastAsia="Cambria Math"/>
          <w:w w:val="105"/>
          <w:position w:val="3"/>
          <w:sz w:val="17"/>
          <w:u w:val="single"/>
        </w:rPr>
        <w:t>𝐶</w:t>
      </w:r>
      <w:r>
        <w:rPr>
          <w:rFonts w:ascii="Cambria Math" w:hAnsi="Cambria Math" w:eastAsia="Cambria Math"/>
          <w:w w:val="105"/>
          <w:sz w:val="14"/>
          <w:u w:val="single"/>
        </w:rPr>
        <w:t>𝑅,𝑡</w:t>
      </w:r>
      <w:r>
        <w:rPr>
          <w:rFonts w:ascii="Cambria Math" w:hAnsi="Cambria Math" w:eastAsia="Cambria Math"/>
          <w:w w:val="105"/>
          <w:position w:val="3"/>
          <w:sz w:val="17"/>
          <w:u w:val="single"/>
        </w:rPr>
        <w:t>−ℎ𝐶</w:t>
      </w:r>
      <w:r>
        <w:rPr>
          <w:rFonts w:ascii="Cambria Math" w:hAnsi="Cambria Math" w:eastAsia="Cambria Math"/>
          <w:w w:val="105"/>
          <w:sz w:val="14"/>
          <w:u w:val="single"/>
        </w:rPr>
        <w:t>𝑅,𝑡−1</w:t>
      </w:r>
      <w:r>
        <w:rPr>
          <w:rFonts w:ascii="Cambria Math" w:hAnsi="Cambria Math" w:eastAsia="Cambria Math"/>
          <w:w w:val="105"/>
          <w:position w:val="4"/>
          <w:sz w:val="17"/>
          <w:u w:val="single"/>
        </w:rPr>
        <w:t>)</w:t>
      </w:r>
      <w:r>
        <w:rPr>
          <w:rFonts w:ascii="Cambria Math" w:hAnsi="Cambria Math" w:eastAsia="Cambria Math"/>
          <w:w w:val="105"/>
          <w:position w:val="13"/>
          <w:sz w:val="17"/>
        </w:rPr>
        <w:t>−𝜎</w:t>
      </w:r>
    </w:p>
    <w:p>
      <w:pPr>
        <w:pStyle w:val="BodyText"/>
        <w:spacing w:line="156" w:lineRule="exact"/>
        <w:ind w:left="34"/>
        <w:rPr>
          <w:rFonts w:ascii="Cambria Math"/>
        </w:rPr>
      </w:pPr>
      <w:r>
        <w:rPr>
          <w:rFonts w:ascii="Cambria Math"/>
        </w:rPr>
        <w:t>=</w:t>
      </w:r>
    </w:p>
    <w:p>
      <w:pPr>
        <w:spacing w:line="180" w:lineRule="exact" w:before="0"/>
        <w:ind w:left="566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position w:val="1"/>
          <w:sz w:val="17"/>
        </w:rPr>
        <w:t>(</w:t>
      </w:r>
      <w:r>
        <w:rPr>
          <w:rFonts w:ascii="Cambria Math" w:eastAsia="Cambria Math"/>
          <w:w w:val="105"/>
          <w:sz w:val="17"/>
        </w:rPr>
        <w:t>1+𝑐</w:t>
      </w:r>
      <w:r>
        <w:rPr>
          <w:rFonts w:ascii="Cambria Math" w:eastAsia="Cambria Math"/>
          <w:w w:val="105"/>
          <w:position w:val="1"/>
          <w:sz w:val="17"/>
        </w:rPr>
        <w:t>)</w:t>
      </w:r>
      <w:r>
        <w:rPr>
          <w:rFonts w:ascii="Cambria Math" w:eastAsia="Cambria Math"/>
          <w:w w:val="105"/>
          <w:sz w:val="17"/>
        </w:rPr>
        <w:t>𝑃</w:t>
      </w:r>
      <w:r>
        <w:rPr>
          <w:rFonts w:ascii="Cambria Math" w:eastAsia="Cambria Math"/>
          <w:w w:val="105"/>
          <w:position w:val="-2"/>
          <w:sz w:val="14"/>
        </w:rPr>
        <w:t>𝑡</w:t>
      </w:r>
    </w:p>
    <w:p>
      <w:pPr>
        <w:pStyle w:val="BodyText"/>
        <w:spacing w:before="7"/>
        <w:rPr>
          <w:rFonts w:ascii="Cambria Math"/>
          <w:sz w:val="21"/>
        </w:rPr>
      </w:pPr>
      <w:r>
        <w:rPr/>
        <w:br w:type="column"/>
      </w:r>
      <w:r>
        <w:rPr>
          <w:rFonts w:ascii="Cambria Math"/>
          <w:sz w:val="21"/>
        </w:rPr>
      </w:r>
    </w:p>
    <w:p>
      <w:pPr>
        <w:pStyle w:val="BodyText"/>
        <w:ind w:left="500"/>
      </w:pPr>
      <w:r>
        <w:rPr/>
        <w:t>(4.30)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3" w:equalWidth="0">
            <w:col w:w="806" w:space="40"/>
            <w:col w:w="1748" w:space="6168"/>
            <w:col w:w="1598"/>
          </w:cols>
        </w:sect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90"/>
        <w:ind w:left="500"/>
      </w:pPr>
      <w:r>
        <w:rPr/>
        <w:t>Equation</w:t>
      </w:r>
      <w:r>
        <w:rPr>
          <w:spacing w:val="-3"/>
        </w:rPr>
        <w:t> </w:t>
      </w:r>
      <w:r>
        <w:rPr/>
        <w:t>(4.30)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re-arranged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yields:</w:t>
      </w:r>
    </w:p>
    <w:p>
      <w:pPr>
        <w:pStyle w:val="BodyText"/>
        <w:spacing w:before="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spacing w:line="217" w:lineRule="exact" w:before="92"/>
        <w:ind w:left="500" w:right="0" w:firstLine="0"/>
        <w:jc w:val="left"/>
        <w:rPr>
          <w:rFonts w:ascii="Cambria Math" w:eastAsia="Cambria Math"/>
          <w:sz w:val="24"/>
        </w:rPr>
      </w:pPr>
      <w:r>
        <w:rPr>
          <w:rFonts w:ascii="Cambria Math" w:eastAsia="Cambria Math"/>
          <w:w w:val="105"/>
          <w:position w:val="14"/>
          <w:sz w:val="17"/>
          <w:u w:val="single"/>
        </w:rPr>
        <w:t>𝑊</w:t>
      </w:r>
      <w:r>
        <w:rPr>
          <w:rFonts w:ascii="Cambria Math" w:eastAsia="Cambria Math"/>
          <w:w w:val="105"/>
          <w:position w:val="11"/>
          <w:sz w:val="14"/>
          <w:u w:val="single"/>
        </w:rPr>
        <w:t>𝑡</w:t>
      </w:r>
      <w:r>
        <w:rPr>
          <w:rFonts w:ascii="Cambria Math" w:eastAsia="Cambria Math"/>
          <w:w w:val="105"/>
          <w:position w:val="11"/>
          <w:sz w:val="14"/>
        </w:rPr>
        <w:t>   </w:t>
      </w:r>
      <w:r>
        <w:rPr>
          <w:rFonts w:ascii="Cambria Math" w:eastAsia="Cambria Math"/>
          <w:spacing w:val="7"/>
          <w:w w:val="105"/>
          <w:position w:val="11"/>
          <w:sz w:val="14"/>
        </w:rPr>
        <w:t> </w:t>
      </w:r>
      <w:r>
        <w:rPr>
          <w:rFonts w:ascii="Cambria Math" w:eastAsia="Cambria Math"/>
          <w:w w:val="105"/>
          <w:sz w:val="24"/>
        </w:rPr>
        <w:t>=</w:t>
      </w:r>
      <w:r>
        <w:rPr>
          <w:rFonts w:ascii="Cambria Math" w:eastAsia="Cambria Math"/>
          <w:spacing w:val="1"/>
          <w:w w:val="105"/>
          <w:sz w:val="24"/>
        </w:rPr>
        <w:t> </w:t>
      </w:r>
      <w:r>
        <w:rPr>
          <w:rFonts w:ascii="Cambria Math" w:eastAsia="Cambria Math"/>
          <w:spacing w:val="-110"/>
          <w:w w:val="105"/>
          <w:sz w:val="24"/>
        </w:rPr>
        <w:t>(𝐶</w:t>
      </w:r>
    </w:p>
    <w:p>
      <w:pPr>
        <w:pStyle w:val="BodyText"/>
        <w:spacing w:line="143" w:lineRule="exact" w:before="166"/>
        <w:ind w:left="241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  <w:spacing w:val="-111"/>
        </w:rPr>
        <w:t>ℎ𝐶</w:t>
      </w:r>
    </w:p>
    <w:p>
      <w:pPr>
        <w:tabs>
          <w:tab w:pos="7097" w:val="left" w:leader="none"/>
        </w:tabs>
        <w:spacing w:line="237" w:lineRule="exact" w:before="72"/>
        <w:ind w:left="409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 w:eastAsia="Cambria Math"/>
          <w:sz w:val="24"/>
        </w:rPr>
        <w:t>)</w:t>
      </w:r>
      <w:r>
        <w:rPr>
          <w:rFonts w:ascii="Cambria Math" w:eastAsia="Cambria Math"/>
          <w:position w:val="16"/>
          <w:sz w:val="17"/>
        </w:rPr>
        <w:t>𝜎   </w:t>
      </w:r>
      <w:r>
        <w:rPr>
          <w:rFonts w:ascii="Cambria Math" w:eastAsia="Cambria Math"/>
          <w:spacing w:val="9"/>
          <w:position w:val="16"/>
          <w:sz w:val="17"/>
        </w:rPr>
        <w:t> </w:t>
      </w:r>
      <w:r>
        <w:rPr>
          <w:rFonts w:ascii="Cambria Math" w:eastAsia="Cambria Math"/>
          <w:sz w:val="24"/>
        </w:rPr>
        <w:t>𝑁</w:t>
      </w:r>
      <w:r>
        <w:rPr>
          <w:rFonts w:ascii="Cambria Math" w:eastAsia="Cambria Math"/>
          <w:spacing w:val="24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𝜑</w:t>
      </w:r>
      <w:r>
        <w:rPr>
          <w:rFonts w:ascii="Cambria Math" w:eastAsia="Cambria Math"/>
          <w:position w:val="1"/>
          <w:sz w:val="24"/>
          <w:vertAlign w:val="baseline"/>
        </w:rPr>
        <w:t>(</w:t>
      </w:r>
      <w:r>
        <w:rPr>
          <w:rFonts w:ascii="Cambria Math" w:eastAsia="Cambria Math"/>
          <w:sz w:val="24"/>
          <w:vertAlign w:val="baseline"/>
        </w:rPr>
        <w:t>1</w:t>
      </w:r>
      <w:r>
        <w:rPr>
          <w:rFonts w:ascii="Cambria Math" w:eastAsia="Cambria Math"/>
          <w:spacing w:val="5"/>
          <w:sz w:val="24"/>
          <w:vertAlign w:val="baseline"/>
        </w:rPr>
        <w:t> </w:t>
      </w:r>
      <w:r>
        <w:rPr>
          <w:rFonts w:ascii="Cambria Math" w:eastAsia="Cambria Math"/>
          <w:sz w:val="24"/>
          <w:vertAlign w:val="baseline"/>
        </w:rPr>
        <w:t>+</w:t>
      </w:r>
      <w:r>
        <w:rPr>
          <w:rFonts w:ascii="Cambria Math" w:eastAsia="Cambria Math"/>
          <w:spacing w:val="6"/>
          <w:sz w:val="24"/>
          <w:vertAlign w:val="baseline"/>
        </w:rPr>
        <w:t> </w:t>
      </w:r>
      <w:r>
        <w:rPr>
          <w:rFonts w:ascii="Cambria Math" w:eastAsia="Cambria Math"/>
          <w:sz w:val="24"/>
          <w:vertAlign w:val="baseline"/>
        </w:rPr>
        <w:t>𝑟</w:t>
      </w:r>
      <w:r>
        <w:rPr>
          <w:rFonts w:ascii="Cambria Math" w:eastAsia="Cambria Math"/>
          <w:position w:val="1"/>
          <w:sz w:val="24"/>
          <w:vertAlign w:val="baseline"/>
        </w:rPr>
        <w:t>)</w:t>
        <w:tab/>
      </w:r>
      <w:r>
        <w:rPr>
          <w:sz w:val="24"/>
          <w:vertAlign w:val="baseline"/>
        </w:rPr>
        <w:t>(4.31)</w:t>
      </w:r>
    </w:p>
    <w:p>
      <w:pPr>
        <w:spacing w:after="0" w:line="237" w:lineRule="exact"/>
        <w:jc w:val="left"/>
        <w:rPr>
          <w:sz w:val="24"/>
        </w:rPr>
        <w:sectPr>
          <w:type w:val="continuous"/>
          <w:pgSz w:w="12240" w:h="15840"/>
          <w:pgMar w:top="1500" w:bottom="1120" w:left="940" w:right="940"/>
          <w:cols w:num="3" w:equalWidth="0">
            <w:col w:w="1331" w:space="40"/>
            <w:col w:w="755" w:space="39"/>
            <w:col w:w="8195"/>
          </w:cols>
        </w:sectPr>
      </w:pPr>
    </w:p>
    <w:p>
      <w:pPr>
        <w:spacing w:before="43"/>
        <w:ind w:left="0" w:right="38" w:firstLine="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7"/>
        </w:rPr>
        <w:t>𝑃</w:t>
      </w:r>
      <w:r>
        <w:rPr>
          <w:rFonts w:ascii="Cambria Math" w:eastAsia="Cambria Math"/>
          <w:w w:val="110"/>
          <w:position w:val="-2"/>
          <w:sz w:val="14"/>
        </w:rPr>
        <w:t>𝑡</w:t>
      </w:r>
    </w:p>
    <w:p>
      <w:pPr>
        <w:spacing w:line="171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𝑅,𝑡</w:t>
      </w:r>
    </w:p>
    <w:p>
      <w:pPr>
        <w:tabs>
          <w:tab w:pos="1506" w:val="left" w:leader="none"/>
        </w:tabs>
        <w:spacing w:line="171" w:lineRule="exact" w:before="0"/>
        <w:ind w:left="524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𝑅,𝑡−1</w:t>
        <w:tab/>
        <w:t>𝑡</w:t>
      </w:r>
    </w:p>
    <w:p>
      <w:pPr>
        <w:spacing w:after="0" w:line="171" w:lineRule="exact"/>
        <w:jc w:val="left"/>
        <w:rPr>
          <w:rFonts w:ascii="Cambria Math" w:hAns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3" w:equalWidth="0">
            <w:col w:w="724" w:space="68"/>
            <w:col w:w="754" w:space="41"/>
            <w:col w:w="8773"/>
          </w:cols>
        </w:sectPr>
      </w:pPr>
    </w:p>
    <w:p>
      <w:pPr>
        <w:pStyle w:val="BodyText"/>
        <w:rPr>
          <w:rFonts w:ascii="Cambria Math"/>
          <w:sz w:val="19"/>
        </w:rPr>
      </w:pPr>
    </w:p>
    <w:p>
      <w:pPr>
        <w:pStyle w:val="BodyText"/>
        <w:spacing w:line="360" w:lineRule="auto" w:before="90"/>
        <w:ind w:left="500" w:right="545"/>
      </w:pPr>
      <w:r>
        <w:rPr/>
        <w:t>Log-linearise equation</w:t>
      </w:r>
      <w:r>
        <w:rPr>
          <w:spacing w:val="-1"/>
        </w:rPr>
        <w:t> </w:t>
      </w:r>
      <w:r>
        <w:rPr/>
        <w:t>(4.31) to</w:t>
      </w:r>
      <w:r>
        <w:rPr>
          <w:spacing w:val="-1"/>
        </w:rPr>
        <w:t> </w:t>
      </w:r>
      <w:r>
        <w:rPr/>
        <w:t>get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labour</w:t>
      </w:r>
      <w:r>
        <w:rPr>
          <w:spacing w:val="-2"/>
        </w:rPr>
        <w:t> </w:t>
      </w:r>
      <w:r>
        <w:rPr/>
        <w:t>supply</w:t>
      </w:r>
      <w:r>
        <w:rPr>
          <w:spacing w:val="-5"/>
        </w:rPr>
        <w:t> </w:t>
      </w:r>
      <w:r>
        <w:rPr/>
        <w:t>schedule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Ricardian</w:t>
      </w:r>
      <w:r>
        <w:rPr>
          <w:spacing w:val="-1"/>
        </w:rPr>
        <w:t> </w:t>
      </w:r>
      <w:r>
        <w:rPr/>
        <w:t>household. This</w:t>
      </w:r>
      <w:r>
        <w:rPr>
          <w:spacing w:val="-57"/>
        </w:rPr>
        <w:t> </w:t>
      </w:r>
      <w:r>
        <w:rPr/>
        <w:t>becomes:</w:t>
      </w:r>
    </w:p>
    <w:p>
      <w:pPr>
        <w:spacing w:after="0" w:line="360" w:lineRule="auto"/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jc w:val="right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𝑤</w:t>
      </w:r>
      <w:r>
        <w:rPr>
          <w:rFonts w:ascii="Cambria Math" w:eastAsia="Cambria Math"/>
          <w:w w:val="110"/>
          <w:vertAlign w:val="subscript"/>
        </w:rPr>
        <w:t>𝑡</w:t>
      </w:r>
    </w:p>
    <w:p>
      <w:pPr>
        <w:pStyle w:val="BodyText"/>
        <w:spacing w:before="2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pStyle w:val="BodyText"/>
        <w:ind w:left="26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10"/>
        </w:rPr>
        <w:t>−</w:t>
      </w:r>
      <w:r>
        <w:rPr>
          <w:rFonts w:ascii="Cambria Math" w:hAnsi="Cambria Math" w:eastAsia="Cambria Math"/>
          <w:spacing w:val="1"/>
          <w:w w:val="110"/>
        </w:rPr>
        <w:t> </w:t>
      </w:r>
      <w:r>
        <w:rPr>
          <w:rFonts w:ascii="Cambria Math" w:hAnsi="Cambria Math" w:eastAsia="Cambria Math"/>
          <w:spacing w:val="-81"/>
          <w:w w:val="110"/>
        </w:rPr>
        <w:t>𝑝</w:t>
      </w:r>
      <w:r>
        <w:rPr>
          <w:rFonts w:ascii="Cambria Math" w:hAnsi="Cambria Math" w:eastAsia="Cambria Math"/>
          <w:spacing w:val="-81"/>
          <w:w w:val="110"/>
          <w:vertAlign w:val="subscript"/>
        </w:rPr>
        <w:t>𝑡</w:t>
      </w:r>
    </w:p>
    <w:p>
      <w:pPr>
        <w:pStyle w:val="BodyText"/>
        <w:spacing w:before="8"/>
        <w:rPr>
          <w:rFonts w:ascii="Cambria Math"/>
          <w:sz w:val="15"/>
        </w:rPr>
      </w:pPr>
      <w:r>
        <w:rPr/>
        <w:br w:type="column"/>
      </w:r>
      <w:r>
        <w:rPr>
          <w:rFonts w:ascii="Cambria Math"/>
          <w:sz w:val="15"/>
        </w:rPr>
      </w:r>
    </w:p>
    <w:p>
      <w:pPr>
        <w:spacing w:line="177" w:lineRule="auto" w:before="0"/>
        <w:ind w:left="285" w:right="0" w:hanging="245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position w:val="-13"/>
          <w:sz w:val="24"/>
        </w:rPr>
        <w:t>=</w:t>
      </w:r>
      <w:r>
        <w:rPr>
          <w:rFonts w:ascii="Cambria Math" w:hAnsi="Cambria Math" w:eastAsia="Cambria Math"/>
          <w:spacing w:val="5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sz w:val="17"/>
        </w:rPr>
        <w:t>𝜎</w:t>
      </w:r>
      <w:r>
        <w:rPr>
          <w:rFonts w:ascii="Cambria Math" w:hAnsi="Cambria Math" w:eastAsia="Cambria Math"/>
          <w:spacing w:val="1"/>
          <w:w w:val="105"/>
          <w:sz w:val="17"/>
        </w:rPr>
        <w:t> </w:t>
      </w:r>
      <w:r>
        <w:rPr>
          <w:rFonts w:ascii="Cambria Math" w:hAnsi="Cambria Math" w:eastAsia="Cambria Math"/>
          <w:spacing w:val="-1"/>
          <w:w w:val="105"/>
          <w:sz w:val="17"/>
        </w:rPr>
        <w:t>1−ℎ</w:t>
      </w:r>
    </w:p>
    <w:p>
      <w:pPr>
        <w:pStyle w:val="BodyText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spacing w:before="0"/>
        <w:ind w:left="2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25.660004pt;margin-top:7.662356pt;width:16.560pt;height:.84pt;mso-position-horizontal-relative:page;mso-position-vertical-relative:paragraph;z-index:-2143948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pacing w:val="-1"/>
          <w:w w:val="105"/>
          <w:position w:val="5"/>
          <w:sz w:val="24"/>
        </w:rPr>
        <w:t>(𝑐</w:t>
      </w:r>
      <w:r>
        <w:rPr>
          <w:rFonts w:ascii="Cambria Math" w:eastAsia="Cambria Math"/>
          <w:spacing w:val="-1"/>
          <w:w w:val="105"/>
          <w:sz w:val="17"/>
        </w:rPr>
        <w:t>𝑅,𝑡</w:t>
      </w:r>
    </w:p>
    <w:p>
      <w:pPr>
        <w:pStyle w:val="BodyText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spacing w:before="0"/>
        <w:ind w:left="26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position w:val="5"/>
          <w:sz w:val="24"/>
        </w:rPr>
        <w:t>−</w:t>
      </w:r>
      <w:r>
        <w:rPr>
          <w:rFonts w:ascii="Cambria Math" w:hAnsi="Cambria Math" w:eastAsia="Cambria Math"/>
          <w:spacing w:val="5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ℎ𝑐</w:t>
      </w:r>
      <w:r>
        <w:rPr>
          <w:rFonts w:ascii="Cambria Math" w:hAnsi="Cambria Math" w:eastAsia="Cambria Math"/>
          <w:sz w:val="17"/>
        </w:rPr>
        <w:t>𝑅,𝑡−1</w:t>
      </w:r>
    </w:p>
    <w:p>
      <w:pPr>
        <w:pStyle w:val="BodyText"/>
        <w:spacing w:before="2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pStyle w:val="BodyText"/>
        <w:ind w:left="-31"/>
        <w:rPr>
          <w:rFonts w:ascii="Cambria Math" w:eastAsia="Cambria Math"/>
        </w:rPr>
      </w:pPr>
      <w:r>
        <w:rPr>
          <w:rFonts w:ascii="Cambria Math" w:eastAsia="Cambria Math"/>
          <w:w w:val="95"/>
        </w:rPr>
        <w:t>)</w:t>
      </w:r>
      <w:r>
        <w:rPr>
          <w:rFonts w:ascii="Cambria Math" w:eastAsia="Cambria Math"/>
          <w:spacing w:val="-4"/>
          <w:w w:val="95"/>
        </w:rPr>
        <w:t> </w:t>
      </w:r>
      <w:r>
        <w:rPr>
          <w:rFonts w:ascii="Cambria Math" w:eastAsia="Cambria Math"/>
          <w:w w:val="95"/>
        </w:rPr>
        <w:t>+</w:t>
      </w:r>
      <w:r>
        <w:rPr>
          <w:rFonts w:ascii="Cambria Math" w:eastAsia="Cambria Math"/>
          <w:spacing w:val="-4"/>
          <w:w w:val="95"/>
        </w:rPr>
        <w:t> </w:t>
      </w:r>
      <w:r>
        <w:rPr>
          <w:rFonts w:ascii="Cambria Math" w:eastAsia="Cambria Math"/>
          <w:w w:val="95"/>
        </w:rPr>
        <w:t>𝑛</w:t>
      </w:r>
      <w:r>
        <w:rPr>
          <w:rFonts w:ascii="Cambria Math" w:eastAsia="Cambria Math"/>
          <w:w w:val="95"/>
          <w:vertAlign w:val="subscript"/>
        </w:rPr>
        <w:t>𝑡</w:t>
      </w:r>
    </w:p>
    <w:p>
      <w:pPr>
        <w:pStyle w:val="BodyText"/>
        <w:spacing w:before="6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pStyle w:val="BodyText"/>
        <w:ind w:left="500"/>
      </w:pPr>
      <w:r>
        <w:rPr/>
        <w:t>(4.32)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7" w:equalWidth="0">
            <w:col w:w="746" w:space="40"/>
            <w:col w:w="462" w:space="39"/>
            <w:col w:w="615" w:space="40"/>
            <w:col w:w="443" w:space="40"/>
            <w:col w:w="957" w:space="40"/>
            <w:col w:w="783" w:space="4556"/>
            <w:col w:w="1599"/>
          </w:cols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Heading1"/>
        <w:spacing w:before="88"/>
      </w:pPr>
      <w:r>
        <w:rPr/>
        <w:t>Non-Ricardian</w:t>
      </w:r>
      <w:r>
        <w:rPr>
          <w:spacing w:val="-2"/>
        </w:rPr>
        <w:t> </w:t>
      </w:r>
      <w:r>
        <w:rPr/>
        <w:t>Household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360" w:lineRule="auto"/>
        <w:ind w:left="500" w:right="505"/>
        <w:jc w:val="both"/>
      </w:pPr>
      <w:r>
        <w:rPr/>
        <w:t>The</w:t>
      </w:r>
      <w:r>
        <w:rPr>
          <w:spacing w:val="-7"/>
        </w:rPr>
        <w:t> </w:t>
      </w:r>
      <w:r>
        <w:rPr/>
        <w:t>liquidity</w:t>
      </w:r>
      <w:r>
        <w:rPr>
          <w:spacing w:val="-8"/>
        </w:rPr>
        <w:t> </w:t>
      </w:r>
      <w:r>
        <w:rPr/>
        <w:t>constrained</w:t>
      </w:r>
      <w:r>
        <w:rPr>
          <w:spacing w:val="-4"/>
        </w:rPr>
        <w:t> </w:t>
      </w:r>
      <w:r>
        <w:rPr/>
        <w:t>consumer</w:t>
      </w:r>
      <w:r>
        <w:rPr>
          <w:spacing w:val="-5"/>
        </w:rPr>
        <w:t> </w:t>
      </w:r>
      <w:r>
        <w:rPr/>
        <w:t>maximises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same</w:t>
      </w:r>
      <w:r>
        <w:rPr>
          <w:spacing w:val="-7"/>
        </w:rPr>
        <w:t> </w:t>
      </w:r>
      <w:r>
        <w:rPr/>
        <w:t>utility</w:t>
      </w:r>
      <w:r>
        <w:rPr>
          <w:spacing w:val="-8"/>
        </w:rPr>
        <w:t> </w:t>
      </w:r>
      <w:r>
        <w:rPr/>
        <w:t>function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equation</w:t>
      </w:r>
      <w:r>
        <w:rPr>
          <w:spacing w:val="-5"/>
        </w:rPr>
        <w:t> </w:t>
      </w:r>
      <w:r>
        <w:rPr/>
        <w:t>(4.10)</w:t>
      </w:r>
      <w:r>
        <w:rPr>
          <w:spacing w:val="-6"/>
        </w:rPr>
        <w:t> </w:t>
      </w:r>
      <w:r>
        <w:rPr/>
        <w:t>subject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budget</w:t>
      </w:r>
      <w:r>
        <w:rPr>
          <w:spacing w:val="2"/>
        </w:rPr>
        <w:t> </w:t>
      </w:r>
      <w:r>
        <w:rPr/>
        <w:t>constraint in equation (4.33):</w:t>
      </w:r>
    </w:p>
    <w:p>
      <w:pPr>
        <w:pStyle w:val="BodyText"/>
        <w:tabs>
          <w:tab w:pos="9261" w:val="left" w:leader="none"/>
        </w:tabs>
        <w:spacing w:before="205"/>
        <w:ind w:left="500"/>
        <w:jc w:val="both"/>
      </w:pPr>
      <w:r>
        <w:rPr>
          <w:rFonts w:ascii="Cambria Math" w:hAnsi="Cambria Math" w:eastAsia="Cambria Math"/>
          <w:w w:val="105"/>
        </w:rPr>
        <w:t>𝑃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w w:val="105"/>
          <w:vertAlign w:val="baseline"/>
        </w:rPr>
        <w:t>𝐶</w:t>
      </w:r>
      <w:r>
        <w:rPr>
          <w:rFonts w:ascii="Cambria Math" w:hAnsi="Cambria Math" w:eastAsia="Cambria Math"/>
          <w:w w:val="105"/>
          <w:vertAlign w:val="subscript"/>
        </w:rPr>
        <w:t>𝑁𝑅,𝑡</w:t>
      </w:r>
      <w:r>
        <w:rPr>
          <w:rFonts w:ascii="Cambria Math" w:hAnsi="Cambria Math" w:eastAsia="Cambria Math"/>
          <w:spacing w:val="5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≤ 𝑊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w w:val="105"/>
          <w:vertAlign w:val="baseline"/>
        </w:rPr>
        <w:t>𝑁</w:t>
      </w:r>
      <w:r>
        <w:rPr>
          <w:rFonts w:ascii="Cambria Math" w:hAnsi="Cambria Math" w:eastAsia="Cambria Math"/>
          <w:w w:val="105"/>
          <w:vertAlign w:val="subscript"/>
        </w:rPr>
        <w:t>𝑁𝑅,𝑡</w:t>
      </w:r>
      <w:r>
        <w:rPr>
          <w:rFonts w:ascii="Cambria Math" w:hAnsi="Cambria Math" w:eastAsia="Cambria Math"/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-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𝑇𝑃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w w:val="105"/>
          <w:vertAlign w:val="baseline"/>
        </w:rPr>
        <w:tab/>
      </w:r>
      <w:r>
        <w:rPr>
          <w:w w:val="105"/>
          <w:vertAlign w:val="baseline"/>
        </w:rPr>
        <w:t>(4.33)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spacing w:line="360" w:lineRule="auto"/>
        <w:ind w:left="500" w:right="497"/>
        <w:jc w:val="both"/>
      </w:pPr>
      <w:r>
        <w:rPr/>
        <w:t>The budget constraint postulates that the household receives only wage bills </w:t>
      </w:r>
      <w:r>
        <w:rPr>
          <w:rFonts w:ascii="Cambria Math" w:eastAsia="Cambria Math"/>
        </w:rPr>
        <w:t>𝑊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vertAlign w:val="baseline"/>
        </w:rPr>
        <w:t>𝑁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vertAlign w:val="baseline"/>
        </w:rPr>
        <w:t> </w:t>
      </w:r>
      <w:r>
        <w:rPr>
          <w:vertAlign w:val="baseline"/>
        </w:rPr>
        <w:t>and lump sum</w:t>
      </w:r>
      <w:r>
        <w:rPr>
          <w:spacing w:val="-57"/>
          <w:vertAlign w:val="baseline"/>
        </w:rPr>
        <w:t> </w:t>
      </w:r>
      <w:r>
        <w:rPr>
          <w:vertAlign w:val="baseline"/>
        </w:rPr>
        <w:t>transfer from the government </w:t>
      </w:r>
      <w:r>
        <w:rPr>
          <w:rFonts w:ascii="Cambria Math" w:eastAsia="Cambria Math"/>
          <w:vertAlign w:val="baseline"/>
        </w:rPr>
        <w:t>𝑇𝑃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vertAlign w:val="baseline"/>
        </w:rPr>
        <w:t>and uses its income to buy consumption goods. The budget</w:t>
      </w:r>
      <w:r>
        <w:rPr>
          <w:spacing w:val="1"/>
          <w:vertAlign w:val="baseline"/>
        </w:rPr>
        <w:t> </w:t>
      </w:r>
      <w:r>
        <w:rPr>
          <w:vertAlign w:val="baseline"/>
        </w:rPr>
        <w:t>constraint</w:t>
      </w:r>
      <w:r>
        <w:rPr>
          <w:spacing w:val="-3"/>
          <w:vertAlign w:val="baseline"/>
        </w:rPr>
        <w:t> </w:t>
      </w:r>
      <w:r>
        <w:rPr>
          <w:vertAlign w:val="baseline"/>
        </w:rPr>
        <w:t>takes</w:t>
      </w:r>
      <w:r>
        <w:rPr>
          <w:spacing w:val="-4"/>
          <w:vertAlign w:val="baseline"/>
        </w:rPr>
        <w:t> </w:t>
      </w:r>
      <w:r>
        <w:rPr>
          <w:vertAlign w:val="baseline"/>
        </w:rPr>
        <w:t>this</w:t>
      </w:r>
      <w:r>
        <w:rPr>
          <w:spacing w:val="-4"/>
          <w:vertAlign w:val="baseline"/>
        </w:rPr>
        <w:t> </w:t>
      </w:r>
      <w:r>
        <w:rPr>
          <w:vertAlign w:val="baseline"/>
        </w:rPr>
        <w:t>form</w:t>
      </w:r>
      <w:r>
        <w:rPr>
          <w:spacing w:val="-1"/>
          <w:vertAlign w:val="baseline"/>
        </w:rPr>
        <w:t> </w:t>
      </w:r>
      <w:r>
        <w:rPr>
          <w:vertAlign w:val="baseline"/>
        </w:rPr>
        <w:t>since</w:t>
      </w:r>
      <w:r>
        <w:rPr>
          <w:spacing w:val="-5"/>
          <w:vertAlign w:val="baseline"/>
        </w:rPr>
        <w:t> </w:t>
      </w:r>
      <w:r>
        <w:rPr>
          <w:vertAlign w:val="baseline"/>
        </w:rPr>
        <w:t>it</w:t>
      </w:r>
      <w:r>
        <w:rPr>
          <w:spacing w:val="-3"/>
          <w:vertAlign w:val="baseline"/>
        </w:rPr>
        <w:t> </w:t>
      </w:r>
      <w:r>
        <w:rPr>
          <w:vertAlign w:val="baseline"/>
        </w:rPr>
        <w:t>is</w:t>
      </w:r>
      <w:r>
        <w:rPr>
          <w:spacing w:val="-3"/>
          <w:vertAlign w:val="baseline"/>
        </w:rPr>
        <w:t> </w:t>
      </w:r>
      <w:r>
        <w:rPr>
          <w:vertAlign w:val="baseline"/>
        </w:rPr>
        <w:t>assumed</w:t>
      </w:r>
      <w:r>
        <w:rPr>
          <w:spacing w:val="-4"/>
          <w:vertAlign w:val="baseline"/>
        </w:rPr>
        <w:t> </w:t>
      </w:r>
      <w:r>
        <w:rPr>
          <w:vertAlign w:val="baseline"/>
        </w:rPr>
        <w:t>that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non-Ricardian</w:t>
      </w:r>
      <w:r>
        <w:rPr>
          <w:spacing w:val="-4"/>
          <w:vertAlign w:val="baseline"/>
        </w:rPr>
        <w:t> </w:t>
      </w:r>
      <w:r>
        <w:rPr>
          <w:vertAlign w:val="baseline"/>
        </w:rPr>
        <w:t>household</w:t>
      </w:r>
      <w:r>
        <w:rPr>
          <w:spacing w:val="-3"/>
          <w:vertAlign w:val="baseline"/>
        </w:rPr>
        <w:t> </w:t>
      </w:r>
      <w:r>
        <w:rPr>
          <w:vertAlign w:val="baseline"/>
        </w:rPr>
        <w:t>cannot</w:t>
      </w:r>
      <w:r>
        <w:rPr>
          <w:spacing w:val="-3"/>
          <w:vertAlign w:val="baseline"/>
        </w:rPr>
        <w:t> </w:t>
      </w:r>
      <w:r>
        <w:rPr>
          <w:vertAlign w:val="baseline"/>
        </w:rPr>
        <w:t>accumulate</w:t>
      </w:r>
      <w:r>
        <w:rPr>
          <w:spacing w:val="-58"/>
          <w:vertAlign w:val="baseline"/>
        </w:rPr>
        <w:t> </w:t>
      </w:r>
      <w:r>
        <w:rPr>
          <w:vertAlign w:val="baseline"/>
        </w:rPr>
        <w:t>bonds</w:t>
      </w:r>
      <w:r>
        <w:rPr>
          <w:spacing w:val="-1"/>
          <w:vertAlign w:val="baseline"/>
        </w:rPr>
        <w:t> </w:t>
      </w:r>
      <w:r>
        <w:rPr>
          <w:vertAlign w:val="baseline"/>
        </w:rPr>
        <w:t>from the</w:t>
      </w:r>
      <w:r>
        <w:rPr>
          <w:spacing w:val="-1"/>
          <w:vertAlign w:val="baseline"/>
        </w:rPr>
        <w:t> </w:t>
      </w:r>
      <w:r>
        <w:rPr>
          <w:vertAlign w:val="baseline"/>
        </w:rPr>
        <w:t>financial market and cannot earn</w:t>
      </w:r>
      <w:r>
        <w:rPr>
          <w:spacing w:val="-1"/>
          <w:vertAlign w:val="baseline"/>
        </w:rPr>
        <w:t> </w:t>
      </w:r>
      <w:r>
        <w:rPr>
          <w:vertAlign w:val="baseline"/>
        </w:rPr>
        <w:t>profit since</w:t>
      </w:r>
      <w:r>
        <w:rPr>
          <w:spacing w:val="-2"/>
          <w:vertAlign w:val="baseline"/>
        </w:rPr>
        <w:t> </w:t>
      </w:r>
      <w:r>
        <w:rPr>
          <w:vertAlign w:val="baseline"/>
        </w:rPr>
        <w:t>they</w:t>
      </w:r>
      <w:r>
        <w:rPr>
          <w:spacing w:val="-5"/>
          <w:vertAlign w:val="baseline"/>
        </w:rPr>
        <w:t> </w:t>
      </w:r>
      <w:r>
        <w:rPr>
          <w:vertAlign w:val="baseline"/>
        </w:rPr>
        <w:t>do not own firms.</w:t>
      </w:r>
    </w:p>
    <w:p>
      <w:pPr>
        <w:spacing w:after="0" w:line="360" w:lineRule="auto"/>
        <w:jc w:val="both"/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74"/>
        <w:ind w:left="500"/>
      </w:pPr>
      <w:r>
        <w:rPr/>
        <w:t>The</w:t>
      </w:r>
      <w:r>
        <w:rPr>
          <w:spacing w:val="-1"/>
        </w:rPr>
        <w:t> </w:t>
      </w:r>
      <w:r>
        <w:rPr/>
        <w:t>Lagrangian</w:t>
      </w:r>
      <w:r>
        <w:rPr>
          <w:spacing w:val="-1"/>
        </w:rPr>
        <w:t> </w:t>
      </w:r>
      <w:r>
        <w:rPr/>
        <w:t>function is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combining</w:t>
      </w:r>
      <w:r>
        <w:rPr>
          <w:spacing w:val="-1"/>
        </w:rPr>
        <w:t> </w:t>
      </w:r>
      <w:r>
        <w:rPr/>
        <w:t>equations (4.10)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(4.33), to</w:t>
      </w:r>
      <w:r>
        <w:rPr>
          <w:spacing w:val="-1"/>
        </w:rPr>
        <w:t> </w:t>
      </w:r>
      <w:r>
        <w:rPr/>
        <w:t>get:</w:t>
      </w:r>
    </w:p>
    <w:p>
      <w:pPr>
        <w:pStyle w:val="BodyText"/>
        <w:spacing w:before="9"/>
        <w:rPr>
          <w:sz w:val="21"/>
        </w:rPr>
      </w:pPr>
    </w:p>
    <w:p>
      <w:pPr>
        <w:spacing w:after="0"/>
        <w:rPr>
          <w:sz w:val="21"/>
        </w:rPr>
        <w:sectPr>
          <w:pgSz w:w="12240" w:h="15840"/>
          <w:pgMar w:header="0" w:footer="935" w:top="1360" w:bottom="1200" w:left="940" w:right="940"/>
        </w:sectPr>
      </w:pPr>
    </w:p>
    <w:p>
      <w:pPr>
        <w:tabs>
          <w:tab w:pos="3203" w:val="left" w:leader="none"/>
        </w:tabs>
        <w:spacing w:line="108" w:lineRule="exact" w:before="72"/>
        <w:ind w:left="2017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position w:val="-9"/>
          <w:sz w:val="17"/>
        </w:rPr>
        <w:t>(</w:t>
        <w:tab/>
      </w:r>
      <w:r>
        <w:rPr>
          <w:rFonts w:ascii="Cambria Math" w:hAnsi="Cambria Math" w:eastAsia="Cambria Math"/>
          <w:spacing w:val="-68"/>
          <w:w w:val="105"/>
          <w:sz w:val="17"/>
        </w:rPr>
        <w:t>1−𝜎</w:t>
      </w:r>
    </w:p>
    <w:p>
      <w:pPr>
        <w:pStyle w:val="BodyText"/>
        <w:spacing w:before="2"/>
        <w:rPr>
          <w:rFonts w:ascii="Cambria Math"/>
          <w:sz w:val="11"/>
        </w:rPr>
      </w:pPr>
      <w:r>
        <w:rPr/>
        <w:br w:type="column"/>
      </w:r>
      <w:r>
        <w:rPr>
          <w:rFonts w:ascii="Cambria Math"/>
          <w:sz w:val="11"/>
        </w:rPr>
      </w:r>
    </w:p>
    <w:p>
      <w:pPr>
        <w:spacing w:line="48" w:lineRule="exact" w:before="0"/>
        <w:ind w:left="0" w:right="0" w:firstLine="0"/>
        <w:jc w:val="righ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0"/>
          <w:sz w:val="14"/>
        </w:rPr>
        <w:t>1−𝜌</w:t>
      </w:r>
    </w:p>
    <w:p>
      <w:pPr>
        <w:pStyle w:val="BodyText"/>
        <w:spacing w:before="5"/>
        <w:rPr>
          <w:rFonts w:ascii="Cambria Math"/>
          <w:sz w:val="11"/>
        </w:rPr>
      </w:pPr>
      <w:r>
        <w:rPr/>
        <w:br w:type="column"/>
      </w:r>
      <w:r>
        <w:rPr>
          <w:rFonts w:ascii="Cambria Math"/>
          <w:sz w:val="11"/>
        </w:rPr>
      </w:r>
    </w:p>
    <w:p>
      <w:pPr>
        <w:spacing w:line="46" w:lineRule="exact" w:before="0"/>
        <w:ind w:left="449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4"/>
        </w:rPr>
        <w:t>1+𝜑</w:t>
      </w:r>
    </w:p>
    <w:p>
      <w:pPr>
        <w:spacing w:after="0" w:line="46" w:lineRule="exact"/>
        <w:jc w:val="left"/>
        <w:rPr>
          <w:rFonts w:ascii="Cambria Math" w:eastAsia="Cambria Math"/>
          <w:sz w:val="14"/>
        </w:rPr>
        <w:sectPr>
          <w:type w:val="continuous"/>
          <w:pgSz w:w="12240" w:h="15840"/>
          <w:pgMar w:top="1500" w:bottom="1120" w:left="940" w:right="940"/>
          <w:cols w:num="3" w:equalWidth="0">
            <w:col w:w="3538" w:space="40"/>
            <w:col w:w="903" w:space="39"/>
            <w:col w:w="5840"/>
          </w:cols>
        </w:sectPr>
      </w:pPr>
    </w:p>
    <w:p>
      <w:pPr>
        <w:pStyle w:val="BodyText"/>
        <w:spacing w:line="153" w:lineRule="exact" w:before="60"/>
        <w:ind w:left="500"/>
        <w:rPr>
          <w:rFonts w:ascii="Cambria Math" w:hAnsi="Cambria Math" w:eastAsia="Cambria Math"/>
        </w:rPr>
      </w:pPr>
      <w:r>
        <w:rPr/>
        <w:pict>
          <v:shape style="position:absolute;margin-left:123.379997pt;margin-top:5.556638pt;width:24.55pt;height:12.05pt;mso-position-horizontal-relative:page;mso-position-vertical-relative:paragraph;z-index:-21434880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  <w:w w:val="110"/>
                    </w:rPr>
                    <w:t>𝛽</w:t>
                  </w:r>
                  <w:r>
                    <w:rPr>
                      <w:rFonts w:ascii="Cambria Math" w:eastAsia="Cambria Math"/>
                      <w:spacing w:val="53"/>
                      <w:w w:val="110"/>
                    </w:rPr>
                    <w:t> </w:t>
                  </w:r>
                  <w:r>
                    <w:rPr>
                      <w:rFonts w:ascii="Cambria Math" w:eastAsia="Cambria Math"/>
                      <w:w w:val="110"/>
                    </w:rPr>
                    <w:t>[(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w w:val="105"/>
        </w:rPr>
        <w:t>𝑓</w:t>
      </w:r>
      <w:r>
        <w:rPr>
          <w:rFonts w:ascii="Cambria Math" w:hAnsi="Cambria Math" w:eastAsia="Cambria Math"/>
          <w:spacing w:val="12"/>
          <w:w w:val="105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52"/>
          <w:w w:val="105"/>
        </w:rPr>
        <w:t> </w:t>
      </w:r>
      <w:r>
        <w:rPr>
          <w:rFonts w:ascii="Cambria Math" w:hAnsi="Cambria Math" w:eastAsia="Cambria Math"/>
          <w:w w:val="105"/>
          <w:position w:val="1"/>
        </w:rPr>
        <w:t>∑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∞</w:t>
      </w:r>
    </w:p>
    <w:p>
      <w:pPr>
        <w:tabs>
          <w:tab w:pos="635" w:val="left" w:leader="none"/>
        </w:tabs>
        <w:spacing w:line="214" w:lineRule="exact" w:before="0"/>
        <w:ind w:left="299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10"/>
          <w:position w:val="-1"/>
          <w:sz w:val="17"/>
        </w:rPr>
        <w:t>𝑡</w:t>
        <w:tab/>
      </w:r>
      <w:r>
        <w:rPr>
          <w:rFonts w:ascii="Cambria Math" w:hAnsi="Cambria Math" w:eastAsia="Cambria Math"/>
          <w:w w:val="105"/>
          <w:position w:val="3"/>
          <w:sz w:val="17"/>
          <w:u w:val="single"/>
        </w:rPr>
        <w:t>𝐶</w:t>
      </w:r>
      <w:r>
        <w:rPr>
          <w:rFonts w:ascii="Cambria Math" w:hAnsi="Cambria Math" w:eastAsia="Cambria Math"/>
          <w:w w:val="105"/>
          <w:sz w:val="14"/>
          <w:u w:val="single"/>
        </w:rPr>
        <w:t>𝑅,𝑡</w:t>
      </w:r>
      <w:r>
        <w:rPr>
          <w:rFonts w:ascii="Cambria Math" w:hAnsi="Cambria Math" w:eastAsia="Cambria Math"/>
          <w:w w:val="105"/>
          <w:position w:val="3"/>
          <w:sz w:val="17"/>
          <w:u w:val="single"/>
        </w:rPr>
        <w:t>−ℎ𝐶</w:t>
      </w:r>
      <w:r>
        <w:rPr>
          <w:rFonts w:ascii="Cambria Math" w:hAnsi="Cambria Math" w:eastAsia="Cambria Math"/>
          <w:w w:val="105"/>
          <w:sz w:val="14"/>
          <w:u w:val="single"/>
        </w:rPr>
        <w:t>𝑅,𝑡−1</w:t>
      </w:r>
      <w:r>
        <w:rPr>
          <w:rFonts w:ascii="Cambria Math" w:hAnsi="Cambria Math" w:eastAsia="Cambria Math"/>
          <w:w w:val="105"/>
          <w:position w:val="4"/>
          <w:sz w:val="17"/>
          <w:u w:val="single"/>
        </w:rPr>
        <w:t>)</w:t>
      </w:r>
    </w:p>
    <w:p>
      <w:pPr>
        <w:tabs>
          <w:tab w:pos="1239" w:val="left" w:leader="none"/>
          <w:tab w:pos="2028" w:val="left" w:leader="none"/>
        </w:tabs>
        <w:spacing w:line="214" w:lineRule="exact" w:before="0"/>
        <w:ind w:left="356" w:right="0" w:firstLine="0"/>
        <w:jc w:val="left"/>
        <w:rPr>
          <w:rFonts w:ascii="Cambria Math" w:hAnsi="Cambria Math" w:eastAsia="Cambria Math"/>
          <w:sz w:val="24"/>
        </w:rPr>
      </w:pPr>
      <w:r>
        <w:rPr/>
        <w:br w:type="column"/>
      </w:r>
      <w:r>
        <w:rPr>
          <w:rFonts w:ascii="Cambria Math" w:hAnsi="Cambria Math" w:eastAsia="Cambria Math"/>
          <w:w w:val="85"/>
          <w:sz w:val="24"/>
        </w:rPr>
        <w:t>+</w:t>
      </w:r>
      <w:r>
        <w:rPr>
          <w:rFonts w:ascii="Cambria Math" w:hAnsi="Cambria Math" w:eastAsia="Cambria Math"/>
          <w:spacing w:val="6"/>
          <w:w w:val="85"/>
          <w:sz w:val="24"/>
        </w:rPr>
        <w:t> </w:t>
      </w:r>
      <w:r>
        <w:rPr>
          <w:rFonts w:ascii="Cambria Math" w:hAnsi="Cambria Math" w:eastAsia="Cambria Math"/>
          <w:w w:val="85"/>
          <w:sz w:val="24"/>
        </w:rPr>
        <w:t/>
      </w:r>
      <w:r>
        <w:rPr>
          <w:rFonts w:ascii="Cambria Math" w:hAnsi="Cambria Math" w:eastAsia="Cambria Math"/>
          <w:spacing w:val="-4"/>
          <w:w w:val="85"/>
          <w:sz w:val="24"/>
        </w:rPr>
        <w:t> </w:t>
      </w:r>
      <w:r>
        <w:rPr>
          <w:rFonts w:ascii="Cambria Math" w:hAnsi="Cambria Math" w:eastAsia="Cambria Math"/>
          <w:w w:val="85"/>
          <w:position w:val="14"/>
          <w:sz w:val="17"/>
          <w:u w:val="single"/>
        </w:rPr>
        <w:t>𝐺</w:t>
      </w:r>
      <w:r>
        <w:rPr>
          <w:rFonts w:ascii="Cambria Math" w:hAnsi="Cambria Math" w:eastAsia="Cambria Math"/>
          <w:w w:val="85"/>
          <w:position w:val="11"/>
          <w:sz w:val="14"/>
          <w:u w:val="single"/>
        </w:rPr>
        <w:t>𝑡</w:t>
        <w:tab/>
      </w:r>
      <w:r>
        <w:rPr>
          <w:rFonts w:ascii="Cambria Math" w:hAnsi="Cambria Math" w:eastAsia="Cambria Math"/>
          <w:sz w:val="24"/>
        </w:rPr>
        <w:t>–</w:t>
      </w:r>
      <w:r>
        <w:rPr>
          <w:rFonts w:ascii="Cambria Math" w:hAnsi="Cambria Math" w:eastAsia="Cambria Math"/>
          <w:spacing w:val="25"/>
          <w:position w:val="14"/>
          <w:sz w:val="24"/>
          <w:u w:val="single"/>
        </w:rPr>
        <w:t> </w:t>
      </w:r>
      <w:r>
        <w:rPr>
          <w:rFonts w:ascii="Cambria Math" w:hAnsi="Cambria Math" w:eastAsia="Cambria Math"/>
          <w:position w:val="14"/>
          <w:sz w:val="17"/>
          <w:u w:val="single"/>
        </w:rPr>
        <w:t>𝑁</w:t>
      </w:r>
      <w:r>
        <w:rPr>
          <w:rFonts w:ascii="Cambria Math" w:hAnsi="Cambria Math" w:eastAsia="Cambria Math"/>
          <w:position w:val="11"/>
          <w:sz w:val="14"/>
          <w:u w:val="single"/>
        </w:rPr>
        <w:t>𝑡</w:t>
        <w:tab/>
      </w:r>
      <w:r>
        <w:rPr>
          <w:rFonts w:ascii="Cambria Math" w:hAnsi="Cambria Math" w:eastAsia="Cambria Math"/>
          <w:sz w:val="24"/>
        </w:rPr>
        <w:t>)]</w:t>
      </w:r>
      <w:r>
        <w:rPr>
          <w:rFonts w:ascii="Cambria Math" w:hAnsi="Cambria Math" w:eastAsia="Cambria Math"/>
          <w:spacing w:val="12"/>
          <w:sz w:val="24"/>
        </w:rPr>
        <w:t> </w:t>
      </w:r>
      <w:r>
        <w:rPr>
          <w:rFonts w:ascii="Cambria Math" w:hAnsi="Cambria Math" w:eastAsia="Cambria Math"/>
          <w:sz w:val="24"/>
        </w:rPr>
        <w:t>+</w:t>
      </w:r>
      <w:r>
        <w:rPr>
          <w:rFonts w:ascii="Cambria Math" w:hAnsi="Cambria Math" w:eastAsia="Cambria Math"/>
          <w:spacing w:val="12"/>
          <w:sz w:val="24"/>
        </w:rPr>
        <w:t> </w:t>
      </w:r>
      <w:r>
        <w:rPr>
          <w:rFonts w:ascii="Cambria Math" w:hAnsi="Cambria Math" w:eastAsia="Cambria Math"/>
          <w:sz w:val="24"/>
        </w:rPr>
        <w:t>𝜆</w:t>
      </w:r>
      <w:r>
        <w:rPr>
          <w:rFonts w:ascii="Cambria Math" w:hAnsi="Cambria Math" w:eastAsia="Cambria Math"/>
          <w:spacing w:val="57"/>
          <w:sz w:val="24"/>
        </w:rPr>
        <w:t> </w:t>
      </w:r>
      <w:r>
        <w:rPr>
          <w:rFonts w:ascii="Cambria Math" w:hAnsi="Cambria Math" w:eastAsia="Cambria Math"/>
          <w:sz w:val="24"/>
        </w:rPr>
        <w:t>𝛽</w:t>
      </w:r>
      <w:r>
        <w:rPr>
          <w:rFonts w:ascii="Cambria Math" w:hAnsi="Cambria Math" w:eastAsia="Cambria Math"/>
          <w:sz w:val="24"/>
          <w:vertAlign w:val="superscript"/>
        </w:rPr>
        <w:t>𝑡</w:t>
      </w:r>
      <w:r>
        <w:rPr>
          <w:rFonts w:ascii="Cambria Math" w:hAnsi="Cambria Math" w:eastAsia="Cambria Math"/>
          <w:position w:val="1"/>
          <w:sz w:val="24"/>
          <w:vertAlign w:val="baseline"/>
        </w:rPr>
        <w:t>[</w:t>
      </w:r>
      <w:r>
        <w:rPr>
          <w:rFonts w:ascii="Cambria Math" w:hAnsi="Cambria Math" w:eastAsia="Cambria Math"/>
          <w:sz w:val="24"/>
          <w:vertAlign w:val="baseline"/>
        </w:rPr>
        <w:t>𝑊</w:t>
      </w:r>
      <w:r>
        <w:rPr>
          <w:rFonts w:ascii="Cambria Math" w:hAnsi="Cambria Math" w:eastAsia="Cambria Math"/>
          <w:spacing w:val="17"/>
          <w:sz w:val="24"/>
          <w:vertAlign w:val="baseline"/>
        </w:rPr>
        <w:t> </w:t>
      </w:r>
      <w:r>
        <w:rPr>
          <w:rFonts w:ascii="Cambria Math" w:hAnsi="Cambria Math" w:eastAsia="Cambria Math"/>
          <w:spacing w:val="-149"/>
          <w:sz w:val="24"/>
          <w:vertAlign w:val="baseline"/>
        </w:rPr>
        <w:t>𝑁</w:t>
      </w:r>
    </w:p>
    <w:p>
      <w:pPr>
        <w:pStyle w:val="BodyText"/>
        <w:spacing w:line="143" w:lineRule="exact" w:before="70"/>
        <w:ind w:left="81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  <w:spacing w:val="-84"/>
        </w:rPr>
        <w:t>𝑇𝑃</w:t>
      </w:r>
    </w:p>
    <w:p>
      <w:pPr>
        <w:pStyle w:val="BodyText"/>
        <w:spacing w:line="153" w:lineRule="exact" w:before="60"/>
        <w:ind w:left="76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−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1 + 𝑟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</w:rPr>
        <w:t>𝑃</w:t>
      </w:r>
      <w:r>
        <w:rPr>
          <w:rFonts w:ascii="Cambria Math" w:hAnsi="Cambria Math" w:eastAsia="Cambria Math"/>
          <w:spacing w:val="10"/>
        </w:rPr>
        <w:t> </w:t>
      </w:r>
      <w:r>
        <w:rPr>
          <w:rFonts w:ascii="Cambria Math" w:hAnsi="Cambria Math" w:eastAsia="Cambria Math"/>
        </w:rPr>
        <w:t>𝐶</w:t>
      </w:r>
      <w:r>
        <w:rPr>
          <w:rFonts w:ascii="Cambria Math" w:hAnsi="Cambria Math" w:eastAsia="Cambria Math"/>
          <w:spacing w:val="22"/>
        </w:rPr>
        <w:t> </w:t>
      </w:r>
      <w:r>
        <w:rPr>
          <w:rFonts w:ascii="Cambria Math" w:hAnsi="Cambria Math" w:eastAsia="Cambria Math"/>
          <w:position w:val="1"/>
        </w:rPr>
        <w:t>]</w:t>
      </w:r>
    </w:p>
    <w:p>
      <w:pPr>
        <w:spacing w:after="0" w:line="153" w:lineRule="exact"/>
        <w:rPr>
          <w:rFonts w:ascii="Cambria Math" w:hAnsi="Cambria Math" w:eastAsia="Cambria Math"/>
        </w:rPr>
        <w:sectPr>
          <w:type w:val="continuous"/>
          <w:pgSz w:w="12240" w:h="15840"/>
          <w:pgMar w:top="1500" w:bottom="1120" w:left="940" w:right="940"/>
          <w:cols w:num="5" w:equalWidth="0">
            <w:col w:w="1342" w:space="40"/>
            <w:col w:w="1827" w:space="39"/>
            <w:col w:w="3528" w:space="39"/>
            <w:col w:w="609" w:space="40"/>
            <w:col w:w="2896"/>
          </w:cols>
        </w:sectPr>
      </w:pPr>
    </w:p>
    <w:p>
      <w:pPr>
        <w:spacing w:line="175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𝑡=0</w:t>
      </w:r>
    </w:p>
    <w:p>
      <w:pPr>
        <w:spacing w:before="43"/>
        <w:ind w:left="0" w:right="38" w:firstLine="0"/>
        <w:jc w:val="righ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1−𝜎</w:t>
      </w:r>
    </w:p>
    <w:p>
      <w:pPr>
        <w:spacing w:before="43"/>
        <w:ind w:left="0" w:right="0" w:firstLine="0"/>
        <w:jc w:val="righ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1−𝜌</w:t>
      </w:r>
    </w:p>
    <w:p>
      <w:pPr>
        <w:spacing w:before="43"/>
        <w:ind w:left="371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1+𝜑</w:t>
      </w:r>
    </w:p>
    <w:p>
      <w:pPr>
        <w:tabs>
          <w:tab w:pos="1286" w:val="left" w:leader="none"/>
          <w:tab w:pos="2171" w:val="left" w:leader="none"/>
        </w:tabs>
        <w:spacing w:line="170" w:lineRule="exact" w:before="0"/>
        <w:ind w:left="674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𝑡</w:t>
        <w:tab/>
        <w:t>𝑡   </w:t>
      </w:r>
      <w:r>
        <w:rPr>
          <w:rFonts w:ascii="Cambria Math" w:eastAsia="Cambria Math"/>
          <w:spacing w:val="5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𝑡</w:t>
        <w:tab/>
      </w:r>
      <w:r>
        <w:rPr>
          <w:rFonts w:ascii="Cambria Math" w:eastAsia="Cambria Math"/>
          <w:spacing w:val="-153"/>
          <w:w w:val="110"/>
          <w:sz w:val="17"/>
        </w:rPr>
        <w:t>𝑡</w:t>
      </w:r>
    </w:p>
    <w:p>
      <w:pPr>
        <w:spacing w:line="170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𝑡  </w:t>
      </w:r>
      <w:r>
        <w:rPr>
          <w:rFonts w:ascii="Cambria Math" w:eastAsia="Cambria Math"/>
          <w:spacing w:val="21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𝑡</w:t>
      </w:r>
    </w:p>
    <w:p>
      <w:pPr>
        <w:pStyle w:val="BodyText"/>
        <w:spacing w:before="4"/>
        <w:rPr>
          <w:rFonts w:ascii="Cambria Math"/>
          <w:sz w:val="33"/>
        </w:rPr>
      </w:pPr>
      <w:r>
        <w:rPr/>
        <w:br w:type="column"/>
      </w:r>
      <w:r>
        <w:rPr>
          <w:rFonts w:ascii="Cambria Math"/>
          <w:sz w:val="33"/>
        </w:rPr>
      </w:r>
    </w:p>
    <w:p>
      <w:pPr>
        <w:pStyle w:val="BodyText"/>
        <w:ind w:left="297"/>
      </w:pPr>
      <w:r>
        <w:rPr/>
        <w:t>(4.34)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7" w:equalWidth="0">
            <w:col w:w="1487" w:space="40"/>
            <w:col w:w="1292" w:space="83"/>
            <w:col w:w="1518" w:space="40"/>
            <w:col w:w="726" w:space="39"/>
            <w:col w:w="2247" w:space="39"/>
            <w:col w:w="1413" w:space="40"/>
            <w:col w:w="1396"/>
          </w:cols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2" w:lineRule="auto" w:before="86"/>
        <w:ind w:left="500" w:right="497"/>
      </w:pPr>
      <w:r>
        <w:rPr/>
        <w:pict>
          <v:rect style="position:absolute;margin-left:119.419998pt;margin-top:70.422356pt;width:71.16pt;height:.84pt;mso-position-horizontal-relative:page;mso-position-vertical-relative:paragraph;z-index:-21436928" filled="true" fillcolor="#000000" stroked="false">
            <v:fill type="solid"/>
            <w10:wrap type="none"/>
          </v:rect>
        </w:pict>
      </w:r>
      <w:r>
        <w:rPr/>
        <w:t>As</w:t>
      </w:r>
      <w:r>
        <w:rPr>
          <w:spacing w:val="-10"/>
        </w:rPr>
        <w:t> </w:t>
      </w:r>
      <w:r>
        <w:rPr/>
        <w:t>usual,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First</w:t>
      </w:r>
      <w:r>
        <w:rPr>
          <w:spacing w:val="-10"/>
        </w:rPr>
        <w:t> </w:t>
      </w:r>
      <w:r>
        <w:rPr/>
        <w:t>order</w:t>
      </w:r>
      <w:r>
        <w:rPr>
          <w:spacing w:val="-11"/>
        </w:rPr>
        <w:t> </w:t>
      </w:r>
      <w:r>
        <w:rPr/>
        <w:t>conditions</w:t>
      </w:r>
      <w:r>
        <w:rPr>
          <w:spacing w:val="-8"/>
        </w:rPr>
        <w:t> </w:t>
      </w:r>
      <w:r>
        <w:rPr/>
        <w:t>with</w:t>
      </w:r>
      <w:r>
        <w:rPr>
          <w:spacing w:val="-10"/>
        </w:rPr>
        <w:t> </w:t>
      </w:r>
      <w:r>
        <w:rPr/>
        <w:t>respect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consumption,</w:t>
      </w:r>
      <w:r>
        <w:rPr>
          <w:spacing w:val="-10"/>
        </w:rPr>
        <w:t> </w:t>
      </w:r>
      <w:r>
        <w:rPr/>
        <w:t>labour</w:t>
      </w:r>
      <w:r>
        <w:rPr>
          <w:spacing w:val="-10"/>
        </w:rPr>
        <w:t> </w:t>
      </w:r>
      <w:r>
        <w:rPr/>
        <w:t>supply</w:t>
      </w:r>
      <w:r>
        <w:rPr>
          <w:spacing w:val="-15"/>
        </w:rPr>
        <w:t> </w:t>
      </w:r>
      <w:r>
        <w:rPr/>
        <w:t>and</w:t>
      </w:r>
      <w:r>
        <w:rPr>
          <w:spacing w:val="-2"/>
        </w:rPr>
        <w:t> </w:t>
      </w:r>
      <w:r>
        <w:rPr>
          <w:rFonts w:ascii="Cambria Math" w:eastAsia="Cambria Math"/>
        </w:rPr>
        <w:t>𝜆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spacing w:val="14"/>
          <w:vertAlign w:val="baseline"/>
        </w:rPr>
        <w:t> </w:t>
      </w:r>
      <w:r>
        <w:rPr>
          <w:vertAlign w:val="baseline"/>
        </w:rPr>
        <w:t>are</w:t>
      </w:r>
      <w:r>
        <w:rPr>
          <w:spacing w:val="-12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stated respectively</w:t>
      </w:r>
      <w:r>
        <w:rPr>
          <w:spacing w:val="-5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equations (4.35)</w:t>
      </w:r>
      <w:r>
        <w:rPr>
          <w:spacing w:val="-2"/>
          <w:vertAlign w:val="baseline"/>
        </w:rPr>
        <w:t> </w:t>
      </w:r>
      <w:r>
        <w:rPr>
          <w:vertAlign w:val="baseline"/>
        </w:rPr>
        <w:t>to (4.37) as:</w:t>
      </w:r>
    </w:p>
    <w:p>
      <w:pPr>
        <w:spacing w:after="0" w:line="362" w:lineRule="auto"/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2"/>
        <w:rPr>
          <w:sz w:val="22"/>
        </w:rPr>
      </w:pPr>
    </w:p>
    <w:p>
      <w:pPr>
        <w:spacing w:before="0"/>
        <w:ind w:left="0" w:right="3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𝜕𝑓</w:t>
      </w:r>
    </w:p>
    <w:p>
      <w:pPr>
        <w:pStyle w:val="BodyText"/>
        <w:spacing w:before="3"/>
        <w:rPr>
          <w:rFonts w:ascii="Cambria Math"/>
          <w:sz w:val="2"/>
        </w:rPr>
      </w:pPr>
    </w:p>
    <w:p>
      <w:pPr>
        <w:pStyle w:val="BodyText"/>
        <w:spacing w:line="20" w:lineRule="exact"/>
        <w:ind w:left="500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3.95pt;height:.85pt;mso-position-horizontal-relative:char;mso-position-vertical-relative:line" coordorigin="0,0" coordsize="279,17">
            <v:rect style="position:absolute;left:0;top:0;width:279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16"/>
        <w:ind w:left="0" w:right="0" w:firstLine="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7"/>
        </w:rPr>
        <w:t>𝜕𝐶</w:t>
      </w:r>
      <w:r>
        <w:rPr>
          <w:rFonts w:ascii="Cambria Math" w:eastAsia="Cambria Math"/>
          <w:w w:val="110"/>
          <w:position w:val="-2"/>
          <w:sz w:val="14"/>
        </w:rPr>
        <w:t>𝑡</w:t>
      </w:r>
    </w:p>
    <w:p>
      <w:pPr>
        <w:pStyle w:val="BodyText"/>
        <w:spacing w:before="1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sz w:val="28"/>
        </w:rPr>
      </w:r>
    </w:p>
    <w:p>
      <w:pPr>
        <w:pStyle w:val="BodyText"/>
        <w:spacing w:before="1"/>
        <w:ind w:left="4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:</w:t>
      </w:r>
      <w:r>
        <w:rPr>
          <w:rFonts w:ascii="Cambria Math" w:eastAsia="Cambria Math"/>
          <w:spacing w:val="-13"/>
        </w:rPr>
        <w:t> </w:t>
      </w:r>
      <w:r>
        <w:rPr>
          <w:rFonts w:ascii="Cambria Math" w:eastAsia="Cambria Math"/>
          <w:spacing w:val="-2"/>
        </w:rPr>
        <w:t>𝜆</w:t>
      </w:r>
      <w:r>
        <w:rPr>
          <w:rFonts w:ascii="Cambria Math" w:eastAsia="Cambria Math"/>
          <w:spacing w:val="-2"/>
          <w:vertAlign w:val="subscript"/>
        </w:rPr>
        <w:t>𝑡</w:t>
      </w:r>
      <w:r>
        <w:rPr>
          <w:rFonts w:ascii="Cambria Math" w:eastAsia="Cambria Math"/>
          <w:spacing w:val="28"/>
          <w:vertAlign w:val="baseline"/>
        </w:rPr>
        <w:t> </w:t>
      </w:r>
      <w:r>
        <w:rPr>
          <w:rFonts w:ascii="Cambria Math" w:eastAsia="Cambria Math"/>
          <w:spacing w:val="-1"/>
          <w:vertAlign w:val="baseline"/>
        </w:rPr>
        <w:t>=</w:t>
      </w:r>
    </w:p>
    <w:p>
      <w:pPr>
        <w:spacing w:line="276" w:lineRule="auto" w:before="154"/>
        <w:ind w:left="431" w:right="0" w:hanging="404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4"/>
          <w:sz w:val="17"/>
        </w:rPr>
        <w:t>(</w:t>
      </w:r>
      <w:r>
        <w:rPr>
          <w:rFonts w:ascii="Cambria Math" w:hAnsi="Cambria Math" w:eastAsia="Cambria Math"/>
          <w:w w:val="105"/>
          <w:position w:val="3"/>
          <w:sz w:val="17"/>
        </w:rPr>
        <w:t>𝐶</w:t>
      </w:r>
      <w:r>
        <w:rPr>
          <w:rFonts w:ascii="Cambria Math" w:hAnsi="Cambria Math" w:eastAsia="Cambria Math"/>
          <w:w w:val="105"/>
          <w:sz w:val="14"/>
        </w:rPr>
        <w:t>𝑁𝑅,𝑡</w:t>
      </w:r>
      <w:r>
        <w:rPr>
          <w:rFonts w:ascii="Cambria Math" w:hAnsi="Cambria Math" w:eastAsia="Cambria Math"/>
          <w:w w:val="105"/>
          <w:position w:val="3"/>
          <w:sz w:val="17"/>
        </w:rPr>
        <w:t>−ℎ𝐶</w:t>
      </w:r>
      <w:r>
        <w:rPr>
          <w:rFonts w:ascii="Cambria Math" w:hAnsi="Cambria Math" w:eastAsia="Cambria Math"/>
          <w:w w:val="105"/>
          <w:sz w:val="14"/>
        </w:rPr>
        <w:t>𝑁𝑅,𝑡−1</w:t>
      </w:r>
      <w:r>
        <w:rPr>
          <w:rFonts w:ascii="Cambria Math" w:hAnsi="Cambria Math" w:eastAsia="Cambria Math"/>
          <w:w w:val="105"/>
          <w:position w:val="4"/>
          <w:sz w:val="17"/>
        </w:rPr>
        <w:t>)</w:t>
      </w:r>
      <w:r>
        <w:rPr>
          <w:rFonts w:ascii="Cambria Math" w:hAnsi="Cambria Math" w:eastAsia="Cambria Math"/>
          <w:w w:val="105"/>
          <w:position w:val="13"/>
          <w:sz w:val="17"/>
        </w:rPr>
        <w:t>−𝜎</w:t>
      </w:r>
      <w:r>
        <w:rPr>
          <w:rFonts w:ascii="Cambria Math" w:hAnsi="Cambria Math" w:eastAsia="Cambria Math"/>
          <w:spacing w:val="1"/>
          <w:w w:val="105"/>
          <w:position w:val="13"/>
          <w:sz w:val="17"/>
        </w:rPr>
        <w:t> </w:t>
      </w:r>
      <w:r>
        <w:rPr>
          <w:rFonts w:ascii="Cambria Math" w:hAnsi="Cambria Math" w:eastAsia="Cambria Math"/>
          <w:w w:val="105"/>
          <w:position w:val="1"/>
          <w:sz w:val="17"/>
        </w:rPr>
        <w:t>(</w:t>
      </w:r>
      <w:r>
        <w:rPr>
          <w:rFonts w:ascii="Cambria Math" w:hAnsi="Cambria Math" w:eastAsia="Cambria Math"/>
          <w:w w:val="105"/>
          <w:sz w:val="17"/>
        </w:rPr>
        <w:t>1+𝑐</w:t>
      </w:r>
      <w:r>
        <w:rPr>
          <w:rFonts w:ascii="Cambria Math" w:hAnsi="Cambria Math" w:eastAsia="Cambria Math"/>
          <w:w w:val="105"/>
          <w:position w:val="1"/>
          <w:sz w:val="17"/>
        </w:rPr>
        <w:t>)</w:t>
      </w:r>
      <w:r>
        <w:rPr>
          <w:rFonts w:ascii="Cambria Math" w:hAnsi="Cambria Math" w:eastAsia="Cambria Math"/>
          <w:w w:val="105"/>
          <w:sz w:val="17"/>
        </w:rPr>
        <w:t>𝑃</w:t>
      </w:r>
      <w:r>
        <w:rPr>
          <w:rFonts w:ascii="Cambria Math" w:hAnsi="Cambria Math" w:eastAsia="Cambria Math"/>
          <w:w w:val="105"/>
          <w:position w:val="-2"/>
          <w:sz w:val="14"/>
        </w:rPr>
        <w:t>𝑡</w:t>
      </w:r>
    </w:p>
    <w:p>
      <w:pPr>
        <w:pStyle w:val="BodyText"/>
        <w:spacing w:before="5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sz w:val="28"/>
        </w:rPr>
      </w:r>
    </w:p>
    <w:p>
      <w:pPr>
        <w:pStyle w:val="BodyText"/>
        <w:spacing w:before="1"/>
        <w:ind w:left="500"/>
      </w:pPr>
      <w:r>
        <w:rPr/>
        <w:t>(4.35)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4" w:equalWidth="0">
            <w:col w:w="773" w:space="40"/>
            <w:col w:w="568" w:space="39"/>
            <w:col w:w="1730" w:space="5611"/>
            <w:col w:w="1599"/>
          </w:cols>
        </w:sect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spacing w:line="168" w:lineRule="auto" w:before="145"/>
        <w:ind w:left="546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72.024002pt;margin-top:17.290005pt;width:15.12pt;height:.84pt;mso-position-horizontal-relative:page;mso-position-vertical-relative:paragraph;z-index:-21436416" filled="true" fillcolor="#000000" stroked="false">
            <v:fill type="solid"/>
            <w10:wrap type="none"/>
          </v:rect>
        </w:pict>
      </w:r>
      <w:r>
        <w:rPr/>
        <w:pict>
          <v:shape style="position:absolute;margin-left:101.18pt;margin-top:16.894556pt;width:3.8pt;height:8.550pt;mso-position-horizontal-relative:page;mso-position-vertical-relative:paragraph;z-index:15761920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05"/>
          <w:sz w:val="17"/>
        </w:rPr>
        <w:t>𝜕𝑓</w:t>
      </w:r>
      <w:r>
        <w:rPr>
          <w:rFonts w:ascii="Cambria Math" w:eastAsia="Cambria Math"/>
          <w:spacing w:val="29"/>
          <w:w w:val="105"/>
          <w:sz w:val="17"/>
        </w:rPr>
        <w:t> </w:t>
      </w:r>
      <w:r>
        <w:rPr>
          <w:rFonts w:ascii="Cambria Math" w:eastAsia="Cambria Math"/>
          <w:w w:val="105"/>
          <w:position w:val="-13"/>
          <w:sz w:val="24"/>
        </w:rPr>
        <w:t>:</w:t>
      </w:r>
      <w:r>
        <w:rPr>
          <w:rFonts w:ascii="Cambria Math" w:eastAsia="Cambria Math"/>
          <w:spacing w:val="17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position w:val="-13"/>
          <w:sz w:val="24"/>
        </w:rPr>
        <w:t>𝜆</w:t>
      </w:r>
    </w:p>
    <w:p>
      <w:pPr>
        <w:spacing w:line="185" w:lineRule="exact" w:before="0"/>
        <w:ind w:left="500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7"/>
        </w:rPr>
        <w:t>𝜕𝑁</w:t>
      </w:r>
      <w:r>
        <w:rPr>
          <w:rFonts w:ascii="Cambria Math" w:eastAsia="Cambria Math"/>
          <w:w w:val="110"/>
          <w:position w:val="-2"/>
          <w:sz w:val="14"/>
        </w:rPr>
        <w:t>𝑡</w:t>
      </w:r>
    </w:p>
    <w:p>
      <w:pPr>
        <w:spacing w:line="170" w:lineRule="auto" w:before="113"/>
        <w:ind w:left="40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w w:val="110"/>
          <w:position w:val="-10"/>
          <w:sz w:val="24"/>
        </w:rPr>
        <w:t>=</w:t>
      </w:r>
      <w:r>
        <w:rPr>
          <w:rFonts w:ascii="Cambria Math" w:eastAsia="Cambria Math"/>
          <w:spacing w:val="57"/>
          <w:w w:val="110"/>
          <w:position w:val="-10"/>
          <w:sz w:val="24"/>
        </w:rPr>
        <w:t> </w:t>
      </w:r>
      <w:r>
        <w:rPr>
          <w:rFonts w:ascii="Cambria Math" w:eastAsia="Cambria Math"/>
          <w:w w:val="110"/>
          <w:position w:val="3"/>
          <w:sz w:val="17"/>
        </w:rPr>
        <w:t>𝑁</w:t>
      </w:r>
      <w:r>
        <w:rPr>
          <w:rFonts w:ascii="Cambria Math" w:eastAsia="Cambria Math"/>
          <w:w w:val="110"/>
          <w:sz w:val="14"/>
        </w:rPr>
        <w:t>𝑁𝑅,𝑡</w:t>
      </w:r>
      <w:r>
        <w:rPr>
          <w:rFonts w:ascii="Cambria Math" w:eastAsia="Cambria Math"/>
          <w:w w:val="110"/>
          <w:position w:val="10"/>
          <w:sz w:val="14"/>
        </w:rPr>
        <w:t>𝜑</w:t>
      </w:r>
    </w:p>
    <w:p>
      <w:pPr>
        <w:spacing w:line="176" w:lineRule="exact" w:before="0"/>
        <w:ind w:left="518" w:right="0" w:firstLine="0"/>
        <w:jc w:val="left"/>
        <w:rPr>
          <w:rFonts w:ascii="Cambria Math" w:eastAsia="Cambria Math"/>
          <w:sz w:val="14"/>
        </w:rPr>
      </w:pPr>
      <w:r>
        <w:rPr/>
        <w:pict>
          <v:rect style="position:absolute;margin-left:123.860001pt;margin-top:-4.117844pt;width:28.56pt;height:.84pt;mso-position-horizontal-relative:page;mso-position-vertical-relative:paragraph;z-index:-2143590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0"/>
          <w:sz w:val="17"/>
        </w:rPr>
        <w:t>𝑊</w:t>
      </w:r>
      <w:r>
        <w:rPr>
          <w:rFonts w:ascii="Cambria Math" w:eastAsia="Cambria Math"/>
          <w:w w:val="110"/>
          <w:position w:val="-2"/>
          <w:sz w:val="14"/>
        </w:rPr>
        <w:t>𝑡</w:t>
      </w:r>
    </w:p>
    <w:p>
      <w:pPr>
        <w:pStyle w:val="BodyText"/>
        <w:spacing w:before="198"/>
        <w:ind w:left="500"/>
      </w:pPr>
      <w:r>
        <w:rPr/>
        <w:br w:type="column"/>
      </w:r>
      <w:r>
        <w:rPr/>
        <w:t>(4.36)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3" w:equalWidth="0">
            <w:col w:w="1159" w:space="40"/>
            <w:col w:w="943" w:space="6619"/>
            <w:col w:w="1599"/>
          </w:cols>
        </w:sectPr>
      </w:pPr>
    </w:p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line="143" w:lineRule="exact" w:before="147"/>
        <w:ind w:left="572"/>
        <w:rPr>
          <w:rFonts w:ascii="Cambria Math" w:eastAsia="Cambria Math"/>
        </w:rPr>
      </w:pPr>
      <w:r>
        <w:rPr>
          <w:rFonts w:ascii="Cambria Math" w:eastAsia="Cambria Math"/>
          <w:w w:val="105"/>
          <w:vertAlign w:val="superscript"/>
        </w:rPr>
        <w:t>𝜕𝑓</w:t>
      </w:r>
      <w:r>
        <w:rPr>
          <w:rFonts w:ascii="Cambria Math" w:eastAsia="Cambria Math"/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:</w:t>
      </w:r>
      <w:r>
        <w:rPr>
          <w:spacing w:val="-15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𝑊</w:t>
      </w:r>
      <w:r>
        <w:rPr>
          <w:rFonts w:ascii="Cambria Math" w:eastAsia="Cambria Math"/>
          <w:spacing w:val="-4"/>
          <w:w w:val="105"/>
          <w:vertAlign w:val="baseline"/>
        </w:rPr>
        <w:t> </w:t>
      </w:r>
      <w:r>
        <w:rPr>
          <w:rFonts w:ascii="Cambria Math" w:eastAsia="Cambria Math"/>
          <w:spacing w:val="-152"/>
          <w:w w:val="105"/>
          <w:vertAlign w:val="baseline"/>
        </w:rPr>
        <w:t>𝑁</w:t>
      </w:r>
    </w:p>
    <w:p>
      <w:pPr>
        <w:pStyle w:val="BodyText"/>
        <w:spacing w:line="20" w:lineRule="exact"/>
        <w:ind w:left="50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7.8pt;height:.85pt;mso-position-horizontal-relative:char;mso-position-vertical-relative:line" coordorigin="0,0" coordsize="356,17">
            <v:rect style="position:absolute;left:0;top:0;width:356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143" w:lineRule="exact" w:before="147"/>
        <w:ind w:left="362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  <w:spacing w:val="-84"/>
        </w:rPr>
        <w:t>𝑇𝑃</w:t>
      </w:r>
    </w:p>
    <w:p>
      <w:pPr>
        <w:pStyle w:val="BodyText"/>
        <w:spacing w:line="143" w:lineRule="exact" w:before="147"/>
        <w:ind w:left="74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− 𝑃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  <w:spacing w:val="-169"/>
        </w:rPr>
        <w:t>𝐶</w:t>
      </w:r>
    </w:p>
    <w:p>
      <w:pPr>
        <w:pStyle w:val="BodyText"/>
        <w:tabs>
          <w:tab w:pos="6153" w:val="left" w:leader="none"/>
        </w:tabs>
        <w:spacing w:line="143" w:lineRule="exact" w:before="147"/>
        <w:ind w:left="383"/>
      </w:pPr>
      <w:r>
        <w:rPr/>
        <w:br w:type="column"/>
      </w:r>
      <w:r>
        <w:rPr>
          <w:rFonts w:ascii="Cambria Math"/>
        </w:rPr>
        <w:t>=</w:t>
      </w:r>
      <w:r>
        <w:rPr>
          <w:rFonts w:ascii="Cambria Math"/>
          <w:spacing w:val="12"/>
        </w:rPr>
        <w:t> </w:t>
      </w:r>
      <w:r>
        <w:rPr>
          <w:rFonts w:ascii="Cambria Math"/>
        </w:rPr>
        <w:t>0</w:t>
        <w:tab/>
      </w:r>
      <w:r>
        <w:rPr/>
        <w:t>(4.37)</w:t>
      </w:r>
    </w:p>
    <w:p>
      <w:pPr>
        <w:spacing w:after="0" w:line="143" w:lineRule="exact"/>
        <w:sectPr>
          <w:type w:val="continuous"/>
          <w:pgSz w:w="12240" w:h="15840"/>
          <w:pgMar w:top="1500" w:bottom="1120" w:left="940" w:right="940"/>
          <w:cols w:num="4" w:equalWidth="0">
            <w:col w:w="1437" w:space="40"/>
            <w:col w:w="890" w:space="39"/>
            <w:col w:w="662" w:space="40"/>
            <w:col w:w="7252"/>
          </w:cols>
        </w:sectPr>
      </w:pPr>
    </w:p>
    <w:p>
      <w:pPr>
        <w:spacing w:before="23"/>
        <w:ind w:left="500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5"/>
          <w:sz w:val="17"/>
        </w:rPr>
        <w:t>𝜕𝜆</w:t>
      </w:r>
      <w:r>
        <w:rPr>
          <w:rFonts w:ascii="Cambria Math" w:eastAsia="Cambria Math"/>
          <w:w w:val="115"/>
          <w:position w:val="-2"/>
          <w:sz w:val="14"/>
        </w:rPr>
        <w:t>𝑡</w:t>
      </w:r>
      <w:r>
        <w:rPr>
          <w:rFonts w:ascii="Cambria Math" w:eastAsia="Cambria Math"/>
          <w:w w:val="115"/>
          <w:position w:val="-5"/>
          <w:sz w:val="14"/>
        </w:rPr>
        <w:t>𝑡</w:t>
      </w:r>
    </w:p>
    <w:p>
      <w:pPr>
        <w:spacing w:line="151" w:lineRule="exact" w:before="0"/>
        <w:ind w:left="285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𝑡</w:t>
      </w:r>
      <w:r>
        <w:rPr>
          <w:rFonts w:ascii="Cambria Math" w:eastAsia="Cambria Math"/>
          <w:spacing w:val="1"/>
          <w:w w:val="110"/>
          <w:sz w:val="17"/>
        </w:rPr>
        <w:t> </w:t>
      </w:r>
      <w:r>
        <w:rPr>
          <w:rFonts w:ascii="Cambria Math" w:eastAsia="Cambria Math"/>
          <w:spacing w:val="-24"/>
          <w:w w:val="110"/>
          <w:sz w:val="17"/>
        </w:rPr>
        <w:t>𝑁𝑅,𝑡</w:t>
      </w:r>
    </w:p>
    <w:p>
      <w:pPr>
        <w:tabs>
          <w:tab w:pos="997" w:val="left" w:leader="none"/>
        </w:tabs>
        <w:spacing w:line="151" w:lineRule="exact" w:before="0"/>
        <w:ind w:left="500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𝑡</w:t>
        <w:tab/>
      </w:r>
      <w:r>
        <w:rPr>
          <w:rFonts w:ascii="Cambria Math" w:eastAsia="Cambria Math"/>
          <w:spacing w:val="-153"/>
          <w:w w:val="110"/>
          <w:sz w:val="17"/>
        </w:rPr>
        <w:t>𝑡</w:t>
      </w:r>
    </w:p>
    <w:p>
      <w:pPr>
        <w:spacing w:line="151" w:lineRule="exact" w:before="0"/>
        <w:ind w:left="103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𝑁𝑅,𝑡</w:t>
      </w:r>
    </w:p>
    <w:p>
      <w:pPr>
        <w:spacing w:after="0" w:line="151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4" w:equalWidth="0">
            <w:col w:w="848" w:space="40"/>
            <w:col w:w="886" w:space="64"/>
            <w:col w:w="1073" w:space="40"/>
            <w:col w:w="7409"/>
          </w:cols>
        </w:sectPr>
      </w:pPr>
    </w:p>
    <w:p>
      <w:pPr>
        <w:pStyle w:val="BodyText"/>
        <w:spacing w:before="1"/>
        <w:rPr>
          <w:rFonts w:ascii="Cambria Math"/>
          <w:sz w:val="19"/>
        </w:rPr>
      </w:pPr>
    </w:p>
    <w:p>
      <w:pPr>
        <w:pStyle w:val="BodyText"/>
        <w:spacing w:line="360" w:lineRule="auto" w:before="90"/>
        <w:ind w:left="500" w:right="497"/>
      </w:pPr>
      <w:r>
        <w:rPr/>
        <w:t>Combining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FOCs</w:t>
      </w:r>
      <w:r>
        <w:rPr>
          <w:spacing w:val="7"/>
        </w:rPr>
        <w:t> </w:t>
      </w:r>
      <w:r>
        <w:rPr/>
        <w:t>on</w:t>
      </w:r>
      <w:r>
        <w:rPr>
          <w:spacing w:val="5"/>
        </w:rPr>
        <w:t> </w:t>
      </w:r>
      <w:r>
        <w:rPr/>
        <w:t>consumption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labour</w:t>
      </w:r>
      <w:r>
        <w:rPr>
          <w:spacing w:val="4"/>
        </w:rPr>
        <w:t> </w:t>
      </w:r>
      <w:r>
        <w:rPr/>
        <w:t>supply,</w:t>
      </w:r>
      <w:r>
        <w:rPr>
          <w:spacing w:val="6"/>
        </w:rPr>
        <w:t> </w:t>
      </w:r>
      <w:r>
        <w:rPr/>
        <w:t>that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equations</w:t>
      </w:r>
      <w:r>
        <w:rPr>
          <w:spacing w:val="6"/>
        </w:rPr>
        <w:t> </w:t>
      </w:r>
      <w:r>
        <w:rPr/>
        <w:t>(4.35)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(4.36),</w:t>
      </w:r>
      <w:r>
        <w:rPr>
          <w:spacing w:val="5"/>
        </w:rPr>
        <w:t> </w:t>
      </w:r>
      <w:r>
        <w:rPr/>
        <w:t>one</w:t>
      </w:r>
      <w:r>
        <w:rPr>
          <w:spacing w:val="-57"/>
        </w:rPr>
        <w:t> </w:t>
      </w:r>
      <w:r>
        <w:rPr/>
        <w:t>obtains:</w:t>
      </w:r>
    </w:p>
    <w:p>
      <w:pPr>
        <w:spacing w:after="0" w:line="360" w:lineRule="auto"/>
        <w:sectPr>
          <w:type w:val="continuous"/>
          <w:pgSz w:w="12240" w:h="15840"/>
          <w:pgMar w:top="1500" w:bottom="1120" w:left="940" w:right="940"/>
        </w:sectPr>
      </w:pPr>
    </w:p>
    <w:p>
      <w:pPr>
        <w:spacing w:line="217" w:lineRule="exact" w:before="184"/>
        <w:ind w:left="500" w:right="0" w:firstLine="0"/>
        <w:jc w:val="left"/>
        <w:rPr>
          <w:rFonts w:ascii="Cambria Math" w:eastAsia="Cambria Math"/>
          <w:sz w:val="24"/>
        </w:rPr>
      </w:pPr>
      <w:r>
        <w:rPr>
          <w:rFonts w:ascii="Cambria Math" w:eastAsia="Cambria Math"/>
          <w:w w:val="105"/>
          <w:position w:val="14"/>
          <w:sz w:val="17"/>
          <w:u w:val="single"/>
        </w:rPr>
        <w:t>𝑊</w:t>
      </w:r>
      <w:r>
        <w:rPr>
          <w:rFonts w:ascii="Cambria Math" w:eastAsia="Cambria Math"/>
          <w:w w:val="105"/>
          <w:position w:val="11"/>
          <w:sz w:val="14"/>
          <w:u w:val="single"/>
        </w:rPr>
        <w:t>𝑡</w:t>
      </w:r>
      <w:r>
        <w:rPr>
          <w:rFonts w:ascii="Cambria Math" w:eastAsia="Cambria Math"/>
          <w:w w:val="105"/>
          <w:position w:val="11"/>
          <w:sz w:val="14"/>
        </w:rPr>
        <w:t>   </w:t>
      </w:r>
      <w:r>
        <w:rPr>
          <w:rFonts w:ascii="Cambria Math" w:eastAsia="Cambria Math"/>
          <w:spacing w:val="7"/>
          <w:w w:val="105"/>
          <w:position w:val="11"/>
          <w:sz w:val="14"/>
        </w:rPr>
        <w:t> </w:t>
      </w:r>
      <w:r>
        <w:rPr>
          <w:rFonts w:ascii="Cambria Math" w:eastAsia="Cambria Math"/>
          <w:w w:val="105"/>
          <w:sz w:val="24"/>
        </w:rPr>
        <w:t>=</w:t>
      </w:r>
      <w:r>
        <w:rPr>
          <w:rFonts w:ascii="Cambria Math" w:eastAsia="Cambria Math"/>
          <w:spacing w:val="1"/>
          <w:w w:val="105"/>
          <w:sz w:val="24"/>
        </w:rPr>
        <w:t> </w:t>
      </w:r>
      <w:r>
        <w:rPr>
          <w:rFonts w:ascii="Cambria Math" w:eastAsia="Cambria Math"/>
          <w:spacing w:val="-110"/>
          <w:w w:val="105"/>
          <w:sz w:val="24"/>
        </w:rPr>
        <w:t>(𝐶</w:t>
      </w:r>
    </w:p>
    <w:p>
      <w:pPr>
        <w:pStyle w:val="BodyText"/>
        <w:rPr>
          <w:rFonts w:ascii="Cambria Math"/>
          <w:sz w:val="22"/>
        </w:rPr>
      </w:pPr>
      <w:r>
        <w:rPr/>
        <w:br w:type="column"/>
      </w:r>
      <w:r>
        <w:rPr>
          <w:rFonts w:ascii="Cambria Math"/>
          <w:sz w:val="22"/>
        </w:rPr>
      </w:r>
    </w:p>
    <w:p>
      <w:pPr>
        <w:pStyle w:val="BodyText"/>
        <w:spacing w:line="143" w:lineRule="exact"/>
        <w:ind w:left="368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  <w:spacing w:val="-111"/>
        </w:rPr>
        <w:t>ℎ𝐶</w:t>
      </w:r>
    </w:p>
    <w:p>
      <w:pPr>
        <w:pStyle w:val="BodyText"/>
        <w:spacing w:before="11"/>
        <w:rPr>
          <w:rFonts w:ascii="Cambria Math"/>
          <w:sz w:val="13"/>
        </w:rPr>
      </w:pPr>
      <w:r>
        <w:rPr/>
        <w:br w:type="column"/>
      </w:r>
      <w:r>
        <w:rPr>
          <w:rFonts w:ascii="Cambria Math"/>
          <w:sz w:val="13"/>
        </w:rPr>
      </w:r>
    </w:p>
    <w:p>
      <w:pPr>
        <w:spacing w:line="147" w:lineRule="exact" w:before="0"/>
        <w:ind w:left="609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𝜎</w:t>
      </w:r>
    </w:p>
    <w:p>
      <w:pPr>
        <w:pStyle w:val="BodyText"/>
        <w:tabs>
          <w:tab w:pos="863" w:val="left" w:leader="none"/>
        </w:tabs>
        <w:spacing w:line="91" w:lineRule="exact"/>
        <w:ind w:left="500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)</w:t>
        <w:tab/>
      </w:r>
      <w:r>
        <w:rPr>
          <w:rFonts w:ascii="Cambria Math" w:eastAsia="Cambria Math"/>
          <w:spacing w:val="-153"/>
        </w:rPr>
        <w:t>𝑁</w:t>
      </w:r>
    </w:p>
    <w:p>
      <w:pPr>
        <w:pStyle w:val="BodyText"/>
        <w:rPr>
          <w:rFonts w:ascii="Cambria Math"/>
          <w:sz w:val="22"/>
        </w:rPr>
      </w:pPr>
      <w:r>
        <w:rPr/>
        <w:br w:type="column"/>
      </w:r>
      <w:r>
        <w:rPr>
          <w:rFonts w:ascii="Cambria Math"/>
          <w:sz w:val="22"/>
        </w:rPr>
      </w:r>
    </w:p>
    <w:p>
      <w:pPr>
        <w:pStyle w:val="BodyText"/>
        <w:tabs>
          <w:tab w:pos="5852" w:val="left" w:leader="none"/>
        </w:tabs>
        <w:spacing w:line="143" w:lineRule="exact"/>
        <w:ind w:left="312"/>
      </w:pPr>
      <w:r>
        <w:rPr>
          <w:rFonts w:ascii="Cambria Math" w:eastAsia="Cambria Math"/>
          <w:w w:val="110"/>
          <w:vertAlign w:val="superscript"/>
        </w:rPr>
        <w:t>𝜑</w:t>
      </w:r>
      <w:r>
        <w:rPr>
          <w:rFonts w:ascii="Cambria Math" w:eastAsia="Cambria Math"/>
          <w:w w:val="110"/>
          <w:vertAlign w:val="baseline"/>
        </w:rPr>
        <w:tab/>
      </w:r>
      <w:r>
        <w:rPr>
          <w:w w:val="110"/>
          <w:vertAlign w:val="baseline"/>
        </w:rPr>
        <w:t>(4.38)</w:t>
      </w:r>
    </w:p>
    <w:p>
      <w:pPr>
        <w:spacing w:after="0" w:line="143" w:lineRule="exact"/>
        <w:sectPr>
          <w:type w:val="continuous"/>
          <w:pgSz w:w="12240" w:h="15840"/>
          <w:pgMar w:top="1500" w:bottom="1120" w:left="940" w:right="940"/>
          <w:cols w:num="4" w:equalWidth="0">
            <w:col w:w="1331" w:space="40"/>
            <w:col w:w="882" w:space="77"/>
            <w:col w:w="1040" w:space="40"/>
            <w:col w:w="6950"/>
          </w:cols>
        </w:sectPr>
      </w:pPr>
    </w:p>
    <w:p>
      <w:pPr>
        <w:spacing w:before="43"/>
        <w:ind w:left="0" w:right="38" w:firstLine="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7"/>
        </w:rPr>
        <w:t>𝑃</w:t>
      </w:r>
      <w:r>
        <w:rPr>
          <w:rFonts w:ascii="Cambria Math" w:eastAsia="Cambria Math"/>
          <w:w w:val="110"/>
          <w:position w:val="-2"/>
          <w:sz w:val="14"/>
        </w:rPr>
        <w:t>𝑡</w:t>
      </w:r>
    </w:p>
    <w:p>
      <w:pPr>
        <w:spacing w:line="171" w:lineRule="exact" w:before="0"/>
        <w:ind w:left="524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𝑁𝑅,𝑡</w:t>
      </w:r>
    </w:p>
    <w:p>
      <w:pPr>
        <w:spacing w:line="171" w:lineRule="exact" w:before="0"/>
        <w:ind w:left="524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sz w:val="17"/>
        </w:rPr>
        <w:t>𝑁𝑅,𝑡−1</w:t>
      </w:r>
    </w:p>
    <w:p>
      <w:pPr>
        <w:spacing w:line="171" w:lineRule="exact" w:before="0"/>
        <w:ind w:left="488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𝑁𝑅,𝑡</w:t>
      </w:r>
    </w:p>
    <w:p>
      <w:pPr>
        <w:spacing w:after="0" w:line="171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4" w:equalWidth="0">
            <w:col w:w="724" w:space="68"/>
            <w:col w:w="881" w:space="41"/>
            <w:col w:w="1108" w:space="39"/>
            <w:col w:w="7499"/>
          </w:cols>
        </w:sectPr>
      </w:pPr>
    </w:p>
    <w:p>
      <w:pPr>
        <w:pStyle w:val="BodyText"/>
        <w:rPr>
          <w:rFonts w:ascii="Cambria Math"/>
          <w:sz w:val="19"/>
        </w:rPr>
      </w:pPr>
    </w:p>
    <w:p>
      <w:pPr>
        <w:pStyle w:val="BodyText"/>
        <w:spacing w:line="360" w:lineRule="auto" w:before="90"/>
        <w:ind w:left="500"/>
      </w:pPr>
      <w:r>
        <w:rPr/>
        <w:t>The</w:t>
      </w:r>
      <w:r>
        <w:rPr>
          <w:spacing w:val="41"/>
        </w:rPr>
        <w:t> </w:t>
      </w:r>
      <w:r>
        <w:rPr/>
        <w:t>consumption</w:t>
      </w:r>
      <w:r>
        <w:rPr>
          <w:spacing w:val="42"/>
        </w:rPr>
        <w:t> </w:t>
      </w:r>
      <w:r>
        <w:rPr/>
        <w:t>equation</w:t>
      </w:r>
      <w:r>
        <w:rPr>
          <w:spacing w:val="42"/>
        </w:rPr>
        <w:t> </w:t>
      </w:r>
      <w:r>
        <w:rPr/>
        <w:t>for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non-Ricardian</w:t>
      </w:r>
      <w:r>
        <w:rPr>
          <w:spacing w:val="42"/>
        </w:rPr>
        <w:t> </w:t>
      </w:r>
      <w:r>
        <w:rPr/>
        <w:t>household</w:t>
      </w:r>
      <w:r>
        <w:rPr>
          <w:spacing w:val="43"/>
        </w:rPr>
        <w:t> </w:t>
      </w:r>
      <w:r>
        <w:rPr/>
        <w:t>is</w:t>
      </w:r>
      <w:r>
        <w:rPr>
          <w:spacing w:val="43"/>
        </w:rPr>
        <w:t> </w:t>
      </w:r>
      <w:r>
        <w:rPr/>
        <w:t>given</w:t>
      </w:r>
      <w:r>
        <w:rPr>
          <w:spacing w:val="42"/>
        </w:rPr>
        <w:t> </w:t>
      </w:r>
      <w:r>
        <w:rPr/>
        <w:t>by</w:t>
      </w:r>
      <w:r>
        <w:rPr>
          <w:spacing w:val="40"/>
        </w:rPr>
        <w:t> </w:t>
      </w:r>
      <w:r>
        <w:rPr/>
        <w:t>log-transforming</w:t>
      </w:r>
      <w:r>
        <w:rPr>
          <w:spacing w:val="40"/>
        </w:rPr>
        <w:t> </w:t>
      </w:r>
      <w:r>
        <w:rPr/>
        <w:t>the</w:t>
      </w:r>
      <w:r>
        <w:rPr>
          <w:spacing w:val="-57"/>
        </w:rPr>
        <w:t> </w:t>
      </w:r>
      <w:r>
        <w:rPr/>
        <w:t>budget</w:t>
      </w:r>
      <w:r>
        <w:rPr>
          <w:spacing w:val="1"/>
        </w:rPr>
        <w:t> </w:t>
      </w:r>
      <w:r>
        <w:rPr/>
        <w:t>constraint in equation (4.33) to obtain:</w:t>
      </w:r>
    </w:p>
    <w:p>
      <w:pPr>
        <w:pStyle w:val="BodyText"/>
        <w:spacing w:before="10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tabs>
          <w:tab w:pos="1040" w:val="left" w:leader="none"/>
        </w:tabs>
        <w:spacing w:line="217" w:lineRule="exact" w:before="73"/>
        <w:ind w:left="500" w:right="0" w:firstLine="0"/>
        <w:jc w:val="left"/>
        <w:rPr>
          <w:rFonts w:ascii="Cambria Math" w:hAnsi="Cambria Math" w:eastAsia="Cambria Math"/>
          <w:sz w:val="24"/>
        </w:rPr>
      </w:pPr>
      <w:r>
        <w:rPr>
          <w:rFonts w:ascii="Cambria Math" w:hAnsi="Cambria Math" w:eastAsia="Cambria Math"/>
          <w:sz w:val="24"/>
        </w:rPr>
        <w:t>𝑐</w:t>
        <w:tab/>
        <w:t>=</w:t>
      </w:r>
      <w:r>
        <w:rPr>
          <w:rFonts w:ascii="Cambria Math" w:hAnsi="Cambria Math" w:eastAsia="Cambria Math"/>
          <w:spacing w:val="18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𝑊𝑁</w:t>
      </w:r>
      <w:r>
        <w:rPr>
          <w:rFonts w:ascii="Cambria Math" w:hAnsi="Cambria Math" w:eastAsia="Cambria Math"/>
          <w:spacing w:val="6"/>
          <w:position w:val="14"/>
          <w:sz w:val="17"/>
        </w:rPr>
        <w:t> </w:t>
      </w:r>
      <w:r>
        <w:rPr>
          <w:rFonts w:ascii="Cambria Math" w:hAnsi="Cambria Math" w:eastAsia="Cambria Math"/>
          <w:sz w:val="24"/>
        </w:rPr>
        <w:t>(𝑤</w:t>
      </w:r>
      <w:r>
        <w:rPr>
          <w:rFonts w:ascii="Cambria Math" w:hAnsi="Cambria Math" w:eastAsia="Cambria Math"/>
          <w:spacing w:val="91"/>
          <w:sz w:val="24"/>
        </w:rPr>
        <w:t> </w:t>
      </w:r>
      <w:r>
        <w:rPr>
          <w:rFonts w:ascii="Cambria Math" w:hAnsi="Cambria Math" w:eastAsia="Cambria Math"/>
          <w:sz w:val="24"/>
        </w:rPr>
        <w:t>−</w:t>
      </w:r>
      <w:r>
        <w:rPr>
          <w:rFonts w:ascii="Cambria Math" w:hAnsi="Cambria Math" w:eastAsia="Cambria Math"/>
          <w:spacing w:val="4"/>
          <w:sz w:val="24"/>
        </w:rPr>
        <w:t> </w:t>
      </w:r>
      <w:r>
        <w:rPr>
          <w:rFonts w:ascii="Cambria Math" w:hAnsi="Cambria Math" w:eastAsia="Cambria Math"/>
          <w:spacing w:val="-172"/>
          <w:sz w:val="24"/>
        </w:rPr>
        <w:t>𝑝</w:t>
      </w:r>
    </w:p>
    <w:p>
      <w:pPr>
        <w:pStyle w:val="BodyText"/>
        <w:spacing w:line="20" w:lineRule="exact"/>
        <w:ind w:left="1287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5pt;height:.85pt;mso-position-horizontal-relative:char;mso-position-vertical-relative:line" coordorigin="0,0" coordsize="300,17">
            <v:rect style="position:absolute;left:0;top:0;width:300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143" w:lineRule="exact" w:before="147"/>
        <w:ind w:left="94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  <w:spacing w:val="-171"/>
        </w:rPr>
        <w:t>𝑛</w:t>
      </w:r>
    </w:p>
    <w:p>
      <w:pPr>
        <w:tabs>
          <w:tab w:pos="6303" w:val="left" w:leader="none"/>
        </w:tabs>
        <w:spacing w:line="217" w:lineRule="exact" w:before="73"/>
        <w:ind w:left="331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 w:eastAsia="Cambria Math"/>
          <w:sz w:val="24"/>
        </w:rPr>
        <w:t>)</w:t>
      </w:r>
      <w:r>
        <w:rPr>
          <w:rFonts w:ascii="Cambria Math" w:eastAsia="Cambria Math"/>
          <w:spacing w:val="2"/>
          <w:sz w:val="24"/>
        </w:rPr>
        <w:t> </w:t>
      </w:r>
      <w:r>
        <w:rPr>
          <w:rFonts w:ascii="Cambria Math" w:eastAsia="Cambria Math"/>
          <w:sz w:val="24"/>
        </w:rPr>
        <w:t>+ </w:t>
      </w:r>
      <w:r>
        <w:rPr>
          <w:rFonts w:ascii="Cambria Math" w:eastAsia="Cambria Math"/>
          <w:position w:val="14"/>
          <w:sz w:val="17"/>
        </w:rPr>
        <w:t>𝑇𝑃</w:t>
      </w:r>
      <w:r>
        <w:rPr>
          <w:rFonts w:ascii="Cambria Math" w:eastAsia="Cambria Math"/>
          <w:spacing w:val="8"/>
          <w:position w:val="14"/>
          <w:sz w:val="17"/>
        </w:rPr>
        <w:t> </w:t>
      </w:r>
      <w:r>
        <w:rPr>
          <w:rFonts w:ascii="Cambria Math" w:eastAsia="Cambria Math"/>
          <w:position w:val="1"/>
          <w:sz w:val="24"/>
        </w:rPr>
        <w:t>(</w:t>
      </w:r>
      <w:r>
        <w:rPr>
          <w:rFonts w:ascii="Cambria Math" w:eastAsia="Cambria Math"/>
          <w:sz w:val="24"/>
        </w:rPr>
        <w:t>𝑡𝑝</w:t>
      </w:r>
      <w:r>
        <w:rPr>
          <w:rFonts w:ascii="Cambria Math" w:eastAsia="Cambria Math"/>
          <w:spacing w:val="33"/>
          <w:sz w:val="24"/>
        </w:rPr>
        <w:t> </w:t>
      </w:r>
      <w:r>
        <w:rPr>
          <w:rFonts w:ascii="Cambria Math" w:eastAsia="Cambria Math"/>
          <w:position w:val="1"/>
          <w:sz w:val="24"/>
        </w:rPr>
        <w:t>)</w:t>
        <w:tab/>
      </w:r>
      <w:r>
        <w:rPr>
          <w:sz w:val="24"/>
        </w:rPr>
        <w:t>(4.39)</w:t>
      </w:r>
    </w:p>
    <w:p>
      <w:pPr>
        <w:pStyle w:val="BodyText"/>
        <w:spacing w:line="20" w:lineRule="exact"/>
        <w:ind w:left="722"/>
        <w:rPr>
          <w:sz w:val="2"/>
        </w:rPr>
      </w:pPr>
      <w:r>
        <w:rPr>
          <w:sz w:val="2"/>
        </w:rPr>
        <w:pict>
          <v:group style="width:11.05pt;height:.85pt;mso-position-horizontal-relative:char;mso-position-vertical-relative:line" coordorigin="0,0" coordsize="221,17">
            <v:rect style="position:absolute;left:0;top:0;width:221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500" w:bottom="1120" w:left="940" w:right="940"/>
          <w:cols w:num="3" w:equalWidth="0">
            <w:col w:w="2413" w:space="40"/>
            <w:col w:w="466" w:space="39"/>
            <w:col w:w="7402"/>
          </w:cols>
        </w:sectPr>
      </w:pPr>
    </w:p>
    <w:p>
      <w:pPr>
        <w:tabs>
          <w:tab w:pos="1325" w:val="left" w:leader="none"/>
          <w:tab w:pos="1904" w:val="left" w:leader="none"/>
          <w:tab w:pos="2405" w:val="left" w:leader="none"/>
        </w:tabs>
        <w:spacing w:line="168" w:lineRule="auto" w:before="0"/>
        <w:ind w:left="606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𝑁𝑅,𝑡</w:t>
        <w:tab/>
      </w:r>
      <w:r>
        <w:rPr>
          <w:rFonts w:ascii="Cambria Math" w:eastAsia="Cambria Math"/>
          <w:w w:val="105"/>
          <w:position w:val="-6"/>
          <w:sz w:val="17"/>
        </w:rPr>
        <w:t>𝑃𝐶</w:t>
        <w:tab/>
      </w:r>
      <w:r>
        <w:rPr>
          <w:rFonts w:ascii="Cambria Math" w:eastAsia="Cambria Math"/>
          <w:w w:val="105"/>
          <w:sz w:val="17"/>
        </w:rPr>
        <w:t>𝑡</w:t>
        <w:tab/>
      </w:r>
      <w:r>
        <w:rPr>
          <w:rFonts w:ascii="Cambria Math" w:eastAsia="Cambria Math"/>
          <w:spacing w:val="-153"/>
          <w:w w:val="105"/>
          <w:sz w:val="17"/>
        </w:rPr>
        <w:t>𝑡</w:t>
      </w:r>
    </w:p>
    <w:p>
      <w:pPr>
        <w:spacing w:line="151" w:lineRule="exact" w:before="0"/>
        <w:ind w:left="396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𝑁𝑅,𝑡</w:t>
      </w:r>
    </w:p>
    <w:p>
      <w:pPr>
        <w:tabs>
          <w:tab w:pos="948" w:val="left" w:leader="none"/>
        </w:tabs>
        <w:spacing w:line="223" w:lineRule="exact" w:before="0"/>
        <w:ind w:left="364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𝑃𝐶</w:t>
        <w:tab/>
      </w:r>
      <w:r>
        <w:rPr>
          <w:rFonts w:ascii="Cambria Math" w:eastAsia="Cambria Math"/>
          <w:w w:val="105"/>
          <w:position w:val="7"/>
          <w:sz w:val="17"/>
        </w:rPr>
        <w:t>𝑡</w:t>
      </w:r>
    </w:p>
    <w:p>
      <w:pPr>
        <w:spacing w:after="0" w:line="223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3" w:equalWidth="0">
            <w:col w:w="2482" w:space="40"/>
            <w:col w:w="755" w:space="39"/>
            <w:col w:w="7044"/>
          </w:cols>
        </w:sectPr>
      </w:pPr>
    </w:p>
    <w:p>
      <w:pPr>
        <w:pStyle w:val="BodyText"/>
        <w:spacing w:before="1"/>
        <w:rPr>
          <w:rFonts w:ascii="Cambria Math"/>
          <w:sz w:val="18"/>
        </w:rPr>
      </w:pPr>
    </w:p>
    <w:p>
      <w:pPr>
        <w:pStyle w:val="BodyText"/>
        <w:spacing w:before="90"/>
        <w:ind w:left="500"/>
        <w:jc w:val="both"/>
      </w:pPr>
      <w:r>
        <w:rPr/>
        <w:t>The</w:t>
      </w:r>
      <w:r>
        <w:rPr>
          <w:spacing w:val="-3"/>
        </w:rPr>
        <w:t> </w:t>
      </w:r>
      <w:r>
        <w:rPr/>
        <w:t>law</w:t>
      </w:r>
      <w:r>
        <w:rPr>
          <w:spacing w:val="-2"/>
        </w:rPr>
        <w:t> </w:t>
      </w:r>
      <w:r>
        <w:rPr/>
        <w:t>of motion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Transfer</w:t>
      </w:r>
      <w:r>
        <w:rPr>
          <w:spacing w:val="-1"/>
        </w:rPr>
        <w:t> </w:t>
      </w:r>
      <w:r>
        <w:rPr/>
        <w:t>payment to</w:t>
      </w:r>
      <w:r>
        <w:rPr>
          <w:spacing w:val="-1"/>
        </w:rPr>
        <w:t> </w:t>
      </w:r>
      <w:r>
        <w:rPr/>
        <w:t>non-Ricardian household</w:t>
      </w:r>
      <w:r>
        <w:rPr>
          <w:spacing w:val="-1"/>
        </w:rPr>
        <w:t> </w:t>
      </w:r>
      <w:r>
        <w:rPr/>
        <w:t>is: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tabs>
          <w:tab w:pos="9281" w:val="left" w:leader="none"/>
        </w:tabs>
        <w:ind w:left="500"/>
        <w:jc w:val="both"/>
      </w:pPr>
      <w:r>
        <w:rPr/>
        <w:pict>
          <v:shape style="position:absolute;margin-left:174.740005pt;margin-top:7.286893pt;width:3.8pt;height:8.550pt;mso-position-horizontal-relative:page;mso-position-vertical-relative:paragraph;z-index:-2143436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w w:val="105"/>
        </w:rPr>
        <w:t>𝑇𝑃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1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5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𝜌</w:t>
      </w:r>
      <w:r>
        <w:rPr>
          <w:rFonts w:ascii="Cambria Math" w:hAnsi="Cambria Math" w:eastAsia="Cambria Math"/>
          <w:w w:val="105"/>
          <w:vertAlign w:val="subscript"/>
        </w:rPr>
        <w:t>𝑇𝑃</w:t>
      </w:r>
      <w:r>
        <w:rPr>
          <w:rFonts w:ascii="Cambria Math" w:hAnsi="Cambria Math" w:eastAsia="Cambria Math"/>
          <w:w w:val="105"/>
          <w:vertAlign w:val="baseline"/>
        </w:rPr>
        <w:t>𝑇𝑃</w:t>
      </w:r>
      <w:r>
        <w:rPr>
          <w:rFonts w:ascii="Cambria Math" w:hAnsi="Cambria Math" w:eastAsia="Cambria Math"/>
          <w:w w:val="105"/>
          <w:vertAlign w:val="subscript"/>
        </w:rPr>
        <w:t>𝑡−1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-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𝜀</w:t>
      </w:r>
      <w:r>
        <w:rPr>
          <w:rFonts w:ascii="Cambria Math" w:hAnsi="Cambria Math" w:eastAsia="Cambria Math"/>
          <w:w w:val="105"/>
          <w:vertAlign w:val="superscript"/>
        </w:rPr>
        <w:t>𝑇𝑃</w:t>
      </w:r>
      <w:r>
        <w:rPr>
          <w:rFonts w:ascii="Cambria Math" w:hAnsi="Cambria Math" w:eastAsia="Cambria Math"/>
          <w:w w:val="105"/>
          <w:vertAlign w:val="baseline"/>
        </w:rPr>
        <w:tab/>
      </w:r>
      <w:r>
        <w:rPr>
          <w:w w:val="105"/>
          <w:vertAlign w:val="baseline"/>
        </w:rPr>
        <w:t>(4.40)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360" w:lineRule="auto"/>
        <w:ind w:left="500" w:right="499"/>
        <w:jc w:val="both"/>
      </w:pPr>
      <w:r>
        <w:rPr/>
        <w:pict>
          <v:rect style="position:absolute;margin-left:125.660004pt;margin-top:81.40316pt;width:16.560pt;height:.83997pt;mso-position-horizontal-relative:page;mso-position-vertical-relative:paragraph;z-index:-21435392" filled="true" fillcolor="#000000" stroked="false">
            <v:fill type="solid"/>
            <w10:wrap type="none"/>
          </v:rect>
        </w:pict>
      </w:r>
      <w:r>
        <w:rPr/>
        <w:t>Equation</w:t>
      </w:r>
      <w:r>
        <w:rPr>
          <w:spacing w:val="-15"/>
        </w:rPr>
        <w:t> </w:t>
      </w:r>
      <w:r>
        <w:rPr/>
        <w:t>(4.39)</w:t>
      </w:r>
      <w:r>
        <w:rPr>
          <w:spacing w:val="-13"/>
        </w:rPr>
        <w:t> </w:t>
      </w:r>
      <w:r>
        <w:rPr/>
        <w:t>shows</w:t>
      </w:r>
      <w:r>
        <w:rPr>
          <w:spacing w:val="-15"/>
        </w:rPr>
        <w:t> </w:t>
      </w:r>
      <w:r>
        <w:rPr/>
        <w:t>that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non-Ricardian</w:t>
      </w:r>
      <w:r>
        <w:rPr>
          <w:spacing w:val="-13"/>
        </w:rPr>
        <w:t> </w:t>
      </w:r>
      <w:r>
        <w:rPr/>
        <w:t>household</w:t>
      </w:r>
      <w:r>
        <w:rPr>
          <w:spacing w:val="-14"/>
        </w:rPr>
        <w:t> </w:t>
      </w:r>
      <w:r>
        <w:rPr/>
        <w:t>does</w:t>
      </w:r>
      <w:r>
        <w:rPr>
          <w:spacing w:val="-15"/>
        </w:rPr>
        <w:t> </w:t>
      </w:r>
      <w:r>
        <w:rPr/>
        <w:t>not</w:t>
      </w:r>
      <w:r>
        <w:rPr>
          <w:spacing w:val="-12"/>
        </w:rPr>
        <w:t> </w:t>
      </w:r>
      <w:r>
        <w:rPr/>
        <w:t>optimise</w:t>
      </w:r>
      <w:r>
        <w:rPr>
          <w:spacing w:val="-16"/>
        </w:rPr>
        <w:t> </w:t>
      </w:r>
      <w:r>
        <w:rPr/>
        <w:t>but</w:t>
      </w:r>
      <w:r>
        <w:rPr>
          <w:spacing w:val="-14"/>
        </w:rPr>
        <w:t> </w:t>
      </w:r>
      <w:r>
        <w:rPr/>
        <w:t>simply</w:t>
      </w:r>
      <w:r>
        <w:rPr>
          <w:spacing w:val="-20"/>
        </w:rPr>
        <w:t> </w:t>
      </w:r>
      <w:r>
        <w:rPr/>
        <w:t>equates</w:t>
      </w:r>
      <w:r>
        <w:rPr>
          <w:spacing w:val="-15"/>
        </w:rPr>
        <w:t> </w:t>
      </w:r>
      <w:r>
        <w:rPr/>
        <w:t>their</w:t>
      </w:r>
      <w:r>
        <w:rPr>
          <w:spacing w:val="-57"/>
        </w:rPr>
        <w:t> </w:t>
      </w:r>
      <w:r>
        <w:rPr/>
        <w:t>consumption expenditure to wage income plus transfer payment from government. Furthermore,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labour</w:t>
      </w:r>
      <w:r>
        <w:rPr>
          <w:spacing w:val="-1"/>
        </w:rPr>
        <w:t> </w:t>
      </w:r>
      <w:r>
        <w:rPr/>
        <w:t>supply</w:t>
      </w:r>
      <w:r>
        <w:rPr>
          <w:spacing w:val="-5"/>
        </w:rPr>
        <w:t> </w:t>
      </w:r>
      <w:r>
        <w:rPr/>
        <w:t>schedule in equation (4.38) is derived as</w:t>
      </w:r>
    </w:p>
    <w:p>
      <w:pPr>
        <w:spacing w:after="0" w:line="360" w:lineRule="auto"/>
        <w:jc w:val="both"/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jc w:val="right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𝑤</w:t>
      </w:r>
      <w:r>
        <w:rPr>
          <w:rFonts w:ascii="Cambria Math" w:eastAsia="Cambria Math"/>
          <w:w w:val="110"/>
          <w:vertAlign w:val="subscript"/>
        </w:rPr>
        <w:t>𝑡</w:t>
      </w:r>
    </w:p>
    <w:p>
      <w:pPr>
        <w:pStyle w:val="BodyText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pStyle w:val="BodyText"/>
        <w:ind w:left="26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10"/>
        </w:rPr>
        <w:t>−</w:t>
      </w:r>
      <w:r>
        <w:rPr>
          <w:rFonts w:ascii="Cambria Math" w:hAnsi="Cambria Math" w:eastAsia="Cambria Math"/>
          <w:spacing w:val="1"/>
          <w:w w:val="110"/>
        </w:rPr>
        <w:t> </w:t>
      </w:r>
      <w:r>
        <w:rPr>
          <w:rFonts w:ascii="Cambria Math" w:hAnsi="Cambria Math" w:eastAsia="Cambria Math"/>
          <w:spacing w:val="-81"/>
          <w:w w:val="110"/>
        </w:rPr>
        <w:t>𝑝</w:t>
      </w:r>
      <w:r>
        <w:rPr>
          <w:rFonts w:ascii="Cambria Math" w:hAnsi="Cambria Math" w:eastAsia="Cambria Math"/>
          <w:spacing w:val="-81"/>
          <w:w w:val="110"/>
          <w:vertAlign w:val="subscript"/>
        </w:rPr>
        <w:t>𝑡</w:t>
      </w:r>
    </w:p>
    <w:p>
      <w:pPr>
        <w:pStyle w:val="BodyText"/>
        <w:spacing w:before="7"/>
        <w:rPr>
          <w:rFonts w:ascii="Cambria Math"/>
          <w:sz w:val="15"/>
        </w:rPr>
      </w:pPr>
      <w:r>
        <w:rPr/>
        <w:br w:type="column"/>
      </w:r>
      <w:r>
        <w:rPr>
          <w:rFonts w:ascii="Cambria Math"/>
          <w:sz w:val="15"/>
        </w:rPr>
      </w:r>
    </w:p>
    <w:p>
      <w:pPr>
        <w:spacing w:line="177" w:lineRule="auto" w:before="0"/>
        <w:ind w:left="285" w:right="0" w:hanging="245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position w:val="-13"/>
          <w:sz w:val="24"/>
        </w:rPr>
        <w:t>=</w:t>
      </w:r>
      <w:r>
        <w:rPr>
          <w:rFonts w:ascii="Cambria Math" w:hAnsi="Cambria Math" w:eastAsia="Cambria Math"/>
          <w:spacing w:val="5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sz w:val="17"/>
        </w:rPr>
        <w:t>𝜎</w:t>
      </w:r>
      <w:r>
        <w:rPr>
          <w:rFonts w:ascii="Cambria Math" w:hAnsi="Cambria Math" w:eastAsia="Cambria Math"/>
          <w:spacing w:val="1"/>
          <w:w w:val="105"/>
          <w:sz w:val="17"/>
        </w:rPr>
        <w:t> </w:t>
      </w:r>
      <w:r>
        <w:rPr>
          <w:rFonts w:ascii="Cambria Math" w:hAnsi="Cambria Math" w:eastAsia="Cambria Math"/>
          <w:spacing w:val="-1"/>
          <w:w w:val="105"/>
          <w:sz w:val="17"/>
        </w:rPr>
        <w:t>1−ℎ</w:t>
      </w:r>
    </w:p>
    <w:p>
      <w:pPr>
        <w:spacing w:before="233"/>
        <w:ind w:left="2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position w:val="5"/>
          <w:sz w:val="24"/>
        </w:rPr>
        <w:t>(𝐶</w:t>
      </w:r>
      <w:r>
        <w:rPr>
          <w:rFonts w:ascii="Cambria Math" w:eastAsia="Cambria Math"/>
          <w:sz w:val="17"/>
        </w:rPr>
        <w:t>𝑁𝑅,𝑡</w:t>
      </w:r>
    </w:p>
    <w:p>
      <w:pPr>
        <w:spacing w:before="233"/>
        <w:ind w:left="26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position w:val="5"/>
          <w:sz w:val="24"/>
        </w:rPr>
        <w:t>−</w:t>
      </w:r>
      <w:r>
        <w:rPr>
          <w:rFonts w:ascii="Cambria Math" w:hAnsi="Cambria Math" w:eastAsia="Cambria Math"/>
          <w:spacing w:val="4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ℎ𝐶</w:t>
      </w:r>
      <w:r>
        <w:rPr>
          <w:rFonts w:ascii="Cambria Math" w:hAnsi="Cambria Math" w:eastAsia="Cambria Math"/>
          <w:sz w:val="17"/>
        </w:rPr>
        <w:t>𝑁𝑅,𝑡−1</w:t>
      </w:r>
    </w:p>
    <w:p>
      <w:pPr>
        <w:pStyle w:val="BodyText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pStyle w:val="BodyText"/>
        <w:ind w:left="-31"/>
        <w:rPr>
          <w:rFonts w:ascii="Cambria Math" w:eastAsia="Cambria Math"/>
        </w:rPr>
      </w:pPr>
      <w:r>
        <w:rPr>
          <w:rFonts w:ascii="Cambria Math" w:eastAsia="Cambria Math"/>
        </w:rPr>
        <w:t>)</w:t>
      </w:r>
      <w:r>
        <w:rPr>
          <w:rFonts w:ascii="Cambria Math" w:eastAsia="Cambria Math"/>
          <w:spacing w:val="-9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9"/>
        </w:rPr>
        <w:t> </w:t>
      </w:r>
      <w:r>
        <w:rPr>
          <w:rFonts w:ascii="Cambria Math" w:eastAsia="Cambria Math"/>
        </w:rPr>
        <w:t>𝑛</w:t>
      </w:r>
      <w:r>
        <w:rPr>
          <w:rFonts w:ascii="Cambria Math" w:eastAsia="Cambria Math"/>
          <w:vertAlign w:val="subscript"/>
        </w:rPr>
        <w:t>𝑁𝑅,𝑡</w:t>
      </w:r>
    </w:p>
    <w:p>
      <w:pPr>
        <w:pStyle w:val="BodyText"/>
        <w:spacing w:before="4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pStyle w:val="BodyText"/>
        <w:ind w:left="500"/>
      </w:pPr>
      <w:r>
        <w:rPr/>
        <w:t>(4.41)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7" w:equalWidth="0">
            <w:col w:w="746" w:space="40"/>
            <w:col w:w="462" w:space="39"/>
            <w:col w:w="615" w:space="40"/>
            <w:col w:w="597" w:space="40"/>
            <w:col w:w="1110" w:space="39"/>
            <w:col w:w="1064" w:space="3989"/>
            <w:col w:w="1579"/>
          </w:cols>
        </w:sectPr>
      </w:pPr>
    </w:p>
    <w:p>
      <w:pPr>
        <w:pStyle w:val="Heading1"/>
        <w:numPr>
          <w:ilvl w:val="0"/>
          <w:numId w:val="24"/>
        </w:numPr>
        <w:tabs>
          <w:tab w:pos="882" w:val="left" w:leader="none"/>
        </w:tabs>
        <w:spacing w:line="240" w:lineRule="auto" w:before="62" w:after="0"/>
        <w:ind w:left="881" w:right="0" w:hanging="382"/>
        <w:jc w:val="left"/>
      </w:pPr>
      <w:r>
        <w:rPr/>
        <w:t>The</w:t>
      </w:r>
      <w:r>
        <w:rPr>
          <w:spacing w:val="-2"/>
        </w:rPr>
        <w:t> </w:t>
      </w:r>
      <w:r>
        <w:rPr/>
        <w:t>firms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355" w:lineRule="auto"/>
        <w:ind w:left="500" w:right="500"/>
        <w:jc w:val="both"/>
      </w:pPr>
      <w:r>
        <w:rPr/>
        <w:t>Following</w:t>
      </w:r>
      <w:r>
        <w:rPr>
          <w:spacing w:val="1"/>
        </w:rPr>
        <w:t> </w:t>
      </w:r>
      <w:r>
        <w:rPr/>
        <w:t>Gali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Monacelli</w:t>
      </w:r>
      <w:r>
        <w:rPr>
          <w:spacing w:val="1"/>
        </w:rPr>
        <w:t> </w:t>
      </w:r>
      <w:r>
        <w:rPr/>
        <w:t>(2005),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assumed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 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continuum</w:t>
      </w:r>
      <w:r>
        <w:rPr>
          <w:spacing w:val="1"/>
        </w:rPr>
        <w:t> </w:t>
      </w:r>
      <w:r>
        <w:rPr/>
        <w:t>of identical</w:t>
      </w:r>
      <w:r>
        <w:rPr>
          <w:spacing w:val="1"/>
        </w:rPr>
        <w:t> </w:t>
      </w:r>
      <w:r>
        <w:rPr/>
        <w:t>monopolistic competitive firms </w:t>
      </w:r>
      <w:r>
        <w:rPr>
          <w:rFonts w:ascii="Cambria Math" w:hAnsi="Cambria Math" w:eastAsia="Cambria Math"/>
        </w:rPr>
        <w:t>𝑗 ∈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  <w:position w:val="1"/>
        </w:rPr>
        <w:t>[</w:t>
      </w:r>
      <w:r>
        <w:rPr>
          <w:rFonts w:ascii="Cambria Math" w:hAnsi="Cambria Math" w:eastAsia="Cambria Math"/>
        </w:rPr>
        <w:t>0,1</w:t>
      </w:r>
      <w:r>
        <w:rPr>
          <w:rFonts w:ascii="Cambria Math" w:hAnsi="Cambria Math" w:eastAsia="Cambria Math"/>
          <w:position w:val="1"/>
        </w:rPr>
        <w:t>]</w:t>
      </w:r>
      <w:r>
        <w:rPr/>
        <w:t>, in the domestic economy, that produce differentiated</w:t>
      </w:r>
      <w:r>
        <w:rPr>
          <w:spacing w:val="1"/>
        </w:rPr>
        <w:t> </w:t>
      </w:r>
      <w:r>
        <w:rPr/>
        <w:t>goods using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linear production technology</w:t>
      </w:r>
      <w:r>
        <w:rPr>
          <w:spacing w:val="-3"/>
        </w:rPr>
        <w:t> </w:t>
      </w:r>
      <w:r>
        <w:rPr/>
        <w:t>with labour</w:t>
      </w:r>
      <w:r>
        <w:rPr>
          <w:spacing w:val="-2"/>
        </w:rPr>
        <w:t> </w:t>
      </w:r>
      <w:r>
        <w:rPr/>
        <w:t>as the only</w:t>
      </w:r>
      <w:r>
        <w:rPr>
          <w:spacing w:val="-5"/>
        </w:rPr>
        <w:t> </w:t>
      </w:r>
      <w:r>
        <w:rPr/>
        <w:t>input:</w:t>
      </w:r>
    </w:p>
    <w:p>
      <w:pPr>
        <w:pStyle w:val="BodyText"/>
        <w:tabs>
          <w:tab w:pos="9261" w:val="left" w:leader="none"/>
        </w:tabs>
        <w:spacing w:before="209"/>
        <w:ind w:left="500"/>
        <w:jc w:val="both"/>
      </w:pPr>
      <w:r>
        <w:rPr>
          <w:rFonts w:ascii="Cambria Math" w:eastAsia="Cambria Math"/>
          <w:w w:val="110"/>
        </w:rPr>
        <w:t>𝑌</w:t>
      </w:r>
      <w:r>
        <w:rPr>
          <w:rFonts w:ascii="Cambria Math" w:eastAsia="Cambria Math"/>
          <w:w w:val="110"/>
          <w:vertAlign w:val="subscript"/>
        </w:rPr>
        <w:t>𝑡(𝑗)</w:t>
      </w:r>
      <w:r>
        <w:rPr>
          <w:rFonts w:ascii="Cambria Math" w:eastAsia="Cambria Math"/>
          <w:spacing w:val="38"/>
          <w:w w:val="110"/>
          <w:vertAlign w:val="baseline"/>
        </w:rPr>
        <w:t> </w:t>
      </w:r>
      <w:r>
        <w:rPr>
          <w:rFonts w:ascii="Cambria Math" w:eastAsia="Cambria Math"/>
          <w:w w:val="110"/>
          <w:vertAlign w:val="baseline"/>
        </w:rPr>
        <w:t>=</w:t>
      </w:r>
      <w:r>
        <w:rPr>
          <w:rFonts w:ascii="Cambria Math" w:eastAsia="Cambria Math"/>
          <w:spacing w:val="-2"/>
          <w:w w:val="110"/>
          <w:vertAlign w:val="baseline"/>
        </w:rPr>
        <w:t> </w:t>
      </w:r>
      <w:r>
        <w:rPr>
          <w:rFonts w:ascii="Cambria Math" w:eastAsia="Cambria Math"/>
          <w:w w:val="110"/>
          <w:vertAlign w:val="baseline"/>
        </w:rPr>
        <w:t>𝐴</w:t>
      </w:r>
      <w:r>
        <w:rPr>
          <w:rFonts w:ascii="Cambria Math" w:eastAsia="Cambria Math"/>
          <w:w w:val="110"/>
          <w:vertAlign w:val="subscript"/>
        </w:rPr>
        <w:t>𝑡</w:t>
      </w:r>
      <w:r>
        <w:rPr>
          <w:rFonts w:ascii="Cambria Math" w:eastAsia="Cambria Math"/>
          <w:w w:val="110"/>
          <w:vertAlign w:val="baseline"/>
        </w:rPr>
        <w:t>𝑁</w:t>
      </w:r>
      <w:r>
        <w:rPr>
          <w:rFonts w:ascii="Cambria Math" w:eastAsia="Cambria Math"/>
          <w:w w:val="110"/>
          <w:vertAlign w:val="subscript"/>
        </w:rPr>
        <w:t>𝑡(𝑗)</w:t>
      </w:r>
      <w:r>
        <w:rPr>
          <w:rFonts w:ascii="Cambria Math" w:eastAsia="Cambria Math"/>
          <w:w w:val="110"/>
          <w:vertAlign w:val="baseline"/>
        </w:rPr>
        <w:tab/>
      </w:r>
      <w:r>
        <w:rPr>
          <w:w w:val="110"/>
          <w:vertAlign w:val="baseline"/>
        </w:rPr>
        <w:t>(4.42)</w:t>
      </w:r>
    </w:p>
    <w:p>
      <w:pPr>
        <w:pStyle w:val="BodyText"/>
        <w:spacing w:before="3"/>
        <w:rPr>
          <w:sz w:val="32"/>
        </w:rPr>
      </w:pPr>
    </w:p>
    <w:p>
      <w:pPr>
        <w:pStyle w:val="BodyText"/>
        <w:ind w:left="500"/>
      </w:pPr>
      <w:r>
        <w:rPr/>
        <w:t>Where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500"/>
      </w:pPr>
      <w:r>
        <w:rPr>
          <w:rFonts w:ascii="Cambria Math" w:eastAsia="Cambria Math"/>
        </w:rPr>
        <w:t>𝐴</w:t>
      </w:r>
      <w:r>
        <w:rPr>
          <w:rFonts w:ascii="Cambria Math" w:eastAsia="Cambria Math"/>
          <w:position w:val="-4"/>
          <w:sz w:val="17"/>
        </w:rPr>
        <w:t>𝑡</w:t>
      </w:r>
      <w:r>
        <w:rPr/>
        <w:t>:</w:t>
      </w:r>
      <w:r>
        <w:rPr>
          <w:spacing w:val="4"/>
        </w:rPr>
        <w:t> </w:t>
      </w:r>
      <w:r>
        <w:rPr/>
        <w:t>Total</w:t>
      </w:r>
      <w:r>
        <w:rPr>
          <w:spacing w:val="4"/>
        </w:rPr>
        <w:t> </w:t>
      </w:r>
      <w:r>
        <w:rPr/>
        <w:t>Factor</w:t>
      </w:r>
      <w:r>
        <w:rPr>
          <w:spacing w:val="5"/>
        </w:rPr>
        <w:t> </w:t>
      </w:r>
      <w:r>
        <w:rPr/>
        <w:t>Productivity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500"/>
      </w:pPr>
      <w:r>
        <w:rPr>
          <w:rFonts w:ascii="Cambria Math" w:eastAsia="Cambria Math"/>
        </w:rPr>
        <w:t>𝑁</w:t>
      </w:r>
      <w:r>
        <w:rPr>
          <w:rFonts w:ascii="Cambria Math" w:eastAsia="Cambria Math"/>
          <w:vertAlign w:val="subscript"/>
        </w:rPr>
        <w:t>𝑡(𝑗)</w:t>
      </w:r>
      <w:r>
        <w:rPr>
          <w:vertAlign w:val="baseline"/>
        </w:rPr>
        <w:t>:</w:t>
      </w:r>
      <w:r>
        <w:rPr>
          <w:spacing w:val="8"/>
          <w:vertAlign w:val="baseline"/>
        </w:rPr>
        <w:t> </w:t>
      </w:r>
      <w:r>
        <w:rPr>
          <w:vertAlign w:val="baseline"/>
        </w:rPr>
        <w:t>Labour</w:t>
      </w:r>
      <w:r>
        <w:rPr>
          <w:spacing w:val="5"/>
          <w:vertAlign w:val="baseline"/>
        </w:rPr>
        <w:t> </w:t>
      </w:r>
      <w:r>
        <w:rPr>
          <w:vertAlign w:val="baseline"/>
        </w:rPr>
        <w:t>input</w:t>
      </w:r>
      <w:r>
        <w:rPr>
          <w:spacing w:val="6"/>
          <w:vertAlign w:val="baseline"/>
        </w:rPr>
        <w:t> </w:t>
      </w:r>
      <w:r>
        <w:rPr>
          <w:vertAlign w:val="baseline"/>
        </w:rPr>
        <w:t>for</w:t>
      </w:r>
      <w:r>
        <w:rPr>
          <w:spacing w:val="4"/>
          <w:vertAlign w:val="baseline"/>
        </w:rPr>
        <w:t> </w:t>
      </w:r>
      <w:r>
        <w:rPr>
          <w:vertAlign w:val="baseline"/>
        </w:rPr>
        <w:t>each</w:t>
      </w:r>
      <w:r>
        <w:rPr>
          <w:spacing w:val="5"/>
          <w:vertAlign w:val="baseline"/>
        </w:rPr>
        <w:t> </w:t>
      </w:r>
      <w:r>
        <w:rPr>
          <w:vertAlign w:val="baseline"/>
        </w:rPr>
        <w:t>firm</w:t>
      </w:r>
    </w:p>
    <w:p>
      <w:pPr>
        <w:pStyle w:val="BodyText"/>
        <w:spacing w:before="3"/>
        <w:rPr>
          <w:sz w:val="32"/>
        </w:rPr>
      </w:pPr>
    </w:p>
    <w:p>
      <w:pPr>
        <w:pStyle w:val="BodyText"/>
        <w:ind w:left="500"/>
      </w:pPr>
      <w:r>
        <w:rPr/>
        <w:t>Log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𝐴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3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≡</w:t>
      </w:r>
      <w:r>
        <w:rPr>
          <w:rFonts w:ascii="Cambria Math" w:hAnsi="Cambria Math" w:eastAsia="Cambria Math"/>
          <w:spacing w:val="6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𝑎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22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assumed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evolve with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AR</w:t>
      </w:r>
      <w:r>
        <w:rPr>
          <w:spacing w:val="1"/>
          <w:vertAlign w:val="baseline"/>
        </w:rPr>
        <w:t> </w:t>
      </w:r>
      <w:r>
        <w:rPr>
          <w:vertAlign w:val="baseline"/>
        </w:rPr>
        <w:t>(1)</w:t>
      </w:r>
      <w:r>
        <w:rPr>
          <w:spacing w:val="-1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3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that:</w:t>
      </w:r>
    </w:p>
    <w:p>
      <w:pPr>
        <w:pStyle w:val="BodyText"/>
        <w:spacing w:before="2"/>
        <w:rPr>
          <w:sz w:val="28"/>
        </w:rPr>
      </w:pPr>
    </w:p>
    <w:p>
      <w:pPr>
        <w:spacing w:before="0"/>
        <w:ind w:left="500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shape style="position:absolute;margin-left:161.300003pt;margin-top:8.461205pt;width:3.8pt;height:8.550pt;mso-position-horizontal-relative:page;mso-position-vertical-relative:paragraph;z-index:-21432320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w w:val="105"/>
          <w:sz w:val="24"/>
        </w:rPr>
        <w:t>𝑎</w:t>
      </w:r>
      <w:r>
        <w:rPr>
          <w:rFonts w:ascii="Cambria Math" w:hAnsi="Cambria Math" w:eastAsia="Cambria Math"/>
          <w:w w:val="105"/>
          <w:position w:val="-4"/>
          <w:sz w:val="17"/>
        </w:rPr>
        <w:t>𝑡</w:t>
      </w:r>
      <w:r>
        <w:rPr>
          <w:rFonts w:ascii="Cambria Math" w:hAnsi="Cambria Math" w:eastAsia="Cambria Math"/>
          <w:spacing w:val="37"/>
          <w:w w:val="105"/>
          <w:position w:val="-4"/>
          <w:sz w:val="17"/>
        </w:rPr>
        <w:t> </w:t>
      </w:r>
      <w:r>
        <w:rPr>
          <w:rFonts w:ascii="Cambria Math" w:hAnsi="Cambria Math" w:eastAsia="Cambria Math"/>
          <w:w w:val="105"/>
          <w:sz w:val="24"/>
        </w:rPr>
        <w:t>=</w:t>
      </w:r>
      <w:r>
        <w:rPr>
          <w:rFonts w:ascii="Cambria Math" w:hAnsi="Cambria Math" w:eastAsia="Cambria Math"/>
          <w:spacing w:val="2"/>
          <w:w w:val="105"/>
          <w:sz w:val="24"/>
        </w:rPr>
        <w:t> </w:t>
      </w:r>
      <w:r>
        <w:rPr>
          <w:rFonts w:ascii="Cambria Math" w:hAnsi="Cambria Math" w:eastAsia="Cambria Math"/>
          <w:w w:val="105"/>
          <w:sz w:val="24"/>
        </w:rPr>
        <w:t>𝜌</w:t>
      </w:r>
      <w:r>
        <w:rPr>
          <w:rFonts w:ascii="Cambria Math" w:hAnsi="Cambria Math" w:eastAsia="Cambria Math"/>
          <w:w w:val="105"/>
          <w:position w:val="-4"/>
          <w:sz w:val="17"/>
        </w:rPr>
        <w:t>𝑎</w:t>
      </w:r>
      <w:r>
        <w:rPr>
          <w:rFonts w:ascii="Cambria Math" w:hAnsi="Cambria Math" w:eastAsia="Cambria Math"/>
          <w:spacing w:val="33"/>
          <w:w w:val="105"/>
          <w:position w:val="-4"/>
          <w:sz w:val="17"/>
        </w:rPr>
        <w:t> </w:t>
      </w:r>
      <w:r>
        <w:rPr>
          <w:rFonts w:ascii="Cambria Math" w:hAnsi="Cambria Math" w:eastAsia="Cambria Math"/>
          <w:w w:val="105"/>
          <w:sz w:val="24"/>
        </w:rPr>
        <w:t>𝑎</w:t>
      </w:r>
      <w:r>
        <w:rPr>
          <w:rFonts w:ascii="Cambria Math" w:hAnsi="Cambria Math" w:eastAsia="Cambria Math"/>
          <w:w w:val="105"/>
          <w:position w:val="-4"/>
          <w:sz w:val="17"/>
        </w:rPr>
        <w:t>𝑡−1</w:t>
      </w:r>
      <w:r>
        <w:rPr>
          <w:rFonts w:ascii="Cambria Math" w:hAnsi="Cambria Math" w:eastAsia="Cambria Math"/>
          <w:spacing w:val="20"/>
          <w:w w:val="105"/>
          <w:position w:val="-4"/>
          <w:sz w:val="17"/>
        </w:rPr>
        <w:t> </w:t>
      </w:r>
      <w:r>
        <w:rPr>
          <w:rFonts w:ascii="Cambria Math" w:hAnsi="Cambria Math" w:eastAsia="Cambria Math"/>
          <w:w w:val="105"/>
          <w:sz w:val="24"/>
        </w:rPr>
        <w:t>+</w:t>
      </w:r>
      <w:r>
        <w:rPr>
          <w:rFonts w:ascii="Cambria Math" w:hAnsi="Cambria Math" w:eastAsia="Cambria Math"/>
          <w:spacing w:val="46"/>
          <w:w w:val="105"/>
          <w:sz w:val="24"/>
        </w:rPr>
        <w:t> </w:t>
      </w:r>
      <w:r>
        <w:rPr>
          <w:rFonts w:ascii="Cambria Math" w:hAnsi="Cambria Math" w:eastAsia="Cambria Math"/>
          <w:w w:val="105"/>
          <w:sz w:val="24"/>
        </w:rPr>
        <w:t>𝜀</w:t>
      </w:r>
      <w:r>
        <w:rPr>
          <w:rFonts w:ascii="Cambria Math" w:hAnsi="Cambria Math" w:eastAsia="Cambria Math"/>
          <w:w w:val="105"/>
          <w:position w:val="9"/>
          <w:sz w:val="17"/>
        </w:rPr>
        <w:t>𝑎</w:t>
      </w:r>
    </w:p>
    <w:p>
      <w:pPr>
        <w:pStyle w:val="BodyText"/>
        <w:spacing w:before="5"/>
        <w:rPr>
          <w:rFonts w:ascii="Cambria Math"/>
          <w:sz w:val="25"/>
        </w:rPr>
      </w:pPr>
    </w:p>
    <w:p>
      <w:pPr>
        <w:pStyle w:val="BodyText"/>
        <w:spacing w:line="355" w:lineRule="auto" w:before="1"/>
        <w:ind w:left="500" w:right="504"/>
        <w:jc w:val="both"/>
        <w:rPr>
          <w:rFonts w:ascii="Cambria Math" w:hAnsi="Cambria Math" w:eastAsia="Cambria Math"/>
        </w:rPr>
      </w:pPr>
      <w:r>
        <w:rPr/>
        <w:pict>
          <v:shape style="position:absolute;margin-left:77.304001pt;margin-top:7.336887pt;width:3.8pt;height:8.550pt;mso-position-horizontal-relative:page;mso-position-vertical-relative:paragraph;z-index:-2143180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089996pt;margin-top:28.696888pt;width:3.8pt;height:8.550pt;mso-position-horizontal-relative:page;mso-position-vertical-relative:paragraph;z-index:-21431296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</w:rPr>
        <w:t>𝜀</w:t>
      </w:r>
      <w:r>
        <w:rPr>
          <w:rFonts w:ascii="Cambria Math" w:hAnsi="Cambria Math" w:eastAsia="Cambria Math"/>
          <w:vertAlign w:val="superscript"/>
        </w:rPr>
        <w:t>𝑎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is the technology shock to production in the economy. It is normally distributed with mean of</w:t>
      </w:r>
      <w:r>
        <w:rPr>
          <w:spacing w:val="1"/>
          <w:vertAlign w:val="baseline"/>
        </w:rPr>
        <w:t> </w:t>
      </w:r>
      <w:r>
        <w:rPr>
          <w:vertAlign w:val="baseline"/>
        </w:rPr>
        <w:t>zero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3"/>
          <w:vertAlign w:val="baseline"/>
        </w:rPr>
        <w:t> </w:t>
      </w:r>
      <w:r>
        <w:rPr>
          <w:vertAlign w:val="baseline"/>
        </w:rPr>
        <w:t>deviation</w:t>
      </w:r>
      <w:r>
        <w:rPr>
          <w:spacing w:val="3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𝜎</w:t>
      </w:r>
      <w:r>
        <w:rPr>
          <w:rFonts w:ascii="Cambria Math" w:hAnsi="Cambria Math" w:eastAsia="Cambria Math"/>
          <w:vertAlign w:val="subscript"/>
        </w:rPr>
        <w:t>𝗌</w:t>
      </w:r>
      <w:r>
        <w:rPr>
          <w:rFonts w:ascii="Cambria Math" w:hAnsi="Cambria Math" w:eastAsia="Cambria Math"/>
          <w:position w:val="1"/>
          <w:sz w:val="14"/>
          <w:vertAlign w:val="baseline"/>
        </w:rPr>
        <w:t>𝑎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vertAlign w:val="baseline"/>
        </w:rPr>
        <w:t>i.e.,</w:t>
      </w:r>
      <w:r>
        <w:rPr>
          <w:rFonts w:ascii="Cambria Math" w:hAnsi="Cambria Math" w:eastAsia="Cambria Math"/>
          <w:vertAlign w:val="baseline"/>
        </w:rPr>
        <w:t>𝜀</w:t>
      </w:r>
      <w:r>
        <w:rPr>
          <w:rFonts w:ascii="Cambria Math" w:hAnsi="Cambria Math" w:eastAsia="Cambria Math"/>
          <w:vertAlign w:val="superscript"/>
        </w:rPr>
        <w:t>𝑎</w:t>
      </w:r>
      <w:r>
        <w:rPr>
          <w:rFonts w:ascii="Cambria Math" w:hAnsi="Cambria Math" w:eastAsia="Cambria Math"/>
          <w:spacing w:val="3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∼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𝑁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0,</w:t>
      </w:r>
      <w:r>
        <w:rPr>
          <w:rFonts w:ascii="Cambria Math" w:hAnsi="Cambria Math" w:eastAsia="Cambria Math"/>
          <w:spacing w:val="-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𝜎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vertAlign w:val="subscript"/>
        </w:rPr>
        <w:t>𝗌</w:t>
      </w:r>
      <w:r>
        <w:rPr>
          <w:rFonts w:ascii="Cambria Math" w:hAnsi="Cambria Math" w:eastAsia="Cambria Math"/>
          <w:position w:val="1"/>
          <w:sz w:val="14"/>
          <w:vertAlign w:val="baseline"/>
        </w:rPr>
        <w:t>𝑎</w:t>
      </w:r>
      <w:r>
        <w:rPr>
          <w:rFonts w:ascii="Cambria Math" w:hAnsi="Cambria Math" w:eastAsia="Cambria Math"/>
          <w:position w:val="1"/>
          <w:vertAlign w:val="baseline"/>
        </w:rPr>
        <w:t>)</w:t>
      </w:r>
    </w:p>
    <w:p>
      <w:pPr>
        <w:pStyle w:val="BodyText"/>
        <w:spacing w:before="205"/>
        <w:ind w:left="500"/>
      </w:pPr>
      <w:r>
        <w:rPr/>
        <w:t>Let</w:t>
      </w:r>
      <w:r>
        <w:rPr>
          <w:spacing w:val="-2"/>
        </w:rPr>
        <w:t> </w:t>
      </w:r>
      <w:r>
        <w:rPr/>
        <w:t>the aggregate</w:t>
      </w:r>
      <w:r>
        <w:rPr>
          <w:spacing w:val="-1"/>
        </w:rPr>
        <w:t> </w:t>
      </w:r>
      <w:r>
        <w:rPr/>
        <w:t>output produced</w:t>
      </w:r>
      <w:r>
        <w:rPr>
          <w:spacing w:val="-1"/>
        </w:rPr>
        <w:t> </w:t>
      </w:r>
      <w:r>
        <w:rPr/>
        <w:t>across</w:t>
      </w:r>
      <w:r>
        <w:rPr>
          <w:spacing w:val="-2"/>
        </w:rPr>
        <w:t> </w:t>
      </w:r>
      <w:r>
        <w:rPr/>
        <w:t>the firms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as:</w:t>
      </w: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935" w:top="1380" w:bottom="1200" w:left="940" w:right="940"/>
        </w:sectPr>
      </w:pPr>
    </w:p>
    <w:p>
      <w:pPr>
        <w:pStyle w:val="BodyText"/>
        <w:spacing w:before="4"/>
        <w:rPr>
          <w:sz w:val="21"/>
        </w:rPr>
      </w:pPr>
    </w:p>
    <w:p>
      <w:pPr>
        <w:spacing w:line="139" w:lineRule="exact" w:before="1"/>
        <w:ind w:left="0" w:right="447" w:firstLine="0"/>
        <w:jc w:val="righ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1</w:t>
      </w:r>
    </w:p>
    <w:p>
      <w:pPr>
        <w:spacing w:line="228" w:lineRule="auto" w:before="0"/>
        <w:ind w:left="500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pacing w:val="-8"/>
          <w:w w:val="105"/>
          <w:position w:val="5"/>
          <w:sz w:val="24"/>
        </w:rPr>
        <w:t>𝑌</w:t>
      </w:r>
      <w:r>
        <w:rPr>
          <w:rFonts w:ascii="Cambria Math" w:hAnsi="Cambria Math" w:eastAsia="Cambria Math"/>
          <w:spacing w:val="-8"/>
          <w:w w:val="105"/>
          <w:sz w:val="17"/>
        </w:rPr>
        <w:t>𝑡</w:t>
      </w:r>
      <w:r>
        <w:rPr>
          <w:rFonts w:ascii="Cambria Math" w:hAnsi="Cambria Math" w:eastAsia="Cambria Math"/>
          <w:spacing w:val="21"/>
          <w:w w:val="105"/>
          <w:sz w:val="17"/>
        </w:rPr>
        <w:t> </w:t>
      </w:r>
      <w:r>
        <w:rPr>
          <w:rFonts w:ascii="Cambria Math" w:hAnsi="Cambria Math" w:eastAsia="Cambria Math"/>
          <w:spacing w:val="-7"/>
          <w:w w:val="105"/>
          <w:position w:val="5"/>
          <w:sz w:val="24"/>
        </w:rPr>
        <w:t>= [</w:t>
      </w:r>
      <w:r>
        <w:rPr>
          <w:rFonts w:ascii="Cambria Math" w:hAnsi="Cambria Math" w:eastAsia="Cambria Math"/>
          <w:spacing w:val="-7"/>
          <w:w w:val="105"/>
          <w:position w:val="4"/>
          <w:sz w:val="24"/>
        </w:rPr>
        <w:t>∫</w:t>
      </w:r>
      <w:r>
        <w:rPr>
          <w:rFonts w:ascii="Cambria Math" w:hAnsi="Cambria Math" w:eastAsia="Cambria Math"/>
          <w:spacing w:val="-7"/>
          <w:w w:val="105"/>
          <w:position w:val="-4"/>
          <w:sz w:val="17"/>
        </w:rPr>
        <w:t>0</w:t>
      </w:r>
      <w:r>
        <w:rPr>
          <w:rFonts w:ascii="Cambria Math" w:hAnsi="Cambria Math" w:eastAsia="Cambria Math"/>
          <w:spacing w:val="26"/>
          <w:w w:val="105"/>
          <w:position w:val="-4"/>
          <w:sz w:val="17"/>
        </w:rPr>
        <w:t> </w:t>
      </w:r>
      <w:r>
        <w:rPr>
          <w:rFonts w:ascii="Cambria Math" w:hAnsi="Cambria Math" w:eastAsia="Cambria Math"/>
          <w:spacing w:val="-7"/>
          <w:w w:val="105"/>
          <w:position w:val="5"/>
          <w:sz w:val="24"/>
        </w:rPr>
        <w:t>𝑌</w:t>
      </w:r>
      <w:r>
        <w:rPr>
          <w:rFonts w:ascii="Cambria Math" w:hAnsi="Cambria Math" w:eastAsia="Cambria Math"/>
          <w:spacing w:val="-7"/>
          <w:w w:val="105"/>
          <w:sz w:val="17"/>
        </w:rPr>
        <w:t>𝑡(𝑗)</w:t>
      </w:r>
    </w:p>
    <w:p>
      <w:pPr>
        <w:spacing w:line="195" w:lineRule="exact" w:before="206"/>
        <w:ind w:left="4" w:right="0" w:firstLine="0"/>
        <w:jc w:val="left"/>
        <w:rPr>
          <w:rFonts w:ascii="Cambria Math" w:hAnsi="Cambria Math"/>
          <w:sz w:val="14"/>
        </w:rPr>
      </w:pPr>
      <w:r>
        <w:rPr/>
        <w:br w:type="column"/>
      </w:r>
      <w:r>
        <w:rPr>
          <w:rFonts w:ascii="Cambria Math" w:hAnsi="Cambria Math"/>
          <w:w w:val="105"/>
          <w:sz w:val="17"/>
        </w:rPr>
        <w:t>1−</w:t>
      </w:r>
      <w:r>
        <w:rPr>
          <w:rFonts w:ascii="Cambria Math" w:hAnsi="Cambria Math"/>
          <w:w w:val="105"/>
          <w:position w:val="10"/>
          <w:sz w:val="14"/>
        </w:rPr>
        <w:t>1</w:t>
      </w:r>
    </w:p>
    <w:p>
      <w:pPr>
        <w:spacing w:line="206" w:lineRule="exact" w:before="0"/>
        <w:ind w:left="230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149.660004pt;margin-top:-.883046pt;width:4.2pt;height:.600010pt;mso-position-horizontal-relative:page;mso-position-vertical-relative:paragraph;z-index:1576243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position w:val="3"/>
          <w:sz w:val="14"/>
        </w:rPr>
        <w:t>𝗌</w:t>
      </w:r>
      <w:r>
        <w:rPr>
          <w:rFonts w:ascii="Cambria Math" w:eastAsia="Cambria Math"/>
          <w:w w:val="105"/>
          <w:sz w:val="24"/>
        </w:rPr>
        <w:t>𝑑𝑗]</w:t>
      </w:r>
    </w:p>
    <w:p>
      <w:pPr>
        <w:spacing w:before="75"/>
        <w:ind w:left="54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w w:val="130"/>
          <w:sz w:val="14"/>
        </w:rPr>
        <w:t>𝗌</w:t>
      </w:r>
    </w:p>
    <w:p>
      <w:pPr>
        <w:spacing w:before="24"/>
        <w:ind w:left="-39" w:right="0" w:firstLine="0"/>
        <w:jc w:val="left"/>
        <w:rPr>
          <w:rFonts w:ascii="Cambria Math" w:hAnsi="Cambria Math" w:eastAsia="Cambria Math"/>
          <w:sz w:val="14"/>
        </w:rPr>
      </w:pPr>
      <w:r>
        <w:rPr/>
        <w:pict>
          <v:rect style="position:absolute;margin-left:170.179993pt;margin-top:.771372pt;width:13.2pt;height:.600010pt;mso-position-horizontal-relative:page;mso-position-vertical-relative:paragraph;z-index:1576294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10"/>
          <w:sz w:val="14"/>
        </w:rPr>
        <w:t>𝗌−1</w:t>
      </w:r>
    </w:p>
    <w:p>
      <w:pPr>
        <w:pStyle w:val="BodyText"/>
        <w:spacing w:before="2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sz w:val="28"/>
        </w:rPr>
      </w:r>
    </w:p>
    <w:p>
      <w:pPr>
        <w:pStyle w:val="BodyText"/>
        <w:ind w:left="500"/>
      </w:pPr>
      <w:r>
        <w:rPr/>
        <w:t>(4.43)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4" w:equalWidth="0">
            <w:col w:w="1786" w:space="40"/>
            <w:col w:w="637" w:space="39"/>
            <w:col w:w="262" w:space="5997"/>
            <w:col w:w="1599"/>
          </w:cols>
        </w:sect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362" w:lineRule="auto" w:before="86"/>
        <w:ind w:left="500" w:right="503"/>
        <w:jc w:val="both"/>
      </w:pPr>
      <w:r>
        <w:rPr>
          <w:rFonts w:ascii="Cambria Math" w:eastAsia="Cambria Math"/>
        </w:rPr>
        <w:t>𝑌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vertAlign w:val="baseline"/>
        </w:rPr>
        <w:t> </w:t>
      </w:r>
      <w:r>
        <w:rPr>
          <w:vertAlign w:val="baseline"/>
        </w:rPr>
        <w:t>is an index for aggregate domestic output which is similar to that of consumption in equation</w:t>
      </w:r>
      <w:r>
        <w:rPr>
          <w:spacing w:val="1"/>
          <w:vertAlign w:val="baseline"/>
        </w:rPr>
        <w:t> </w:t>
      </w:r>
      <w:r>
        <w:rPr>
          <w:vertAlign w:val="baseline"/>
        </w:rPr>
        <w:t>(4.11).</w:t>
      </w:r>
    </w:p>
    <w:p>
      <w:pPr>
        <w:pStyle w:val="BodyText"/>
        <w:spacing w:line="360" w:lineRule="auto" w:before="197"/>
        <w:ind w:left="500" w:right="494"/>
        <w:jc w:val="both"/>
      </w:pPr>
      <w:r>
        <w:rPr/>
        <w:t>The intermediate firms optimise in two stages. In one stage, they take wages accrued on labour</w:t>
      </w:r>
      <w:r>
        <w:rPr>
          <w:spacing w:val="1"/>
        </w:rPr>
        <w:t> </w:t>
      </w:r>
      <w:r>
        <w:rPr/>
        <w:t>services as given. They determine the quantity of labour required in order to minimise cost. They</w:t>
      </w:r>
      <w:r>
        <w:rPr>
          <w:spacing w:val="-57"/>
        </w:rPr>
        <w:t> </w:t>
      </w:r>
      <w:r>
        <w:rPr/>
        <w:t>minimise their total cost subject to the linear production technology in equation (4.42). This is</w:t>
      </w:r>
      <w:r>
        <w:rPr>
          <w:spacing w:val="1"/>
        </w:rPr>
        <w:t> </w:t>
      </w:r>
      <w:r>
        <w:rPr/>
        <w:t>stated</w:t>
      </w:r>
      <w:r>
        <w:rPr>
          <w:spacing w:val="-1"/>
        </w:rPr>
        <w:t> </w:t>
      </w:r>
      <w:r>
        <w:rPr/>
        <w:t>as follows:</w:t>
      </w:r>
    </w:p>
    <w:p>
      <w:pPr>
        <w:pStyle w:val="BodyText"/>
        <w:spacing w:before="9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spacing w:line="217" w:lineRule="exact" w:before="73"/>
        <w:ind w:left="500" w:right="0" w:firstLine="0"/>
        <w:jc w:val="lef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𝑀𝑖𝑛</w:t>
      </w:r>
      <w:r>
        <w:rPr>
          <w:rFonts w:ascii="Cambria Math" w:eastAsia="Cambria Math"/>
          <w:spacing w:val="2"/>
          <w:sz w:val="24"/>
        </w:rPr>
        <w:t> </w:t>
      </w:r>
      <w:r>
        <w:rPr>
          <w:rFonts w:ascii="Cambria Math" w:eastAsia="Cambria Math"/>
          <w:sz w:val="24"/>
        </w:rPr>
        <w:t>𝐶</w:t>
      </w:r>
      <w:r>
        <w:rPr>
          <w:rFonts w:ascii="Cambria Math" w:eastAsia="Cambria Math"/>
          <w:spacing w:val="21"/>
          <w:sz w:val="24"/>
        </w:rPr>
        <w:t> </w:t>
      </w:r>
      <w:r>
        <w:rPr>
          <w:rFonts w:ascii="Cambria Math" w:eastAsia="Cambria Math"/>
          <w:sz w:val="24"/>
        </w:rPr>
        <w:t>=</w:t>
      </w:r>
      <w:r>
        <w:rPr>
          <w:rFonts w:ascii="Cambria Math" w:eastAsia="Cambria Math"/>
          <w:spacing w:val="62"/>
          <w:sz w:val="24"/>
        </w:rPr>
        <w:t> </w:t>
      </w:r>
      <w:r>
        <w:rPr>
          <w:rFonts w:ascii="Cambria Math" w:eastAsia="Cambria Math"/>
          <w:position w:val="14"/>
          <w:sz w:val="17"/>
          <w:u w:val="single"/>
        </w:rPr>
        <w:t>𝑊</w:t>
      </w:r>
      <w:r>
        <w:rPr>
          <w:rFonts w:ascii="Cambria Math" w:eastAsia="Cambria Math"/>
          <w:position w:val="11"/>
          <w:sz w:val="14"/>
          <w:u w:val="single"/>
        </w:rPr>
        <w:t>𝑡</w:t>
      </w:r>
      <w:r>
        <w:rPr>
          <w:rFonts w:ascii="Cambria Math" w:eastAsia="Cambria Math"/>
          <w:spacing w:val="14"/>
          <w:position w:val="11"/>
          <w:sz w:val="14"/>
        </w:rPr>
        <w:t> </w:t>
      </w:r>
      <w:r>
        <w:rPr>
          <w:rFonts w:ascii="Cambria Math" w:eastAsia="Cambria Math"/>
          <w:spacing w:val="-151"/>
          <w:sz w:val="24"/>
        </w:rPr>
        <w:t>𝑁</w:t>
      </w:r>
    </w:p>
    <w:p>
      <w:pPr>
        <w:pStyle w:val="BodyText"/>
        <w:tabs>
          <w:tab w:pos="7297" w:val="left" w:leader="none"/>
        </w:tabs>
        <w:spacing w:line="143" w:lineRule="exact" w:before="146"/>
        <w:ind w:left="81"/>
      </w:pPr>
      <w:r>
        <w:rPr/>
        <w:br w:type="column"/>
      </w:r>
      <w:r>
        <w:rPr>
          <w:rFonts w:ascii="Cambria Math" w:eastAsia="Cambria Math"/>
        </w:rPr>
        <w:t>+ 𝑄𝛾</w:t>
        <w:tab/>
      </w:r>
      <w:r>
        <w:rPr/>
        <w:t>(4.44)</w:t>
      </w:r>
    </w:p>
    <w:p>
      <w:pPr>
        <w:spacing w:after="0" w:line="143" w:lineRule="exact"/>
        <w:sectPr>
          <w:type w:val="continuous"/>
          <w:pgSz w:w="12240" w:h="15840"/>
          <w:pgMar w:top="1500" w:bottom="1120" w:left="940" w:right="940"/>
          <w:cols w:num="2" w:equalWidth="0">
            <w:col w:w="1925" w:space="40"/>
            <w:col w:w="8395"/>
          </w:cols>
        </w:sectPr>
      </w:pPr>
    </w:p>
    <w:p>
      <w:pPr>
        <w:tabs>
          <w:tab w:pos="1904" w:val="left" w:leader="none"/>
        </w:tabs>
        <w:spacing w:line="196" w:lineRule="auto" w:before="0"/>
        <w:ind w:left="1518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-6"/>
          <w:sz w:val="17"/>
        </w:rPr>
        <w:t>𝑃</w:t>
      </w:r>
      <w:r>
        <w:rPr>
          <w:rFonts w:ascii="Cambria Math" w:eastAsia="Cambria Math"/>
          <w:w w:val="110"/>
          <w:position w:val="-10"/>
          <w:sz w:val="14"/>
        </w:rPr>
        <w:t>𝑡</w:t>
        <w:tab/>
      </w:r>
      <w:r>
        <w:rPr>
          <w:rFonts w:ascii="Cambria Math" w:eastAsia="Cambria Math"/>
          <w:w w:val="110"/>
          <w:sz w:val="17"/>
        </w:rPr>
        <w:t>𝑡</w:t>
      </w:r>
    </w:p>
    <w:p>
      <w:pPr>
        <w:pStyle w:val="BodyText"/>
        <w:spacing w:before="3"/>
        <w:rPr>
          <w:rFonts w:ascii="Cambria Math"/>
          <w:sz w:val="19"/>
        </w:rPr>
      </w:pPr>
    </w:p>
    <w:p>
      <w:pPr>
        <w:pStyle w:val="BodyText"/>
        <w:spacing w:before="86"/>
        <w:ind w:left="500"/>
        <w:rPr>
          <w:rFonts w:ascii="Cambria Math" w:eastAsia="Cambria Math"/>
        </w:rPr>
      </w:pPr>
      <w:r>
        <w:rPr/>
        <w:t>Where, </w:t>
      </w:r>
      <w:r>
        <w:rPr>
          <w:rFonts w:ascii="Cambria Math" w:eastAsia="Cambria Math"/>
        </w:rPr>
        <w:t>𝛾:</w:t>
      </w:r>
      <w:r>
        <w:rPr>
          <w:rFonts w:ascii="Cambria Math" w:eastAsia="Cambria Math"/>
          <w:spacing w:val="6"/>
        </w:rPr>
        <w:t> </w:t>
      </w:r>
      <w:r>
        <w:rPr/>
        <w:t>Fixed cost, and</w:t>
      </w:r>
      <w:r>
        <w:rPr>
          <w:spacing w:val="3"/>
        </w:rPr>
        <w:t> </w:t>
      </w:r>
      <w:r>
        <w:rPr>
          <w:rFonts w:ascii="Cambria Math" w:eastAsia="Cambria Math"/>
        </w:rPr>
        <w:t>𝑄</w:t>
      </w:r>
      <w:r>
        <w:rPr>
          <w:rFonts w:ascii="Cambria Math" w:eastAsia="Cambria Math"/>
          <w:spacing w:val="15"/>
        </w:rPr>
        <w:t> </w:t>
      </w:r>
      <w:r>
        <w:rPr/>
        <w:t>is a constant where</w:t>
      </w:r>
      <w:r>
        <w:rPr>
          <w:spacing w:val="2"/>
        </w:rPr>
        <w:t> </w:t>
      </w:r>
      <w:r>
        <w:rPr>
          <w:rFonts w:ascii="Cambria Math" w:eastAsia="Cambria Math"/>
        </w:rPr>
        <w:t>𝑄</w:t>
      </w:r>
      <w:r>
        <w:rPr>
          <w:rFonts w:ascii="Cambria Math" w:eastAsia="Cambria Math"/>
          <w:spacing w:val="22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3"/>
        </w:rPr>
        <w:t> </w:t>
      </w:r>
      <w:r>
        <w:rPr>
          <w:rFonts w:ascii="Cambria Math" w:eastAsia="Cambria Math"/>
        </w:rPr>
        <w:t>0</w:t>
      </w:r>
    </w:p>
    <w:p>
      <w:pPr>
        <w:spacing w:after="0"/>
        <w:rPr>
          <w:rFonts w:ascii="Cambria Math" w:eastAsia="Cambria Math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spacing w:line="307" w:lineRule="exact" w:before="59"/>
        <w:ind w:left="500" w:right="0" w:firstLine="0"/>
        <w:jc w:val="left"/>
        <w:rPr>
          <w:sz w:val="24"/>
        </w:rPr>
      </w:pPr>
      <w:r>
        <w:rPr>
          <w:rFonts w:ascii="Cambria Math" w:eastAsia="Cambria Math"/>
          <w:position w:val="14"/>
          <w:sz w:val="17"/>
          <w:u w:val="single"/>
        </w:rPr>
        <w:t>𝑊</w:t>
      </w:r>
      <w:r>
        <w:rPr>
          <w:rFonts w:ascii="Cambria Math" w:eastAsia="Cambria Math"/>
          <w:position w:val="11"/>
          <w:sz w:val="14"/>
          <w:u w:val="single"/>
        </w:rPr>
        <w:t>𝑡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Real</w:t>
      </w:r>
      <w:r>
        <w:rPr>
          <w:spacing w:val="-3"/>
          <w:sz w:val="24"/>
        </w:rPr>
        <w:t> </w:t>
      </w:r>
      <w:r>
        <w:rPr>
          <w:sz w:val="24"/>
        </w:rPr>
        <w:t>wages</w:t>
      </w:r>
    </w:p>
    <w:p>
      <w:pPr>
        <w:spacing w:line="176" w:lineRule="exact" w:before="0"/>
        <w:ind w:left="524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7"/>
        </w:rPr>
        <w:t>𝑃</w:t>
      </w:r>
      <w:r>
        <w:rPr>
          <w:rFonts w:ascii="Cambria Math" w:eastAsia="Cambria Math"/>
          <w:w w:val="110"/>
          <w:position w:val="-2"/>
          <w:sz w:val="14"/>
        </w:rPr>
        <w:t>𝑡</w:t>
      </w:r>
    </w:p>
    <w:p>
      <w:pPr>
        <w:pStyle w:val="BodyText"/>
        <w:spacing w:before="5"/>
        <w:rPr>
          <w:rFonts w:ascii="Cambria Math"/>
          <w:sz w:val="19"/>
        </w:rPr>
      </w:pPr>
    </w:p>
    <w:p>
      <w:pPr>
        <w:pStyle w:val="BodyText"/>
        <w:spacing w:before="86"/>
        <w:ind w:left="500"/>
      </w:pPr>
      <w:r>
        <w:rPr>
          <w:rFonts w:ascii="Cambria Math" w:eastAsia="Cambria Math"/>
        </w:rPr>
        <w:t>𝑁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: Amount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labor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ind w:left="500"/>
      </w:pPr>
      <w:r>
        <w:rPr/>
        <w:t>The</w:t>
      </w:r>
      <w:r>
        <w:rPr>
          <w:spacing w:val="-2"/>
        </w:rPr>
        <w:t> </w:t>
      </w:r>
      <w:r>
        <w:rPr/>
        <w:t>Langragian</w:t>
      </w:r>
      <w:r>
        <w:rPr>
          <w:spacing w:val="-1"/>
        </w:rPr>
        <w:t> </w:t>
      </w:r>
      <w:r>
        <w:rPr/>
        <w:t>function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obtained</w:t>
      </w:r>
      <w:r>
        <w:rPr>
          <w:spacing w:val="-2"/>
        </w:rPr>
        <w:t> </w:t>
      </w:r>
      <w:r>
        <w:rPr/>
        <w:t>as: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tabs>
          <w:tab w:pos="9261" w:val="left" w:leader="none"/>
        </w:tabs>
        <w:ind w:left="500"/>
      </w:pPr>
      <w:r>
        <w:rPr>
          <w:rFonts w:ascii="Cambria Math" w:hAnsi="Cambria Math" w:eastAsia="Cambria Math"/>
          <w:spacing w:val="-9"/>
          <w:w w:val="110"/>
        </w:rPr>
        <w:t>𝑓</w:t>
      </w:r>
      <w:r>
        <w:rPr>
          <w:rFonts w:ascii="Cambria Math" w:hAnsi="Cambria Math" w:eastAsia="Cambria Math"/>
          <w:spacing w:val="15"/>
          <w:w w:val="110"/>
        </w:rPr>
        <w:t> </w:t>
      </w:r>
      <w:r>
        <w:rPr>
          <w:rFonts w:ascii="Cambria Math" w:hAnsi="Cambria Math" w:eastAsia="Cambria Math"/>
          <w:spacing w:val="-9"/>
          <w:w w:val="110"/>
        </w:rPr>
        <w:t>=</w:t>
      </w:r>
      <w:r>
        <w:rPr>
          <w:rFonts w:ascii="Cambria Math" w:hAnsi="Cambria Math" w:eastAsia="Cambria Math"/>
          <w:spacing w:val="7"/>
          <w:w w:val="110"/>
        </w:rPr>
        <w:t> </w:t>
      </w:r>
      <w:r>
        <w:rPr>
          <w:rFonts w:ascii="Cambria Math" w:hAnsi="Cambria Math" w:eastAsia="Cambria Math"/>
          <w:spacing w:val="-9"/>
          <w:w w:val="110"/>
        </w:rPr>
        <w:t>𝑊</w:t>
      </w:r>
      <w:r>
        <w:rPr>
          <w:rFonts w:ascii="Cambria Math" w:hAnsi="Cambria Math" w:eastAsia="Cambria Math"/>
          <w:spacing w:val="-9"/>
          <w:w w:val="110"/>
          <w:vertAlign w:val="subscript"/>
        </w:rPr>
        <w:t>𝑡</w:t>
      </w:r>
      <w:r>
        <w:rPr>
          <w:rFonts w:ascii="Cambria Math" w:hAnsi="Cambria Math" w:eastAsia="Cambria Math"/>
          <w:spacing w:val="-9"/>
          <w:w w:val="110"/>
          <w:vertAlign w:val="baseline"/>
        </w:rPr>
        <w:t>𝑁</w:t>
      </w:r>
      <w:r>
        <w:rPr>
          <w:rFonts w:ascii="Cambria Math" w:hAnsi="Cambria Math" w:eastAsia="Cambria Math"/>
          <w:spacing w:val="-9"/>
          <w:w w:val="110"/>
          <w:vertAlign w:val="subscript"/>
        </w:rPr>
        <w:t>𝑡</w:t>
      </w:r>
      <w:r>
        <w:rPr>
          <w:rFonts w:ascii="Cambria Math" w:hAnsi="Cambria Math" w:eastAsia="Cambria Math"/>
          <w:spacing w:val="11"/>
          <w:w w:val="110"/>
          <w:vertAlign w:val="baseline"/>
        </w:rPr>
        <w:t> </w:t>
      </w:r>
      <w:r>
        <w:rPr>
          <w:rFonts w:ascii="Cambria Math" w:hAnsi="Cambria Math" w:eastAsia="Cambria Math"/>
          <w:spacing w:val="-9"/>
          <w:w w:val="110"/>
          <w:vertAlign w:val="baseline"/>
        </w:rPr>
        <w:t>+</w:t>
      </w:r>
      <w:r>
        <w:rPr>
          <w:rFonts w:ascii="Cambria Math" w:hAnsi="Cambria Math" w:eastAsia="Cambria Math"/>
          <w:spacing w:val="-5"/>
          <w:w w:val="110"/>
          <w:vertAlign w:val="baseline"/>
        </w:rPr>
        <w:t> </w:t>
      </w:r>
      <w:r>
        <w:rPr>
          <w:rFonts w:ascii="Cambria Math" w:hAnsi="Cambria Math" w:eastAsia="Cambria Math"/>
          <w:spacing w:val="-9"/>
          <w:w w:val="110"/>
          <w:vertAlign w:val="baseline"/>
        </w:rPr>
        <w:t>𝜆</w:t>
      </w:r>
      <w:r>
        <w:rPr>
          <w:rFonts w:ascii="Cambria Math" w:hAnsi="Cambria Math" w:eastAsia="Cambria Math"/>
          <w:spacing w:val="-9"/>
          <w:w w:val="110"/>
          <w:vertAlign w:val="subscript"/>
        </w:rPr>
        <w:t>𝑡</w:t>
      </w:r>
      <w:r>
        <w:rPr>
          <w:rFonts w:ascii="Cambria Math" w:hAnsi="Cambria Math" w:eastAsia="Cambria Math"/>
          <w:spacing w:val="-9"/>
          <w:w w:val="110"/>
          <w:vertAlign w:val="baseline"/>
        </w:rPr>
        <w:t>[𝑌</w:t>
      </w:r>
      <w:r>
        <w:rPr>
          <w:rFonts w:ascii="Cambria Math" w:hAnsi="Cambria Math" w:eastAsia="Cambria Math"/>
          <w:spacing w:val="-9"/>
          <w:w w:val="110"/>
          <w:vertAlign w:val="subscript"/>
        </w:rPr>
        <w:t>𝑗,𝑡</w:t>
      </w:r>
      <w:r>
        <w:rPr>
          <w:rFonts w:ascii="Cambria Math" w:hAnsi="Cambria Math" w:eastAsia="Cambria Math"/>
          <w:spacing w:val="47"/>
          <w:w w:val="110"/>
          <w:vertAlign w:val="baseline"/>
        </w:rPr>
        <w:t> </w:t>
      </w:r>
      <w:r>
        <w:rPr>
          <w:rFonts w:ascii="Cambria Math" w:hAnsi="Cambria Math" w:eastAsia="Cambria Math"/>
          <w:spacing w:val="-9"/>
          <w:w w:val="110"/>
          <w:vertAlign w:val="baseline"/>
        </w:rPr>
        <w:t>−</w:t>
      </w:r>
      <w:r>
        <w:rPr>
          <w:rFonts w:ascii="Cambria Math" w:hAnsi="Cambria Math" w:eastAsia="Cambria Math"/>
          <w:spacing w:val="-5"/>
          <w:w w:val="110"/>
          <w:vertAlign w:val="baseline"/>
        </w:rPr>
        <w:t> </w:t>
      </w:r>
      <w:r>
        <w:rPr>
          <w:rFonts w:ascii="Cambria Math" w:hAnsi="Cambria Math" w:eastAsia="Cambria Math"/>
          <w:spacing w:val="-9"/>
          <w:w w:val="110"/>
          <w:vertAlign w:val="baseline"/>
        </w:rPr>
        <w:t>𝐴</w:t>
      </w:r>
      <w:r>
        <w:rPr>
          <w:rFonts w:ascii="Cambria Math" w:hAnsi="Cambria Math" w:eastAsia="Cambria Math"/>
          <w:spacing w:val="-9"/>
          <w:w w:val="110"/>
          <w:vertAlign w:val="subscript"/>
        </w:rPr>
        <w:t>𝑡</w:t>
      </w:r>
      <w:r>
        <w:rPr>
          <w:rFonts w:ascii="Cambria Math" w:hAnsi="Cambria Math" w:eastAsia="Cambria Math"/>
          <w:spacing w:val="-9"/>
          <w:w w:val="110"/>
          <w:vertAlign w:val="baseline"/>
        </w:rPr>
        <w:t>𝑁</w:t>
      </w:r>
      <w:r>
        <w:rPr>
          <w:rFonts w:ascii="Cambria Math" w:hAnsi="Cambria Math" w:eastAsia="Cambria Math"/>
          <w:spacing w:val="-9"/>
          <w:w w:val="110"/>
          <w:vertAlign w:val="subscript"/>
        </w:rPr>
        <w:t>𝑗,𝑡</w:t>
      </w:r>
      <w:r>
        <w:rPr>
          <w:rFonts w:ascii="Cambria Math" w:hAnsi="Cambria Math" w:eastAsia="Cambria Math"/>
          <w:spacing w:val="-9"/>
          <w:w w:val="110"/>
          <w:vertAlign w:val="baseline"/>
        </w:rPr>
        <w:t>]</w:t>
        <w:tab/>
      </w:r>
      <w:r>
        <w:rPr>
          <w:w w:val="110"/>
          <w:vertAlign w:val="baseline"/>
        </w:rPr>
        <w:t>(4.45)</w:t>
      </w:r>
    </w:p>
    <w:p>
      <w:pPr>
        <w:pStyle w:val="BodyText"/>
        <w:spacing w:before="3"/>
        <w:rPr>
          <w:sz w:val="32"/>
        </w:rPr>
      </w:pPr>
    </w:p>
    <w:p>
      <w:pPr>
        <w:pStyle w:val="BodyText"/>
        <w:spacing w:before="1"/>
        <w:ind w:left="500"/>
      </w:pPr>
      <w:r>
        <w:rPr/>
        <w:t>The</w:t>
      </w:r>
      <w:r>
        <w:rPr>
          <w:spacing w:val="-4"/>
        </w:rPr>
        <w:t> </w:t>
      </w:r>
      <w:r>
        <w:rPr/>
        <w:t>first</w:t>
      </w:r>
      <w:r>
        <w:rPr>
          <w:spacing w:val="-3"/>
        </w:rPr>
        <w:t> </w:t>
      </w:r>
      <w:r>
        <w:rPr/>
        <w:t>order</w:t>
      </w:r>
      <w:r>
        <w:rPr>
          <w:spacing w:val="-2"/>
        </w:rPr>
        <w:t> </w:t>
      </w:r>
      <w:r>
        <w:rPr/>
        <w:t>conditions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respect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>
          <w:rFonts w:ascii="Cambria Math" w:eastAsia="Cambria Math"/>
        </w:rPr>
        <w:t>𝑁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rFonts w:ascii="Cambria Math" w:eastAsia="Cambria Math"/>
          <w:vertAlign w:val="baseline"/>
        </w:rPr>
        <w:t>𝑌</w:t>
      </w:r>
      <w:r>
        <w:rPr>
          <w:rFonts w:ascii="Cambria Math" w:eastAsia="Cambria Math"/>
          <w:vertAlign w:val="subscript"/>
        </w:rPr>
        <w:t>𝑗,𝑡</w:t>
      </w:r>
      <w:r>
        <w:rPr>
          <w:rFonts w:ascii="Cambria Math" w:eastAsia="Cambria Math"/>
          <w:spacing w:val="-5"/>
          <w:vertAlign w:val="baseline"/>
        </w:rPr>
        <w:t> </w:t>
      </w:r>
      <w:r>
        <w:rPr>
          <w:vertAlign w:val="baseline"/>
        </w:rPr>
        <w:t>yields:</w:t>
      </w:r>
    </w:p>
    <w:p>
      <w:pPr>
        <w:pStyle w:val="BodyText"/>
        <w:spacing w:before="4"/>
        <w:rPr>
          <w:sz w:val="25"/>
        </w:rPr>
      </w:pPr>
    </w:p>
    <w:p>
      <w:pPr>
        <w:spacing w:after="0"/>
        <w:rPr>
          <w:sz w:val="25"/>
        </w:rPr>
        <w:sectPr>
          <w:pgSz w:w="12240" w:h="15840"/>
          <w:pgMar w:header="0" w:footer="935" w:top="1360" w:bottom="1200" w:left="940" w:right="940"/>
        </w:sectPr>
      </w:pPr>
    </w:p>
    <w:p>
      <w:pPr>
        <w:spacing w:before="72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𝜕𝑓</w:t>
      </w:r>
    </w:p>
    <w:p>
      <w:pPr>
        <w:pStyle w:val="BodyText"/>
        <w:spacing w:line="143" w:lineRule="exact" w:before="147"/>
        <w:ind w:left="82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:</w:t>
      </w:r>
      <w:r>
        <w:rPr>
          <w:rFonts w:ascii="Cambria Math" w:eastAsia="Cambria Math"/>
          <w:spacing w:val="21"/>
        </w:rPr>
        <w:t> </w:t>
      </w:r>
      <w:r>
        <w:rPr>
          <w:rFonts w:ascii="Cambria Math" w:eastAsia="Cambria Math"/>
          <w:spacing w:val="-126"/>
        </w:rPr>
        <w:t>𝑊</w:t>
      </w:r>
    </w:p>
    <w:p>
      <w:pPr>
        <w:pStyle w:val="BodyText"/>
        <w:tabs>
          <w:tab w:pos="7929" w:val="left" w:leader="none"/>
        </w:tabs>
        <w:spacing w:line="153" w:lineRule="exact" w:before="137"/>
        <w:ind w:left="70"/>
      </w:pPr>
      <w:r>
        <w:rPr/>
        <w:br w:type="column"/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spacing w:val="36"/>
        </w:rPr>
        <w:t> </w:t>
      </w:r>
      <w:r>
        <w:rPr>
          <w:rFonts w:ascii="Cambria Math" w:hAnsi="Cambria Math" w:eastAsia="Cambria Math"/>
          <w:position w:val="1"/>
        </w:rPr>
        <w:t>[</w:t>
      </w:r>
      <w:r>
        <w:rPr>
          <w:rFonts w:ascii="Cambria Math" w:hAnsi="Cambria Math" w:eastAsia="Cambria Math"/>
        </w:rPr>
        <w:t>𝐴</w:t>
      </w:r>
      <w:r>
        <w:rPr>
          <w:rFonts w:ascii="Cambria Math" w:hAnsi="Cambria Math" w:eastAsia="Cambria Math"/>
          <w:spacing w:val="37"/>
        </w:rPr>
        <w:t> </w:t>
      </w:r>
      <w:r>
        <w:rPr>
          <w:rFonts w:ascii="Cambria Math" w:hAnsi="Cambria Math" w:eastAsia="Cambria Math"/>
          <w:position w:val="1"/>
        </w:rPr>
        <w:t>]</w:t>
      </w:r>
      <w:r>
        <w:rPr>
          <w:rFonts w:ascii="Cambria Math" w:hAnsi="Cambria Math" w:eastAsia="Cambria Math"/>
          <w:spacing w:val="14"/>
          <w:position w:val="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0</w:t>
        <w:tab/>
      </w:r>
      <w:r>
        <w:rPr/>
        <w:t>(4.46)</w:t>
      </w:r>
    </w:p>
    <w:p>
      <w:pPr>
        <w:spacing w:after="0" w:line="153" w:lineRule="exact"/>
        <w:sectPr>
          <w:type w:val="continuous"/>
          <w:pgSz w:w="12240" w:h="15840"/>
          <w:pgMar w:top="1500" w:bottom="1120" w:left="940" w:right="940"/>
          <w:cols w:num="3" w:equalWidth="0">
            <w:col w:w="806" w:space="40"/>
            <w:col w:w="448" w:space="39"/>
            <w:col w:w="9027"/>
          </w:cols>
        </w:sectPr>
      </w:pPr>
    </w:p>
    <w:p>
      <w:pPr>
        <w:tabs>
          <w:tab w:pos="1261" w:val="left" w:leader="none"/>
        </w:tabs>
        <w:spacing w:line="275" w:lineRule="exact" w:before="0"/>
        <w:ind w:left="500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72.024002pt;margin-top:.400605pt;width:20.4pt;height:.84pt;mso-position-horizontal-relative:page;mso-position-vertical-relative:paragraph;z-index:1576550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5"/>
          <w:position w:val="4"/>
          <w:sz w:val="17"/>
        </w:rPr>
        <w:t>𝜕𝑁</w:t>
      </w:r>
      <w:r>
        <w:rPr>
          <w:rFonts w:ascii="Cambria Math" w:eastAsia="Cambria Math"/>
          <w:w w:val="115"/>
          <w:sz w:val="14"/>
        </w:rPr>
        <w:t>𝑗,𝑡</w:t>
        <w:tab/>
      </w:r>
      <w:r>
        <w:rPr>
          <w:rFonts w:ascii="Cambria Math" w:eastAsia="Cambria Math"/>
          <w:spacing w:val="-153"/>
          <w:w w:val="110"/>
          <w:position w:val="11"/>
          <w:sz w:val="17"/>
        </w:rPr>
        <w:t>𝑡</w:t>
      </w:r>
    </w:p>
    <w:p>
      <w:pPr>
        <w:tabs>
          <w:tab w:pos="708" w:val="left" w:leader="none"/>
        </w:tabs>
        <w:spacing w:line="171" w:lineRule="exact" w:before="0"/>
        <w:ind w:left="384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𝑡</w:t>
        <w:tab/>
        <w:t>𝑡</w:t>
      </w:r>
    </w:p>
    <w:p>
      <w:pPr>
        <w:spacing w:after="0" w:line="171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2" w:equalWidth="0">
            <w:col w:w="1337" w:space="40"/>
            <w:col w:w="8983"/>
          </w:cols>
        </w:sectPr>
      </w:pPr>
    </w:p>
    <w:p>
      <w:pPr>
        <w:pStyle w:val="BodyText"/>
        <w:spacing w:before="11"/>
        <w:rPr>
          <w:rFonts w:ascii="Cambria Math"/>
          <w:sz w:val="20"/>
        </w:rPr>
      </w:pPr>
    </w:p>
    <w:p>
      <w:pPr>
        <w:pStyle w:val="BodyText"/>
        <w:spacing w:line="232" w:lineRule="exact" w:before="59"/>
        <w:ind w:left="1026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𝑊</w:t>
      </w:r>
      <w:r>
        <w:rPr>
          <w:rFonts w:ascii="Cambria Math" w:eastAsia="Cambria Math"/>
          <w:w w:val="110"/>
          <w:vertAlign w:val="subscript"/>
        </w:rPr>
        <w:t>𝑡</w:t>
      </w:r>
    </w:p>
    <w:p>
      <w:pPr>
        <w:pStyle w:val="BodyText"/>
        <w:spacing w:line="229" w:lineRule="exact"/>
        <w:ind w:left="500"/>
        <w:rPr>
          <w:rFonts w:ascii="Cambria Math" w:eastAsia="Cambria Math"/>
        </w:rPr>
      </w:pPr>
      <w:r>
        <w:rPr/>
        <w:pict>
          <v:rect style="position:absolute;margin-left:98.304001pt;margin-top:5.088130pt;width:14.28pt;height:.84003pt;mso-position-horizontal-relative:page;mso-position-vertical-relative:paragraph;z-index:15766016" filled="true" fillcolor="#000000" stroked="false">
            <v:fill type="solid"/>
            <w10:wrap type="none"/>
          </v:rect>
        </w:pict>
      </w:r>
      <w:r>
        <w:rPr/>
        <w:pict>
          <v:shape style="position:absolute;margin-left:99.384003pt;margin-top:7.622458pt;width:7.6pt;height:12.05pt;mso-position-horizontal-relative:page;mso-position-vertical-relative:paragraph;z-index:15766528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  <w:w w:val="95"/>
                    </w:rPr>
                    <w:t>𝐴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05"/>
        </w:rPr>
        <w:t>𝜆</w:t>
      </w:r>
      <w:r>
        <w:rPr>
          <w:rFonts w:ascii="Cambria Math" w:eastAsia="Cambria Math"/>
          <w:w w:val="105"/>
          <w:vertAlign w:val="subscript"/>
        </w:rPr>
        <w:t>𝑡</w:t>
      </w:r>
      <w:r>
        <w:rPr>
          <w:rFonts w:ascii="Cambria Math" w:eastAsia="Cambria Math"/>
          <w:spacing w:val="2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</w:p>
    <w:p>
      <w:pPr>
        <w:spacing w:line="196" w:lineRule="exact" w:before="0"/>
        <w:ind w:left="1198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</w:t>
      </w:r>
    </w:p>
    <w:p>
      <w:pPr>
        <w:pStyle w:val="BodyText"/>
        <w:spacing w:before="6"/>
        <w:rPr>
          <w:rFonts w:ascii="Cambria Math"/>
          <w:sz w:val="19"/>
        </w:rPr>
      </w:pPr>
    </w:p>
    <w:p>
      <w:pPr>
        <w:spacing w:after="0"/>
        <w:rPr>
          <w:rFonts w:ascii="Cambria Math"/>
          <w:sz w:val="19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spacing w:before="71"/>
        <w:ind w:left="0" w:right="83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𝜕𝑓</w:t>
      </w:r>
    </w:p>
    <w:p>
      <w:pPr>
        <w:pStyle w:val="BodyText"/>
        <w:spacing w:before="4"/>
        <w:rPr>
          <w:rFonts w:ascii="Cambria Math"/>
          <w:sz w:val="2"/>
        </w:rPr>
      </w:pPr>
    </w:p>
    <w:p>
      <w:pPr>
        <w:pStyle w:val="BodyText"/>
        <w:spacing w:line="20" w:lineRule="exact"/>
        <w:ind w:left="500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9.350pt;height:.85pt;mso-position-horizontal-relative:char;mso-position-vertical-relative:line" coordorigin="0,0" coordsize="387,17">
            <v:rect style="position:absolute;left:0;top:0;width:387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13"/>
        <w:ind w:left="0" w:right="0" w:firstLine="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15"/>
          <w:position w:val="4"/>
          <w:sz w:val="17"/>
        </w:rPr>
        <w:t>𝜕𝑌</w:t>
      </w:r>
      <w:r>
        <w:rPr>
          <w:rFonts w:ascii="Cambria Math" w:eastAsia="Cambria Math"/>
          <w:w w:val="115"/>
          <w:sz w:val="14"/>
        </w:rPr>
        <w:t>𝑗,𝑡</w:t>
      </w:r>
    </w:p>
    <w:p>
      <w:pPr>
        <w:pStyle w:val="BodyText"/>
        <w:spacing w:before="146"/>
        <w:ind w:left="-13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05"/>
        </w:rPr>
        <w:t>:</w:t>
      </w:r>
      <w:r>
        <w:rPr>
          <w:rFonts w:ascii="Cambria Math" w:eastAsia="Cambria Math"/>
          <w:spacing w:val="16"/>
          <w:w w:val="105"/>
        </w:rPr>
        <w:t> </w:t>
      </w:r>
      <w:r>
        <w:rPr>
          <w:rFonts w:ascii="Cambria Math" w:eastAsia="Cambria Math"/>
          <w:w w:val="105"/>
        </w:rPr>
        <w:t>𝜆</w:t>
      </w:r>
      <w:r>
        <w:rPr>
          <w:rFonts w:ascii="Cambria Math" w:eastAsia="Cambria Math"/>
          <w:w w:val="105"/>
          <w:vertAlign w:val="subscript"/>
        </w:rPr>
        <w:t>𝑡</w:t>
      </w:r>
    </w:p>
    <w:p>
      <w:pPr>
        <w:pStyle w:val="BodyText"/>
        <w:spacing w:before="150"/>
        <w:ind w:left="500"/>
      </w:pPr>
      <w:r>
        <w:rPr/>
        <w:br w:type="column"/>
      </w:r>
      <w:r>
        <w:rPr/>
        <w:t>(4.47)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3" w:equalWidth="0">
            <w:col w:w="879" w:space="40"/>
            <w:col w:w="365" w:space="7478"/>
            <w:col w:w="1598"/>
          </w:cols>
        </w:sect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2" w:lineRule="auto" w:before="86"/>
        <w:ind w:left="500" w:right="502"/>
      </w:pPr>
      <w:r>
        <w:rPr>
          <w:rFonts w:ascii="Cambria Math" w:eastAsia="Cambria Math"/>
        </w:rPr>
        <w:t>𝜆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is</w:t>
      </w:r>
      <w:r>
        <w:rPr>
          <w:spacing w:val="30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Lagrangian</w:t>
      </w:r>
      <w:r>
        <w:rPr>
          <w:spacing w:val="31"/>
          <w:vertAlign w:val="baseline"/>
        </w:rPr>
        <w:t> </w:t>
      </w:r>
      <w:r>
        <w:rPr>
          <w:vertAlign w:val="baseline"/>
        </w:rPr>
        <w:t>multiplier,</w:t>
      </w:r>
      <w:r>
        <w:rPr>
          <w:spacing w:val="28"/>
          <w:vertAlign w:val="baseline"/>
        </w:rPr>
        <w:t> </w:t>
      </w:r>
      <w:r>
        <w:rPr>
          <w:vertAlign w:val="baseline"/>
        </w:rPr>
        <w:t>it</w:t>
      </w:r>
      <w:r>
        <w:rPr>
          <w:spacing w:val="30"/>
          <w:vertAlign w:val="baseline"/>
        </w:rPr>
        <w:t> </w:t>
      </w:r>
      <w:r>
        <w:rPr>
          <w:vertAlign w:val="baseline"/>
        </w:rPr>
        <w:t>is</w:t>
      </w:r>
      <w:r>
        <w:rPr>
          <w:spacing w:val="30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nominal</w:t>
      </w:r>
      <w:r>
        <w:rPr>
          <w:spacing w:val="30"/>
          <w:vertAlign w:val="baseline"/>
        </w:rPr>
        <w:t> </w:t>
      </w:r>
      <w:r>
        <w:rPr>
          <w:vertAlign w:val="baseline"/>
        </w:rPr>
        <w:t>marginal</w:t>
      </w:r>
      <w:r>
        <w:rPr>
          <w:spacing w:val="33"/>
          <w:vertAlign w:val="baseline"/>
        </w:rPr>
        <w:t> </w:t>
      </w:r>
      <w:r>
        <w:rPr>
          <w:vertAlign w:val="baseline"/>
        </w:rPr>
        <w:t>cost</w:t>
      </w:r>
      <w:r>
        <w:rPr>
          <w:spacing w:val="30"/>
          <w:vertAlign w:val="baseline"/>
        </w:rPr>
        <w:t> </w:t>
      </w:r>
      <w:r>
        <w:rPr>
          <w:vertAlign w:val="baseline"/>
        </w:rPr>
        <w:t>of</w:t>
      </w:r>
      <w:r>
        <w:rPr>
          <w:spacing w:val="28"/>
          <w:vertAlign w:val="baseline"/>
        </w:rPr>
        <w:t> </w:t>
      </w:r>
      <w:r>
        <w:rPr>
          <w:vertAlign w:val="baseline"/>
        </w:rPr>
        <w:t>production</w:t>
      </w:r>
      <w:r>
        <w:rPr>
          <w:spacing w:val="29"/>
          <w:vertAlign w:val="baseline"/>
        </w:rPr>
        <w:t> </w:t>
      </w:r>
      <w:r>
        <w:rPr>
          <w:vertAlign w:val="baseline"/>
        </w:rPr>
        <w:t>of</w:t>
      </w:r>
      <w:r>
        <w:rPr>
          <w:spacing w:val="28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firm.</w:t>
      </w:r>
      <w:r>
        <w:rPr>
          <w:spacing w:val="32"/>
          <w:vertAlign w:val="baseline"/>
        </w:rPr>
        <w:t> </w:t>
      </w:r>
      <w:r>
        <w:rPr>
          <w:vertAlign w:val="baseline"/>
        </w:rPr>
        <w:t>This</w:t>
      </w:r>
      <w:r>
        <w:rPr>
          <w:spacing w:val="-57"/>
          <w:vertAlign w:val="baseline"/>
        </w:rPr>
        <w:t> </w:t>
      </w:r>
      <w:r>
        <w:rPr>
          <w:vertAlign w:val="baseline"/>
        </w:rPr>
        <w:t>implies that:</w:t>
      </w:r>
    </w:p>
    <w:p>
      <w:pPr>
        <w:pStyle w:val="BodyText"/>
        <w:spacing w:before="3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146"/>
        <w:ind w:left="500"/>
        <w:rPr>
          <w:rFonts w:ascii="Cambria Math" w:eastAsia="Cambria Math"/>
        </w:rPr>
      </w:pPr>
      <w:r>
        <w:rPr>
          <w:rFonts w:ascii="Cambria Math" w:eastAsia="Cambria Math"/>
          <w:spacing w:val="-1"/>
        </w:rPr>
        <w:t>𝑀𝐶</w:t>
      </w:r>
      <w:r>
        <w:rPr>
          <w:rFonts w:ascii="Cambria Math" w:eastAsia="Cambria Math"/>
          <w:spacing w:val="-1"/>
          <w:vertAlign w:val="subscript"/>
        </w:rPr>
        <w:t>𝑡</w:t>
      </w:r>
    </w:p>
    <w:p>
      <w:pPr>
        <w:spacing w:line="168" w:lineRule="auto" w:before="97"/>
        <w:ind w:left="40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pacing w:val="-4"/>
          <w:w w:val="105"/>
          <w:position w:val="-13"/>
          <w:sz w:val="24"/>
        </w:rPr>
        <w:t>=</w:t>
      </w:r>
      <w:r>
        <w:rPr>
          <w:rFonts w:ascii="Cambria Math" w:eastAsia="Cambria Math"/>
          <w:spacing w:val="-9"/>
          <w:w w:val="105"/>
          <w:position w:val="-13"/>
          <w:sz w:val="24"/>
        </w:rPr>
        <w:t> </w:t>
      </w:r>
      <w:r>
        <w:rPr>
          <w:rFonts w:ascii="Cambria Math" w:eastAsia="Cambria Math"/>
          <w:spacing w:val="-4"/>
          <w:w w:val="105"/>
          <w:sz w:val="17"/>
          <w:u w:val="single"/>
        </w:rPr>
        <w:t>𝑊</w:t>
      </w:r>
      <w:r>
        <w:rPr>
          <w:rFonts w:ascii="Cambria Math" w:eastAsia="Cambria Math"/>
          <w:spacing w:val="-4"/>
          <w:w w:val="105"/>
          <w:position w:val="-2"/>
          <w:sz w:val="14"/>
          <w:u w:val="single"/>
        </w:rPr>
        <w:t>𝑡</w:t>
      </w:r>
    </w:p>
    <w:p>
      <w:pPr>
        <w:spacing w:line="185" w:lineRule="exact" w:before="0"/>
        <w:ind w:left="300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7"/>
        </w:rPr>
        <w:t>𝐴</w:t>
      </w:r>
      <w:r>
        <w:rPr>
          <w:rFonts w:ascii="Cambria Math" w:eastAsia="Cambria Math"/>
          <w:w w:val="110"/>
          <w:position w:val="-2"/>
          <w:sz w:val="14"/>
        </w:rPr>
        <w:t>𝑡</w:t>
      </w:r>
    </w:p>
    <w:p>
      <w:pPr>
        <w:pStyle w:val="BodyText"/>
        <w:spacing w:before="150"/>
        <w:ind w:left="500"/>
      </w:pPr>
      <w:r>
        <w:rPr/>
        <w:br w:type="column"/>
      </w:r>
      <w:r>
        <w:rPr/>
        <w:t>(4.48)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3" w:equalWidth="0">
            <w:col w:w="910" w:space="40"/>
            <w:col w:w="534" w:space="7278"/>
            <w:col w:w="1598"/>
          </w:cols>
        </w:sect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90"/>
        <w:ind w:left="500"/>
      </w:pPr>
      <w:r>
        <w:rPr/>
        <w:t>The</w:t>
      </w:r>
      <w:r>
        <w:rPr>
          <w:spacing w:val="-4"/>
        </w:rPr>
        <w:t> </w:t>
      </w:r>
      <w:r>
        <w:rPr/>
        <w:t>real</w:t>
      </w:r>
      <w:r>
        <w:rPr>
          <w:spacing w:val="-1"/>
        </w:rPr>
        <w:t> </w:t>
      </w:r>
      <w:r>
        <w:rPr/>
        <w:t>marginal</w:t>
      </w:r>
      <w:r>
        <w:rPr>
          <w:spacing w:val="-1"/>
        </w:rPr>
        <w:t> </w:t>
      </w:r>
      <w:r>
        <w:rPr/>
        <w:t>cost is then</w:t>
      </w:r>
      <w:r>
        <w:rPr>
          <w:spacing w:val="-1"/>
        </w:rPr>
        <w:t> </w:t>
      </w:r>
      <w:r>
        <w:rPr/>
        <w:t>defined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spacing w:before="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166"/>
        <w:ind w:left="500"/>
        <w:rPr>
          <w:rFonts w:ascii="Cambria Math" w:eastAsia="Cambria Math"/>
        </w:rPr>
      </w:pPr>
      <w:r>
        <w:rPr>
          <w:rFonts w:ascii="Cambria Math" w:eastAsia="Cambria Math"/>
          <w:spacing w:val="-1"/>
        </w:rPr>
        <w:t>𝑀𝐶</w:t>
      </w:r>
      <w:r>
        <w:rPr>
          <w:rFonts w:ascii="Cambria Math" w:eastAsia="Cambria Math"/>
          <w:spacing w:val="-1"/>
          <w:vertAlign w:val="subscript"/>
        </w:rPr>
        <w:t>𝑡</w:t>
      </w:r>
    </w:p>
    <w:p>
      <w:pPr>
        <w:spacing w:line="168" w:lineRule="auto" w:before="116"/>
        <w:ind w:left="40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pacing w:val="-1"/>
          <w:w w:val="110"/>
          <w:position w:val="-13"/>
          <w:sz w:val="24"/>
        </w:rPr>
        <w:t>=</w:t>
      </w:r>
      <w:r>
        <w:rPr>
          <w:rFonts w:ascii="Cambria Math" w:eastAsia="Cambria Math"/>
          <w:spacing w:val="29"/>
          <w:w w:val="110"/>
          <w:sz w:val="24"/>
          <w:u w:val="single"/>
        </w:rPr>
        <w:t> </w:t>
      </w:r>
      <w:r>
        <w:rPr>
          <w:rFonts w:ascii="Cambria Math" w:eastAsia="Cambria Math"/>
          <w:spacing w:val="-1"/>
          <w:w w:val="110"/>
          <w:sz w:val="17"/>
          <w:u w:val="single"/>
        </w:rPr>
        <w:t>𝑊</w:t>
      </w:r>
      <w:r>
        <w:rPr>
          <w:rFonts w:ascii="Cambria Math" w:eastAsia="Cambria Math"/>
          <w:spacing w:val="-1"/>
          <w:w w:val="110"/>
          <w:position w:val="-2"/>
          <w:sz w:val="14"/>
          <w:u w:val="single"/>
        </w:rPr>
        <w:t>𝑡</w:t>
      </w:r>
      <w:r>
        <w:rPr>
          <w:rFonts w:ascii="Cambria Math" w:eastAsia="Cambria Math"/>
          <w:spacing w:val="-1"/>
          <w:position w:val="-2"/>
          <w:sz w:val="14"/>
          <w:u w:val="single"/>
        </w:rPr>
        <w:t> </w:t>
      </w:r>
      <w:r>
        <w:rPr>
          <w:rFonts w:ascii="Cambria Math" w:eastAsia="Cambria Math"/>
          <w:spacing w:val="11"/>
          <w:position w:val="-2"/>
          <w:sz w:val="14"/>
          <w:u w:val="single"/>
        </w:rPr>
        <w:t> </w:t>
      </w:r>
    </w:p>
    <w:p>
      <w:pPr>
        <w:spacing w:line="185" w:lineRule="exact" w:before="0"/>
        <w:ind w:left="285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7"/>
        </w:rPr>
        <w:t>𝐴</w:t>
      </w:r>
      <w:r>
        <w:rPr>
          <w:rFonts w:ascii="Cambria Math" w:eastAsia="Cambria Math"/>
          <w:w w:val="110"/>
          <w:position w:val="-2"/>
          <w:sz w:val="14"/>
        </w:rPr>
        <w:t>𝑡</w:t>
      </w:r>
      <w:r>
        <w:rPr>
          <w:rFonts w:ascii="Cambria Math" w:eastAsia="Cambria Math"/>
          <w:w w:val="110"/>
          <w:sz w:val="17"/>
        </w:rPr>
        <w:t>𝑃</w:t>
      </w:r>
      <w:r>
        <w:rPr>
          <w:rFonts w:ascii="Cambria Math" w:eastAsia="Cambria Math"/>
          <w:w w:val="110"/>
          <w:position w:val="-2"/>
          <w:sz w:val="14"/>
        </w:rPr>
        <w:t>𝑡</w:t>
      </w:r>
    </w:p>
    <w:p>
      <w:pPr>
        <w:pStyle w:val="BodyText"/>
        <w:spacing w:before="170"/>
        <w:ind w:left="500"/>
      </w:pPr>
      <w:r>
        <w:rPr/>
        <w:br w:type="column"/>
      </w:r>
      <w:r>
        <w:rPr/>
        <w:t>(4.49)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3" w:equalWidth="0">
            <w:col w:w="910" w:space="40"/>
            <w:col w:w="677" w:space="7135"/>
            <w:col w:w="1598"/>
          </w:cols>
        </w:sect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90"/>
        <w:ind w:left="500"/>
      </w:pPr>
      <w:r>
        <w:rPr/>
        <w:t>Log-linearising</w:t>
      </w:r>
      <w:r>
        <w:rPr>
          <w:spacing w:val="-6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(4.49)</w:t>
      </w:r>
      <w:r>
        <w:rPr>
          <w:spacing w:val="-1"/>
        </w:rPr>
        <w:t> </w:t>
      </w:r>
      <w:r>
        <w:rPr/>
        <w:t>yields: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9261" w:val="left" w:leader="none"/>
        </w:tabs>
        <w:ind w:left="500"/>
      </w:pPr>
      <w:r>
        <w:rPr>
          <w:rFonts w:ascii="Cambria Math" w:hAnsi="Cambria Math" w:eastAsia="Cambria Math"/>
          <w:w w:val="105"/>
        </w:rPr>
        <w:t>𝑚𝑐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1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𝑤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𝑝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𝑎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w w:val="105"/>
          <w:vertAlign w:val="baseline"/>
        </w:rPr>
        <w:tab/>
      </w:r>
      <w:r>
        <w:rPr>
          <w:w w:val="105"/>
          <w:vertAlign w:val="baseline"/>
        </w:rPr>
        <w:t>(4.50)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360" w:lineRule="auto"/>
        <w:ind w:left="500" w:right="496"/>
      </w:pP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linear</w:t>
      </w:r>
      <w:r>
        <w:rPr>
          <w:spacing w:val="-4"/>
        </w:rPr>
        <w:t> </w:t>
      </w:r>
      <w:r>
        <w:rPr/>
        <w:t>production</w:t>
      </w:r>
      <w:r>
        <w:rPr>
          <w:spacing w:val="-3"/>
        </w:rPr>
        <w:t> </w:t>
      </w:r>
      <w:r>
        <w:rPr/>
        <w:t>function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equation</w:t>
      </w:r>
      <w:r>
        <w:rPr>
          <w:spacing w:val="-3"/>
        </w:rPr>
        <w:t> </w:t>
      </w:r>
      <w:r>
        <w:rPr/>
        <w:t>(4.42),</w:t>
      </w:r>
      <w:r>
        <w:rPr>
          <w:spacing w:val="-4"/>
        </w:rPr>
        <w:t> </w:t>
      </w:r>
      <w:r>
        <w:rPr/>
        <w:t>we</w:t>
      </w:r>
      <w:r>
        <w:rPr>
          <w:spacing w:val="-2"/>
        </w:rPr>
        <w:t> </w:t>
      </w:r>
      <w:r>
        <w:rPr/>
        <w:t>derive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amount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labour</w:t>
      </w:r>
      <w:r>
        <w:rPr>
          <w:spacing w:val="-4"/>
        </w:rPr>
        <w:t> </w:t>
      </w:r>
      <w:r>
        <w:rPr/>
        <w:t>demanded</w:t>
      </w:r>
      <w:r>
        <w:rPr>
          <w:spacing w:val="-57"/>
        </w:rPr>
        <w:t> </w:t>
      </w:r>
      <w:r>
        <w:rPr/>
        <w:t>by</w:t>
      </w:r>
      <w:r>
        <w:rPr>
          <w:spacing w:val="-5"/>
        </w:rPr>
        <w:t> </w:t>
      </w:r>
      <w:r>
        <w:rPr/>
        <w:t>each firm</w:t>
      </w:r>
    </w:p>
    <w:p>
      <w:pPr>
        <w:pStyle w:val="BodyText"/>
        <w:spacing w:before="7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spacing w:before="162"/>
        <w:ind w:left="500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pacing w:val="-6"/>
          <w:w w:val="105"/>
          <w:position w:val="5"/>
          <w:sz w:val="24"/>
        </w:rPr>
        <w:t>𝑁</w:t>
      </w:r>
      <w:r>
        <w:rPr>
          <w:rFonts w:ascii="Cambria Math" w:eastAsia="Cambria Math"/>
          <w:spacing w:val="-6"/>
          <w:w w:val="105"/>
          <w:sz w:val="17"/>
        </w:rPr>
        <w:t>𝑗,𝑡</w:t>
      </w:r>
    </w:p>
    <w:p>
      <w:pPr>
        <w:spacing w:line="172" w:lineRule="auto" w:before="99"/>
        <w:ind w:left="40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w w:val="110"/>
          <w:position w:val="-11"/>
          <w:sz w:val="24"/>
        </w:rPr>
        <w:t>=</w:t>
      </w:r>
      <w:r>
        <w:rPr>
          <w:rFonts w:ascii="Cambria Math" w:eastAsia="Cambria Math"/>
          <w:spacing w:val="50"/>
          <w:w w:val="110"/>
          <w:position w:val="-11"/>
          <w:sz w:val="24"/>
        </w:rPr>
        <w:t> </w:t>
      </w:r>
      <w:r>
        <w:rPr>
          <w:rFonts w:ascii="Cambria Math" w:eastAsia="Cambria Math"/>
          <w:w w:val="110"/>
          <w:position w:val="4"/>
          <w:sz w:val="17"/>
          <w:u w:val="single"/>
        </w:rPr>
        <w:t>𝑌</w:t>
      </w:r>
      <w:r>
        <w:rPr>
          <w:rFonts w:ascii="Cambria Math" w:eastAsia="Cambria Math"/>
          <w:w w:val="110"/>
          <w:sz w:val="14"/>
          <w:u w:val="single"/>
        </w:rPr>
        <w:t>𝑗,𝑡</w:t>
      </w:r>
      <w:r>
        <w:rPr>
          <w:rFonts w:ascii="Cambria Math" w:eastAsia="Cambria Math"/>
          <w:spacing w:val="6"/>
          <w:sz w:val="14"/>
          <w:u w:val="single"/>
        </w:rPr>
        <w:t> </w:t>
      </w:r>
    </w:p>
    <w:p>
      <w:pPr>
        <w:spacing w:line="175" w:lineRule="exact" w:before="0"/>
        <w:ind w:left="398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7"/>
        </w:rPr>
        <w:t>𝐴</w:t>
      </w:r>
      <w:r>
        <w:rPr>
          <w:rFonts w:ascii="Cambria Math" w:eastAsia="Cambria Math"/>
          <w:w w:val="110"/>
          <w:position w:val="-2"/>
          <w:sz w:val="14"/>
        </w:rPr>
        <w:t>𝑡</w:t>
      </w:r>
    </w:p>
    <w:p>
      <w:pPr>
        <w:pStyle w:val="BodyText"/>
        <w:spacing w:before="168"/>
        <w:ind w:left="500"/>
      </w:pPr>
      <w:r>
        <w:rPr/>
        <w:br w:type="column"/>
      </w:r>
      <w:r>
        <w:rPr/>
        <w:t>(4.51)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3" w:equalWidth="0">
            <w:col w:w="833" w:space="40"/>
            <w:col w:w="686" w:space="7202"/>
            <w:col w:w="1599"/>
          </w:cols>
        </w:sect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90"/>
        <w:ind w:left="500"/>
      </w:pPr>
      <w:r>
        <w:rPr/>
        <w:t>The</w:t>
      </w:r>
      <w:r>
        <w:rPr>
          <w:spacing w:val="-3"/>
        </w:rPr>
        <w:t> </w:t>
      </w:r>
      <w:r>
        <w:rPr/>
        <w:t>aggregate amount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labour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 demanded</w:t>
      </w:r>
      <w:r>
        <w:rPr>
          <w:spacing w:val="-1"/>
        </w:rPr>
        <w:t> </w:t>
      </w:r>
      <w:r>
        <w:rPr/>
        <w:t>across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firms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as</w:t>
      </w:r>
    </w:p>
    <w:p>
      <w:pPr>
        <w:spacing w:after="0"/>
        <w:sectPr>
          <w:type w:val="continuous"/>
          <w:pgSz w:w="12240" w:h="15840"/>
          <w:pgMar w:top="1500" w:bottom="1120" w:left="940" w:right="940"/>
        </w:sectPr>
      </w:pPr>
    </w:p>
    <w:p>
      <w:pPr>
        <w:spacing w:before="230"/>
        <w:ind w:left="500" w:right="0" w:firstLine="0"/>
        <w:jc w:val="left"/>
        <w:rPr>
          <w:rFonts w:ascii="Cambria Math" w:eastAsia="Cambria Math"/>
          <w:sz w:val="24"/>
        </w:rPr>
      </w:pPr>
      <w:r>
        <w:rPr>
          <w:rFonts w:ascii="Cambria Math" w:eastAsia="Cambria Math"/>
          <w:spacing w:val="-4"/>
          <w:w w:val="105"/>
          <w:position w:val="5"/>
          <w:sz w:val="24"/>
        </w:rPr>
        <w:t>𝑁</w:t>
      </w:r>
      <w:r>
        <w:rPr>
          <w:rFonts w:ascii="Cambria Math" w:eastAsia="Cambria Math"/>
          <w:spacing w:val="-4"/>
          <w:w w:val="105"/>
          <w:sz w:val="17"/>
        </w:rPr>
        <w:t>𝑗,𝑡</w:t>
      </w:r>
      <w:r>
        <w:rPr>
          <w:rFonts w:ascii="Cambria Math" w:eastAsia="Cambria Math"/>
          <w:spacing w:val="14"/>
          <w:w w:val="105"/>
          <w:sz w:val="17"/>
        </w:rPr>
        <w:t> </w:t>
      </w:r>
      <w:r>
        <w:rPr>
          <w:rFonts w:ascii="Cambria Math" w:eastAsia="Cambria Math"/>
          <w:spacing w:val="-3"/>
          <w:w w:val="105"/>
          <w:position w:val="5"/>
          <w:sz w:val="24"/>
        </w:rPr>
        <w:t>=</w:t>
      </w:r>
    </w:p>
    <w:p>
      <w:pPr>
        <w:spacing w:before="40"/>
        <w:ind w:left="78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pacing w:val="-11"/>
          <w:w w:val="105"/>
          <w:position w:val="5"/>
          <w:sz w:val="24"/>
        </w:rPr>
        <w:t>𝑌</w:t>
      </w:r>
      <w:r>
        <w:rPr>
          <w:rFonts w:ascii="Cambria Math" w:eastAsia="Cambria Math"/>
          <w:spacing w:val="-11"/>
          <w:w w:val="105"/>
          <w:sz w:val="17"/>
        </w:rPr>
        <w:t>𝑗,𝑡</w:t>
      </w:r>
    </w:p>
    <w:p>
      <w:pPr>
        <w:pStyle w:val="BodyText"/>
        <w:spacing w:before="37"/>
        <w:ind w:left="123"/>
        <w:rPr>
          <w:rFonts w:ascii="Cambria Math" w:eastAsia="Cambria Math"/>
        </w:rPr>
      </w:pPr>
      <w:r>
        <w:rPr/>
        <w:pict>
          <v:rect style="position:absolute;margin-left:107.540001pt;margin-top:1.372346pt;width:16.560pt;height:.84pt;mso-position-horizontal-relative:page;mso-position-vertical-relative:paragraph;z-index:1576704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</w:rPr>
        <w:t>𝐴</w:t>
      </w:r>
      <w:r>
        <w:rPr>
          <w:rFonts w:ascii="Cambria Math" w:eastAsia="Cambria Math"/>
          <w:w w:val="105"/>
          <w:vertAlign w:val="subscript"/>
        </w:rPr>
        <w:t>𝑡</w:t>
      </w:r>
    </w:p>
    <w:p>
      <w:pPr>
        <w:pStyle w:val="BodyText"/>
        <w:spacing w:before="232"/>
        <w:ind w:left="76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spacing w:val="-4"/>
          <w:w w:val="105"/>
        </w:rPr>
        <w:t>→</w:t>
      </w:r>
      <w:r>
        <w:rPr>
          <w:rFonts w:ascii="Cambria Math" w:hAnsi="Cambria Math" w:eastAsia="Cambria Math"/>
          <w:spacing w:val="64"/>
          <w:w w:val="105"/>
        </w:rPr>
        <w:t> </w:t>
      </w:r>
      <w:r>
        <w:rPr>
          <w:rFonts w:ascii="Cambria Math" w:hAnsi="Cambria Math" w:eastAsia="Cambria Math"/>
          <w:spacing w:val="-4"/>
          <w:w w:val="105"/>
        </w:rPr>
        <w:t>𝑁</w:t>
      </w:r>
      <w:r>
        <w:rPr>
          <w:rFonts w:ascii="Cambria Math" w:hAnsi="Cambria Math" w:eastAsia="Cambria Math"/>
          <w:spacing w:val="-4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26"/>
          <w:w w:val="105"/>
          <w:vertAlign w:val="baseline"/>
        </w:rPr>
        <w:t> </w:t>
      </w:r>
      <w:r>
        <w:rPr>
          <w:rFonts w:ascii="Cambria Math" w:hAnsi="Cambria Math" w:eastAsia="Cambria Math"/>
          <w:spacing w:val="-4"/>
          <w:w w:val="105"/>
          <w:vertAlign w:val="baseline"/>
        </w:rPr>
        <w:t>≡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spacing w:val="-4"/>
          <w:w w:val="105"/>
          <w:vertAlign w:val="baseline"/>
        </w:rPr>
        <w:t>∫</w:t>
      </w:r>
      <w:r>
        <w:rPr>
          <w:rFonts w:ascii="Cambria Math" w:hAnsi="Cambria Math" w:eastAsia="Cambria Math"/>
          <w:spacing w:val="-17"/>
          <w:w w:val="105"/>
          <w:vertAlign w:val="baseline"/>
        </w:rPr>
        <w:t> </w:t>
      </w:r>
      <w:r>
        <w:rPr>
          <w:rFonts w:ascii="Cambria Math" w:hAnsi="Cambria Math" w:eastAsia="Cambria Math"/>
          <w:spacing w:val="-4"/>
          <w:w w:val="105"/>
          <w:vertAlign w:val="baseline"/>
        </w:rPr>
        <w:t>𝑁</w:t>
      </w:r>
      <w:r>
        <w:rPr>
          <w:rFonts w:ascii="Cambria Math" w:hAnsi="Cambria Math" w:eastAsia="Cambria Math"/>
          <w:spacing w:val="-4"/>
          <w:w w:val="105"/>
          <w:vertAlign w:val="subscript"/>
        </w:rPr>
        <w:t>𝑗,𝑡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spacing w:val="-3"/>
          <w:w w:val="105"/>
          <w:vertAlign w:val="baseline"/>
        </w:rPr>
        <w:t>𝑑𝑗</w:t>
      </w:r>
      <w:r>
        <w:rPr>
          <w:rFonts w:ascii="Cambria Math" w:hAnsi="Cambria Math" w:eastAsia="Cambria Math"/>
          <w:spacing w:val="17"/>
          <w:w w:val="105"/>
          <w:vertAlign w:val="baseline"/>
        </w:rPr>
        <w:t> </w:t>
      </w:r>
      <w:r>
        <w:rPr>
          <w:rFonts w:ascii="Cambria Math" w:hAnsi="Cambria Math" w:eastAsia="Cambria Math"/>
          <w:spacing w:val="-3"/>
          <w:w w:val="105"/>
          <w:vertAlign w:val="baseline"/>
        </w:rPr>
        <w:t>=</w:t>
      </w:r>
    </w:p>
    <w:p>
      <w:pPr>
        <w:spacing w:before="40"/>
        <w:ind w:left="25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10"/>
          <w:position w:val="4"/>
          <w:sz w:val="24"/>
        </w:rPr>
        <w:t>∫</w:t>
      </w:r>
      <w:r>
        <w:rPr>
          <w:rFonts w:ascii="Cambria Math" w:hAnsi="Cambria Math" w:eastAsia="Cambria Math"/>
          <w:spacing w:val="1"/>
          <w:w w:val="110"/>
          <w:position w:val="4"/>
          <w:sz w:val="24"/>
        </w:rPr>
        <w:t> </w:t>
      </w:r>
      <w:r>
        <w:rPr>
          <w:rFonts w:ascii="Cambria Math" w:hAnsi="Cambria Math" w:eastAsia="Cambria Math"/>
          <w:spacing w:val="-106"/>
          <w:position w:val="5"/>
          <w:sz w:val="24"/>
        </w:rPr>
        <w:t>𝑌</w:t>
      </w:r>
      <w:r>
        <w:rPr>
          <w:rFonts w:ascii="Cambria Math" w:hAnsi="Cambria Math" w:eastAsia="Cambria Math"/>
          <w:spacing w:val="-39"/>
          <w:w w:val="130"/>
          <w:sz w:val="17"/>
        </w:rPr>
        <w:t>𝑗</w:t>
      </w:r>
      <w:r>
        <w:rPr>
          <w:rFonts w:ascii="Cambria Math" w:hAnsi="Cambria Math" w:eastAsia="Cambria Math"/>
          <w:spacing w:val="-44"/>
          <w:w w:val="100"/>
          <w:sz w:val="17"/>
        </w:rPr>
        <w:t>,</w:t>
      </w:r>
      <w:r>
        <w:rPr>
          <w:rFonts w:ascii="Cambria Math" w:hAnsi="Cambria Math" w:eastAsia="Cambria Math"/>
          <w:spacing w:val="-45"/>
          <w:w w:val="111"/>
          <w:sz w:val="17"/>
        </w:rPr>
        <w:t/>
      </w:r>
      <w:r>
        <w:rPr>
          <w:rFonts w:ascii="Cambria Math" w:hAnsi="Cambria Math" w:eastAsia="Cambria Math"/>
          <w:spacing w:val="-42"/>
          <w:w w:val="111"/>
          <w:sz w:val="17"/>
        </w:rPr>
        <w:t/>
      </w:r>
    </w:p>
    <w:p>
      <w:pPr>
        <w:pStyle w:val="BodyText"/>
        <w:spacing w:before="37"/>
        <w:ind w:left="159"/>
        <w:rPr>
          <w:rFonts w:ascii="Cambria Math" w:eastAsia="Cambria Math"/>
        </w:rPr>
      </w:pPr>
      <w:r>
        <w:rPr/>
        <w:pict>
          <v:rect style="position:absolute;margin-left:230.089996pt;margin-top:1.372346pt;width:25.68pt;height:.84pt;mso-position-horizontal-relative:page;mso-position-vertical-relative:paragraph;z-index:1576755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0"/>
        </w:rPr>
        <w:t>𝐴</w:t>
      </w:r>
      <w:r>
        <w:rPr>
          <w:rFonts w:ascii="Cambria Math" w:eastAsia="Cambria Math"/>
          <w:w w:val="110"/>
          <w:vertAlign w:val="subscript"/>
        </w:rPr>
        <w:t>𝑡</w:t>
      </w:r>
    </w:p>
    <w:p>
      <w:pPr>
        <w:pStyle w:val="BodyText"/>
        <w:spacing w:before="9"/>
        <w:rPr>
          <w:rFonts w:ascii="Cambria Math"/>
          <w:sz w:val="19"/>
        </w:rPr>
      </w:pPr>
      <w:r>
        <w:rPr/>
        <w:br w:type="column"/>
      </w:r>
      <w:r>
        <w:rPr>
          <w:rFonts w:ascii="Cambria Math"/>
          <w:sz w:val="19"/>
        </w:rPr>
      </w:r>
    </w:p>
    <w:p>
      <w:pPr>
        <w:pStyle w:val="BodyText"/>
        <w:ind w:left="103"/>
        <w:rPr>
          <w:rFonts w:ascii="Cambria Math" w:eastAsia="Cambria Math"/>
        </w:rPr>
      </w:pPr>
      <w:r>
        <w:rPr>
          <w:rFonts w:ascii="Cambria Math" w:eastAsia="Cambria Math"/>
        </w:rPr>
        <w:t>𝑑𝑗</w:t>
      </w:r>
    </w:p>
    <w:p>
      <w:pPr>
        <w:spacing w:after="0"/>
        <w:rPr>
          <w:rFonts w:ascii="Cambria Math" w:eastAsia="Cambria Math"/>
        </w:rPr>
        <w:sectPr>
          <w:pgSz w:w="12240" w:h="15840"/>
          <w:pgMar w:header="0" w:footer="935" w:top="1400" w:bottom="1200" w:left="940" w:right="940"/>
          <w:cols w:num="5" w:equalWidth="0">
            <w:col w:w="1093" w:space="40"/>
            <w:col w:w="360" w:space="39"/>
            <w:col w:w="2065" w:space="40"/>
            <w:col w:w="487" w:space="39"/>
            <w:col w:w="6197"/>
          </w:cols>
        </w:sectPr>
      </w:pPr>
    </w:p>
    <w:p>
      <w:pPr>
        <w:pStyle w:val="BodyText"/>
        <w:spacing w:before="10"/>
        <w:rPr>
          <w:rFonts w:ascii="Cambria Math"/>
          <w:sz w:val="20"/>
        </w:rPr>
      </w:pPr>
    </w:p>
    <w:p>
      <w:pPr>
        <w:pStyle w:val="BodyText"/>
        <w:spacing w:before="90"/>
        <w:ind w:left="500"/>
      </w:pPr>
      <w:r>
        <w:rPr/>
        <w:t>This</w:t>
      </w:r>
      <w:r>
        <w:rPr>
          <w:spacing w:val="-1"/>
        </w:rPr>
        <w:t> </w:t>
      </w:r>
      <w:r>
        <w:rPr/>
        <w:t>implies that:</w:t>
      </w:r>
    </w:p>
    <w:p>
      <w:pPr>
        <w:pStyle w:val="BodyText"/>
        <w:spacing w:before="9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147"/>
        <w:jc w:val="right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𝑁</w:t>
      </w:r>
      <w:r>
        <w:rPr>
          <w:rFonts w:ascii="Cambria Math" w:eastAsia="Cambria Math"/>
          <w:w w:val="110"/>
          <w:vertAlign w:val="subscript"/>
        </w:rPr>
        <w:t>𝑡</w:t>
      </w:r>
    </w:p>
    <w:p>
      <w:pPr>
        <w:spacing w:line="168" w:lineRule="auto" w:before="97"/>
        <w:ind w:left="40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pacing w:val="-3"/>
          <w:w w:val="110"/>
          <w:position w:val="-13"/>
          <w:sz w:val="24"/>
        </w:rPr>
        <w:t>=</w:t>
      </w:r>
      <w:r>
        <w:rPr>
          <w:rFonts w:ascii="Cambria Math" w:eastAsia="Cambria Math"/>
          <w:spacing w:val="21"/>
          <w:w w:val="110"/>
          <w:position w:val="-13"/>
          <w:sz w:val="24"/>
        </w:rPr>
        <w:t> </w:t>
      </w:r>
      <w:r>
        <w:rPr>
          <w:rFonts w:ascii="Cambria Math" w:eastAsia="Cambria Math"/>
          <w:spacing w:val="-3"/>
          <w:w w:val="110"/>
          <w:sz w:val="17"/>
          <w:u w:val="single"/>
        </w:rPr>
        <w:t>𝑌</w:t>
      </w:r>
      <w:r>
        <w:rPr>
          <w:rFonts w:ascii="Cambria Math" w:eastAsia="Cambria Math"/>
          <w:spacing w:val="-3"/>
          <w:w w:val="110"/>
          <w:position w:val="-2"/>
          <w:sz w:val="14"/>
          <w:u w:val="single"/>
        </w:rPr>
        <w:t>𝑡</w:t>
      </w:r>
      <w:r>
        <w:rPr>
          <w:rFonts w:ascii="Cambria Math" w:eastAsia="Cambria Math"/>
          <w:spacing w:val="8"/>
          <w:position w:val="-2"/>
          <w:sz w:val="14"/>
          <w:u w:val="single"/>
        </w:rPr>
        <w:t> </w:t>
      </w:r>
    </w:p>
    <w:p>
      <w:pPr>
        <w:spacing w:line="185" w:lineRule="exact" w:before="0"/>
        <w:ind w:left="338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7"/>
        </w:rPr>
        <w:t>𝐴</w:t>
      </w:r>
      <w:r>
        <w:rPr>
          <w:rFonts w:ascii="Cambria Math" w:eastAsia="Cambria Math"/>
          <w:w w:val="110"/>
          <w:position w:val="-2"/>
          <w:sz w:val="14"/>
        </w:rPr>
        <w:t>𝑡</w:t>
      </w:r>
    </w:p>
    <w:p>
      <w:pPr>
        <w:pStyle w:val="BodyText"/>
        <w:spacing w:before="151"/>
        <w:ind w:left="500"/>
      </w:pPr>
      <w:r>
        <w:rPr/>
        <w:br w:type="column"/>
      </w:r>
      <w:r>
        <w:rPr/>
        <w:t>(4.52)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3" w:equalWidth="0">
            <w:col w:w="732" w:space="40"/>
            <w:col w:w="564" w:space="7426"/>
            <w:col w:w="1598"/>
          </w:cols>
        </w:sect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90"/>
        <w:ind w:left="500"/>
        <w:jc w:val="both"/>
      </w:pPr>
      <w:r>
        <w:rPr/>
        <w:t>Log-linearise</w:t>
      </w:r>
      <w:r>
        <w:rPr>
          <w:spacing w:val="-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(4.52)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get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relation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(4.53)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9261" w:val="left" w:leader="none"/>
        </w:tabs>
        <w:ind w:left="500"/>
        <w:jc w:val="both"/>
      </w:pPr>
      <w:r>
        <w:rPr>
          <w:rFonts w:ascii="Cambria Math" w:hAnsi="Cambria Math" w:eastAsia="Cambria Math"/>
          <w:w w:val="105"/>
        </w:rPr>
        <w:t>𝑛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2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𝑎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w w:val="105"/>
          <w:vertAlign w:val="baseline"/>
        </w:rPr>
        <w:tab/>
      </w:r>
      <w:r>
        <w:rPr>
          <w:w w:val="105"/>
          <w:vertAlign w:val="baseline"/>
        </w:rPr>
        <w:t>(4.53)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</w:pPr>
      <w:r>
        <w:rPr/>
        <w:t>Price</w:t>
      </w:r>
      <w:r>
        <w:rPr>
          <w:spacing w:val="-2"/>
        </w:rPr>
        <w:t> </w:t>
      </w:r>
      <w:r>
        <w:rPr/>
        <w:t>setting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360" w:lineRule="auto"/>
        <w:ind w:left="500" w:right="495"/>
        <w:jc w:val="both"/>
      </w:pP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second</w:t>
      </w:r>
      <w:r>
        <w:rPr>
          <w:spacing w:val="-4"/>
        </w:rPr>
        <w:t> </w:t>
      </w:r>
      <w:r>
        <w:rPr/>
        <w:t>stage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optimisation</w:t>
      </w:r>
      <w:r>
        <w:rPr>
          <w:spacing w:val="-3"/>
        </w:rPr>
        <w:t> </w:t>
      </w:r>
      <w:r>
        <w:rPr/>
        <w:t>problem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intermediate</w:t>
      </w:r>
      <w:r>
        <w:rPr>
          <w:spacing w:val="-3"/>
        </w:rPr>
        <w:t> </w:t>
      </w:r>
      <w:r>
        <w:rPr/>
        <w:t>firms,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firms are</w:t>
      </w:r>
      <w:r>
        <w:rPr>
          <w:spacing w:val="-3"/>
        </w:rPr>
        <w:t> </w:t>
      </w:r>
      <w:r>
        <w:rPr/>
        <w:t>concerned</w:t>
      </w:r>
      <w:r>
        <w:rPr>
          <w:spacing w:val="-58"/>
        </w:rPr>
        <w:t> </w:t>
      </w:r>
      <w:r>
        <w:rPr/>
        <w:t>with setting the optimal price for their goods. The firms in this regard, set prices following the</w:t>
      </w:r>
      <w:r>
        <w:rPr>
          <w:spacing w:val="1"/>
        </w:rPr>
        <w:t> </w:t>
      </w:r>
      <w:r>
        <w:rPr/>
        <w:t>Calvo</w:t>
      </w:r>
      <w:r>
        <w:rPr>
          <w:spacing w:val="1"/>
        </w:rPr>
        <w:t> </w:t>
      </w:r>
      <w:r>
        <w:rPr/>
        <w:t>(1983) price-setting mechanism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period, </w:t>
      </w:r>
      <w:r>
        <w:rPr>
          <w:rFonts w:ascii="Cambria Math" w:hAnsi="Cambria Math" w:eastAsia="Cambria Math"/>
        </w:rPr>
        <w:t>1 − 𝜃</w:t>
      </w:r>
      <w:r>
        <w:rPr>
          <w:rFonts w:ascii="Cambria Math" w:hAnsi="Cambria Math" w:eastAsia="Cambria Math"/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 randomly</w:t>
      </w:r>
      <w:r>
        <w:rPr>
          <w:spacing w:val="1"/>
        </w:rPr>
        <w:t> </w:t>
      </w:r>
      <w:r>
        <w:rPr/>
        <w:t>selected</w:t>
      </w:r>
      <w:r>
        <w:rPr>
          <w:spacing w:val="69"/>
        </w:rPr>
        <w:t> </w:t>
      </w:r>
      <w:r>
        <w:rPr/>
        <w:t>domestic</w:t>
      </w:r>
      <w:r>
        <w:rPr>
          <w:spacing w:val="72"/>
        </w:rPr>
        <w:t> </w:t>
      </w:r>
      <w:r>
        <w:rPr/>
        <w:t>firms</w:t>
      </w:r>
      <w:r>
        <w:rPr>
          <w:spacing w:val="73"/>
        </w:rPr>
        <w:t> </w:t>
      </w:r>
      <w:r>
        <w:rPr/>
        <w:t>set</w:t>
      </w:r>
      <w:r>
        <w:rPr>
          <w:spacing w:val="71"/>
        </w:rPr>
        <w:t> </w:t>
      </w:r>
      <w:r>
        <w:rPr/>
        <w:t>prices</w:t>
      </w:r>
      <w:r>
        <w:rPr>
          <w:spacing w:val="71"/>
        </w:rPr>
        <w:t> </w:t>
      </w:r>
      <w:r>
        <w:rPr/>
        <w:t>optimally,</w:t>
      </w:r>
      <w:r>
        <w:rPr>
          <w:spacing w:val="73"/>
        </w:rPr>
        <w:t> </w:t>
      </w:r>
      <w:r>
        <w:rPr/>
        <w:t>while</w:t>
      </w:r>
      <w:r>
        <w:rPr>
          <w:spacing w:val="69"/>
        </w:rPr>
        <w:t> </w:t>
      </w:r>
      <w:r>
        <w:rPr/>
        <w:t>the</w:t>
      </w:r>
      <w:r>
        <w:rPr>
          <w:spacing w:val="70"/>
        </w:rPr>
        <w:t> </w:t>
      </w:r>
      <w:r>
        <w:rPr/>
        <w:t>other</w:t>
      </w:r>
      <w:r>
        <w:rPr>
          <w:spacing w:val="76"/>
        </w:rPr>
        <w:t> </w:t>
      </w:r>
      <w:r>
        <w:rPr>
          <w:rFonts w:ascii="Cambria Math" w:hAnsi="Cambria Math" w:eastAsia="Cambria Math"/>
        </w:rPr>
        <w:t>𝜃</w:t>
      </w:r>
      <w:r>
        <w:rPr>
          <w:rFonts w:ascii="Cambria Math" w:hAnsi="Cambria Math" w:eastAsia="Cambria Math"/>
          <w:spacing w:val="84"/>
        </w:rPr>
        <w:t> </w:t>
      </w:r>
      <w:r>
        <w:rPr/>
        <w:t>fraction</w:t>
      </w:r>
      <w:r>
        <w:rPr>
          <w:spacing w:val="70"/>
        </w:rPr>
        <w:t> </w:t>
      </w:r>
      <w:r>
        <w:rPr/>
        <w:t>keep</w:t>
      </w:r>
      <w:r>
        <w:rPr>
          <w:spacing w:val="70"/>
        </w:rPr>
        <w:t> </w:t>
      </w:r>
      <w:r>
        <w:rPr/>
        <w:t>their</w:t>
      </w:r>
      <w:r>
        <w:rPr>
          <w:spacing w:val="72"/>
        </w:rPr>
        <w:t> </w:t>
      </w:r>
      <w:r>
        <w:rPr/>
        <w:t>prices</w:t>
      </w:r>
    </w:p>
    <w:p>
      <w:pPr>
        <w:pStyle w:val="BodyText"/>
        <w:spacing w:line="153" w:lineRule="exact" w:before="4"/>
        <w:ind w:left="500"/>
        <w:jc w:val="both"/>
      </w:pPr>
      <w:r>
        <w:rPr/>
        <w:t>unchanged.</w:t>
      </w:r>
      <w:r>
        <w:rPr>
          <w:spacing w:val="26"/>
        </w:rPr>
        <w:t> </w:t>
      </w:r>
      <w:r>
        <w:rPr/>
        <w:t>Let</w:t>
      </w:r>
      <w:r>
        <w:rPr>
          <w:spacing w:val="26"/>
        </w:rPr>
        <w:t> </w:t>
      </w:r>
      <w:r>
        <w:rPr>
          <w:rFonts w:ascii="Cambria Math" w:hAnsi="Cambria Math" w:eastAsia="Cambria Math"/>
        </w:rPr>
        <w:t>𝑝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    </w:t>
      </w:r>
      <w:r>
        <w:rPr>
          <w:rFonts w:ascii="Cambria Math" w:hAnsi="Cambria Math" w:eastAsia="Cambria Math"/>
          <w:spacing w:val="39"/>
          <w:vertAlign w:val="baseline"/>
        </w:rPr>
        <w:t> </w:t>
      </w:r>
      <w:r>
        <w:rPr>
          <w:vertAlign w:val="baseline"/>
        </w:rPr>
        <w:t>represent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price</w:t>
      </w:r>
      <w:r>
        <w:rPr>
          <w:spacing w:val="22"/>
          <w:vertAlign w:val="baseline"/>
        </w:rPr>
        <w:t> </w:t>
      </w:r>
      <w:r>
        <w:rPr>
          <w:vertAlign w:val="baseline"/>
        </w:rPr>
        <w:t>chosen</w:t>
      </w:r>
      <w:r>
        <w:rPr>
          <w:spacing w:val="24"/>
          <w:vertAlign w:val="baseline"/>
        </w:rPr>
        <w:t> </w:t>
      </w:r>
      <w:r>
        <w:rPr>
          <w:vertAlign w:val="baseline"/>
        </w:rPr>
        <w:t>by</w:t>
      </w:r>
      <w:r>
        <w:rPr>
          <w:spacing w:val="16"/>
          <w:vertAlign w:val="baseline"/>
        </w:rPr>
        <w:t> </w:t>
      </w:r>
      <w:r>
        <w:rPr>
          <w:vertAlign w:val="baseline"/>
        </w:rPr>
        <w:t>firm</w:t>
      </w:r>
      <w:r>
        <w:rPr>
          <w:spacing w:val="22"/>
          <w:vertAlign w:val="baseline"/>
        </w:rPr>
        <w:t> </w:t>
      </w:r>
      <w:r>
        <w:rPr>
          <w:vertAlign w:val="baseline"/>
        </w:rPr>
        <w:t>j</w:t>
      </w:r>
      <w:r>
        <w:rPr>
          <w:spacing w:val="21"/>
          <w:vertAlign w:val="baseline"/>
        </w:rPr>
        <w:t> </w:t>
      </w:r>
      <w:r>
        <w:rPr>
          <w:vertAlign w:val="baseline"/>
        </w:rPr>
        <w:t>resetting</w:t>
      </w:r>
      <w:r>
        <w:rPr>
          <w:spacing w:val="19"/>
          <w:vertAlign w:val="baseline"/>
        </w:rPr>
        <w:t> </w:t>
      </w:r>
      <w:r>
        <w:rPr>
          <w:vertAlign w:val="baseline"/>
        </w:rPr>
        <w:t>its</w:t>
      </w:r>
      <w:r>
        <w:rPr>
          <w:spacing w:val="21"/>
          <w:vertAlign w:val="baseline"/>
        </w:rPr>
        <w:t> </w:t>
      </w:r>
      <w:r>
        <w:rPr>
          <w:vertAlign w:val="baseline"/>
        </w:rPr>
        <w:t>price</w:t>
      </w:r>
      <w:r>
        <w:rPr>
          <w:spacing w:val="21"/>
          <w:vertAlign w:val="baseline"/>
        </w:rPr>
        <w:t> </w:t>
      </w:r>
      <w:r>
        <w:rPr>
          <w:vertAlign w:val="baseline"/>
        </w:rPr>
        <w:t>in</w:t>
      </w:r>
      <w:r>
        <w:rPr>
          <w:spacing w:val="21"/>
          <w:vertAlign w:val="baseline"/>
        </w:rPr>
        <w:t> </w:t>
      </w:r>
      <w:r>
        <w:rPr>
          <w:vertAlign w:val="baseline"/>
        </w:rPr>
        <w:t>period</w:t>
      </w:r>
      <w:r>
        <w:rPr>
          <w:spacing w:val="22"/>
          <w:vertAlign w:val="baseline"/>
        </w:rPr>
        <w:t> </w:t>
      </w:r>
      <w:r>
        <w:rPr>
          <w:vertAlign w:val="baseline"/>
        </w:rPr>
        <w:t>t.</w:t>
      </w:r>
      <w:r>
        <w:rPr>
          <w:spacing w:val="3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𝑝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    </w:t>
      </w:r>
      <w:r>
        <w:rPr>
          <w:rFonts w:ascii="Cambria Math" w:hAnsi="Cambria Math" w:eastAsia="Cambria Math"/>
          <w:spacing w:val="38"/>
          <w:vertAlign w:val="baseline"/>
        </w:rPr>
        <w:t> </w:t>
      </w:r>
      <w:r>
        <w:rPr>
          <w:vertAlign w:val="baseline"/>
        </w:rPr>
        <w:t>is</w:t>
      </w:r>
    </w:p>
    <w:p>
      <w:pPr>
        <w:tabs>
          <w:tab w:pos="9305" w:val="left" w:leader="none"/>
        </w:tabs>
        <w:spacing w:line="171" w:lineRule="exact" w:before="0"/>
        <w:ind w:left="221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𝑡(𝑗)</w:t>
        <w:tab/>
        <w:t>𝑡(𝑗)</w:t>
      </w:r>
    </w:p>
    <w:p>
      <w:pPr>
        <w:pStyle w:val="BodyText"/>
        <w:tabs>
          <w:tab w:pos="2005" w:val="left" w:leader="none"/>
        </w:tabs>
        <w:spacing w:line="420" w:lineRule="exact"/>
        <w:ind w:left="500" w:right="500"/>
      </w:pPr>
      <w:r>
        <w:rPr/>
        <w:t>assumed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be identical</w:t>
      </w:r>
      <w:r>
        <w:rPr>
          <w:spacing w:val="3"/>
        </w:rPr>
        <w:t> </w:t>
      </w:r>
      <w:r>
        <w:rPr/>
        <w:t>across all</w:t>
      </w:r>
      <w:r>
        <w:rPr>
          <w:spacing w:val="2"/>
        </w:rPr>
        <w:t> </w:t>
      </w:r>
      <w:r>
        <w:rPr/>
        <w:t>firms</w:t>
      </w:r>
      <w:r>
        <w:rPr>
          <w:spacing w:val="2"/>
        </w:rPr>
        <w:t> </w:t>
      </w:r>
      <w:r>
        <w:rPr/>
        <w:t>since</w:t>
      </w:r>
      <w:r>
        <w:rPr>
          <w:spacing w:val="-1"/>
        </w:rPr>
        <w:t> </w:t>
      </w:r>
      <w:r>
        <w:rPr/>
        <w:t>they</w:t>
      </w:r>
      <w:r>
        <w:rPr>
          <w:spacing w:val="-1"/>
        </w:rPr>
        <w:t> </w:t>
      </w:r>
      <w:r>
        <w:rPr/>
        <w:t>will</w:t>
      </w:r>
      <w:r>
        <w:rPr>
          <w:spacing w:val="1"/>
        </w:rPr>
        <w:t> </w:t>
      </w:r>
      <w:r>
        <w:rPr/>
        <w:t>choose</w:t>
      </w:r>
      <w:r>
        <w:rPr>
          <w:spacing w:val="1"/>
        </w:rPr>
        <w:t> </w:t>
      </w:r>
      <w:r>
        <w:rPr/>
        <w:t>the same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-1"/>
        </w:rPr>
        <w:t> </w:t>
      </w:r>
      <w:r>
        <w:rPr/>
        <w:t>given period</w:t>
      </w:r>
      <w:r>
        <w:rPr>
          <w:spacing w:val="-57"/>
        </w:rPr>
        <w:t> </w:t>
      </w:r>
      <w:r>
        <w:rPr/>
        <w:t>such</w:t>
      </w:r>
      <w:r>
        <w:rPr>
          <w:spacing w:val="40"/>
        </w:rPr>
        <w:t> </w:t>
      </w:r>
      <w:r>
        <w:rPr/>
        <w:t>that</w:t>
      </w:r>
      <w:r>
        <w:rPr>
          <w:spacing w:val="40"/>
        </w:rPr>
        <w:t> </w:t>
      </w:r>
      <w:r>
        <w:rPr>
          <w:rFonts w:ascii="Cambria Math" w:hAnsi="Cambria Math" w:eastAsia="Cambria Math"/>
        </w:rPr>
        <w:t>𝑝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ab/>
        <w:t>=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𝑝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vertAlign w:val="baseline"/>
        </w:rPr>
        <w:t>.</w:t>
      </w:r>
      <w:r>
        <w:rPr>
          <w:spacing w:val="41"/>
          <w:vertAlign w:val="baseline"/>
        </w:rPr>
        <w:t> </w:t>
      </w:r>
      <w:r>
        <w:rPr>
          <w:vertAlign w:val="baseline"/>
        </w:rPr>
        <w:t>The</w:t>
      </w:r>
      <w:r>
        <w:rPr>
          <w:spacing w:val="38"/>
          <w:vertAlign w:val="baseline"/>
        </w:rPr>
        <w:t> </w:t>
      </w:r>
      <w:r>
        <w:rPr>
          <w:vertAlign w:val="baseline"/>
        </w:rPr>
        <w:t>firms</w:t>
      </w:r>
      <w:r>
        <w:rPr>
          <w:spacing w:val="41"/>
          <w:vertAlign w:val="baseline"/>
        </w:rPr>
        <w:t> </w:t>
      </w:r>
      <w:r>
        <w:rPr>
          <w:vertAlign w:val="baseline"/>
        </w:rPr>
        <w:t>fix</w:t>
      </w:r>
      <w:r>
        <w:rPr>
          <w:spacing w:val="43"/>
          <w:vertAlign w:val="baseline"/>
        </w:rPr>
        <w:t> </w:t>
      </w:r>
      <w:r>
        <w:rPr>
          <w:vertAlign w:val="baseline"/>
        </w:rPr>
        <w:t>prices,</w:t>
      </w:r>
      <w:r>
        <w:rPr>
          <w:rFonts w:ascii="Cambria Math" w:hAnsi="Cambria Math" w:eastAsia="Cambria Math"/>
          <w:vertAlign w:val="baseline"/>
        </w:rPr>
        <w:t>𝑃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48"/>
          <w:vertAlign w:val="baseline"/>
        </w:rPr>
        <w:t> </w:t>
      </w:r>
      <w:r>
        <w:rPr>
          <w:vertAlign w:val="baseline"/>
        </w:rPr>
        <w:t>by</w:t>
      </w:r>
      <w:r>
        <w:rPr>
          <w:spacing w:val="33"/>
          <w:vertAlign w:val="baseline"/>
        </w:rPr>
        <w:t> </w:t>
      </w:r>
      <w:r>
        <w:rPr>
          <w:vertAlign w:val="baseline"/>
        </w:rPr>
        <w:t>maximising</w:t>
      </w:r>
      <w:r>
        <w:rPr>
          <w:spacing w:val="37"/>
          <w:vertAlign w:val="baseline"/>
        </w:rPr>
        <w:t> </w:t>
      </w:r>
      <w:r>
        <w:rPr>
          <w:vertAlign w:val="baseline"/>
        </w:rPr>
        <w:t>their</w:t>
      </w:r>
      <w:r>
        <w:rPr>
          <w:spacing w:val="40"/>
          <w:vertAlign w:val="baseline"/>
        </w:rPr>
        <w:t> </w:t>
      </w:r>
      <w:r>
        <w:rPr>
          <w:vertAlign w:val="baseline"/>
        </w:rPr>
        <w:t>nominal</w:t>
      </w:r>
      <w:r>
        <w:rPr>
          <w:spacing w:val="40"/>
          <w:vertAlign w:val="baseline"/>
        </w:rPr>
        <w:t> </w:t>
      </w:r>
      <w:r>
        <w:rPr>
          <w:vertAlign w:val="baseline"/>
        </w:rPr>
        <w:t>discounted</w:t>
      </w:r>
      <w:r>
        <w:rPr>
          <w:spacing w:val="41"/>
          <w:vertAlign w:val="baseline"/>
        </w:rPr>
        <w:t> </w:t>
      </w:r>
      <w:r>
        <w:rPr>
          <w:vertAlign w:val="baseline"/>
        </w:rPr>
        <w:t>profits</w:t>
      </w:r>
    </w:p>
    <w:p>
      <w:pPr>
        <w:tabs>
          <w:tab w:pos="2379" w:val="left" w:leader="none"/>
          <w:tab w:pos="4837" w:val="left" w:leader="none"/>
        </w:tabs>
        <w:spacing w:line="0" w:lineRule="auto" w:before="0"/>
        <w:ind w:left="1623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𝑡(𝑗)</w:t>
        <w:tab/>
      </w:r>
      <w:r>
        <w:rPr>
          <w:rFonts w:ascii="Cambria Math" w:eastAsia="Cambria Math"/>
          <w:w w:val="110"/>
          <w:position w:val="1"/>
          <w:sz w:val="17"/>
        </w:rPr>
        <w:t>𝑡</w:t>
        <w:tab/>
        <w:t>𝑡</w:t>
      </w:r>
    </w:p>
    <w:p>
      <w:pPr>
        <w:pStyle w:val="BodyText"/>
        <w:spacing w:before="163"/>
        <w:ind w:left="500"/>
      </w:pPr>
      <w:r>
        <w:rPr/>
        <w:t>subject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demand</w:t>
      </w:r>
      <w:r>
        <w:rPr>
          <w:spacing w:val="-1"/>
        </w:rPr>
        <w:t> </w:t>
      </w:r>
      <w:r>
        <w:rPr/>
        <w:t>constraints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that: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tabs>
          <w:tab w:pos="8901" w:val="left" w:leader="none"/>
        </w:tabs>
        <w:spacing w:line="156" w:lineRule="exact" w:before="93"/>
        <w:ind w:left="500"/>
      </w:pPr>
      <w:r>
        <w:rPr>
          <w:rFonts w:ascii="Cambria Math" w:hAnsi="Cambria Math" w:eastAsia="Cambria Math"/>
          <w:w w:val="105"/>
        </w:rPr>
        <w:t>Max</w:t>
      </w:r>
      <w:r>
        <w:rPr>
          <w:rFonts w:ascii="Cambria Math" w:hAnsi="Cambria Math" w:eastAsia="Cambria Math"/>
          <w:spacing w:val="-3"/>
          <w:w w:val="105"/>
        </w:rPr>
        <w:t> </w:t>
      </w:r>
      <w:r>
        <w:rPr>
          <w:rFonts w:ascii="Cambria Math" w:hAnsi="Cambria Math" w:eastAsia="Cambria Math"/>
          <w:w w:val="105"/>
        </w:rPr>
        <w:t>E</w:t>
      </w:r>
      <w:r>
        <w:rPr>
          <w:rFonts w:ascii="Cambria Math" w:hAnsi="Cambria Math" w:eastAsia="Cambria Math"/>
          <w:w w:val="105"/>
          <w:vertAlign w:val="subscript"/>
        </w:rPr>
        <w:t>t</w:t>
      </w:r>
      <w:r>
        <w:rPr>
          <w:rFonts w:ascii="Cambria Math" w:hAnsi="Cambria Math" w:eastAsia="Cambria Math"/>
          <w:spacing w:val="2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position w:val="1"/>
          <w:vertAlign w:val="baseline"/>
        </w:rPr>
        <w:t>∑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∞</w:t>
      </w:r>
      <w:r>
        <w:rPr>
          <w:rFonts w:ascii="Cambria Math" w:hAnsi="Cambria Math" w:eastAsia="Cambria Math"/>
          <w:w w:val="105"/>
          <w:position w:val="1"/>
          <w:vertAlign w:val="baseline"/>
        </w:rPr>
        <w:t>   (</w:t>
      </w:r>
      <w:r>
        <w:rPr>
          <w:rFonts w:ascii="Cambria Math" w:hAnsi="Cambria Math" w:eastAsia="Cambria Math"/>
          <w:w w:val="105"/>
          <w:vertAlign w:val="baseline"/>
        </w:rPr>
        <w:t>βθ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k</w:t>
      </w:r>
      <w:r>
        <w:rPr>
          <w:rFonts w:ascii="Cambria Math" w:hAnsi="Cambria Math" w:eastAsia="Cambria Math"/>
          <w:spacing w:val="-9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E</w:t>
      </w:r>
      <w:r>
        <w:rPr>
          <w:rFonts w:ascii="Cambria Math" w:hAnsi="Cambria Math" w:eastAsia="Cambria Math"/>
          <w:w w:val="105"/>
          <w:vertAlign w:val="subscript"/>
        </w:rPr>
        <w:t>t,t+k</w:t>
      </w:r>
      <w:r>
        <w:rPr>
          <w:rFonts w:ascii="Cambria Math" w:hAnsi="Cambria Math" w:eastAsia="Cambria Math"/>
          <w:spacing w:val="-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Y</w:t>
      </w:r>
      <w:r>
        <w:rPr>
          <w:rFonts w:ascii="Cambria Math" w:hAnsi="Cambria Math" w:eastAsia="Cambria Math"/>
          <w:w w:val="105"/>
          <w:vertAlign w:val="subscript"/>
        </w:rPr>
        <w:t>t+k|t</w:t>
      </w:r>
      <w:r>
        <w:rPr>
          <w:rFonts w:ascii="Cambria Math" w:hAnsi="Cambria Math" w:eastAsia="Cambria Math"/>
          <w:spacing w:val="-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[𝑃</w:t>
      </w:r>
      <w:r>
        <w:rPr>
          <w:rFonts w:ascii="Cambria Math" w:hAnsi="Cambria Math" w:eastAsia="Cambria Math"/>
          <w:w w:val="105"/>
          <w:vertAlign w:val="superscript"/>
        </w:rPr>
        <w:t>∗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5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mc</w:t>
      </w:r>
      <w:r>
        <w:rPr>
          <w:rFonts w:ascii="Cambria Math" w:hAnsi="Cambria Math" w:eastAsia="Cambria Math"/>
          <w:w w:val="105"/>
          <w:vertAlign w:val="subscript"/>
        </w:rPr>
        <w:t>t+k|t</w:t>
      </w:r>
      <w:r>
        <w:rPr>
          <w:rFonts w:ascii="Cambria Math" w:hAnsi="Cambria Math" w:eastAsia="Cambria Math"/>
          <w:w w:val="105"/>
          <w:vertAlign w:val="baseline"/>
        </w:rPr>
        <w:t>]</w:t>
        <w:tab/>
      </w:r>
      <w:r>
        <w:rPr>
          <w:w w:val="110"/>
          <w:vertAlign w:val="baseline"/>
        </w:rPr>
        <w:t>(4.54)</w:t>
      </w:r>
    </w:p>
    <w:p>
      <w:pPr>
        <w:tabs>
          <w:tab w:pos="3743" w:val="left" w:leader="none"/>
        </w:tabs>
        <w:spacing w:line="178" w:lineRule="exact" w:before="0"/>
        <w:ind w:left="1443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k=0</w:t>
        <w:tab/>
      </w:r>
      <w:r>
        <w:rPr>
          <w:rFonts w:ascii="Cambria Math" w:eastAsia="Cambria Math"/>
          <w:w w:val="110"/>
          <w:position w:val="1"/>
          <w:sz w:val="17"/>
        </w:rPr>
        <w:t>𝑡</w:t>
      </w:r>
    </w:p>
    <w:p>
      <w:pPr>
        <w:pStyle w:val="BodyText"/>
        <w:spacing w:before="4"/>
        <w:rPr>
          <w:rFonts w:ascii="Cambria Math"/>
          <w:sz w:val="20"/>
        </w:rPr>
      </w:pPr>
    </w:p>
    <w:p>
      <w:pPr>
        <w:pStyle w:val="BodyText"/>
        <w:spacing w:before="90"/>
        <w:ind w:left="500"/>
      </w:pPr>
      <w:r>
        <w:rPr/>
        <w:t>Subject</w:t>
      </w:r>
      <w:r>
        <w:rPr>
          <w:spacing w:val="-1"/>
        </w:rPr>
        <w:t> </w:t>
      </w:r>
      <w:r>
        <w:rPr/>
        <w:t>to</w:t>
      </w:r>
    </w:p>
    <w:p>
      <w:pPr>
        <w:pStyle w:val="BodyText"/>
        <w:spacing w:before="5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spacing w:line="177" w:lineRule="exact" w:before="115"/>
        <w:ind w:left="1532" w:right="0" w:firstLine="0"/>
        <w:jc w:val="left"/>
        <w:rPr>
          <w:rFonts w:ascii="Cambria Math" w:hAnsi="Cambria Math" w:eastAsia="Cambria Math"/>
          <w:sz w:val="14"/>
        </w:rPr>
      </w:pPr>
      <w:r>
        <w:rPr/>
        <w:pict>
          <v:shape style="position:absolute;margin-left:132.860001pt;margin-top:12.620854pt;width:9.6pt;height:7pt;mso-position-horizontal-relative:page;mso-position-vertical-relative:paragraph;z-index:-21427712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4"/>
                    </w:rPr>
                  </w:pPr>
                  <w:r>
                    <w:rPr>
                      <w:rFonts w:ascii="Cambria Math" w:eastAsia="Cambria Math"/>
                      <w:w w:val="120"/>
                      <w:sz w:val="14"/>
                      <w:u w:val="single"/>
                    </w:rPr>
                    <w:t>𝑡</w:t>
                  </w:r>
                  <w:r>
                    <w:rPr>
                      <w:rFonts w:ascii="Cambria Math" w:eastAsia="Cambria Math"/>
                      <w:spacing w:val="2"/>
                      <w:sz w:val="14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99"/>
          <w:position w:val="-10"/>
          <w:sz w:val="14"/>
          <w:u w:val="single"/>
        </w:rPr>
        <w:t> </w:t>
      </w:r>
      <w:r>
        <w:rPr>
          <w:position w:val="-10"/>
          <w:sz w:val="14"/>
          <w:u w:val="single"/>
        </w:rPr>
        <w:t> </w:t>
      </w:r>
      <w:r>
        <w:rPr>
          <w:spacing w:val="-12"/>
          <w:position w:val="-10"/>
          <w:sz w:val="14"/>
          <w:u w:val="single"/>
        </w:rPr>
        <w:t> </w:t>
      </w:r>
      <w:r>
        <w:rPr>
          <w:rFonts w:ascii="Cambria Math" w:hAnsi="Cambria Math" w:eastAsia="Cambria Math"/>
          <w:position w:val="-6"/>
          <w:sz w:val="17"/>
        </w:rPr>
        <w:t>𝑃</w:t>
      </w:r>
      <w:r>
        <w:rPr>
          <w:rFonts w:ascii="Cambria Math" w:hAnsi="Cambria Math" w:eastAsia="Cambria Math"/>
          <w:sz w:val="14"/>
        </w:rPr>
        <w:t>∗</w:t>
      </w:r>
    </w:p>
    <w:p>
      <w:pPr>
        <w:tabs>
          <w:tab w:pos="1909" w:val="left" w:leader="none"/>
        </w:tabs>
        <w:spacing w:line="187" w:lineRule="exact" w:before="0"/>
        <w:ind w:left="500" w:right="0" w:firstLine="0"/>
        <w:jc w:val="left"/>
        <w:rPr>
          <w:rFonts w:ascii="Cambria Math"/>
          <w:sz w:val="24"/>
        </w:rPr>
      </w:pPr>
      <w:r>
        <w:rPr>
          <w:rFonts w:ascii="Cambria Math"/>
          <w:w w:val="105"/>
          <w:position w:val="5"/>
          <w:sz w:val="24"/>
        </w:rPr>
        <w:t>Y</w:t>
      </w:r>
      <w:r>
        <w:rPr>
          <w:rFonts w:ascii="Cambria Math"/>
          <w:w w:val="105"/>
          <w:sz w:val="17"/>
        </w:rPr>
        <w:t>t+k|t </w:t>
      </w:r>
      <w:r>
        <w:rPr>
          <w:rFonts w:ascii="Cambria Math"/>
          <w:spacing w:val="23"/>
          <w:w w:val="105"/>
          <w:sz w:val="17"/>
        </w:rPr>
        <w:t> </w:t>
      </w:r>
      <w:r>
        <w:rPr>
          <w:rFonts w:ascii="Cambria Math"/>
          <w:w w:val="105"/>
          <w:position w:val="5"/>
          <w:sz w:val="24"/>
        </w:rPr>
        <w:t>= </w:t>
      </w:r>
      <w:r>
        <w:rPr>
          <w:rFonts w:ascii="Cambria Math"/>
          <w:spacing w:val="1"/>
          <w:w w:val="105"/>
          <w:position w:val="5"/>
          <w:sz w:val="24"/>
        </w:rPr>
        <w:t> </w:t>
      </w:r>
      <w:r>
        <w:rPr>
          <w:rFonts w:ascii="Cambria Math"/>
          <w:w w:val="105"/>
          <w:position w:val="5"/>
          <w:sz w:val="24"/>
        </w:rPr>
        <w:t>[</w:t>
        <w:tab/>
      </w:r>
      <w:r>
        <w:rPr>
          <w:rFonts w:ascii="Cambria Math"/>
          <w:spacing w:val="-8"/>
          <w:w w:val="105"/>
          <w:position w:val="5"/>
          <w:sz w:val="24"/>
        </w:rPr>
        <w:t>]</w:t>
      </w:r>
    </w:p>
    <w:p>
      <w:pPr>
        <w:spacing w:line="167" w:lineRule="exact" w:before="0"/>
        <w:ind w:left="1532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4"/>
          <w:sz w:val="17"/>
        </w:rPr>
        <w:t>𝑃</w:t>
      </w:r>
      <w:r>
        <w:rPr>
          <w:rFonts w:ascii="Cambria Math" w:eastAsia="Cambria Math"/>
          <w:w w:val="110"/>
          <w:sz w:val="14"/>
        </w:rPr>
        <w:t>𝑡+𝑘</w:t>
      </w:r>
    </w:p>
    <w:p>
      <w:pPr>
        <w:spacing w:before="72"/>
        <w:ind w:left="-39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−𝗌</w:t>
      </w:r>
    </w:p>
    <w:p>
      <w:pPr>
        <w:pStyle w:val="BodyText"/>
        <w:tabs>
          <w:tab w:pos="6653" w:val="left" w:leader="none"/>
        </w:tabs>
        <w:spacing w:before="231"/>
        <w:ind w:left="10"/>
      </w:pPr>
      <w:r>
        <w:rPr/>
        <w:br w:type="column"/>
      </w:r>
      <w:r>
        <w:rPr>
          <w:rFonts w:ascii="Cambria Math" w:eastAsia="Cambria Math"/>
          <w:w w:val="105"/>
        </w:rPr>
        <w:t>𝑌</w:t>
      </w:r>
      <w:r>
        <w:rPr>
          <w:rFonts w:ascii="Cambria Math" w:eastAsia="Cambria Math"/>
          <w:w w:val="105"/>
          <w:vertAlign w:val="subscript"/>
        </w:rPr>
        <w:t>𝑡+𝑘</w:t>
      </w:r>
      <w:r>
        <w:rPr>
          <w:rFonts w:ascii="Cambria Math" w:eastAsia="Cambria Math"/>
          <w:w w:val="105"/>
          <w:vertAlign w:val="baseline"/>
        </w:rPr>
        <w:tab/>
      </w:r>
      <w:r>
        <w:rPr>
          <w:w w:val="105"/>
          <w:vertAlign w:val="baseline"/>
        </w:rPr>
        <w:t>(4.55)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3" w:equalWidth="0">
            <w:col w:w="1997" w:space="40"/>
            <w:col w:w="172" w:space="39"/>
            <w:col w:w="8112"/>
          </w:cols>
        </w:sect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360" w:lineRule="auto" w:before="90"/>
        <w:ind w:left="500" w:right="956"/>
      </w:pPr>
      <w:r>
        <w:rPr/>
        <w:t>Following several algebraic manipulations as reserved in Appendix eight, the optimisation</w:t>
      </w:r>
      <w:r>
        <w:rPr>
          <w:spacing w:val="1"/>
        </w:rPr>
        <w:t> </w:t>
      </w:r>
      <w:r>
        <w:rPr/>
        <w:t>problem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equations</w:t>
      </w:r>
      <w:r>
        <w:rPr>
          <w:spacing w:val="-1"/>
        </w:rPr>
        <w:t> </w:t>
      </w:r>
      <w:r>
        <w:rPr/>
        <w:t>(4.54)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(4.55)</w:t>
      </w:r>
      <w:r>
        <w:rPr>
          <w:spacing w:val="2"/>
        </w:rPr>
        <w:t> </w:t>
      </w:r>
      <w:r>
        <w:rPr/>
        <w:t>yields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optimal</w:t>
      </w:r>
      <w:r>
        <w:rPr>
          <w:spacing w:val="-1"/>
        </w:rPr>
        <w:t> </w:t>
      </w:r>
      <w:r>
        <w:rPr/>
        <w:t>pricing</w:t>
      </w:r>
      <w:r>
        <w:rPr>
          <w:spacing w:val="-2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resetting</w:t>
      </w:r>
      <w:r>
        <w:rPr>
          <w:spacing w:val="-57"/>
        </w:rPr>
        <w:t> </w:t>
      </w:r>
      <w:r>
        <w:rPr/>
        <w:t>firm</w:t>
      </w:r>
      <w:r>
        <w:rPr>
          <w:spacing w:val="-1"/>
        </w:rPr>
        <w:t> </w:t>
      </w:r>
      <w:r>
        <w:rPr/>
        <w:t>such that:</w:t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tabs>
          <w:tab w:pos="8901" w:val="left" w:leader="none"/>
        </w:tabs>
        <w:spacing w:line="156" w:lineRule="exact" w:before="93"/>
        <w:ind w:left="500"/>
      </w:pPr>
      <w:r>
        <w:rPr>
          <w:rFonts w:ascii="Cambria Math" w:hAnsi="Cambria Math" w:eastAsia="Cambria Math"/>
          <w:w w:val="105"/>
        </w:rPr>
        <w:t>𝑝</w:t>
      </w:r>
      <w:r>
        <w:rPr>
          <w:rFonts w:ascii="Cambria Math" w:hAnsi="Cambria Math" w:eastAsia="Cambria Math"/>
          <w:w w:val="105"/>
          <w:vertAlign w:val="superscript"/>
        </w:rPr>
        <w:t>∗</w:t>
      </w:r>
      <w:r>
        <w:rPr>
          <w:rFonts w:ascii="Cambria Math" w:hAnsi="Cambria Math" w:eastAsia="Cambria Math"/>
          <w:spacing w:val="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𝑝</w:t>
      </w:r>
      <w:r>
        <w:rPr>
          <w:rFonts w:ascii="Cambria Math" w:hAnsi="Cambria Math" w:eastAsia="Cambria Math"/>
          <w:w w:val="105"/>
          <w:vertAlign w:val="subscript"/>
        </w:rPr>
        <w:t>𝑡−1</w:t>
      </w:r>
      <w:r>
        <w:rPr>
          <w:rFonts w:ascii="Cambria Math" w:hAnsi="Cambria Math" w:eastAsia="Cambria Math"/>
          <w:spacing w:val="1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</w:t>
      </w:r>
      <w:r>
        <w:rPr>
          <w:rFonts w:ascii="Cambria Math" w:hAnsi="Cambria Math" w:eastAsia="Cambria Math"/>
          <w:spacing w:val="-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βθ</w:t>
      </w:r>
      <w:r>
        <w:rPr>
          <w:rFonts w:ascii="Cambria Math" w:hAnsi="Cambria Math" w:eastAsia="Cambria Math"/>
          <w:spacing w:val="3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position w:val="1"/>
          <w:vertAlign w:val="baseline"/>
        </w:rPr>
        <w:t>∑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∞</w:t>
      </w:r>
      <w:r>
        <w:rPr>
          <w:rFonts w:ascii="Cambria Math" w:hAnsi="Cambria Math" w:eastAsia="Cambria Math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spacing w:val="41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w w:val="105"/>
          <w:vertAlign w:val="baseline"/>
        </w:rPr>
        <w:t>βθ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k</w:t>
      </w:r>
      <w:r>
        <w:rPr>
          <w:rFonts w:ascii="Cambria Math" w:hAnsi="Cambria Math" w:eastAsia="Cambria Math"/>
          <w:spacing w:val="-13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E</w:t>
      </w:r>
      <w:r>
        <w:rPr>
          <w:rFonts w:ascii="Cambria Math" w:hAnsi="Cambria Math" w:eastAsia="Cambria Math"/>
          <w:w w:val="105"/>
          <w:vertAlign w:val="subscript"/>
        </w:rPr>
        <w:t>t</w:t>
      </w:r>
      <w:r>
        <w:rPr>
          <w:rFonts w:ascii="Cambria Math" w:hAnsi="Cambria Math" w:eastAsia="Cambria Math"/>
          <w:spacing w:val="2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[m̂c</w:t>
      </w:r>
      <w:r>
        <w:rPr>
          <w:rFonts w:ascii="Cambria Math" w:hAnsi="Cambria Math" w:eastAsia="Cambria Math"/>
          <w:w w:val="105"/>
          <w:vertAlign w:val="subscript"/>
        </w:rPr>
        <w:t>t+k|t</w:t>
      </w:r>
      <w:r>
        <w:rPr>
          <w:rFonts w:ascii="Cambria Math" w:hAnsi="Cambria Math" w:eastAsia="Cambria Math"/>
          <w:w w:val="105"/>
          <w:vertAlign w:val="baseline"/>
        </w:rPr>
        <w:t> +</w:t>
      </w:r>
      <w:r>
        <w:rPr>
          <w:rFonts w:ascii="Cambria Math" w:hAnsi="Cambria Math" w:eastAsia="Cambria Math"/>
          <w:spacing w:val="-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𝑝</w:t>
      </w:r>
      <w:r>
        <w:rPr>
          <w:rFonts w:ascii="Cambria Math" w:hAnsi="Cambria Math" w:eastAsia="Cambria Math"/>
          <w:w w:val="105"/>
          <w:vertAlign w:val="subscript"/>
        </w:rPr>
        <w:t>𝑡+𝑘</w:t>
      </w:r>
      <w:r>
        <w:rPr>
          <w:rFonts w:ascii="Cambria Math" w:hAnsi="Cambria Math" w:eastAsia="Cambria Math"/>
          <w:spacing w:val="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𝑝</w:t>
      </w:r>
      <w:r>
        <w:rPr>
          <w:rFonts w:ascii="Cambria Math" w:hAnsi="Cambria Math" w:eastAsia="Cambria Math"/>
          <w:w w:val="105"/>
          <w:vertAlign w:val="subscript"/>
        </w:rPr>
        <w:t>𝑡−1</w:t>
      </w:r>
      <w:r>
        <w:rPr>
          <w:rFonts w:ascii="Cambria Math" w:hAnsi="Cambria Math" w:eastAsia="Cambria Math"/>
          <w:w w:val="105"/>
          <w:vertAlign w:val="baseline"/>
        </w:rPr>
        <w:t>]</w:t>
        <w:tab/>
      </w:r>
      <w:r>
        <w:rPr>
          <w:w w:val="105"/>
          <w:vertAlign w:val="baseline"/>
        </w:rPr>
        <w:t>(4.56)</w:t>
      </w:r>
    </w:p>
    <w:p>
      <w:pPr>
        <w:tabs>
          <w:tab w:pos="2715" w:val="left" w:leader="none"/>
        </w:tabs>
        <w:spacing w:line="178" w:lineRule="exact" w:before="0"/>
        <w:ind w:left="627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1"/>
          <w:sz w:val="17"/>
        </w:rPr>
        <w:t>𝑡</w:t>
        <w:tab/>
      </w:r>
      <w:r>
        <w:rPr>
          <w:rFonts w:ascii="Cambria Math" w:eastAsia="Cambria Math"/>
          <w:w w:val="110"/>
          <w:sz w:val="17"/>
        </w:rPr>
        <w:t>k=0</w:t>
      </w:r>
    </w:p>
    <w:p>
      <w:pPr>
        <w:pStyle w:val="BodyText"/>
        <w:spacing w:before="11"/>
        <w:rPr>
          <w:rFonts w:ascii="Cambria Math"/>
          <w:sz w:val="20"/>
        </w:rPr>
      </w:pPr>
    </w:p>
    <w:p>
      <w:pPr>
        <w:pStyle w:val="BodyText"/>
        <w:spacing w:before="86"/>
        <w:ind w:left="500"/>
        <w:rPr>
          <w:rFonts w:ascii="Cambria Math" w:hAnsi="Cambria Math"/>
        </w:rPr>
      </w:pPr>
      <w:r>
        <w:rPr>
          <w:spacing w:val="-1"/>
          <w:w w:val="105"/>
        </w:rPr>
        <w:t>Where</w:t>
      </w:r>
      <w:r>
        <w:rPr>
          <w:spacing w:val="-15"/>
          <w:w w:val="105"/>
        </w:rPr>
        <w:t> </w:t>
      </w:r>
      <w:r>
        <w:rPr>
          <w:rFonts w:ascii="Cambria Math" w:hAnsi="Cambria Math"/>
          <w:spacing w:val="-1"/>
          <w:w w:val="105"/>
        </w:rPr>
        <w:t>m̂c</w:t>
      </w:r>
      <w:r>
        <w:rPr>
          <w:rFonts w:ascii="Cambria Math" w:hAnsi="Cambria Math"/>
          <w:spacing w:val="-1"/>
          <w:w w:val="105"/>
          <w:vertAlign w:val="subscript"/>
        </w:rPr>
        <w:t>t+k|t</w:t>
      </w:r>
      <w:r>
        <w:rPr>
          <w:rFonts w:ascii="Cambria Math" w:hAnsi="Cambria Math"/>
          <w:spacing w:val="9"/>
          <w:w w:val="105"/>
          <w:vertAlign w:val="baseline"/>
        </w:rPr>
        <w:t> </w:t>
      </w:r>
      <w:r>
        <w:rPr>
          <w:rFonts w:ascii="Cambria Math" w:hAnsi="Cambria Math"/>
          <w:spacing w:val="-1"/>
          <w:w w:val="105"/>
          <w:vertAlign w:val="baseline"/>
        </w:rPr>
        <w:t>=</w:t>
      </w:r>
      <w:r>
        <w:rPr>
          <w:rFonts w:ascii="Cambria Math" w:hAnsi="Cambria Math"/>
          <w:spacing w:val="43"/>
          <w:w w:val="105"/>
          <w:vertAlign w:val="baseline"/>
        </w:rPr>
        <w:t> </w:t>
      </w:r>
      <w:r>
        <w:rPr>
          <w:rFonts w:ascii="Cambria Math" w:hAnsi="Cambria Math"/>
          <w:spacing w:val="-1"/>
          <w:w w:val="105"/>
          <w:vertAlign w:val="baseline"/>
        </w:rPr>
        <w:t>mc</w:t>
      </w:r>
      <w:r>
        <w:rPr>
          <w:rFonts w:ascii="Cambria Math" w:hAnsi="Cambria Math"/>
          <w:spacing w:val="-1"/>
          <w:w w:val="105"/>
          <w:vertAlign w:val="subscript"/>
        </w:rPr>
        <w:t>t+k|t</w:t>
      </w:r>
      <w:r>
        <w:rPr>
          <w:rFonts w:ascii="Cambria Math" w:hAnsi="Cambria Math"/>
          <w:spacing w:val="-3"/>
          <w:w w:val="105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−</w:t>
      </w:r>
      <w:r>
        <w:rPr>
          <w:rFonts w:ascii="Cambria Math" w:hAnsi="Cambria Math"/>
          <w:spacing w:val="-11"/>
          <w:w w:val="105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mc</w:t>
      </w:r>
    </w:p>
    <w:p>
      <w:pPr>
        <w:spacing w:after="0"/>
        <w:rPr>
          <w:rFonts w:ascii="Cambria Math" w:hAnsi="Cambria Math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74"/>
        <w:ind w:left="500"/>
      </w:pPr>
      <w:r>
        <w:rPr/>
        <w:t>Equation</w:t>
      </w:r>
      <w:r>
        <w:rPr>
          <w:spacing w:val="-2"/>
        </w:rPr>
        <w:t> </w:t>
      </w:r>
      <w:r>
        <w:rPr/>
        <w:t>(4.56)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re-arranged</w:t>
      </w:r>
      <w:r>
        <w:rPr>
          <w:spacing w:val="-1"/>
        </w:rPr>
        <w:t> </w:t>
      </w:r>
      <w:r>
        <w:rPr/>
        <w:t>and re-written as: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tabs>
          <w:tab w:pos="8121" w:val="left" w:leader="none"/>
        </w:tabs>
        <w:spacing w:line="156" w:lineRule="exact" w:before="93"/>
        <w:ind w:left="500"/>
      </w:pPr>
      <w:r>
        <w:rPr>
          <w:rFonts w:ascii="Cambria Math" w:hAnsi="Cambria Math" w:eastAsia="Cambria Math"/>
        </w:rPr>
        <w:t>𝑝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spacing w:val="3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𝜇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(1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βθ)</w:t>
      </w:r>
      <w:r>
        <w:rPr>
          <w:rFonts w:ascii="Cambria Math" w:hAnsi="Cambria Math" w:eastAsia="Cambria Math"/>
          <w:spacing w:val="-7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∑</w:t>
      </w:r>
      <w:r>
        <w:rPr>
          <w:rFonts w:ascii="Cambria Math" w:hAnsi="Cambria Math" w:eastAsia="Cambria Math"/>
          <w:position w:val="1"/>
          <w:vertAlign w:val="superscript"/>
        </w:rPr>
        <w:t>∞</w:t>
      </w:r>
      <w:r>
        <w:rPr>
          <w:rFonts w:ascii="Cambria Math" w:hAnsi="Cambria Math" w:eastAsia="Cambria Math"/>
          <w:position w:val="1"/>
          <w:vertAlign w:val="baseline"/>
        </w:rPr>
        <w:t>  </w:t>
      </w:r>
      <w:r>
        <w:rPr>
          <w:rFonts w:ascii="Cambria Math" w:hAnsi="Cambria Math" w:eastAsia="Cambria Math"/>
          <w:spacing w:val="31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βθ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position w:val="1"/>
          <w:vertAlign w:val="superscript"/>
        </w:rPr>
        <w:t>k</w:t>
      </w:r>
      <w:r>
        <w:rPr>
          <w:rFonts w:ascii="Cambria Math" w:hAnsi="Cambria Math" w:eastAsia="Cambria Math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E</w:t>
      </w:r>
      <w:r>
        <w:rPr>
          <w:rFonts w:ascii="Cambria Math" w:hAnsi="Cambria Math" w:eastAsia="Cambria Math"/>
          <w:vertAlign w:val="subscript"/>
        </w:rPr>
        <w:t>t</w:t>
      </w:r>
      <w:r>
        <w:rPr>
          <w:rFonts w:ascii="Cambria Math" w:hAnsi="Cambria Math" w:eastAsia="Cambria Math"/>
          <w:spacing w:val="4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[mc</w:t>
      </w:r>
      <w:r>
        <w:rPr>
          <w:rFonts w:ascii="Cambria Math" w:hAnsi="Cambria Math" w:eastAsia="Cambria Math"/>
          <w:vertAlign w:val="subscript"/>
        </w:rPr>
        <w:t>t+k|t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𝑝</w:t>
      </w:r>
      <w:r>
        <w:rPr>
          <w:rFonts w:ascii="Cambria Math" w:hAnsi="Cambria Math" w:eastAsia="Cambria Math"/>
          <w:vertAlign w:val="subscript"/>
        </w:rPr>
        <w:t>𝑡+𝑘</w:t>
      </w:r>
      <w:r>
        <w:rPr>
          <w:rFonts w:ascii="Cambria Math" w:hAnsi="Cambria Math" w:eastAsia="Cambria Math"/>
          <w:vertAlign w:val="baseline"/>
        </w:rPr>
        <w:t>]</w:t>
        <w:tab/>
      </w:r>
      <w:r>
        <w:rPr>
          <w:w w:val="105"/>
          <w:vertAlign w:val="baseline"/>
        </w:rPr>
        <w:t>(4.57)</w:t>
      </w:r>
    </w:p>
    <w:p>
      <w:pPr>
        <w:tabs>
          <w:tab w:pos="2561" w:val="left" w:leader="none"/>
        </w:tabs>
        <w:spacing w:line="178" w:lineRule="exact" w:before="0"/>
        <w:ind w:left="627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1"/>
          <w:sz w:val="17"/>
        </w:rPr>
        <w:t>𝑡</w:t>
        <w:tab/>
      </w:r>
      <w:r>
        <w:rPr>
          <w:rFonts w:ascii="Cambria Math" w:eastAsia="Cambria Math"/>
          <w:w w:val="110"/>
          <w:sz w:val="17"/>
        </w:rPr>
        <w:t>k=0</w:t>
      </w:r>
    </w:p>
    <w:p>
      <w:pPr>
        <w:pStyle w:val="BodyText"/>
        <w:spacing w:before="4"/>
        <w:rPr>
          <w:rFonts w:ascii="Cambria Math"/>
          <w:sz w:val="20"/>
        </w:rPr>
      </w:pPr>
    </w:p>
    <w:p>
      <w:pPr>
        <w:pStyle w:val="BodyText"/>
        <w:spacing w:before="90"/>
        <w:ind w:left="500"/>
      </w:pPr>
      <w:r>
        <w:rPr/>
        <w:t>Where,</w:t>
      </w: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rPr>
          <w:sz w:val="21"/>
        </w:rPr>
      </w:pPr>
    </w:p>
    <w:p>
      <w:pPr>
        <w:pStyle w:val="BodyText"/>
        <w:jc w:val="right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𝜇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1"/>
        </w:rPr>
        <w:t> </w:t>
      </w:r>
      <w:r>
        <w:rPr>
          <w:rFonts w:ascii="Cambria Math" w:hAnsi="Cambria Math" w:eastAsia="Cambria Math"/>
        </w:rPr>
        <w:t>−𝑚𝑐</w:t>
      </w:r>
      <w:r>
        <w:rPr>
          <w:rFonts w:ascii="Cambria Math" w:hAnsi="Cambria Math" w:eastAsia="Cambria Math"/>
          <w:spacing w:val="21"/>
        </w:rPr>
        <w:t> </w:t>
      </w:r>
      <w:r>
        <w:rPr>
          <w:rFonts w:ascii="Cambria Math" w:hAnsi="Cambria Math" w:eastAsia="Cambria Math"/>
        </w:rPr>
        <w:t>≡</w:t>
      </w:r>
      <w:r>
        <w:rPr>
          <w:rFonts w:ascii="Cambria Math" w:hAnsi="Cambria Math" w:eastAsia="Cambria Math"/>
          <w:spacing w:val="11"/>
        </w:rPr>
        <w:t> </w:t>
      </w:r>
      <w:r>
        <w:rPr>
          <w:rFonts w:ascii="Cambria Math" w:hAnsi="Cambria Math" w:eastAsia="Cambria Math"/>
        </w:rPr>
        <w:t>log</w:t>
      </w:r>
    </w:p>
    <w:p>
      <w:pPr>
        <w:spacing w:before="59"/>
        <w:ind w:left="190" w:right="4301" w:firstLine="0"/>
        <w:jc w:val="center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sz w:val="24"/>
        </w:rPr>
        <w:t>𝜀</w:t>
      </w:r>
    </w:p>
    <w:p>
      <w:pPr>
        <w:pStyle w:val="BodyText"/>
        <w:spacing w:before="6"/>
        <w:rPr>
          <w:rFonts w:ascii="Cambria Math"/>
          <w:sz w:val="4"/>
        </w:rPr>
      </w:pPr>
    </w:p>
    <w:p>
      <w:pPr>
        <w:pStyle w:val="BodyText"/>
        <w:spacing w:line="20" w:lineRule="exact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6.8pt;height:.85pt;mso-position-horizontal-relative:char;mso-position-vertical-relative:line" coordorigin="0,0" coordsize="536,17">
            <v:rect style="position:absolute;left:0;top:0;width:536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right="4102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𝜀 −</w:t>
      </w:r>
      <w:r>
        <w:rPr>
          <w:rFonts w:ascii="Cambria Math" w:hAnsi="Cambria Math" w:eastAsia="Cambria Math"/>
          <w:spacing w:val="-6"/>
        </w:rPr>
        <w:t> </w:t>
      </w:r>
      <w:r>
        <w:rPr>
          <w:rFonts w:ascii="Cambria Math" w:hAnsi="Cambria Math" w:eastAsia="Cambria Math"/>
        </w:rPr>
        <w:t>1</w:t>
      </w:r>
    </w:p>
    <w:p>
      <w:pPr>
        <w:spacing w:after="0"/>
        <w:jc w:val="center"/>
        <w:rPr>
          <w:rFonts w:ascii="Cambria Math" w:hAnsi="Cambria Math" w:eastAsia="Cambria Math"/>
        </w:rPr>
        <w:sectPr>
          <w:type w:val="continuous"/>
          <w:pgSz w:w="12240" w:h="15840"/>
          <w:pgMar w:top="1500" w:bottom="1120" w:left="940" w:right="940"/>
          <w:cols w:num="2" w:equalWidth="0">
            <w:col w:w="5679" w:space="40"/>
            <w:col w:w="4641"/>
          </w:cols>
        </w:sectPr>
      </w:pPr>
    </w:p>
    <w:p>
      <w:pPr>
        <w:pStyle w:val="BodyText"/>
        <w:spacing w:before="10"/>
        <w:rPr>
          <w:rFonts w:ascii="Cambria Math"/>
          <w:sz w:val="15"/>
        </w:rPr>
      </w:pPr>
    </w:p>
    <w:p>
      <w:pPr>
        <w:pStyle w:val="BodyText"/>
        <w:spacing w:line="360" w:lineRule="auto" w:before="90"/>
        <w:ind w:left="500" w:right="749"/>
      </w:pPr>
      <w:r>
        <w:rPr/>
        <w:t>From equation (4.57), it can be deduced that firms set a price according to the desired mark-up</w:t>
      </w:r>
      <w:r>
        <w:rPr>
          <w:spacing w:val="-58"/>
        </w:rPr>
        <w:t> </w:t>
      </w:r>
      <w:r>
        <w:rPr/>
        <w:t>over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weighted average</w:t>
      </w:r>
      <w:r>
        <w:rPr>
          <w:spacing w:val="1"/>
        </w:rPr>
        <w:t> </w:t>
      </w:r>
      <w:r>
        <w:rPr/>
        <w:t>of expected marginal cost</w:t>
      </w:r>
    </w:p>
    <w:p>
      <w:pPr>
        <w:pStyle w:val="Heading1"/>
        <w:numPr>
          <w:ilvl w:val="0"/>
          <w:numId w:val="24"/>
        </w:numPr>
        <w:tabs>
          <w:tab w:pos="1085" w:val="left" w:leader="none"/>
        </w:tabs>
        <w:spacing w:line="240" w:lineRule="auto" w:before="208" w:after="0"/>
        <w:ind w:left="1084" w:right="0" w:hanging="520"/>
        <w:jc w:val="left"/>
      </w:pPr>
      <w:r>
        <w:rPr/>
        <w:t>Rest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World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360" w:lineRule="auto"/>
        <w:ind w:left="500" w:right="496"/>
        <w:jc w:val="both"/>
      </w:pPr>
      <w:r>
        <w:rPr/>
        <w:t>It is assumed that the world economy consists of a continuum of countries. Each economy is a</w:t>
      </w:r>
      <w:r>
        <w:rPr>
          <w:spacing w:val="1"/>
        </w:rPr>
        <w:t> </w:t>
      </w:r>
      <w:r>
        <w:rPr/>
        <w:t>small open one and its decisions have no significant international impact. The rest of the world is</w:t>
      </w:r>
      <w:r>
        <w:rPr>
          <w:spacing w:val="-57"/>
        </w:rPr>
        <w:t> </w:t>
      </w:r>
      <w:r>
        <w:rPr/>
        <w:t>assumed to be a closed economy where domestic goods represent a negligible fraction of the</w:t>
      </w:r>
      <w:r>
        <w:rPr>
          <w:spacing w:val="1"/>
        </w:rPr>
        <w:t> </w:t>
      </w:r>
      <w:r>
        <w:rPr/>
        <w:t>world's consumption. It is also assumed that there are identical preferences across the households</w:t>
      </w:r>
      <w:r>
        <w:rPr>
          <w:spacing w:val="-57"/>
        </w:rPr>
        <w:t> </w:t>
      </w:r>
      <w:r>
        <w:rPr/>
        <w:t>in</w:t>
      </w:r>
      <w:r>
        <w:rPr>
          <w:spacing w:val="-5"/>
        </w:rPr>
        <w:t> </w:t>
      </w:r>
      <w:r>
        <w:rPr/>
        <w:t>both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domestic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foreign</w:t>
      </w:r>
      <w:r>
        <w:rPr>
          <w:spacing w:val="-5"/>
        </w:rPr>
        <w:t> </w:t>
      </w:r>
      <w:r>
        <w:rPr/>
        <w:t>economies.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open</w:t>
      </w:r>
      <w:r>
        <w:rPr>
          <w:spacing w:val="-5"/>
        </w:rPr>
        <w:t> </w:t>
      </w:r>
      <w:r>
        <w:rPr/>
        <w:t>economy</w:t>
      </w:r>
      <w:r>
        <w:rPr>
          <w:spacing w:val="-8"/>
        </w:rPr>
        <w:t> </w:t>
      </w:r>
      <w:r>
        <w:rPr/>
        <w:t>relationship</w:t>
      </w:r>
      <w:r>
        <w:rPr>
          <w:spacing w:val="-5"/>
        </w:rPr>
        <w:t> </w:t>
      </w:r>
      <w:r>
        <w:rPr/>
        <w:t>between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terms</w:t>
      </w:r>
      <w:r>
        <w:rPr>
          <w:spacing w:val="-5"/>
        </w:rPr>
        <w:t> </w:t>
      </w:r>
      <w:r>
        <w:rPr/>
        <w:t>of</w:t>
      </w:r>
      <w:r>
        <w:rPr>
          <w:spacing w:val="-57"/>
        </w:rPr>
        <w:t> </w:t>
      </w:r>
      <w:r>
        <w:rPr/>
        <w:t>trade, consumer price index inflation, the real exchange, international risk sharing and uncovered</w:t>
      </w:r>
      <w:r>
        <w:rPr>
          <w:spacing w:val="-57"/>
        </w:rPr>
        <w:t> </w:t>
      </w:r>
      <w:r>
        <w:rPr>
          <w:spacing w:val="-1"/>
        </w:rPr>
        <w:t>interest</w:t>
      </w:r>
      <w:r>
        <w:rPr>
          <w:spacing w:val="-9"/>
        </w:rPr>
        <w:t> </w:t>
      </w:r>
      <w:r>
        <w:rPr/>
        <w:t>parity</w:t>
      </w:r>
      <w:r>
        <w:rPr>
          <w:spacing w:val="-15"/>
        </w:rPr>
        <w:t> </w:t>
      </w:r>
      <w:r>
        <w:rPr/>
        <w:t>is</w:t>
      </w:r>
      <w:r>
        <w:rPr>
          <w:spacing w:val="-6"/>
        </w:rPr>
        <w:t> </w:t>
      </w:r>
      <w:r>
        <w:rPr/>
        <w:t>derived.</w:t>
      </w:r>
      <w:r>
        <w:rPr>
          <w:spacing w:val="-6"/>
        </w:rPr>
        <w:t> </w:t>
      </w:r>
      <w:r>
        <w:rPr/>
        <w:t>This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obtain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open</w:t>
      </w:r>
      <w:r>
        <w:rPr>
          <w:spacing w:val="-7"/>
        </w:rPr>
        <w:t> </w:t>
      </w:r>
      <w:r>
        <w:rPr/>
        <w:t>economy</w:t>
      </w:r>
      <w:r>
        <w:rPr>
          <w:spacing w:val="-15"/>
        </w:rPr>
        <w:t> </w:t>
      </w:r>
      <w:r>
        <w:rPr/>
        <w:t>relations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is</w:t>
      </w:r>
      <w:r>
        <w:rPr>
          <w:spacing w:val="-7"/>
        </w:rPr>
        <w:t> </w:t>
      </w:r>
      <w:r>
        <w:rPr/>
        <w:t>needful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subsequent</w:t>
      </w:r>
      <w:r>
        <w:rPr>
          <w:spacing w:val="-58"/>
        </w:rPr>
        <w:t> </w:t>
      </w:r>
      <w:r>
        <w:rPr/>
        <w:t>derivation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open</w:t>
      </w:r>
      <w:r>
        <w:rPr>
          <w:spacing w:val="-2"/>
        </w:rPr>
        <w:t> </w:t>
      </w:r>
      <w:r>
        <w:rPr/>
        <w:t>economy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curve,</w:t>
      </w:r>
      <w:r>
        <w:rPr>
          <w:spacing w:val="-1"/>
        </w:rPr>
        <w:t> </w:t>
      </w:r>
      <w:r>
        <w:rPr/>
        <w:t>Philips</w:t>
      </w:r>
      <w:r>
        <w:rPr>
          <w:spacing w:val="-4"/>
        </w:rPr>
        <w:t> </w:t>
      </w:r>
      <w:r>
        <w:rPr/>
        <w:t>curve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the goods</w:t>
      </w:r>
      <w:r>
        <w:rPr>
          <w:spacing w:val="-2"/>
        </w:rPr>
        <w:t> </w:t>
      </w:r>
      <w:r>
        <w:rPr/>
        <w:t>market</w:t>
      </w:r>
      <w:r>
        <w:rPr>
          <w:spacing w:val="-1"/>
        </w:rPr>
        <w:t> </w:t>
      </w:r>
      <w:r>
        <w:rPr/>
        <w:t>clearing</w:t>
      </w:r>
      <w:r>
        <w:rPr>
          <w:spacing w:val="-4"/>
        </w:rPr>
        <w:t> </w:t>
      </w:r>
      <w:r>
        <w:rPr/>
        <w:t>conditions.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1"/>
      </w:pPr>
      <w:r>
        <w:rPr/>
        <w:t>The</w:t>
      </w:r>
      <w:r>
        <w:rPr>
          <w:spacing w:val="-3"/>
        </w:rPr>
        <w:t> </w:t>
      </w:r>
      <w:r>
        <w:rPr/>
        <w:t>Law</w:t>
      </w:r>
      <w:r>
        <w:rPr>
          <w:spacing w:val="3"/>
        </w:rPr>
        <w:t> </w:t>
      </w:r>
      <w:r>
        <w:rPr/>
        <w:t>of</w:t>
      </w:r>
      <w:r>
        <w:rPr>
          <w:spacing w:val="-3"/>
        </w:rPr>
        <w:t> </w:t>
      </w:r>
      <w:r>
        <w:rPr/>
        <w:t>One</w:t>
      </w:r>
      <w:r>
        <w:rPr>
          <w:spacing w:val="-2"/>
        </w:rPr>
        <w:t> </w:t>
      </w:r>
      <w:r>
        <w:rPr/>
        <w:t>Price (LOP)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360" w:lineRule="auto" w:before="1"/>
        <w:ind w:left="500" w:right="507"/>
        <w:jc w:val="both"/>
      </w:pPr>
      <w:r>
        <w:rPr/>
        <w:t>It is assumed that there is complete asset market, with zero arbitrage in the international market.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law</w:t>
      </w:r>
      <w:r>
        <w:rPr>
          <w:spacing w:val="-1"/>
        </w:rPr>
        <w:t> </w:t>
      </w:r>
      <w:r>
        <w:rPr/>
        <w:t>of one</w:t>
      </w:r>
      <w:r>
        <w:rPr>
          <w:spacing w:val="-1"/>
        </w:rPr>
        <w:t> </w:t>
      </w:r>
      <w:r>
        <w:rPr/>
        <w:t>price</w:t>
      </w:r>
      <w:r>
        <w:rPr>
          <w:spacing w:val="-1"/>
        </w:rPr>
        <w:t> </w:t>
      </w:r>
      <w:r>
        <w:rPr/>
        <w:t>holds such that:</w:t>
      </w:r>
    </w:p>
    <w:p>
      <w:pPr>
        <w:spacing w:after="0" w:line="360" w:lineRule="auto"/>
        <w:jc w:val="both"/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11"/>
      </w:pPr>
    </w:p>
    <w:p>
      <w:pPr>
        <w:pStyle w:val="BodyText"/>
        <w:ind w:left="50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spacing w:val="-5"/>
          <w:w w:val="105"/>
        </w:rPr>
        <w:t>Ψ</w:t>
      </w:r>
      <w:r>
        <w:rPr>
          <w:rFonts w:ascii="Cambria Math" w:hAnsi="Cambria Math" w:eastAsia="Cambria Math"/>
          <w:spacing w:val="-5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-3"/>
          <w:w w:val="105"/>
          <w:vertAlign w:val="baseline"/>
        </w:rPr>
        <w:t> </w:t>
      </w:r>
      <w:r>
        <w:rPr>
          <w:rFonts w:ascii="Cambria Math" w:hAnsi="Cambria Math" w:eastAsia="Cambria Math"/>
          <w:spacing w:val="-4"/>
          <w:w w:val="105"/>
          <w:vertAlign w:val="baseline"/>
        </w:rPr>
        <w:t>=</w:t>
      </w:r>
    </w:p>
    <w:p>
      <w:pPr>
        <w:spacing w:before="170"/>
        <w:ind w:left="80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w w:val="110"/>
          <w:sz w:val="17"/>
        </w:rPr>
        <w:t>𝗌</w:t>
      </w:r>
      <w:r>
        <w:rPr>
          <w:rFonts w:ascii="Cambria Math" w:hAnsi="Cambria Math" w:eastAsia="Cambria Math"/>
          <w:w w:val="110"/>
          <w:position w:val="-2"/>
          <w:sz w:val="14"/>
        </w:rPr>
        <w:t>𝑡</w:t>
      </w:r>
      <w:r>
        <w:rPr>
          <w:rFonts w:ascii="Cambria Math" w:hAnsi="Cambria Math" w:eastAsia="Cambria Math"/>
          <w:w w:val="110"/>
          <w:sz w:val="17"/>
        </w:rPr>
        <w:t>𝑃</w:t>
      </w:r>
      <w:r>
        <w:rPr>
          <w:rFonts w:ascii="Cambria Math" w:hAnsi="Cambria Math" w:eastAsia="Cambria Math"/>
          <w:w w:val="110"/>
          <w:position w:val="7"/>
          <w:sz w:val="14"/>
        </w:rPr>
        <w:t>∗</w:t>
      </w:r>
    </w:p>
    <w:p>
      <w:pPr>
        <w:pStyle w:val="BodyText"/>
        <w:spacing w:line="20" w:lineRule="exact"/>
        <w:ind w:left="80" w:right="-44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7.4pt;height:.85pt;mso-position-horizontal-relative:char;mso-position-vertical-relative:line" coordorigin="0,0" coordsize="348,17">
            <v:rect style="position:absolute;left:0;top:0;width:348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23"/>
        <w:ind w:left="99" w:right="0" w:firstLine="0"/>
        <w:jc w:val="left"/>
        <w:rPr>
          <w:rFonts w:ascii="Cambria Math" w:eastAsia="Cambria Math"/>
          <w:sz w:val="14"/>
        </w:rPr>
      </w:pPr>
      <w:r>
        <w:rPr/>
        <w:pict>
          <v:shape style="position:absolute;margin-left:115.699997pt;margin-top:-7.323844pt;width:3.3pt;height:7pt;mso-position-horizontal-relative:page;mso-position-vertical-relative:paragraph;z-index:-21426176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4"/>
                    </w:rPr>
                  </w:pPr>
                  <w:r>
                    <w:rPr>
                      <w:rFonts w:ascii="Cambria Math" w:eastAsia="Cambria Math"/>
                      <w:w w:val="115"/>
                      <w:sz w:val="14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10"/>
          <w:position w:val="3"/>
          <w:sz w:val="17"/>
        </w:rPr>
        <w:t>𝑃</w:t>
      </w:r>
      <w:r>
        <w:rPr>
          <w:rFonts w:ascii="Cambria Math" w:eastAsia="Cambria Math"/>
          <w:w w:val="110"/>
          <w:sz w:val="14"/>
        </w:rPr>
        <w:t>𝐹,𝑡</w:t>
      </w:r>
    </w:p>
    <w:p>
      <w:pPr>
        <w:pStyle w:val="BodyText"/>
        <w:spacing w:before="9"/>
        <w:rPr>
          <w:rFonts w:ascii="Cambria Math"/>
        </w:rPr>
      </w:pPr>
      <w:r>
        <w:rPr/>
        <w:br w:type="column"/>
      </w:r>
      <w:r>
        <w:rPr>
          <w:rFonts w:ascii="Cambria Math"/>
        </w:rPr>
      </w:r>
    </w:p>
    <w:p>
      <w:pPr>
        <w:pStyle w:val="BodyText"/>
        <w:ind w:left="500"/>
      </w:pPr>
      <w:r>
        <w:rPr/>
        <w:t>(4.58)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3" w:equalWidth="0">
            <w:col w:w="1004" w:space="40"/>
            <w:col w:w="462" w:space="7256"/>
            <w:col w:w="1598"/>
          </w:cols>
        </w:sect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86"/>
        <w:ind w:left="500"/>
      </w:pPr>
      <w:r>
        <w:rPr/>
        <w:t>LOP</w:t>
      </w:r>
      <w:r>
        <w:rPr>
          <w:spacing w:val="-2"/>
        </w:rPr>
        <w:t> </w:t>
      </w:r>
      <w:r>
        <w:rPr/>
        <w:t>holds</w:t>
      </w:r>
      <w:r>
        <w:rPr>
          <w:spacing w:val="-2"/>
        </w:rPr>
        <w:t> </w:t>
      </w:r>
      <w:r>
        <w:rPr/>
        <w:t>when </w:t>
      </w:r>
      <w:r>
        <w:rPr>
          <w:rFonts w:ascii="Cambria Math" w:hAnsi="Cambria Math" w:eastAsia="Cambria Math"/>
        </w:rPr>
        <w:t>Ψ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2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vertAlign w:val="baseline"/>
        </w:rPr>
        <w:t>.</w:t>
      </w:r>
      <w:r>
        <w:rPr>
          <w:spacing w:val="-1"/>
          <w:vertAlign w:val="baseline"/>
        </w:rPr>
        <w:t> </w:t>
      </w:r>
      <w:r>
        <w:rPr>
          <w:vertAlign w:val="baseline"/>
        </w:rPr>
        <w:t>This</w:t>
      </w:r>
      <w:r>
        <w:rPr>
          <w:spacing w:val="-2"/>
          <w:vertAlign w:val="baseline"/>
        </w:rPr>
        <w:t> </w:t>
      </w:r>
      <w:r>
        <w:rPr>
          <w:vertAlign w:val="baseline"/>
        </w:rPr>
        <w:t>becomes: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tabs>
          <w:tab w:pos="9261" w:val="left" w:leader="none"/>
        </w:tabs>
        <w:ind w:left="500"/>
      </w:pPr>
      <w:r>
        <w:rPr/>
        <w:pict>
          <v:shape style="position:absolute;margin-left:121.459999pt;margin-top:7.286891pt;width:3.8pt;height:8.550pt;mso-position-horizontal-relative:page;mso-position-vertical-relative:paragraph;z-index:-21425664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w w:val="105"/>
        </w:rPr>
        <w:t>𝑃</w:t>
      </w:r>
      <w:r>
        <w:rPr>
          <w:rFonts w:ascii="Cambria Math" w:hAnsi="Cambria Math" w:eastAsia="Cambria Math"/>
          <w:w w:val="105"/>
          <w:vertAlign w:val="subscript"/>
        </w:rPr>
        <w:t>𝐹,𝑡</w:t>
      </w:r>
      <w:r>
        <w:rPr>
          <w:rFonts w:ascii="Cambria Math" w:hAnsi="Cambria Math" w:eastAsia="Cambria Math"/>
          <w:spacing w:val="2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𝜀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w w:val="105"/>
          <w:vertAlign w:val="baseline"/>
        </w:rPr>
        <w:t>𝑃</w:t>
      </w:r>
      <w:r>
        <w:rPr>
          <w:rFonts w:ascii="Cambria Math" w:hAnsi="Cambria Math" w:eastAsia="Cambria Math"/>
          <w:w w:val="105"/>
          <w:vertAlign w:val="superscript"/>
        </w:rPr>
        <w:t>∗</w:t>
      </w:r>
      <w:r>
        <w:rPr>
          <w:rFonts w:ascii="Cambria Math" w:hAnsi="Cambria Math" w:eastAsia="Cambria Math"/>
          <w:w w:val="105"/>
          <w:vertAlign w:val="baseline"/>
        </w:rPr>
        <w:tab/>
      </w:r>
      <w:r>
        <w:rPr>
          <w:w w:val="105"/>
          <w:vertAlign w:val="baseline"/>
        </w:rPr>
        <w:t>(4.59)</w:t>
      </w:r>
    </w:p>
    <w:p>
      <w:pPr>
        <w:pStyle w:val="BodyText"/>
        <w:rPr>
          <w:sz w:val="31"/>
        </w:rPr>
      </w:pPr>
    </w:p>
    <w:p>
      <w:pPr>
        <w:pStyle w:val="BodyText"/>
        <w:ind w:left="500"/>
      </w:pPr>
      <w:r>
        <w:rPr/>
        <w:t>Where,</w:t>
      </w:r>
    </w:p>
    <w:p>
      <w:pPr>
        <w:spacing w:after="0"/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75"/>
        <w:ind w:left="50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Ψ</w:t>
      </w:r>
      <w:r>
        <w:rPr>
          <w:rFonts w:ascii="Cambria Math" w:hAnsi="Cambria Math" w:eastAsia="Cambria Math"/>
          <w:position w:val="-4"/>
          <w:sz w:val="17"/>
        </w:rPr>
        <w:t>𝑡</w:t>
      </w:r>
      <w:r>
        <w:rPr/>
        <w:t>: Law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one</w:t>
      </w:r>
      <w:r>
        <w:rPr>
          <w:spacing w:val="-4"/>
        </w:rPr>
        <w:t> </w:t>
      </w:r>
      <w:r>
        <w:rPr/>
        <w:t>price</w:t>
      </w:r>
      <w:r>
        <w:rPr>
          <w:spacing w:val="-1"/>
        </w:rPr>
        <w:t> </w:t>
      </w:r>
      <w:r>
        <w:rPr/>
        <w:t>gap,</w:t>
      </w:r>
      <w:r>
        <w:rPr>
          <w:spacing w:val="3"/>
        </w:rPr>
        <w:t> </w:t>
      </w:r>
      <w:r>
        <w:rPr/>
        <w:t>LOP</w:t>
      </w:r>
      <w:r>
        <w:rPr>
          <w:spacing w:val="-2"/>
        </w:rPr>
        <w:t> </w:t>
      </w:r>
      <w:r>
        <w:rPr/>
        <w:t>holds</w:t>
      </w:r>
      <w:r>
        <w:rPr>
          <w:spacing w:val="-2"/>
        </w:rPr>
        <w:t> </w:t>
      </w:r>
      <w:r>
        <w:rPr/>
        <w:t>when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Ψ</w:t>
      </w:r>
      <w:r>
        <w:rPr>
          <w:rFonts w:ascii="Cambria Math" w:hAnsi="Cambria Math" w:eastAsia="Cambria Math"/>
          <w:position w:val="-4"/>
          <w:sz w:val="17"/>
        </w:rPr>
        <w:t>𝑡</w:t>
      </w:r>
      <w:r>
        <w:rPr>
          <w:rFonts w:ascii="Cambria Math" w:hAnsi="Cambria Math" w:eastAsia="Cambria Math"/>
          <w:spacing w:val="4"/>
          <w:position w:val="-4"/>
          <w:sz w:val="17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1</w:t>
      </w:r>
    </w:p>
    <w:p>
      <w:pPr>
        <w:pStyle w:val="BodyText"/>
        <w:spacing w:before="1"/>
        <w:rPr>
          <w:rFonts w:ascii="Cambria Math"/>
          <w:sz w:val="26"/>
        </w:rPr>
      </w:pPr>
    </w:p>
    <w:p>
      <w:pPr>
        <w:pStyle w:val="BodyText"/>
        <w:ind w:left="500"/>
      </w:pPr>
      <w:r>
        <w:rPr>
          <w:rFonts w:ascii="Cambria Math" w:eastAsia="Cambria Math"/>
        </w:rPr>
        <w:t>𝜀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:</w:t>
      </w:r>
      <w:r>
        <w:rPr>
          <w:spacing w:val="3"/>
          <w:vertAlign w:val="baseline"/>
        </w:rPr>
        <w:t> </w:t>
      </w:r>
      <w:r>
        <w:rPr>
          <w:vertAlign w:val="baseline"/>
        </w:rPr>
        <w:t>Nominal</w:t>
      </w:r>
      <w:r>
        <w:rPr>
          <w:spacing w:val="4"/>
          <w:vertAlign w:val="baseline"/>
        </w:rPr>
        <w:t> </w:t>
      </w:r>
      <w:r>
        <w:rPr>
          <w:vertAlign w:val="baseline"/>
        </w:rPr>
        <w:t>Exchange</w:t>
      </w:r>
      <w:r>
        <w:rPr>
          <w:spacing w:val="3"/>
          <w:vertAlign w:val="baseline"/>
        </w:rPr>
        <w:t> </w:t>
      </w:r>
      <w:r>
        <w:rPr>
          <w:vertAlign w:val="baseline"/>
        </w:rPr>
        <w:t>rate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500"/>
      </w:pPr>
      <w:r>
        <w:rPr/>
        <w:pict>
          <v:shape style="position:absolute;margin-left:78.143997pt;margin-top:7.286868pt;width:3.8pt;height:8.550pt;mso-position-horizontal-relative:page;mso-position-vertical-relative:paragraph;z-index:-21424640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</w:rPr>
        <w:t>𝑃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vertAlign w:val="baseline"/>
        </w:rPr>
        <w:t>:</w:t>
      </w:r>
      <w:r>
        <w:rPr>
          <w:spacing w:val="4"/>
          <w:vertAlign w:val="baseline"/>
        </w:rPr>
        <w:t> </w:t>
      </w:r>
      <w:r>
        <w:rPr>
          <w:vertAlign w:val="baseline"/>
        </w:rPr>
        <w:t>World</w:t>
      </w:r>
      <w:r>
        <w:rPr>
          <w:spacing w:val="5"/>
          <w:vertAlign w:val="baseline"/>
        </w:rPr>
        <w:t> </w:t>
      </w:r>
      <w:r>
        <w:rPr>
          <w:vertAlign w:val="baseline"/>
        </w:rPr>
        <w:t>price</w:t>
      </w:r>
      <w:r>
        <w:rPr>
          <w:spacing w:val="2"/>
          <w:vertAlign w:val="baseline"/>
        </w:rPr>
        <w:t> </w:t>
      </w:r>
      <w:r>
        <w:rPr>
          <w:vertAlign w:val="baseline"/>
        </w:rPr>
        <w:t>index</w:t>
      </w:r>
    </w:p>
    <w:p>
      <w:pPr>
        <w:pStyle w:val="BodyText"/>
        <w:rPr>
          <w:sz w:val="30"/>
        </w:rPr>
      </w:pPr>
    </w:p>
    <w:p>
      <w:pPr>
        <w:pStyle w:val="BodyText"/>
        <w:spacing w:line="542" w:lineRule="auto"/>
        <w:ind w:left="500" w:right="6095"/>
      </w:pPr>
      <w:r>
        <w:rPr>
          <w:rFonts w:ascii="Cambria Math" w:eastAsia="Cambria Math"/>
        </w:rPr>
        <w:t>𝑃</w:t>
      </w:r>
      <w:r>
        <w:rPr>
          <w:rFonts w:ascii="Cambria Math" w:eastAsia="Cambria Math"/>
          <w:vertAlign w:val="subscript"/>
        </w:rPr>
        <w:t>𝐹,𝑡</w:t>
      </w:r>
      <w:r>
        <w:rPr>
          <w:vertAlign w:val="baseline"/>
        </w:rPr>
        <w:t>: Domestic price of imported goods</w:t>
      </w:r>
      <w:r>
        <w:rPr>
          <w:spacing w:val="-57"/>
          <w:vertAlign w:val="baseline"/>
        </w:rPr>
        <w:t> </w:t>
      </w:r>
      <w:r>
        <w:rPr>
          <w:vertAlign w:val="baseline"/>
        </w:rPr>
        <w:t>Log-linearising</w:t>
      </w:r>
      <w:r>
        <w:rPr>
          <w:spacing w:val="-6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(4.59) yields:</w:t>
      </w:r>
    </w:p>
    <w:p>
      <w:pPr>
        <w:pStyle w:val="BodyText"/>
        <w:tabs>
          <w:tab w:pos="8901" w:val="left" w:leader="none"/>
        </w:tabs>
        <w:spacing w:line="275" w:lineRule="exact"/>
        <w:ind w:left="500"/>
      </w:pPr>
      <w:r>
        <w:rPr/>
        <w:pict>
          <v:shape style="position:absolute;margin-left:136.460007pt;margin-top:6.947078pt;width:3.8pt;height:8.550pt;mso-position-horizontal-relative:page;mso-position-vertical-relative:paragraph;z-index:-2142412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</w:rPr>
        <w:t>𝑝</w:t>
      </w:r>
      <w:r>
        <w:rPr>
          <w:rFonts w:ascii="Cambria Math" w:hAnsi="Cambria Math" w:eastAsia="Cambria Math"/>
          <w:vertAlign w:val="subscript"/>
        </w:rPr>
        <w:t>𝐹,𝑡</w:t>
      </w:r>
      <w:r>
        <w:rPr>
          <w:rFonts w:ascii="Cambria Math" w:hAnsi="Cambria Math" w:eastAsia="Cambria Math"/>
          <w:spacing w:val="3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𝑒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2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𝑝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ab/>
      </w:r>
      <w:r>
        <w:rPr>
          <w:vertAlign w:val="baseline"/>
        </w:rPr>
        <w:t>(4.60)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jc w:val="left"/>
      </w:pPr>
      <w:r>
        <w:rPr/>
        <w:t>Real</w:t>
      </w:r>
      <w:r>
        <w:rPr>
          <w:spacing w:val="-2"/>
        </w:rPr>
        <w:t> </w:t>
      </w:r>
      <w:r>
        <w:rPr/>
        <w:t>Exchange</w:t>
      </w:r>
      <w:r>
        <w:rPr>
          <w:spacing w:val="-2"/>
        </w:rPr>
        <w:t> </w:t>
      </w:r>
      <w:r>
        <w:rPr/>
        <w:t>Rate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360" w:lineRule="auto"/>
        <w:ind w:left="500" w:right="496"/>
      </w:pPr>
      <w:r>
        <w:rPr/>
        <w:t>The</w:t>
      </w:r>
      <w:r>
        <w:rPr>
          <w:spacing w:val="11"/>
        </w:rPr>
        <w:t> </w:t>
      </w:r>
      <w:r>
        <w:rPr/>
        <w:t>real</w:t>
      </w:r>
      <w:r>
        <w:rPr>
          <w:spacing w:val="13"/>
        </w:rPr>
        <w:t> </w:t>
      </w:r>
      <w:r>
        <w:rPr/>
        <w:t>exchange</w:t>
      </w:r>
      <w:r>
        <w:rPr>
          <w:spacing w:val="12"/>
        </w:rPr>
        <w:t> </w:t>
      </w:r>
      <w:r>
        <w:rPr/>
        <w:t>rate</w:t>
      </w:r>
      <w:r>
        <w:rPr>
          <w:spacing w:val="12"/>
        </w:rPr>
        <w:t> </w:t>
      </w:r>
      <w:r>
        <w:rPr/>
        <w:t>is</w:t>
      </w:r>
      <w:r>
        <w:rPr>
          <w:spacing w:val="16"/>
        </w:rPr>
        <w:t> </w:t>
      </w:r>
      <w:r>
        <w:rPr/>
        <w:t>defined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ratio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world</w:t>
      </w:r>
      <w:r>
        <w:rPr>
          <w:spacing w:val="19"/>
        </w:rPr>
        <w:t> </w:t>
      </w:r>
      <w:r>
        <w:rPr/>
        <w:t>price</w:t>
      </w:r>
      <w:r>
        <w:rPr>
          <w:spacing w:val="12"/>
        </w:rPr>
        <w:t> </w:t>
      </w:r>
      <w:r>
        <w:rPr/>
        <w:t>index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domestic</w:t>
      </w:r>
      <w:r>
        <w:rPr>
          <w:spacing w:val="12"/>
        </w:rPr>
        <w:t> </w:t>
      </w:r>
      <w:r>
        <w:rPr/>
        <w:t>price,</w:t>
      </w:r>
      <w:r>
        <w:rPr>
          <w:spacing w:val="-57"/>
        </w:rPr>
        <w:t> </w:t>
      </w:r>
      <w:r>
        <w:rPr/>
        <w:t>which is:</w:t>
      </w:r>
    </w:p>
    <w:p>
      <w:pPr>
        <w:spacing w:after="0" w:line="360" w:lineRule="auto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ind w:left="500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𝑄</w:t>
      </w:r>
      <w:r>
        <w:rPr>
          <w:rFonts w:ascii="Cambria Math" w:eastAsia="Cambria Math"/>
          <w:w w:val="105"/>
          <w:vertAlign w:val="subscript"/>
        </w:rPr>
        <w:t>𝑡</w:t>
      </w:r>
      <w:r>
        <w:rPr>
          <w:rFonts w:ascii="Cambria Math" w:eastAsia="Cambria Math"/>
          <w:spacing w:val="-5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</w:p>
    <w:p>
      <w:pPr>
        <w:spacing w:before="172"/>
        <w:ind w:left="80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w w:val="110"/>
          <w:sz w:val="17"/>
        </w:rPr>
        <w:t>𝗌</w:t>
      </w:r>
      <w:r>
        <w:rPr>
          <w:rFonts w:ascii="Cambria Math" w:hAnsi="Cambria Math" w:eastAsia="Cambria Math"/>
          <w:w w:val="110"/>
          <w:position w:val="-2"/>
          <w:sz w:val="14"/>
        </w:rPr>
        <w:t>𝑡</w:t>
      </w:r>
      <w:r>
        <w:rPr>
          <w:rFonts w:ascii="Cambria Math" w:hAnsi="Cambria Math" w:eastAsia="Cambria Math"/>
          <w:w w:val="110"/>
          <w:sz w:val="17"/>
        </w:rPr>
        <w:t>𝑃</w:t>
      </w:r>
      <w:r>
        <w:rPr>
          <w:rFonts w:ascii="Cambria Math" w:hAnsi="Cambria Math" w:eastAsia="Cambria Math"/>
          <w:w w:val="110"/>
          <w:position w:val="7"/>
          <w:sz w:val="14"/>
        </w:rPr>
        <w:t>∗</w:t>
      </w:r>
    </w:p>
    <w:p>
      <w:pPr>
        <w:pStyle w:val="BodyText"/>
        <w:spacing w:line="20" w:lineRule="exact"/>
        <w:ind w:left="80" w:right="-44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7.4pt;height:.85pt;mso-position-horizontal-relative:char;mso-position-vertical-relative:line" coordorigin="0,0" coordsize="348,17">
            <v:rect style="position:absolute;left:0;top:0;width:348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23"/>
        <w:ind w:left="92" w:right="0" w:firstLine="0"/>
        <w:jc w:val="left"/>
        <w:rPr>
          <w:rFonts w:ascii="Cambria Math" w:eastAsia="Cambria Math"/>
          <w:sz w:val="14"/>
        </w:rPr>
      </w:pPr>
      <w:r>
        <w:rPr/>
        <w:pict>
          <v:shape style="position:absolute;margin-left:114.980003pt;margin-top:-7.293852pt;width:3.3pt;height:7pt;mso-position-horizontal-relative:page;mso-position-vertical-relative:paragraph;z-index:-21423616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4"/>
                    </w:rPr>
                  </w:pPr>
                  <w:r>
                    <w:rPr>
                      <w:rFonts w:ascii="Cambria Math" w:eastAsia="Cambria Math"/>
                      <w:w w:val="115"/>
                      <w:sz w:val="14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10"/>
          <w:position w:val="3"/>
          <w:sz w:val="17"/>
        </w:rPr>
        <w:t>𝑃</w:t>
      </w:r>
      <w:r>
        <w:rPr>
          <w:rFonts w:ascii="Cambria Math" w:eastAsia="Cambria Math"/>
          <w:w w:val="110"/>
          <w:sz w:val="14"/>
        </w:rPr>
        <w:t>𝐷,𝑡</w:t>
      </w:r>
    </w:p>
    <w:p>
      <w:pPr>
        <w:pStyle w:val="BodyText"/>
        <w:rPr>
          <w:rFonts w:ascii="Cambria Math"/>
          <w:sz w:val="25"/>
        </w:rPr>
      </w:pPr>
      <w:r>
        <w:rPr/>
        <w:br w:type="column"/>
      </w:r>
      <w:r>
        <w:rPr>
          <w:rFonts w:ascii="Cambria Math"/>
          <w:sz w:val="25"/>
        </w:rPr>
      </w:r>
    </w:p>
    <w:p>
      <w:pPr>
        <w:pStyle w:val="BodyText"/>
        <w:ind w:left="500"/>
      </w:pPr>
      <w:r>
        <w:rPr/>
        <w:t>(4.61)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3" w:equalWidth="0">
            <w:col w:w="990" w:space="40"/>
            <w:col w:w="462" w:space="6910"/>
            <w:col w:w="1958"/>
          </w:cols>
        </w:sect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90"/>
        <w:ind w:left="500"/>
      </w:pPr>
      <w:r>
        <w:rPr/>
        <w:t>Where,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before="1"/>
        <w:ind w:left="500"/>
      </w:pPr>
      <w:r>
        <w:rPr>
          <w:rFonts w:ascii="Cambria Math" w:eastAsia="Cambria Math"/>
        </w:rPr>
        <w:t>𝑄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vertAlign w:val="baseline"/>
        </w:rPr>
        <w:t>:</w:t>
      </w:r>
      <w:r>
        <w:rPr>
          <w:rFonts w:ascii="Cambria Math" w:eastAsia="Cambria Math"/>
          <w:spacing w:val="9"/>
          <w:vertAlign w:val="baseline"/>
        </w:rPr>
        <w:t> </w:t>
      </w:r>
      <w:r>
        <w:rPr>
          <w:vertAlign w:val="baseline"/>
        </w:rPr>
        <w:t>Real</w:t>
      </w:r>
      <w:r>
        <w:rPr>
          <w:spacing w:val="3"/>
          <w:vertAlign w:val="baseline"/>
        </w:rPr>
        <w:t> </w:t>
      </w:r>
      <w:r>
        <w:rPr>
          <w:vertAlign w:val="baseline"/>
        </w:rPr>
        <w:t>exchange</w:t>
      </w:r>
      <w:r>
        <w:rPr>
          <w:spacing w:val="3"/>
          <w:vertAlign w:val="baseline"/>
        </w:rPr>
        <w:t> </w:t>
      </w:r>
      <w:r>
        <w:rPr>
          <w:vertAlign w:val="baseline"/>
        </w:rPr>
        <w:t>rate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500"/>
      </w:pPr>
      <w:r>
        <w:rPr>
          <w:rFonts w:ascii="Cambria Math" w:eastAsia="Cambria Math"/>
        </w:rPr>
        <w:t>𝜀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:</w:t>
      </w:r>
      <w:r>
        <w:rPr>
          <w:spacing w:val="3"/>
          <w:vertAlign w:val="baseline"/>
        </w:rPr>
        <w:t> </w:t>
      </w:r>
      <w:r>
        <w:rPr>
          <w:vertAlign w:val="baseline"/>
        </w:rPr>
        <w:t>Nominal</w:t>
      </w:r>
      <w:r>
        <w:rPr>
          <w:spacing w:val="4"/>
          <w:vertAlign w:val="baseline"/>
        </w:rPr>
        <w:t> </w:t>
      </w:r>
      <w:r>
        <w:rPr>
          <w:vertAlign w:val="baseline"/>
        </w:rPr>
        <w:t>Exchange</w:t>
      </w:r>
      <w:r>
        <w:rPr>
          <w:spacing w:val="3"/>
          <w:vertAlign w:val="baseline"/>
        </w:rPr>
        <w:t> </w:t>
      </w:r>
      <w:r>
        <w:rPr>
          <w:vertAlign w:val="baseline"/>
        </w:rPr>
        <w:t>rate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500"/>
      </w:pPr>
      <w:r>
        <w:rPr/>
        <w:pict>
          <v:shape style="position:absolute;margin-left:78.143997pt;margin-top:7.286897pt;width:3.8pt;height:8.550pt;mso-position-horizontal-relative:page;mso-position-vertical-relative:paragraph;z-index:-21423104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</w:rPr>
        <w:t>𝑃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vertAlign w:val="baseline"/>
        </w:rPr>
        <w:t>:</w:t>
      </w:r>
      <w:r>
        <w:rPr>
          <w:spacing w:val="4"/>
          <w:vertAlign w:val="baseline"/>
        </w:rPr>
        <w:t> </w:t>
      </w:r>
      <w:r>
        <w:rPr>
          <w:vertAlign w:val="baseline"/>
        </w:rPr>
        <w:t>World</w:t>
      </w:r>
      <w:r>
        <w:rPr>
          <w:spacing w:val="5"/>
          <w:vertAlign w:val="baseline"/>
        </w:rPr>
        <w:t> </w:t>
      </w:r>
      <w:r>
        <w:rPr>
          <w:vertAlign w:val="baseline"/>
        </w:rPr>
        <w:t>price</w:t>
      </w:r>
      <w:r>
        <w:rPr>
          <w:spacing w:val="2"/>
          <w:vertAlign w:val="baseline"/>
        </w:rPr>
        <w:t> </w:t>
      </w:r>
      <w:r>
        <w:rPr>
          <w:vertAlign w:val="baseline"/>
        </w:rPr>
        <w:t>index</w:t>
      </w:r>
    </w:p>
    <w:p>
      <w:pPr>
        <w:pStyle w:val="BodyText"/>
        <w:rPr>
          <w:sz w:val="30"/>
        </w:rPr>
      </w:pPr>
    </w:p>
    <w:p>
      <w:pPr>
        <w:pStyle w:val="BodyText"/>
        <w:ind w:left="500"/>
      </w:pPr>
      <w:r>
        <w:rPr>
          <w:rFonts w:ascii="Cambria Math" w:eastAsia="Cambria Math"/>
        </w:rPr>
        <w:t>𝑃</w:t>
      </w:r>
      <w:r>
        <w:rPr>
          <w:rFonts w:ascii="Cambria Math" w:eastAsia="Cambria Math"/>
          <w:vertAlign w:val="subscript"/>
        </w:rPr>
        <w:t>𝐷,𝑡</w:t>
      </w:r>
      <w:r>
        <w:rPr>
          <w:vertAlign w:val="baseline"/>
        </w:rPr>
        <w:t>:</w:t>
      </w:r>
      <w:r>
        <w:rPr>
          <w:spacing w:val="4"/>
          <w:vertAlign w:val="baseline"/>
        </w:rPr>
        <w:t> </w:t>
      </w:r>
      <w:r>
        <w:rPr>
          <w:vertAlign w:val="baseline"/>
        </w:rPr>
        <w:t>Domestic</w:t>
      </w:r>
      <w:r>
        <w:rPr>
          <w:spacing w:val="3"/>
          <w:vertAlign w:val="baseline"/>
        </w:rPr>
        <w:t> </w:t>
      </w:r>
      <w:r>
        <w:rPr>
          <w:vertAlign w:val="baseline"/>
        </w:rPr>
        <w:t>price</w:t>
      </w:r>
    </w:p>
    <w:p>
      <w:pPr>
        <w:pStyle w:val="BodyText"/>
        <w:rPr>
          <w:sz w:val="31"/>
        </w:rPr>
      </w:pPr>
    </w:p>
    <w:p>
      <w:pPr>
        <w:pStyle w:val="BodyText"/>
        <w:ind w:left="500"/>
      </w:pPr>
      <w:r>
        <w:rPr/>
        <w:t>The</w:t>
      </w:r>
      <w:r>
        <w:rPr>
          <w:spacing w:val="-3"/>
        </w:rPr>
        <w:t> </w:t>
      </w:r>
      <w:r>
        <w:rPr/>
        <w:t>log-linearisation</w:t>
      </w:r>
      <w:r>
        <w:rPr>
          <w:spacing w:val="-1"/>
        </w:rPr>
        <w:t> </w:t>
      </w:r>
      <w:r>
        <w:rPr/>
        <w:t>of equation</w:t>
      </w:r>
      <w:r>
        <w:rPr>
          <w:spacing w:val="-1"/>
        </w:rPr>
        <w:t> </w:t>
      </w:r>
      <w:r>
        <w:rPr/>
        <w:t>(4.61) gives: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8901" w:val="left" w:leader="none"/>
        </w:tabs>
        <w:ind w:left="500"/>
      </w:pPr>
      <w:r>
        <w:rPr/>
        <w:pict>
          <v:shape style="position:absolute;margin-left:129.020004pt;margin-top:7.28689pt;width:3.8pt;height:8.550pt;mso-position-horizontal-relative:page;mso-position-vertical-relative:paragraph;z-index:-21422592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</w:rPr>
        <w:t>𝑞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3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𝑒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2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𝑝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6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𝑝</w:t>
      </w:r>
      <w:r>
        <w:rPr>
          <w:rFonts w:ascii="Cambria Math" w:hAnsi="Cambria Math" w:eastAsia="Cambria Math"/>
          <w:vertAlign w:val="subscript"/>
        </w:rPr>
        <w:t>𝐷,𝑡</w:t>
      </w:r>
      <w:r>
        <w:rPr>
          <w:rFonts w:ascii="Cambria Math" w:hAnsi="Cambria Math" w:eastAsia="Cambria Math"/>
          <w:vertAlign w:val="baseline"/>
        </w:rPr>
        <w:tab/>
      </w:r>
      <w:r>
        <w:rPr>
          <w:vertAlign w:val="baseline"/>
        </w:rPr>
        <w:t>(4.62)</w:t>
      </w:r>
    </w:p>
    <w:p>
      <w:pPr>
        <w:pStyle w:val="BodyText"/>
        <w:rPr>
          <w:sz w:val="31"/>
        </w:rPr>
      </w:pPr>
    </w:p>
    <w:p>
      <w:pPr>
        <w:pStyle w:val="BodyText"/>
        <w:ind w:left="500"/>
      </w:pPr>
      <w:r>
        <w:rPr/>
        <w:t>Terms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Trade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500" w:right="495"/>
        <w:jc w:val="both"/>
      </w:pPr>
      <w:r>
        <w:rPr/>
        <w:t>The terms of trade between the domestic economy and foreign economy is defined as the ratio of</w:t>
      </w:r>
      <w:r>
        <w:rPr>
          <w:spacing w:val="-57"/>
        </w:rPr>
        <w:t> </w:t>
      </w:r>
      <w:r>
        <w:rPr/>
        <w:t>domestic prices (exports) to foreign prices (import). It measures the competitiveness of the</w:t>
      </w:r>
      <w:r>
        <w:rPr>
          <w:spacing w:val="1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economy</w:t>
      </w:r>
      <w:r>
        <w:rPr>
          <w:spacing w:val="-5"/>
        </w:rPr>
        <w:t> </w:t>
      </w:r>
      <w:r>
        <w:rPr/>
        <w:t>such that:</w:t>
      </w:r>
    </w:p>
    <w:p>
      <w:pPr>
        <w:spacing w:after="0" w:line="360" w:lineRule="auto"/>
        <w:jc w:val="both"/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138"/>
        <w:jc w:val="right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𝑆</w:t>
      </w:r>
      <w:r>
        <w:rPr>
          <w:rFonts w:ascii="Cambria Math" w:eastAsia="Cambria Math"/>
          <w:w w:val="110"/>
          <w:vertAlign w:val="subscript"/>
        </w:rPr>
        <w:t>𝑡</w:t>
      </w:r>
    </w:p>
    <w:p>
      <w:pPr>
        <w:spacing w:line="172" w:lineRule="auto" w:before="96"/>
        <w:ind w:left="40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w w:val="105"/>
          <w:position w:val="-10"/>
          <w:sz w:val="24"/>
        </w:rPr>
        <w:t>= </w:t>
      </w:r>
      <w:r>
        <w:rPr>
          <w:rFonts w:ascii="Cambria Math" w:eastAsia="Cambria Math"/>
          <w:spacing w:val="11"/>
          <w:w w:val="105"/>
          <w:position w:val="-10"/>
          <w:sz w:val="24"/>
        </w:rPr>
        <w:t> </w:t>
      </w:r>
      <w:r>
        <w:rPr>
          <w:rFonts w:ascii="Cambria Math" w:eastAsia="Cambria Math"/>
          <w:w w:val="105"/>
          <w:position w:val="3"/>
          <w:sz w:val="17"/>
          <w:u w:val="single"/>
        </w:rPr>
        <w:t>𝑃</w:t>
      </w:r>
      <w:r>
        <w:rPr>
          <w:rFonts w:ascii="Cambria Math" w:eastAsia="Cambria Math"/>
          <w:w w:val="105"/>
          <w:sz w:val="14"/>
          <w:u w:val="single"/>
        </w:rPr>
        <w:t>𝐷,𝑡</w:t>
      </w:r>
    </w:p>
    <w:p>
      <w:pPr>
        <w:spacing w:line="178" w:lineRule="exact" w:before="0"/>
        <w:ind w:left="345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3"/>
          <w:sz w:val="17"/>
        </w:rPr>
        <w:t>𝑃</w:t>
      </w:r>
      <w:r>
        <w:rPr>
          <w:rFonts w:ascii="Cambria Math" w:eastAsia="Cambria Math"/>
          <w:w w:val="110"/>
          <w:sz w:val="14"/>
        </w:rPr>
        <w:t>𝐹,𝑡</w:t>
      </w:r>
    </w:p>
    <w:p>
      <w:pPr>
        <w:pStyle w:val="BodyText"/>
        <w:spacing w:before="142"/>
        <w:ind w:left="500"/>
      </w:pPr>
      <w:r>
        <w:rPr/>
        <w:br w:type="column"/>
      </w:r>
      <w:r>
        <w:rPr/>
        <w:t>(4.63)</w:t>
      </w:r>
    </w:p>
    <w:p>
      <w:pPr>
        <w:spacing w:after="0"/>
        <w:sectPr>
          <w:pgSz w:w="12240" w:h="15840"/>
          <w:pgMar w:header="0" w:footer="935" w:top="1360" w:bottom="1200" w:left="940" w:right="940"/>
          <w:cols w:num="3" w:equalWidth="0">
            <w:col w:w="694" w:space="40"/>
            <w:col w:w="694" w:space="6973"/>
            <w:col w:w="1959"/>
          </w:cols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90"/>
        <w:ind w:left="500"/>
      </w:pPr>
      <w:r>
        <w:rPr/>
        <w:t>Where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500"/>
      </w:pP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:</w:t>
      </w:r>
      <w:r>
        <w:rPr>
          <w:spacing w:val="2"/>
          <w:vertAlign w:val="baseline"/>
        </w:rPr>
        <w:t> </w:t>
      </w:r>
      <w:r>
        <w:rPr>
          <w:vertAlign w:val="baseline"/>
        </w:rPr>
        <w:t>Terms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trade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500"/>
      </w:pPr>
      <w:r>
        <w:rPr>
          <w:rFonts w:ascii="Cambria Math" w:eastAsia="Cambria Math"/>
        </w:rPr>
        <w:t>𝑃</w:t>
      </w:r>
      <w:r>
        <w:rPr>
          <w:rFonts w:ascii="Cambria Math" w:eastAsia="Cambria Math"/>
          <w:vertAlign w:val="subscript"/>
        </w:rPr>
        <w:t>𝐷,𝑡</w:t>
      </w:r>
      <w:r>
        <w:rPr>
          <w:vertAlign w:val="baseline"/>
        </w:rPr>
        <w:t>:</w:t>
      </w:r>
      <w:r>
        <w:rPr>
          <w:spacing w:val="2"/>
          <w:vertAlign w:val="baseline"/>
        </w:rPr>
        <w:t> </w:t>
      </w:r>
      <w:r>
        <w:rPr>
          <w:vertAlign w:val="baseline"/>
        </w:rPr>
        <w:t>Price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domestic</w:t>
      </w:r>
      <w:r>
        <w:rPr>
          <w:spacing w:val="3"/>
          <w:vertAlign w:val="baseline"/>
        </w:rPr>
        <w:t> </w:t>
      </w:r>
      <w:r>
        <w:rPr>
          <w:vertAlign w:val="baseline"/>
        </w:rPr>
        <w:t>goods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500"/>
      </w:pPr>
      <w:r>
        <w:rPr>
          <w:rFonts w:ascii="Cambria Math" w:eastAsia="Cambria Math"/>
        </w:rPr>
        <w:t>𝑃</w:t>
      </w:r>
      <w:r>
        <w:rPr>
          <w:rFonts w:ascii="Cambria Math" w:eastAsia="Cambria Math"/>
          <w:vertAlign w:val="subscript"/>
        </w:rPr>
        <w:t>𝐹,𝑡</w:t>
      </w:r>
      <w:r>
        <w:rPr>
          <w:rFonts w:ascii="Cambria Math" w:eastAsia="Cambria Math"/>
          <w:vertAlign w:val="baseline"/>
        </w:rPr>
        <w:t>:</w:t>
      </w:r>
      <w:r>
        <w:rPr>
          <w:rFonts w:ascii="Cambria Math" w:eastAsia="Cambria Math"/>
          <w:spacing w:val="7"/>
          <w:vertAlign w:val="baseline"/>
        </w:rPr>
        <w:t> </w:t>
      </w:r>
      <w:r>
        <w:rPr>
          <w:vertAlign w:val="baseline"/>
        </w:rPr>
        <w:t>Price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4"/>
          <w:vertAlign w:val="baseline"/>
        </w:rPr>
        <w:t> </w:t>
      </w:r>
      <w:r>
        <w:rPr>
          <w:vertAlign w:val="baseline"/>
        </w:rPr>
        <w:t>goods</w:t>
      </w:r>
    </w:p>
    <w:p>
      <w:pPr>
        <w:pStyle w:val="BodyText"/>
        <w:rPr>
          <w:sz w:val="31"/>
        </w:rPr>
      </w:pPr>
    </w:p>
    <w:p>
      <w:pPr>
        <w:pStyle w:val="BodyText"/>
        <w:ind w:left="500"/>
      </w:pPr>
      <w:r>
        <w:rPr/>
        <w:t>The</w:t>
      </w:r>
      <w:r>
        <w:rPr>
          <w:spacing w:val="-3"/>
        </w:rPr>
        <w:t> </w:t>
      </w:r>
      <w:r>
        <w:rPr/>
        <w:t>log-linearisation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terms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trade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equation (4.63) will be: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8901" w:val="left" w:leader="none"/>
        </w:tabs>
        <w:ind w:left="500"/>
      </w:pPr>
      <w:r>
        <w:rPr>
          <w:rFonts w:ascii="Cambria Math" w:hAnsi="Cambria Math" w:eastAsia="Cambria Math"/>
          <w:w w:val="105"/>
        </w:rPr>
        <w:t>𝑠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2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𝑝</w:t>
      </w:r>
      <w:r>
        <w:rPr>
          <w:rFonts w:ascii="Cambria Math" w:hAnsi="Cambria Math" w:eastAsia="Cambria Math"/>
          <w:w w:val="105"/>
          <w:vertAlign w:val="subscript"/>
        </w:rPr>
        <w:t>𝐷,𝑡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4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𝑝</w:t>
      </w:r>
      <w:r>
        <w:rPr>
          <w:rFonts w:ascii="Cambria Math" w:hAnsi="Cambria Math" w:eastAsia="Cambria Math"/>
          <w:w w:val="105"/>
          <w:vertAlign w:val="subscript"/>
        </w:rPr>
        <w:t>𝐹,𝑡</w:t>
      </w:r>
      <w:r>
        <w:rPr>
          <w:rFonts w:ascii="Cambria Math" w:hAnsi="Cambria Math" w:eastAsia="Cambria Math"/>
          <w:w w:val="105"/>
          <w:vertAlign w:val="baseline"/>
        </w:rPr>
        <w:tab/>
      </w:r>
      <w:r>
        <w:rPr>
          <w:w w:val="105"/>
          <w:vertAlign w:val="baseline"/>
        </w:rPr>
        <w:t>(4.64)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jc w:val="left"/>
      </w:pPr>
      <w:r>
        <w:rPr/>
        <w:t>Domestic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Consumer Price</w:t>
      </w:r>
      <w:r>
        <w:rPr>
          <w:spacing w:val="-2"/>
        </w:rPr>
        <w:t> </w:t>
      </w:r>
      <w:r>
        <w:rPr/>
        <w:t>Index (CPI)</w:t>
      </w:r>
      <w:r>
        <w:rPr>
          <w:spacing w:val="-3"/>
        </w:rPr>
        <w:t> </w:t>
      </w:r>
      <w:r>
        <w:rPr/>
        <w:t>Inflation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367" w:lineRule="auto"/>
        <w:ind w:left="500" w:right="492"/>
        <w:jc w:val="both"/>
      </w:pPr>
      <w:r>
        <w:rPr/>
        <w:t>The CPI Inflation is defined as the rate of change in the aggregate price index (that comprises the</w:t>
      </w:r>
      <w:r>
        <w:rPr>
          <w:spacing w:val="-57"/>
        </w:rPr>
        <w:t> </w:t>
      </w:r>
      <w:r>
        <w:rPr/>
        <w:t>domestic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foreign</w:t>
      </w:r>
      <w:r>
        <w:rPr>
          <w:spacing w:val="-10"/>
        </w:rPr>
        <w:t> </w:t>
      </w:r>
      <w:r>
        <w:rPr/>
        <w:t>price</w:t>
      </w:r>
      <w:r>
        <w:rPr>
          <w:spacing w:val="-11"/>
        </w:rPr>
        <w:t> </w:t>
      </w:r>
      <w:r>
        <w:rPr/>
        <w:t>index)</w:t>
      </w:r>
      <w:r>
        <w:rPr>
          <w:spacing w:val="-11"/>
        </w:rPr>
        <w:t> </w:t>
      </w:r>
      <w:r>
        <w:rPr/>
        <w:t>while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domestic</w:t>
      </w:r>
      <w:r>
        <w:rPr>
          <w:spacing w:val="-11"/>
        </w:rPr>
        <w:t> </w:t>
      </w:r>
      <w:r>
        <w:rPr/>
        <w:t>inflation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rate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change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domestic</w:t>
      </w:r>
      <w:r>
        <w:rPr>
          <w:spacing w:val="-57"/>
        </w:rPr>
        <w:t> </w:t>
      </w:r>
      <w:r>
        <w:rPr/>
        <w:t>price</w:t>
      </w:r>
      <w:r>
        <w:rPr>
          <w:spacing w:val="12"/>
        </w:rPr>
        <w:t> </w:t>
      </w:r>
      <w:r>
        <w:rPr/>
        <w:t>index.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log-linearisation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Consumer</w:t>
      </w:r>
      <w:r>
        <w:rPr>
          <w:spacing w:val="12"/>
        </w:rPr>
        <w:t> </w:t>
      </w:r>
      <w:r>
        <w:rPr/>
        <w:t>Price</w:t>
      </w:r>
      <w:r>
        <w:rPr>
          <w:spacing w:val="14"/>
        </w:rPr>
        <w:t> </w:t>
      </w:r>
      <w:r>
        <w:rPr/>
        <w:t>Index,</w:t>
      </w:r>
      <w:r>
        <w:rPr>
          <w:spacing w:val="19"/>
        </w:rPr>
        <w:t> </w:t>
      </w:r>
      <w:r>
        <w:rPr>
          <w:rFonts w:ascii="Cambria Math" w:hAnsi="Cambria Math" w:eastAsia="Cambria Math"/>
        </w:rPr>
        <w:t>𝑃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3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(𝑃</w:t>
      </w:r>
      <w:r>
        <w:rPr>
          <w:rFonts w:ascii="Cambria Math" w:hAnsi="Cambria Math" w:eastAsia="Cambria Math"/>
          <w:vertAlign w:val="subscript"/>
        </w:rPr>
        <w:t>𝐷,𝑡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vertAlign w:val="superscript"/>
        </w:rPr>
        <w:t>1−𝛼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(𝑃</w:t>
      </w:r>
      <w:r>
        <w:rPr>
          <w:rFonts w:ascii="Cambria Math" w:hAnsi="Cambria Math" w:eastAsia="Cambria Math"/>
          <w:vertAlign w:val="subscript"/>
        </w:rPr>
        <w:t>𝐹,𝑡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vertAlign w:val="superscript"/>
        </w:rPr>
        <w:t>𝛼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vertAlign w:val="baseline"/>
        </w:rPr>
        <w:t>around</w:t>
      </w:r>
      <w:r>
        <w:rPr>
          <w:spacing w:val="-58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symmetric steady</w:t>
      </w:r>
      <w:r>
        <w:rPr>
          <w:spacing w:val="-4"/>
          <w:vertAlign w:val="baseline"/>
        </w:rPr>
        <w:t> </w:t>
      </w:r>
      <w:r>
        <w:rPr>
          <w:vertAlign w:val="baseline"/>
        </w:rPr>
        <w:t>state</w:t>
      </w:r>
      <w:r>
        <w:rPr>
          <w:spacing w:val="2"/>
          <w:vertAlign w:val="baseline"/>
        </w:rPr>
        <w:t> </w:t>
      </w:r>
      <w:r>
        <w:rPr>
          <w:vertAlign w:val="baseline"/>
        </w:rPr>
        <w:t>where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Purchasing</w:t>
      </w:r>
      <w:r>
        <w:rPr>
          <w:spacing w:val="1"/>
          <w:vertAlign w:val="baseline"/>
        </w:rPr>
        <w:t> </w:t>
      </w:r>
      <w:r>
        <w:rPr>
          <w:vertAlign w:val="baseline"/>
        </w:rPr>
        <w:t>Power</w:t>
      </w:r>
      <w:r>
        <w:rPr>
          <w:spacing w:val="1"/>
          <w:vertAlign w:val="baseline"/>
        </w:rPr>
        <w:t> </w:t>
      </w:r>
      <w:r>
        <w:rPr>
          <w:vertAlign w:val="baseline"/>
        </w:rPr>
        <w:t>Parity</w:t>
      </w:r>
      <w:r>
        <w:rPr>
          <w:spacing w:val="-4"/>
          <w:vertAlign w:val="baseline"/>
        </w:rPr>
        <w:t> </w:t>
      </w:r>
      <w:r>
        <w:rPr>
          <w:vertAlign w:val="baseline"/>
        </w:rPr>
        <w:t>holds (i.e:</w:t>
      </w:r>
      <w:r>
        <w:rPr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𝑃</w:t>
      </w:r>
      <w:r>
        <w:rPr>
          <w:rFonts w:ascii="Cambria Math" w:hAnsi="Cambria Math" w:eastAsia="Cambria Math"/>
          <w:vertAlign w:val="subscript"/>
        </w:rPr>
        <w:t>𝐷,𝑡</w:t>
      </w:r>
      <w:r>
        <w:rPr>
          <w:rFonts w:ascii="Cambria Math" w:hAnsi="Cambria Math" w:eastAsia="Cambria Math"/>
          <w:spacing w:val="2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𝑃</w:t>
      </w:r>
      <w:r>
        <w:rPr>
          <w:rFonts w:ascii="Cambria Math" w:hAnsi="Cambria Math" w:eastAsia="Cambria Math"/>
          <w:vertAlign w:val="subscript"/>
        </w:rPr>
        <w:t>𝐹,𝑡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vertAlign w:val="baseline"/>
        </w:rPr>
        <w:t>leads</w:t>
      </w:r>
      <w:r>
        <w:rPr>
          <w:spacing w:val="1"/>
          <w:vertAlign w:val="baseline"/>
        </w:rPr>
        <w:t> </w:t>
      </w:r>
      <w:r>
        <w:rPr>
          <w:vertAlign w:val="baseline"/>
        </w:rPr>
        <w:t>to:</w:t>
      </w:r>
    </w:p>
    <w:p>
      <w:pPr>
        <w:pStyle w:val="BodyText"/>
        <w:tabs>
          <w:tab w:pos="8901" w:val="left" w:leader="none"/>
        </w:tabs>
        <w:spacing w:before="201"/>
        <w:ind w:left="500"/>
      </w:pPr>
      <w:r>
        <w:rPr>
          <w:rFonts w:ascii="Cambria Math" w:hAnsi="Cambria Math" w:eastAsia="Cambria Math"/>
          <w:w w:val="105"/>
        </w:rPr>
        <w:t>𝑝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1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w w:val="105"/>
          <w:vertAlign w:val="baseline"/>
        </w:rPr>
        <w:t>1</w:t>
      </w:r>
      <w:r>
        <w:rPr>
          <w:rFonts w:ascii="Cambria Math" w:hAnsi="Cambria Math" w:eastAsia="Cambria Math"/>
          <w:spacing w:val="-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𝛼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w w:val="105"/>
          <w:vertAlign w:val="baseline"/>
        </w:rPr>
        <w:t>𝑝</w:t>
      </w:r>
      <w:r>
        <w:rPr>
          <w:rFonts w:ascii="Cambria Math" w:hAnsi="Cambria Math" w:eastAsia="Cambria Math"/>
          <w:w w:val="105"/>
          <w:vertAlign w:val="subscript"/>
        </w:rPr>
        <w:t>𝐷,𝑡</w:t>
      </w:r>
      <w:r>
        <w:rPr>
          <w:rFonts w:ascii="Cambria Math" w:hAnsi="Cambria Math" w:eastAsia="Cambria Math"/>
          <w:spacing w:val="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-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𝛼𝑝</w:t>
      </w:r>
      <w:r>
        <w:rPr>
          <w:rFonts w:ascii="Cambria Math" w:hAnsi="Cambria Math" w:eastAsia="Cambria Math"/>
          <w:w w:val="105"/>
          <w:vertAlign w:val="subscript"/>
        </w:rPr>
        <w:t>𝐹,𝑡</w:t>
      </w:r>
      <w:r>
        <w:rPr>
          <w:rFonts w:ascii="Cambria Math" w:hAnsi="Cambria Math" w:eastAsia="Cambria Math"/>
          <w:w w:val="105"/>
          <w:vertAlign w:val="baseline"/>
        </w:rPr>
        <w:tab/>
      </w:r>
      <w:r>
        <w:rPr>
          <w:w w:val="105"/>
          <w:vertAlign w:val="baseline"/>
        </w:rPr>
        <w:t>(4.65)</w:t>
      </w:r>
    </w:p>
    <w:p>
      <w:pPr>
        <w:pStyle w:val="BodyText"/>
        <w:spacing w:before="11"/>
        <w:rPr>
          <w:sz w:val="30"/>
        </w:rPr>
      </w:pPr>
    </w:p>
    <w:p>
      <w:pPr>
        <w:pStyle w:val="BodyText"/>
        <w:ind w:left="500"/>
      </w:pPr>
      <w:r>
        <w:rPr/>
        <w:t>Simplifying</w:t>
      </w:r>
      <w:r>
        <w:rPr>
          <w:spacing w:val="-5"/>
        </w:rPr>
        <w:t> </w:t>
      </w:r>
      <w:r>
        <w:rPr/>
        <w:t>further,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becomes: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tabs>
          <w:tab w:pos="8901" w:val="left" w:leader="none"/>
        </w:tabs>
        <w:ind w:left="500"/>
      </w:pPr>
      <w:r>
        <w:rPr>
          <w:rFonts w:ascii="Cambria Math" w:hAnsi="Cambria Math" w:eastAsia="Cambria Math"/>
          <w:w w:val="105"/>
        </w:rPr>
        <w:t>𝑝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2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𝑝</w:t>
      </w:r>
      <w:r>
        <w:rPr>
          <w:rFonts w:ascii="Cambria Math" w:hAnsi="Cambria Math" w:eastAsia="Cambria Math"/>
          <w:w w:val="105"/>
          <w:vertAlign w:val="subscript"/>
        </w:rPr>
        <w:t>𝐷,𝑡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𝛼(𝑝</w:t>
      </w:r>
      <w:r>
        <w:rPr>
          <w:rFonts w:ascii="Cambria Math" w:hAnsi="Cambria Math" w:eastAsia="Cambria Math"/>
          <w:w w:val="105"/>
          <w:vertAlign w:val="subscript"/>
        </w:rPr>
        <w:t>𝐷,𝑡</w:t>
      </w:r>
      <w:r>
        <w:rPr>
          <w:rFonts w:ascii="Cambria Math" w:hAnsi="Cambria Math" w:eastAsia="Cambria Math"/>
          <w:spacing w:val="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𝑝</w:t>
      </w:r>
      <w:r>
        <w:rPr>
          <w:rFonts w:ascii="Cambria Math" w:hAnsi="Cambria Math" w:eastAsia="Cambria Math"/>
          <w:w w:val="105"/>
          <w:vertAlign w:val="subscript"/>
        </w:rPr>
        <w:t>𝐹,𝑡</w:t>
      </w:r>
      <w:r>
        <w:rPr>
          <w:rFonts w:ascii="Cambria Math" w:hAnsi="Cambria Math" w:eastAsia="Cambria Math"/>
          <w:w w:val="105"/>
          <w:vertAlign w:val="baseline"/>
        </w:rPr>
        <w:t>)</w:t>
        <w:tab/>
      </w:r>
      <w:r>
        <w:rPr>
          <w:w w:val="105"/>
          <w:vertAlign w:val="baseline"/>
        </w:rPr>
        <w:t>(4.66)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ind w:left="500"/>
      </w:pPr>
      <w:r>
        <w:rPr/>
        <w:t>Since </w:t>
      </w:r>
      <w:r>
        <w:rPr>
          <w:rFonts w:ascii="Cambria Math" w:hAnsi="Cambria Math" w:eastAsia="Cambria Math"/>
        </w:rPr>
        <w:t>𝑠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3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𝑝</w:t>
      </w:r>
      <w:r>
        <w:rPr>
          <w:rFonts w:ascii="Cambria Math" w:hAnsi="Cambria Math" w:eastAsia="Cambria Math"/>
          <w:vertAlign w:val="subscript"/>
        </w:rPr>
        <w:t>𝐷,𝑡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𝑝</w:t>
      </w:r>
      <w:r>
        <w:rPr>
          <w:rFonts w:ascii="Cambria Math" w:hAnsi="Cambria Math" w:eastAsia="Cambria Math"/>
          <w:vertAlign w:val="subscript"/>
        </w:rPr>
        <w:t>𝐹,𝑡</w:t>
      </w:r>
      <w:r>
        <w:rPr>
          <w:rFonts w:ascii="Cambria Math" w:hAnsi="Cambria Math" w:eastAsia="Cambria Math"/>
          <w:spacing w:val="21"/>
          <w:vertAlign w:val="baseline"/>
        </w:rPr>
        <w:t> </w:t>
      </w:r>
      <w:r>
        <w:rPr>
          <w:vertAlign w:val="baseline"/>
        </w:rPr>
        <w:t>from</w:t>
      </w:r>
      <w:r>
        <w:rPr>
          <w:spacing w:val="2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3"/>
          <w:vertAlign w:val="baseline"/>
        </w:rPr>
        <w:t> </w:t>
      </w:r>
      <w:r>
        <w:rPr>
          <w:vertAlign w:val="baseline"/>
        </w:rPr>
        <w:t>(4.64),</w:t>
      </w:r>
      <w:r>
        <w:rPr>
          <w:spacing w:val="2"/>
          <w:vertAlign w:val="baseline"/>
        </w:rPr>
        <w:t> </w:t>
      </w:r>
      <w:r>
        <w:rPr>
          <w:vertAlign w:val="baseline"/>
        </w:rPr>
        <w:t>substitute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3"/>
          <w:vertAlign w:val="baseline"/>
        </w:rPr>
        <w:t> </w:t>
      </w:r>
      <w:r>
        <w:rPr>
          <w:vertAlign w:val="baseline"/>
        </w:rPr>
        <w:t>into</w:t>
      </w:r>
      <w:r>
        <w:rPr>
          <w:spacing w:val="2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3"/>
          <w:vertAlign w:val="baseline"/>
        </w:rPr>
        <w:t> </w:t>
      </w:r>
      <w:r>
        <w:rPr>
          <w:vertAlign w:val="baseline"/>
        </w:rPr>
        <w:t>(4.66)</w:t>
      </w:r>
      <w:r>
        <w:rPr>
          <w:spacing w:val="2"/>
          <w:vertAlign w:val="baseline"/>
        </w:rPr>
        <w:t> </w:t>
      </w:r>
      <w:r>
        <w:rPr>
          <w:vertAlign w:val="baseline"/>
        </w:rPr>
        <w:t>to</w:t>
      </w:r>
      <w:r>
        <w:rPr>
          <w:spacing w:val="3"/>
          <w:vertAlign w:val="baseline"/>
        </w:rPr>
        <w:t> </w:t>
      </w:r>
      <w:r>
        <w:rPr>
          <w:vertAlign w:val="baseline"/>
        </w:rPr>
        <w:t>get: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tabs>
          <w:tab w:pos="8901" w:val="left" w:leader="none"/>
        </w:tabs>
        <w:spacing w:before="1"/>
        <w:ind w:left="500"/>
      </w:pPr>
      <w:r>
        <w:rPr>
          <w:rFonts w:ascii="Cambria Math" w:hAnsi="Cambria Math" w:eastAsia="Cambria Math"/>
          <w:w w:val="105"/>
        </w:rPr>
        <w:t>𝑝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2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𝑝</w:t>
      </w:r>
      <w:r>
        <w:rPr>
          <w:rFonts w:ascii="Cambria Math" w:hAnsi="Cambria Math" w:eastAsia="Cambria Math"/>
          <w:w w:val="105"/>
          <w:vertAlign w:val="subscript"/>
        </w:rPr>
        <w:t>𝐷,𝑡</w:t>
      </w:r>
      <w:r>
        <w:rPr>
          <w:rFonts w:ascii="Cambria Math" w:hAnsi="Cambria Math" w:eastAsia="Cambria Math"/>
          <w:spacing w:val="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𝛼(𝑠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w w:val="105"/>
          <w:vertAlign w:val="baseline"/>
        </w:rPr>
        <w:t>)</w:t>
        <w:tab/>
      </w:r>
      <w:r>
        <w:rPr>
          <w:w w:val="105"/>
          <w:vertAlign w:val="baseline"/>
        </w:rPr>
        <w:t>(4.67)</w:t>
      </w:r>
    </w:p>
    <w:p>
      <w:pPr>
        <w:pStyle w:val="BodyText"/>
        <w:rPr>
          <w:sz w:val="31"/>
        </w:rPr>
      </w:pPr>
    </w:p>
    <w:p>
      <w:pPr>
        <w:pStyle w:val="BodyText"/>
        <w:ind w:left="500"/>
      </w:pPr>
      <w:r>
        <w:rPr/>
        <w:t>Using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one-period</w:t>
      </w:r>
      <w:r>
        <w:rPr>
          <w:spacing w:val="-1"/>
        </w:rPr>
        <w:t> </w:t>
      </w:r>
      <w:r>
        <w:rPr/>
        <w:t>lag, equation (4.67)</w:t>
      </w:r>
      <w:r>
        <w:rPr>
          <w:spacing w:val="-1"/>
        </w:rPr>
        <w:t> </w:t>
      </w:r>
      <w:r>
        <w:rPr/>
        <w:t>becomes: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tabs>
          <w:tab w:pos="8901" w:val="left" w:leader="none"/>
        </w:tabs>
        <w:spacing w:line="544" w:lineRule="auto"/>
        <w:ind w:left="500" w:right="876"/>
      </w:pPr>
      <w:r>
        <w:rPr>
          <w:rFonts w:ascii="Cambria Math" w:hAnsi="Cambria Math" w:eastAsia="Cambria Math"/>
        </w:rPr>
        <w:t>𝑝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𝑝</w:t>
      </w:r>
      <w:r>
        <w:rPr>
          <w:rFonts w:ascii="Cambria Math" w:hAnsi="Cambria Math" w:eastAsia="Cambria Math"/>
          <w:vertAlign w:val="subscript"/>
        </w:rPr>
        <w:t>𝑡−1</w:t>
      </w:r>
      <w:r>
        <w:rPr>
          <w:rFonts w:ascii="Cambria Math" w:hAnsi="Cambria Math" w:eastAsia="Cambria Math"/>
          <w:spacing w:val="3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𝑝</w:t>
      </w:r>
      <w:r>
        <w:rPr>
          <w:rFonts w:ascii="Cambria Math" w:hAnsi="Cambria Math" w:eastAsia="Cambria Math"/>
          <w:vertAlign w:val="subscript"/>
        </w:rPr>
        <w:t>𝐷,𝑡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𝑝</w:t>
      </w:r>
      <w:r>
        <w:rPr>
          <w:rFonts w:ascii="Cambria Math" w:hAnsi="Cambria Math" w:eastAsia="Cambria Math"/>
          <w:vertAlign w:val="subscript"/>
        </w:rPr>
        <w:t>𝐷,𝑡−1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𝛼(𝑠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𝑠</w:t>
      </w:r>
      <w:r>
        <w:rPr>
          <w:rFonts w:ascii="Cambria Math" w:hAnsi="Cambria Math" w:eastAsia="Cambria Math"/>
          <w:vertAlign w:val="subscript"/>
        </w:rPr>
        <w:t>𝑡−1</w:t>
      </w:r>
      <w:r>
        <w:rPr>
          <w:rFonts w:ascii="Cambria Math" w:hAnsi="Cambria Math" w:eastAsia="Cambria Math"/>
          <w:vertAlign w:val="baseline"/>
        </w:rPr>
        <w:t>)</w:t>
        <w:tab/>
      </w:r>
      <w:r>
        <w:rPr>
          <w:spacing w:val="-1"/>
          <w:vertAlign w:val="baseline"/>
        </w:rPr>
        <w:t>(4.68)</w:t>
      </w:r>
      <w:r>
        <w:rPr>
          <w:spacing w:val="-57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(4.68) can be</w:t>
      </w:r>
      <w:r>
        <w:rPr>
          <w:spacing w:val="-1"/>
          <w:vertAlign w:val="baseline"/>
        </w:rPr>
        <w:t> </w:t>
      </w:r>
      <w:r>
        <w:rPr>
          <w:vertAlign w:val="baseline"/>
        </w:rPr>
        <w:t>re-written as:</w:t>
      </w:r>
    </w:p>
    <w:p>
      <w:pPr>
        <w:pStyle w:val="BodyText"/>
        <w:tabs>
          <w:tab w:pos="8901" w:val="left" w:leader="none"/>
        </w:tabs>
        <w:spacing w:line="271" w:lineRule="exact"/>
        <w:ind w:left="500"/>
      </w:pPr>
      <w:r>
        <w:rPr>
          <w:rFonts w:ascii="Cambria Math" w:hAnsi="Cambria Math" w:eastAsia="Cambria Math"/>
        </w:rPr>
        <w:t>𝜋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3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𝜋</w:t>
      </w:r>
      <w:r>
        <w:rPr>
          <w:rFonts w:ascii="Cambria Math" w:hAnsi="Cambria Math" w:eastAsia="Cambria Math"/>
          <w:vertAlign w:val="subscript"/>
        </w:rPr>
        <w:t>𝐷,𝑡</w:t>
      </w:r>
      <w:r>
        <w:rPr>
          <w:rFonts w:ascii="Cambria Math" w:hAnsi="Cambria Math" w:eastAsia="Cambria Math"/>
          <w:spacing w:val="2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𝛼(∆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𝑠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)</w:t>
        <w:tab/>
      </w:r>
      <w:r>
        <w:rPr>
          <w:vertAlign w:val="baseline"/>
        </w:rPr>
        <w:t>(4.69)</w:t>
      </w:r>
    </w:p>
    <w:p>
      <w:pPr>
        <w:spacing w:after="0" w:line="271" w:lineRule="exact"/>
        <w:sectPr>
          <w:type w:val="continuous"/>
          <w:pgSz w:w="12240" w:h="15840"/>
          <w:pgMar w:top="1500" w:bottom="1120" w:left="940" w:right="940"/>
        </w:sectPr>
      </w:pPr>
    </w:p>
    <w:p>
      <w:pPr>
        <w:spacing w:before="57"/>
        <w:ind w:left="500" w:right="0" w:firstLine="0"/>
        <w:jc w:val="both"/>
        <w:rPr>
          <w:rFonts w:ascii="Cambria Math" w:hAnsi="Cambria Math" w:eastAsia="Cambria Math"/>
          <w:sz w:val="24"/>
        </w:rPr>
      </w:pPr>
      <w:r>
        <w:rPr>
          <w:sz w:val="24"/>
        </w:rPr>
        <w:t>Equation</w:t>
      </w:r>
      <w:r>
        <w:rPr>
          <w:spacing w:val="56"/>
          <w:sz w:val="24"/>
        </w:rPr>
        <w:t> </w:t>
      </w:r>
      <w:r>
        <w:rPr>
          <w:sz w:val="24"/>
        </w:rPr>
        <w:t>(4.69)</w:t>
      </w:r>
      <w:r>
        <w:rPr>
          <w:spacing w:val="55"/>
          <w:sz w:val="24"/>
        </w:rPr>
        <w:t> </w:t>
      </w:r>
      <w:r>
        <w:rPr>
          <w:sz w:val="24"/>
        </w:rPr>
        <w:t>relates</w:t>
      </w:r>
      <w:r>
        <w:rPr>
          <w:spacing w:val="58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CPI</w:t>
      </w:r>
      <w:r>
        <w:rPr>
          <w:spacing w:val="50"/>
          <w:sz w:val="24"/>
        </w:rPr>
        <w:t> </w:t>
      </w:r>
      <w:r>
        <w:rPr>
          <w:sz w:val="24"/>
        </w:rPr>
        <w:t>inflation</w:t>
      </w:r>
      <w:r>
        <w:rPr>
          <w:spacing w:val="55"/>
          <w:sz w:val="24"/>
        </w:rPr>
        <w:t> </w:t>
      </w:r>
      <w:r>
        <w:rPr>
          <w:sz w:val="24"/>
        </w:rPr>
        <w:t>(</w:t>
      </w:r>
      <w:r>
        <w:rPr>
          <w:rFonts w:ascii="Cambria Math" w:hAnsi="Cambria Math" w:eastAsia="Cambria Math"/>
          <w:sz w:val="24"/>
        </w:rPr>
        <w:t>𝜋</w:t>
      </w:r>
      <w:r>
        <w:rPr>
          <w:rFonts w:ascii="Cambria Math" w:hAnsi="Cambria Math" w:eastAsia="Cambria Math"/>
          <w:position w:val="-4"/>
          <w:sz w:val="17"/>
        </w:rPr>
        <w:t>𝑡</w:t>
      </w:r>
      <w:r>
        <w:rPr>
          <w:rFonts w:ascii="Cambria Math" w:hAnsi="Cambria Math" w:eastAsia="Cambria Math"/>
          <w:spacing w:val="12"/>
          <w:position w:val="-4"/>
          <w:sz w:val="17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4"/>
          <w:sz w:val="24"/>
        </w:rPr>
        <w:t> </w:t>
      </w:r>
      <w:r>
        <w:rPr>
          <w:rFonts w:ascii="Cambria Math" w:hAnsi="Cambria Math" w:eastAsia="Cambria Math"/>
          <w:sz w:val="24"/>
        </w:rPr>
        <w:t>𝑝</w:t>
      </w:r>
      <w:r>
        <w:rPr>
          <w:rFonts w:ascii="Cambria Math" w:hAnsi="Cambria Math" w:eastAsia="Cambria Math"/>
          <w:position w:val="-4"/>
          <w:sz w:val="17"/>
        </w:rPr>
        <w:t>𝑡</w:t>
      </w:r>
      <w:r>
        <w:rPr>
          <w:rFonts w:ascii="Cambria Math" w:hAnsi="Cambria Math" w:eastAsia="Cambria Math"/>
          <w:spacing w:val="30"/>
          <w:position w:val="-4"/>
          <w:sz w:val="17"/>
        </w:rPr>
        <w:t> </w:t>
      </w:r>
      <w:r>
        <w:rPr>
          <w:rFonts w:ascii="Cambria Math" w:hAnsi="Cambria Math" w:eastAsia="Cambria Math"/>
          <w:sz w:val="24"/>
        </w:rPr>
        <w:t>−</w:t>
      </w:r>
      <w:r>
        <w:rPr>
          <w:rFonts w:ascii="Cambria Math" w:hAnsi="Cambria Math" w:eastAsia="Cambria Math"/>
          <w:spacing w:val="2"/>
          <w:sz w:val="24"/>
        </w:rPr>
        <w:t> </w:t>
      </w:r>
      <w:r>
        <w:rPr>
          <w:rFonts w:ascii="Cambria Math" w:hAnsi="Cambria Math" w:eastAsia="Cambria Math"/>
          <w:sz w:val="24"/>
        </w:rPr>
        <w:t>𝑝</w:t>
      </w:r>
      <w:r>
        <w:rPr>
          <w:rFonts w:ascii="Cambria Math" w:hAnsi="Cambria Math" w:eastAsia="Cambria Math"/>
          <w:position w:val="-4"/>
          <w:sz w:val="17"/>
        </w:rPr>
        <w:t>𝑡−1</w:t>
      </w:r>
      <w:r>
        <w:rPr>
          <w:rFonts w:ascii="Cambria Math" w:hAnsi="Cambria Math" w:eastAsia="Cambria Math"/>
          <w:sz w:val="24"/>
        </w:rPr>
        <w:t>)</w:t>
      </w:r>
      <w:r>
        <w:rPr>
          <w:sz w:val="24"/>
        </w:rPr>
        <w:t>,</w:t>
      </w:r>
      <w:r>
        <w:rPr>
          <w:spacing w:val="55"/>
          <w:sz w:val="24"/>
        </w:rPr>
        <w:t> </w:t>
      </w:r>
      <w:r>
        <w:rPr>
          <w:sz w:val="24"/>
        </w:rPr>
        <w:t>domestic</w:t>
      </w:r>
      <w:r>
        <w:rPr>
          <w:spacing w:val="54"/>
          <w:sz w:val="24"/>
        </w:rPr>
        <w:t> </w:t>
      </w:r>
      <w:r>
        <w:rPr>
          <w:sz w:val="24"/>
        </w:rPr>
        <w:t>inflation</w:t>
      </w:r>
      <w:r>
        <w:rPr>
          <w:spacing w:val="55"/>
          <w:sz w:val="24"/>
        </w:rPr>
        <w:t> </w:t>
      </w:r>
      <w:r>
        <w:rPr>
          <w:sz w:val="24"/>
        </w:rPr>
        <w:t>(</w:t>
      </w:r>
      <w:r>
        <w:rPr>
          <w:rFonts w:ascii="Cambria Math" w:hAnsi="Cambria Math" w:eastAsia="Cambria Math"/>
          <w:sz w:val="24"/>
        </w:rPr>
        <w:t>𝜋</w:t>
      </w:r>
      <w:r>
        <w:rPr>
          <w:rFonts w:ascii="Cambria Math" w:hAnsi="Cambria Math" w:eastAsia="Cambria Math"/>
          <w:position w:val="-4"/>
          <w:sz w:val="17"/>
        </w:rPr>
        <w:t>𝐷,𝑡</w:t>
      </w:r>
      <w:r>
        <w:rPr>
          <w:rFonts w:ascii="Cambria Math" w:hAnsi="Cambria Math" w:eastAsia="Cambria Math"/>
          <w:spacing w:val="9"/>
          <w:position w:val="-4"/>
          <w:sz w:val="17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4"/>
          <w:sz w:val="24"/>
        </w:rPr>
        <w:t> </w:t>
      </w:r>
      <w:r>
        <w:rPr>
          <w:rFonts w:ascii="Cambria Math" w:hAnsi="Cambria Math" w:eastAsia="Cambria Math"/>
          <w:sz w:val="24"/>
        </w:rPr>
        <w:t>𝑝</w:t>
      </w:r>
      <w:r>
        <w:rPr>
          <w:rFonts w:ascii="Cambria Math" w:hAnsi="Cambria Math" w:eastAsia="Cambria Math"/>
          <w:position w:val="-4"/>
          <w:sz w:val="17"/>
        </w:rPr>
        <w:t>𝐷,𝑡</w:t>
      </w:r>
      <w:r>
        <w:rPr>
          <w:rFonts w:ascii="Cambria Math" w:hAnsi="Cambria Math" w:eastAsia="Cambria Math"/>
          <w:spacing w:val="30"/>
          <w:position w:val="-4"/>
          <w:sz w:val="17"/>
        </w:rPr>
        <w:t> </w:t>
      </w:r>
      <w:r>
        <w:rPr>
          <w:rFonts w:ascii="Cambria Math" w:hAnsi="Cambria Math" w:eastAsia="Cambria Math"/>
          <w:sz w:val="24"/>
        </w:rPr>
        <w:t>−</w:t>
      </w:r>
    </w:p>
    <w:p>
      <w:pPr>
        <w:pStyle w:val="BodyText"/>
        <w:spacing w:line="367" w:lineRule="auto" w:before="126"/>
        <w:ind w:left="500" w:right="497"/>
        <w:jc w:val="both"/>
      </w:pPr>
      <w:r>
        <w:rPr>
          <w:rFonts w:ascii="Cambria Math" w:hAnsi="Cambria Math" w:eastAsia="Cambria Math"/>
        </w:rPr>
        <w:t>𝑝</w:t>
      </w:r>
      <w:r>
        <w:rPr>
          <w:rFonts w:ascii="Cambria Math" w:hAnsi="Cambria Math" w:eastAsia="Cambria Math"/>
          <w:vertAlign w:val="subscript"/>
        </w:rPr>
        <w:t>𝐷,𝑡−1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and the terms of trade (</w:t>
      </w:r>
      <w:r>
        <w:rPr>
          <w:rFonts w:ascii="Cambria Math" w:hAnsi="Cambria Math" w:eastAsia="Cambria Math"/>
          <w:vertAlign w:val="baseline"/>
        </w:rPr>
        <w:t>𝑠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 = 𝑝</w:t>
      </w:r>
      <w:r>
        <w:rPr>
          <w:rFonts w:ascii="Cambria Math" w:hAnsi="Cambria Math" w:eastAsia="Cambria Math"/>
          <w:vertAlign w:val="subscript"/>
        </w:rPr>
        <w:t>𝐷,𝑡</w:t>
      </w:r>
      <w:r>
        <w:rPr>
          <w:rFonts w:ascii="Cambria Math" w:hAnsi="Cambria Math" w:eastAsia="Cambria Math"/>
          <w:vertAlign w:val="baseline"/>
        </w:rPr>
        <w:t> − 𝑝</w:t>
      </w:r>
      <w:r>
        <w:rPr>
          <w:rFonts w:ascii="Cambria Math" w:hAnsi="Cambria Math" w:eastAsia="Cambria Math"/>
          <w:vertAlign w:val="subscript"/>
        </w:rPr>
        <w:t>𝐹,𝑡</w:t>
      </w:r>
      <w:r>
        <w:rPr>
          <w:vertAlign w:val="baseline"/>
        </w:rPr>
        <w:t>). It shows that the difference between the two</w:t>
      </w:r>
      <w:r>
        <w:rPr>
          <w:spacing w:val="1"/>
          <w:vertAlign w:val="baseline"/>
        </w:rPr>
        <w:t> </w:t>
      </w:r>
      <w:r>
        <w:rPr>
          <w:vertAlign w:val="baseline"/>
        </w:rPr>
        <w:t>measures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inflation</w:t>
      </w:r>
      <w:r>
        <w:rPr>
          <w:spacing w:val="-6"/>
          <w:vertAlign w:val="baseline"/>
        </w:rPr>
        <w:t> </w:t>
      </w:r>
      <w:r>
        <w:rPr>
          <w:vertAlign w:val="baseline"/>
        </w:rPr>
        <w:t>is</w:t>
      </w:r>
      <w:r>
        <w:rPr>
          <w:spacing w:val="-6"/>
          <w:vertAlign w:val="baseline"/>
        </w:rPr>
        <w:t> </w:t>
      </w:r>
      <w:r>
        <w:rPr>
          <w:vertAlign w:val="baseline"/>
        </w:rPr>
        <w:t>proportional</w:t>
      </w:r>
      <w:r>
        <w:rPr>
          <w:spacing w:val="-6"/>
          <w:vertAlign w:val="baseline"/>
        </w:rPr>
        <w:t> </w:t>
      </w:r>
      <w:r>
        <w:rPr>
          <w:vertAlign w:val="baseline"/>
        </w:rPr>
        <w:t>to</w:t>
      </w:r>
      <w:r>
        <w:rPr>
          <w:spacing w:val="-6"/>
          <w:vertAlign w:val="baseline"/>
        </w:rPr>
        <w:t> </w:t>
      </w:r>
      <w:r>
        <w:rPr>
          <w:vertAlign w:val="baseline"/>
        </w:rPr>
        <w:t>changes</w:t>
      </w:r>
      <w:r>
        <w:rPr>
          <w:spacing w:val="-6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terms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trade.</w:t>
      </w:r>
      <w:r>
        <w:rPr>
          <w:spacing w:val="-6"/>
          <w:vertAlign w:val="baseline"/>
        </w:rPr>
        <w:t> </w:t>
      </w:r>
      <w:r>
        <w:rPr>
          <w:vertAlign w:val="baseline"/>
        </w:rPr>
        <w:t>Parameter</w:t>
      </w:r>
      <w:r>
        <w:rPr>
          <w:spacing w:val="-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𝛼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vertAlign w:val="baseline"/>
        </w:rPr>
        <w:t>is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58"/>
          <w:vertAlign w:val="baseline"/>
        </w:rPr>
        <w:t> </w:t>
      </w:r>
      <w:r>
        <w:rPr>
          <w:vertAlign w:val="baseline"/>
        </w:rPr>
        <w:t>proportionality.</w:t>
      </w:r>
    </w:p>
    <w:p>
      <w:pPr>
        <w:pStyle w:val="Heading2"/>
        <w:spacing w:before="191"/>
        <w:ind w:firstLine="0"/>
        <w:jc w:val="both"/>
      </w:pPr>
      <w:r>
        <w:rPr/>
        <w:t>The</w:t>
      </w:r>
      <w:r>
        <w:rPr>
          <w:spacing w:val="-2"/>
        </w:rPr>
        <w:t> </w:t>
      </w:r>
      <w:r>
        <w:rPr/>
        <w:t>link</w:t>
      </w:r>
      <w:r>
        <w:rPr>
          <w:spacing w:val="-2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terms</w:t>
      </w:r>
      <w:r>
        <w:rPr>
          <w:spacing w:val="-2"/>
        </w:rPr>
        <w:t> </w:t>
      </w:r>
      <w:r>
        <w:rPr/>
        <w:t>of trade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the law</w:t>
      </w:r>
      <w:r>
        <w:rPr>
          <w:spacing w:val="-1"/>
        </w:rPr>
        <w:t> </w:t>
      </w:r>
      <w:r>
        <w:rPr/>
        <w:t>of one</w:t>
      </w:r>
      <w:r>
        <w:rPr>
          <w:spacing w:val="-2"/>
        </w:rPr>
        <w:t> </w:t>
      </w:r>
      <w:r>
        <w:rPr/>
        <w:t>price</w:t>
      </w:r>
    </w:p>
    <w:p>
      <w:pPr>
        <w:pStyle w:val="BodyText"/>
        <w:spacing w:before="6"/>
        <w:rPr>
          <w:sz w:val="30"/>
        </w:rPr>
      </w:pPr>
    </w:p>
    <w:p>
      <w:pPr>
        <w:pStyle w:val="BodyText"/>
        <w:spacing w:line="376" w:lineRule="auto"/>
        <w:ind w:left="500" w:right="729"/>
      </w:pPr>
      <w:r>
        <w:rPr/>
        <w:pict>
          <v:shape style="position:absolute;margin-left:212.809998pt;margin-top:29.366877pt;width:3.8pt;height:8.550pt;mso-position-horizontal-relative:page;mso-position-vertical-relative:paragraph;z-index:-21422080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/>
        <w:t>Next,</w:t>
      </w:r>
      <w:r>
        <w:rPr>
          <w:spacing w:val="3"/>
        </w:rPr>
        <w:t> </w:t>
      </w:r>
      <w:r>
        <w:rPr/>
        <w:t>equation</w:t>
      </w:r>
      <w:r>
        <w:rPr>
          <w:spacing w:val="3"/>
        </w:rPr>
        <w:t> </w:t>
      </w:r>
      <w:r>
        <w:rPr/>
        <w:t>(4.66)</w:t>
      </w:r>
      <w:r>
        <w:rPr>
          <w:spacing w:val="2"/>
        </w:rPr>
        <w:t> </w:t>
      </w:r>
      <w:r>
        <w:rPr>
          <w:rFonts w:ascii="Cambria Math" w:hAnsi="Cambria Math" w:eastAsia="Cambria Math"/>
        </w:rPr>
        <w:t>𝑠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3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𝑝</w:t>
      </w:r>
      <w:r>
        <w:rPr>
          <w:rFonts w:ascii="Cambria Math" w:hAnsi="Cambria Math" w:eastAsia="Cambria Math"/>
          <w:vertAlign w:val="subscript"/>
        </w:rPr>
        <w:t>𝐷,𝑡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𝑝</w:t>
      </w:r>
      <w:r>
        <w:rPr>
          <w:rFonts w:ascii="Cambria Math" w:hAnsi="Cambria Math" w:eastAsia="Cambria Math"/>
          <w:vertAlign w:val="subscript"/>
        </w:rPr>
        <w:t>𝐹,𝑡</w:t>
      </w:r>
      <w:r>
        <w:rPr>
          <w:vertAlign w:val="baseline"/>
        </w:rPr>
        <w:t>which</w:t>
      </w:r>
      <w:r>
        <w:rPr>
          <w:spacing w:val="3"/>
          <w:vertAlign w:val="baseline"/>
        </w:rPr>
        <w:t> </w:t>
      </w:r>
      <w:r>
        <w:rPr>
          <w:vertAlign w:val="baseline"/>
        </w:rPr>
        <w:t>defines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terms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trade</w:t>
      </w:r>
      <w:r>
        <w:rPr>
          <w:spacing w:val="2"/>
          <w:vertAlign w:val="baseline"/>
        </w:rPr>
        <w:t> </w:t>
      </w:r>
      <w:r>
        <w:rPr>
          <w:vertAlign w:val="baseline"/>
        </w:rPr>
        <w:t>is</w:t>
      </w:r>
      <w:r>
        <w:rPr>
          <w:spacing w:val="3"/>
          <w:vertAlign w:val="baseline"/>
        </w:rPr>
        <w:t> </w:t>
      </w:r>
      <w:r>
        <w:rPr>
          <w:vertAlign w:val="baseline"/>
        </w:rPr>
        <w:t>combined</w:t>
      </w:r>
      <w:r>
        <w:rPr>
          <w:spacing w:val="3"/>
          <w:vertAlign w:val="baseline"/>
        </w:rPr>
        <w:t> </w:t>
      </w:r>
      <w:r>
        <w:rPr>
          <w:vertAlign w:val="baseline"/>
        </w:rPr>
        <w:t>with</w:t>
      </w:r>
      <w:r>
        <w:rPr>
          <w:spacing w:val="-57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1"/>
          <w:vertAlign w:val="baseline"/>
        </w:rPr>
        <w:t> </w:t>
      </w:r>
      <w:r>
        <w:rPr>
          <w:vertAlign w:val="baseline"/>
        </w:rPr>
        <w:t>(4.60)</w:t>
      </w:r>
      <w:r>
        <w:rPr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𝑝</w:t>
      </w:r>
      <w:r>
        <w:rPr>
          <w:rFonts w:ascii="Cambria Math" w:hAnsi="Cambria Math" w:eastAsia="Cambria Math"/>
          <w:vertAlign w:val="subscript"/>
        </w:rPr>
        <w:t>𝐹,𝑡</w:t>
      </w:r>
      <w:r>
        <w:rPr>
          <w:rFonts w:ascii="Cambria Math" w:hAnsi="Cambria Math" w:eastAsia="Cambria Math"/>
          <w:spacing w:val="3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𝑒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𝑝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depicts</w:t>
      </w:r>
      <w:r>
        <w:rPr>
          <w:spacing w:val="2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 law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one price</w:t>
      </w:r>
      <w:r>
        <w:rPr>
          <w:spacing w:val="1"/>
          <w:vertAlign w:val="baseline"/>
        </w:rPr>
        <w:t> </w:t>
      </w:r>
      <w:r>
        <w:rPr>
          <w:vertAlign w:val="baseline"/>
        </w:rPr>
        <w:t>holds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give:</w:t>
      </w:r>
    </w:p>
    <w:p>
      <w:pPr>
        <w:pStyle w:val="BodyText"/>
        <w:spacing w:before="200"/>
        <w:ind w:left="500"/>
        <w:rPr>
          <w:rFonts w:ascii="Cambria Math" w:hAnsi="Cambria Math" w:eastAsia="Cambria Math"/>
        </w:rPr>
      </w:pPr>
      <w:r>
        <w:rPr/>
        <w:pict>
          <v:shape style="position:absolute;margin-left:128.059998pt;margin-top:17.286915pt;width:3.8pt;height:8.550pt;mso-position-horizontal-relative:page;mso-position-vertical-relative:paragraph;z-index:-2142156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w w:val="105"/>
        </w:rPr>
        <w:t>𝑠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2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𝑒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-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𝑝</w:t>
      </w:r>
      <w:r>
        <w:rPr>
          <w:rFonts w:ascii="Cambria Math" w:hAnsi="Cambria Math" w:eastAsia="Cambria Math"/>
          <w:w w:val="105"/>
          <w:vertAlign w:val="superscript"/>
        </w:rPr>
        <w:t>∗</w:t>
      </w:r>
      <w:r>
        <w:rPr>
          <w:rFonts w:ascii="Cambria Math" w:hAnsi="Cambria Math" w:eastAsia="Cambria Math"/>
          <w:spacing w:val="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𝑝</w:t>
      </w:r>
      <w:r>
        <w:rPr>
          <w:rFonts w:ascii="Cambria Math" w:hAnsi="Cambria Math" w:eastAsia="Cambria Math"/>
          <w:w w:val="105"/>
          <w:vertAlign w:val="subscript"/>
        </w:rPr>
        <w:t>𝐷,𝑡</w:t>
      </w:r>
    </w:p>
    <w:p>
      <w:pPr>
        <w:pStyle w:val="BodyText"/>
        <w:spacing w:before="5"/>
        <w:rPr>
          <w:rFonts w:ascii="Cambria Math"/>
          <w:sz w:val="30"/>
        </w:rPr>
      </w:pPr>
    </w:p>
    <w:p>
      <w:pPr>
        <w:pStyle w:val="BodyText"/>
        <w:ind w:left="500"/>
        <w:jc w:val="both"/>
      </w:pPr>
      <w:r>
        <w:rPr/>
        <w:t>Make</w:t>
      </w:r>
      <w:r>
        <w:rPr>
          <w:spacing w:val="1"/>
        </w:rPr>
        <w:t> </w:t>
      </w:r>
      <w:r>
        <w:rPr>
          <w:rFonts w:ascii="Cambria Math" w:eastAsia="Cambria Math"/>
        </w:rPr>
        <w:t>𝑒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spacing w:val="13"/>
          <w:vertAlign w:val="baseline"/>
        </w:rPr>
        <w:t> </w:t>
      </w:r>
      <w:r>
        <w:rPr>
          <w:vertAlign w:val="baseline"/>
        </w:rPr>
        <w:t>the subject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formula: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tabs>
          <w:tab w:pos="8961" w:val="left" w:leader="none"/>
        </w:tabs>
        <w:ind w:left="500"/>
      </w:pPr>
      <w:r>
        <w:rPr/>
        <w:pict>
          <v:shape style="position:absolute;margin-left:128.059998pt;margin-top:7.286889pt;width:3.8pt;height:8.550pt;mso-position-horizontal-relative:page;mso-position-vertical-relative:paragraph;z-index:-21421056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</w:rPr>
        <w:t>𝑒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3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𝑠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𝑝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𝑝</w:t>
      </w:r>
      <w:r>
        <w:rPr>
          <w:rFonts w:ascii="Cambria Math" w:hAnsi="Cambria Math" w:eastAsia="Cambria Math"/>
          <w:vertAlign w:val="subscript"/>
        </w:rPr>
        <w:t>𝐷,𝑡</w:t>
      </w:r>
      <w:r>
        <w:rPr>
          <w:rFonts w:ascii="Cambria Math" w:hAnsi="Cambria Math" w:eastAsia="Cambria Math"/>
          <w:vertAlign w:val="baseline"/>
        </w:rPr>
        <w:tab/>
      </w:r>
      <w:r>
        <w:rPr>
          <w:vertAlign w:val="baseline"/>
        </w:rPr>
        <w:t>(4.70)</w:t>
      </w:r>
    </w:p>
    <w:p>
      <w:pPr>
        <w:pStyle w:val="BodyText"/>
        <w:rPr>
          <w:sz w:val="31"/>
        </w:rPr>
      </w:pPr>
    </w:p>
    <w:p>
      <w:pPr>
        <w:pStyle w:val="BodyText"/>
        <w:spacing w:line="360" w:lineRule="auto"/>
        <w:ind w:left="500" w:right="497"/>
      </w:pPr>
      <w:r>
        <w:rPr/>
        <w:t>Next,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relationship</w:t>
      </w:r>
      <w:r>
        <w:rPr>
          <w:spacing w:val="36"/>
        </w:rPr>
        <w:t> </w:t>
      </w:r>
      <w:r>
        <w:rPr/>
        <w:t>between</w:t>
      </w:r>
      <w:r>
        <w:rPr>
          <w:spacing w:val="37"/>
        </w:rPr>
        <w:t> </w:t>
      </w:r>
      <w:r>
        <w:rPr/>
        <w:t>the</w:t>
      </w:r>
      <w:r>
        <w:rPr>
          <w:spacing w:val="35"/>
        </w:rPr>
        <w:t> </w:t>
      </w:r>
      <w:r>
        <w:rPr/>
        <w:t>terms</w:t>
      </w:r>
      <w:r>
        <w:rPr>
          <w:spacing w:val="35"/>
        </w:rPr>
        <w:t> </w:t>
      </w:r>
      <w:r>
        <w:rPr/>
        <w:t>of</w:t>
      </w:r>
      <w:r>
        <w:rPr>
          <w:spacing w:val="37"/>
        </w:rPr>
        <w:t> </w:t>
      </w:r>
      <w:r>
        <w:rPr/>
        <w:t>trade</w:t>
      </w:r>
      <w:r>
        <w:rPr>
          <w:spacing w:val="33"/>
        </w:rPr>
        <w:t> </w:t>
      </w:r>
      <w:r>
        <w:rPr/>
        <w:t>and</w:t>
      </w:r>
      <w:r>
        <w:rPr>
          <w:spacing w:val="37"/>
        </w:rPr>
        <w:t> </w:t>
      </w:r>
      <w:r>
        <w:rPr/>
        <w:t>real</w:t>
      </w:r>
      <w:r>
        <w:rPr>
          <w:spacing w:val="36"/>
        </w:rPr>
        <w:t> </w:t>
      </w:r>
      <w:r>
        <w:rPr/>
        <w:t>exchange</w:t>
      </w:r>
      <w:r>
        <w:rPr>
          <w:spacing w:val="34"/>
        </w:rPr>
        <w:t> </w:t>
      </w:r>
      <w:r>
        <w:rPr/>
        <w:t>rate</w:t>
      </w:r>
      <w:r>
        <w:rPr>
          <w:spacing w:val="35"/>
        </w:rPr>
        <w:t> </w:t>
      </w:r>
      <w:r>
        <w:rPr/>
        <w:t>is</w:t>
      </w:r>
      <w:r>
        <w:rPr>
          <w:spacing w:val="36"/>
        </w:rPr>
        <w:t> </w:t>
      </w:r>
      <w:r>
        <w:rPr/>
        <w:t>derived.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real</w:t>
      </w:r>
      <w:r>
        <w:rPr>
          <w:spacing w:val="-57"/>
        </w:rPr>
        <w:t> </w:t>
      </w:r>
      <w:r>
        <w:rPr/>
        <w:t>exchange</w:t>
      </w:r>
      <w:r>
        <w:rPr>
          <w:spacing w:val="-2"/>
        </w:rPr>
        <w:t> </w:t>
      </w:r>
      <w:r>
        <w:rPr/>
        <w:t>rate in</w:t>
      </w:r>
      <w:r>
        <w:rPr>
          <w:spacing w:val="2"/>
        </w:rPr>
        <w:t> </w:t>
      </w:r>
      <w:r>
        <w:rPr/>
        <w:t>equation (4.62) is imputed into</w:t>
      </w:r>
      <w:r>
        <w:rPr>
          <w:spacing w:val="-1"/>
        </w:rPr>
        <w:t> </w:t>
      </w:r>
      <w:r>
        <w:rPr/>
        <w:t>equation (4.70) to give:</w:t>
      </w:r>
    </w:p>
    <w:p>
      <w:pPr>
        <w:pStyle w:val="BodyText"/>
        <w:spacing w:line="146" w:lineRule="exact" w:before="202"/>
        <w:ind w:left="50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𝑞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1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𝑠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𝑝</w:t>
      </w:r>
      <w:r>
        <w:rPr>
          <w:rFonts w:ascii="Cambria Math" w:hAnsi="Cambria Math" w:eastAsia="Cambria Math"/>
          <w:w w:val="105"/>
          <w:vertAlign w:val="superscript"/>
        </w:rPr>
        <w:t>∗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-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𝑝</w:t>
      </w:r>
      <w:r>
        <w:rPr>
          <w:rFonts w:ascii="Cambria Math" w:hAnsi="Cambria Math" w:eastAsia="Cambria Math"/>
          <w:w w:val="105"/>
          <w:vertAlign w:val="subscript"/>
        </w:rPr>
        <w:t>𝐷,𝑡</w:t>
      </w:r>
      <w:r>
        <w:rPr>
          <w:rFonts w:ascii="Cambria Math" w:hAnsi="Cambria Math" w:eastAsia="Cambria Math"/>
          <w:spacing w:val="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-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𝑝</w:t>
      </w:r>
      <w:r>
        <w:rPr>
          <w:rFonts w:ascii="Cambria Math" w:hAnsi="Cambria Math" w:eastAsia="Cambria Math"/>
          <w:w w:val="105"/>
          <w:vertAlign w:val="superscript"/>
        </w:rPr>
        <w:t>∗</w:t>
      </w:r>
      <w:r>
        <w:rPr>
          <w:rFonts w:ascii="Cambria Math" w:hAnsi="Cambria Math" w:eastAsia="Cambria Math"/>
          <w:spacing w:val="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4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𝑝</w:t>
      </w:r>
      <w:r>
        <w:rPr>
          <w:rFonts w:ascii="Cambria Math" w:hAnsi="Cambria Math" w:eastAsia="Cambria Math"/>
          <w:w w:val="105"/>
          <w:vertAlign w:val="subscript"/>
        </w:rPr>
        <w:t>𝑡</w:t>
      </w:r>
    </w:p>
    <w:p>
      <w:pPr>
        <w:tabs>
          <w:tab w:pos="2813" w:val="left" w:leader="none"/>
        </w:tabs>
        <w:spacing w:line="171" w:lineRule="exact" w:before="0"/>
        <w:ind w:left="163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</w:t>
        <w:tab/>
        <w:t>𝑡</w:t>
      </w:r>
    </w:p>
    <w:p>
      <w:pPr>
        <w:pStyle w:val="BodyText"/>
        <w:spacing w:before="9"/>
        <w:rPr>
          <w:rFonts w:ascii="Cambria Math"/>
          <w:sz w:val="19"/>
        </w:rPr>
      </w:pPr>
    </w:p>
    <w:p>
      <w:pPr>
        <w:pStyle w:val="BodyText"/>
        <w:spacing w:before="90"/>
        <w:ind w:left="500"/>
        <w:jc w:val="both"/>
      </w:pPr>
      <w:r>
        <w:rPr/>
        <w:t>Simplifying,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becomes: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ind w:left="50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𝑞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2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𝑠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-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𝑝</w:t>
      </w:r>
      <w:r>
        <w:rPr>
          <w:rFonts w:ascii="Cambria Math" w:hAnsi="Cambria Math" w:eastAsia="Cambria Math"/>
          <w:w w:val="105"/>
          <w:vertAlign w:val="subscript"/>
        </w:rPr>
        <w:t>𝐷,𝑡</w:t>
      </w:r>
      <w:r>
        <w:rPr>
          <w:rFonts w:ascii="Cambria Math" w:hAnsi="Cambria Math" w:eastAsia="Cambria Math"/>
          <w:spacing w:val="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4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𝑝</w:t>
      </w:r>
      <w:r>
        <w:rPr>
          <w:rFonts w:ascii="Cambria Math" w:hAnsi="Cambria Math" w:eastAsia="Cambria Math"/>
          <w:w w:val="105"/>
          <w:vertAlign w:val="subscript"/>
        </w:rPr>
        <w:t>𝑡</w:t>
      </w:r>
    </w:p>
    <w:p>
      <w:pPr>
        <w:pStyle w:val="BodyText"/>
        <w:spacing w:before="7"/>
        <w:rPr>
          <w:rFonts w:ascii="Cambria Math"/>
          <w:sz w:val="30"/>
        </w:rPr>
      </w:pPr>
    </w:p>
    <w:p>
      <w:pPr>
        <w:pStyle w:val="BodyText"/>
        <w:spacing w:line="372" w:lineRule="auto" w:before="1"/>
        <w:ind w:left="500" w:right="500"/>
        <w:jc w:val="both"/>
      </w:pPr>
      <w:r>
        <w:rPr/>
        <w:t>Where </w:t>
      </w:r>
      <w:r>
        <w:rPr>
          <w:rFonts w:ascii="Cambria Math" w:hAnsi="Cambria Math" w:eastAsia="Cambria Math"/>
        </w:rPr>
        <w:t>𝑝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 = 𝑝</w:t>
      </w:r>
      <w:r>
        <w:rPr>
          <w:rFonts w:ascii="Cambria Math" w:hAnsi="Cambria Math" w:eastAsia="Cambria Math"/>
          <w:vertAlign w:val="subscript"/>
        </w:rPr>
        <w:t>𝐷,𝑡</w:t>
      </w:r>
      <w:r>
        <w:rPr>
          <w:rFonts w:ascii="Cambria Math" w:hAnsi="Cambria Math" w:eastAsia="Cambria Math"/>
          <w:vertAlign w:val="baseline"/>
        </w:rPr>
        <w:t> − 𝛼(𝑠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) </w:t>
      </w:r>
      <w:r>
        <w:rPr>
          <w:vertAlign w:val="baseline"/>
        </w:rPr>
        <w:t>as seen in equation (4.67) is substituted into the previous equation, this</w:t>
      </w:r>
      <w:r>
        <w:rPr>
          <w:spacing w:val="1"/>
          <w:vertAlign w:val="baseline"/>
        </w:rPr>
        <w:t> </w:t>
      </w:r>
      <w:r>
        <w:rPr>
          <w:vertAlign w:val="baseline"/>
        </w:rPr>
        <w:t>becomes:</w:t>
      </w:r>
    </w:p>
    <w:p>
      <w:pPr>
        <w:pStyle w:val="BodyText"/>
        <w:spacing w:before="192"/>
        <w:ind w:left="50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𝑞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1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𝑠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𝛼𝑠</w:t>
      </w:r>
      <w:r>
        <w:rPr>
          <w:rFonts w:ascii="Cambria Math" w:hAnsi="Cambria Math" w:eastAsia="Cambria Math"/>
          <w:w w:val="105"/>
          <w:vertAlign w:val="subscript"/>
        </w:rPr>
        <w:t>𝑡</w:t>
      </w:r>
    </w:p>
    <w:p>
      <w:pPr>
        <w:pStyle w:val="BodyText"/>
        <w:spacing w:before="7"/>
        <w:rPr>
          <w:rFonts w:ascii="Cambria Math"/>
          <w:sz w:val="28"/>
        </w:rPr>
      </w:pPr>
    </w:p>
    <w:p>
      <w:pPr>
        <w:pStyle w:val="BodyText"/>
        <w:tabs>
          <w:tab w:pos="8901" w:val="left" w:leader="none"/>
        </w:tabs>
        <w:ind w:left="500"/>
      </w:pPr>
      <w:r>
        <w:rPr>
          <w:rFonts w:ascii="Cambria Math" w:hAnsi="Cambria Math" w:eastAsia="Cambria Math"/>
        </w:rPr>
        <w:t>𝑞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3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(1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𝛼)𝑠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ab/>
      </w:r>
      <w:r>
        <w:rPr>
          <w:vertAlign w:val="baseline"/>
        </w:rPr>
        <w:t>(4.71)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  <w:spacing w:before="1"/>
      </w:pPr>
      <w:r>
        <w:rPr/>
        <w:t>International</w:t>
      </w:r>
      <w:r>
        <w:rPr>
          <w:spacing w:val="-8"/>
        </w:rPr>
        <w:t> </w:t>
      </w:r>
      <w:r>
        <w:rPr/>
        <w:t>Risk</w:t>
      </w:r>
      <w:r>
        <w:rPr>
          <w:spacing w:val="-8"/>
        </w:rPr>
        <w:t> </w:t>
      </w:r>
      <w:r>
        <w:rPr/>
        <w:t>Sharing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360" w:lineRule="auto"/>
        <w:ind w:left="500" w:right="499"/>
        <w:jc w:val="both"/>
      </w:pPr>
      <w:r>
        <w:rPr/>
        <w:t>In a complete and integrated international financial market, it is assumed that there is perfect risk</w:t>
      </w:r>
      <w:r>
        <w:rPr>
          <w:spacing w:val="-57"/>
        </w:rPr>
        <w:t> </w:t>
      </w:r>
      <w:r>
        <w:rPr/>
        <w:t>sharing</w:t>
      </w:r>
      <w:r>
        <w:rPr>
          <w:spacing w:val="-4"/>
        </w:rPr>
        <w:t> </w:t>
      </w:r>
      <w:r>
        <w:rPr/>
        <w:t>between</w:t>
      </w:r>
      <w:r>
        <w:rPr>
          <w:spacing w:val="-3"/>
        </w:rPr>
        <w:t> </w:t>
      </w:r>
      <w:r>
        <w:rPr/>
        <w:t>households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domestic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foreign</w:t>
      </w:r>
      <w:r>
        <w:rPr>
          <w:spacing w:val="-1"/>
        </w:rPr>
        <w:t> </w:t>
      </w:r>
      <w:r>
        <w:rPr/>
        <w:t>countries</w:t>
      </w:r>
      <w:r>
        <w:rPr>
          <w:spacing w:val="-4"/>
        </w:rPr>
        <w:t> </w:t>
      </w:r>
      <w:r>
        <w:rPr/>
        <w:t>i.e.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assumed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prices</w:t>
      </w:r>
      <w:r>
        <w:rPr>
          <w:spacing w:val="-57"/>
        </w:rPr>
        <w:t> </w:t>
      </w:r>
      <w:r>
        <w:rPr/>
        <w:t>of domestic and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bonds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the same.</w:t>
      </w:r>
      <w:r>
        <w:rPr>
          <w:spacing w:val="3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household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the domestic</w:t>
      </w:r>
    </w:p>
    <w:p>
      <w:pPr>
        <w:spacing w:after="0" w:line="360" w:lineRule="auto"/>
        <w:jc w:val="both"/>
        <w:sectPr>
          <w:pgSz w:w="12240" w:h="15840"/>
          <w:pgMar w:header="0" w:footer="935" w:top="1380" w:bottom="1200" w:left="940" w:right="940"/>
        </w:sectPr>
      </w:pPr>
    </w:p>
    <w:p>
      <w:pPr>
        <w:pStyle w:val="BodyText"/>
        <w:spacing w:line="360" w:lineRule="auto" w:before="74"/>
        <w:ind w:left="500" w:right="493"/>
      </w:pPr>
      <w:r>
        <w:rPr/>
        <w:t>and</w:t>
      </w:r>
      <w:r>
        <w:rPr>
          <w:spacing w:val="-9"/>
        </w:rPr>
        <w:t> </w:t>
      </w:r>
      <w:r>
        <w:rPr/>
        <w:t>foreign</w:t>
      </w:r>
      <w:r>
        <w:rPr>
          <w:spacing w:val="-9"/>
        </w:rPr>
        <w:t> </w:t>
      </w:r>
      <w:r>
        <w:rPr/>
        <w:t>economies</w:t>
      </w:r>
      <w:r>
        <w:rPr>
          <w:spacing w:val="-8"/>
        </w:rPr>
        <w:t> </w:t>
      </w:r>
      <w:r>
        <w:rPr/>
        <w:t>share</w:t>
      </w:r>
      <w:r>
        <w:rPr>
          <w:spacing w:val="-10"/>
        </w:rPr>
        <w:t> </w:t>
      </w:r>
      <w:r>
        <w:rPr/>
        <w:t>similar</w:t>
      </w:r>
      <w:r>
        <w:rPr>
          <w:spacing w:val="-9"/>
        </w:rPr>
        <w:t> </w:t>
      </w:r>
      <w:r>
        <w:rPr/>
        <w:t>preferences.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first</w:t>
      </w:r>
      <w:r>
        <w:rPr>
          <w:spacing w:val="-8"/>
        </w:rPr>
        <w:t> </w:t>
      </w:r>
      <w:r>
        <w:rPr/>
        <w:t>order</w:t>
      </w:r>
      <w:r>
        <w:rPr>
          <w:spacing w:val="-9"/>
        </w:rPr>
        <w:t> </w:t>
      </w:r>
      <w:r>
        <w:rPr/>
        <w:t>conditions</w:t>
      </w:r>
      <w:r>
        <w:rPr>
          <w:spacing w:val="-8"/>
        </w:rPr>
        <w:t> </w:t>
      </w:r>
      <w:r>
        <w:rPr/>
        <w:t>on</w:t>
      </w:r>
      <w:r>
        <w:rPr>
          <w:spacing w:val="-9"/>
        </w:rPr>
        <w:t> </w:t>
      </w:r>
      <w:r>
        <w:rPr/>
        <w:t>consumption</w:t>
      </w:r>
      <w:r>
        <w:rPr>
          <w:spacing w:val="-8"/>
        </w:rPr>
        <w:t> </w:t>
      </w:r>
      <w:r>
        <w:rPr/>
        <w:t>(4.23)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combined with bond asset (4.25), one</w:t>
      </w:r>
      <w:r>
        <w:rPr>
          <w:spacing w:val="-1"/>
        </w:rPr>
        <w:t> </w:t>
      </w:r>
      <w:r>
        <w:rPr/>
        <w:t>obtains:</w:t>
      </w:r>
    </w:p>
    <w:p>
      <w:pPr>
        <w:spacing w:after="0" w:line="360" w:lineRule="auto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ind w:left="500"/>
        <w:rPr>
          <w:rFonts w:ascii="Cambria Math" w:eastAsia="Cambria Math"/>
        </w:rPr>
      </w:pPr>
      <w:r>
        <w:rPr>
          <w:rFonts w:ascii="Cambria Math" w:eastAsia="Cambria Math"/>
          <w:spacing w:val="-7"/>
          <w:w w:val="105"/>
        </w:rPr>
        <w:t>𝛽</w:t>
      </w:r>
      <w:r>
        <w:rPr>
          <w:rFonts w:ascii="Cambria Math" w:eastAsia="Cambria Math"/>
          <w:spacing w:val="-9"/>
          <w:w w:val="105"/>
        </w:rPr>
        <w:t> </w:t>
      </w:r>
      <w:r>
        <w:rPr>
          <w:rFonts w:ascii="Cambria Math" w:eastAsia="Cambria Math"/>
          <w:spacing w:val="-6"/>
          <w:w w:val="105"/>
        </w:rPr>
        <w:t>(</w:t>
      </w:r>
    </w:p>
    <w:p>
      <w:pPr>
        <w:pStyle w:val="BodyText"/>
        <w:spacing w:before="1"/>
        <w:rPr>
          <w:rFonts w:ascii="Cambria Math"/>
          <w:sz w:val="23"/>
        </w:rPr>
      </w:pPr>
      <w:r>
        <w:rPr/>
        <w:br w:type="column"/>
      </w:r>
      <w:r>
        <w:rPr>
          <w:rFonts w:ascii="Cambria Math"/>
          <w:sz w:val="23"/>
        </w:rPr>
      </w:r>
    </w:p>
    <w:p>
      <w:pPr>
        <w:spacing w:before="0"/>
        <w:ind w:left="-39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position w:val="3"/>
          <w:sz w:val="17"/>
          <w:u w:val="single"/>
        </w:rPr>
        <w:t>𝐶</w:t>
      </w:r>
      <w:r>
        <w:rPr>
          <w:rFonts w:ascii="Cambria Math" w:eastAsia="Cambria Math"/>
          <w:w w:val="105"/>
          <w:sz w:val="14"/>
          <w:u w:val="single"/>
        </w:rPr>
        <w:t>𝑅,𝑡+1</w:t>
      </w:r>
    </w:p>
    <w:p>
      <w:pPr>
        <w:spacing w:before="41"/>
        <w:ind w:left="55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3"/>
          <w:sz w:val="17"/>
        </w:rPr>
        <w:t>𝐶</w:t>
      </w:r>
      <w:r>
        <w:rPr>
          <w:rFonts w:ascii="Cambria Math" w:eastAsia="Cambria Math"/>
          <w:w w:val="110"/>
          <w:sz w:val="14"/>
        </w:rPr>
        <w:t>𝑅,𝑡</w:t>
      </w:r>
    </w:p>
    <w:p>
      <w:pPr>
        <w:spacing w:line="136" w:lineRule="auto" w:before="171"/>
        <w:ind w:left="86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w w:val="110"/>
          <w:sz w:val="17"/>
        </w:rPr>
        <w:t>−𝜎</w:t>
      </w:r>
      <w:r>
        <w:rPr>
          <w:rFonts w:ascii="Cambria Math" w:hAnsi="Cambria Math" w:eastAsia="Cambria Math"/>
          <w:w w:val="110"/>
          <w:position w:val="-10"/>
          <w:sz w:val="17"/>
          <w:u w:val="single"/>
        </w:rPr>
        <w:t> </w:t>
      </w:r>
      <w:r>
        <w:rPr>
          <w:rFonts w:ascii="Cambria Math" w:hAnsi="Cambria Math" w:eastAsia="Cambria Math"/>
          <w:spacing w:val="33"/>
          <w:w w:val="110"/>
          <w:position w:val="-10"/>
          <w:sz w:val="17"/>
          <w:u w:val="single"/>
        </w:rPr>
        <w:t> </w:t>
      </w:r>
      <w:r>
        <w:rPr>
          <w:rFonts w:ascii="Cambria Math" w:hAnsi="Cambria Math" w:eastAsia="Cambria Math"/>
          <w:w w:val="110"/>
          <w:position w:val="-10"/>
          <w:sz w:val="17"/>
          <w:u w:val="single"/>
        </w:rPr>
        <w:t>𝑃</w:t>
      </w:r>
      <w:r>
        <w:rPr>
          <w:rFonts w:ascii="Cambria Math" w:hAnsi="Cambria Math" w:eastAsia="Cambria Math"/>
          <w:w w:val="110"/>
          <w:position w:val="-13"/>
          <w:sz w:val="14"/>
          <w:u w:val="single"/>
        </w:rPr>
        <w:t>𝑡</w:t>
      </w:r>
      <w:r>
        <w:rPr>
          <w:rFonts w:ascii="Cambria Math" w:hAnsi="Cambria Math" w:eastAsia="Cambria Math"/>
          <w:spacing w:val="7"/>
          <w:position w:val="-13"/>
          <w:sz w:val="14"/>
          <w:u w:val="single"/>
        </w:rPr>
        <w:t> </w:t>
      </w:r>
    </w:p>
    <w:p>
      <w:pPr>
        <w:pStyle w:val="BodyText"/>
        <w:spacing w:line="162" w:lineRule="exact"/>
        <w:ind w:left="-32"/>
        <w:rPr>
          <w:rFonts w:ascii="Cambria Math"/>
        </w:rPr>
      </w:pPr>
      <w:r>
        <w:rPr>
          <w:rFonts w:ascii="Cambria Math"/>
          <w:w w:val="119"/>
        </w:rPr>
        <w:t>)</w:t>
      </w:r>
    </w:p>
    <w:p>
      <w:pPr>
        <w:spacing w:line="177" w:lineRule="exact" w:before="0"/>
        <w:ind w:left="376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spacing w:val="-3"/>
          <w:w w:val="105"/>
          <w:position w:val="3"/>
          <w:sz w:val="17"/>
        </w:rPr>
        <w:t>𝑃</w:t>
      </w:r>
      <w:r>
        <w:rPr>
          <w:rFonts w:ascii="Cambria Math" w:eastAsia="Cambria Math"/>
          <w:spacing w:val="-3"/>
          <w:w w:val="105"/>
          <w:sz w:val="14"/>
        </w:rPr>
        <w:t>𝑡+1</w:t>
      </w:r>
    </w:p>
    <w:p>
      <w:pPr>
        <w:pStyle w:val="BodyText"/>
        <w:spacing w:before="4"/>
        <w:rPr>
          <w:rFonts w:ascii="Cambria Math"/>
          <w:sz w:val="29"/>
        </w:rPr>
      </w:pPr>
      <w:r>
        <w:rPr/>
        <w:br w:type="column"/>
      </w:r>
      <w:r>
        <w:rPr>
          <w:rFonts w:ascii="Cambria Math"/>
          <w:sz w:val="29"/>
        </w:rPr>
      </w:r>
    </w:p>
    <w:p>
      <w:pPr>
        <w:pStyle w:val="BodyText"/>
        <w:tabs>
          <w:tab w:pos="6794" w:val="left" w:leader="none"/>
        </w:tabs>
        <w:spacing w:before="1"/>
        <w:ind w:left="27"/>
      </w:pP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81"/>
        </w:rPr>
        <w:t> </w:t>
      </w:r>
      <w:r>
        <w:rPr>
          <w:rFonts w:ascii="Cambria Math" w:eastAsia="Cambria Math"/>
        </w:rPr>
        <w:t>𝑄</w:t>
      </w:r>
      <w:r>
        <w:rPr>
          <w:rFonts w:ascii="Cambria Math" w:eastAsia="Cambria Math"/>
          <w:vertAlign w:val="subscript"/>
        </w:rPr>
        <w:t>𝑡,𝑡+1</w:t>
      </w:r>
      <w:r>
        <w:rPr>
          <w:rFonts w:ascii="Cambria Math" w:eastAsia="Cambria Math"/>
          <w:vertAlign w:val="baseline"/>
        </w:rPr>
        <w:tab/>
      </w:r>
      <w:r>
        <w:rPr>
          <w:vertAlign w:val="baseline"/>
        </w:rPr>
        <w:t>(4.72)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4" w:equalWidth="0">
            <w:col w:w="812" w:space="40"/>
            <w:col w:w="448" w:space="39"/>
            <w:col w:w="730" w:space="39"/>
            <w:col w:w="8252"/>
          </w:cols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90"/>
        <w:ind w:left="500"/>
      </w:pP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no-arbitrage</w:t>
      </w:r>
      <w:r>
        <w:rPr>
          <w:spacing w:val="-1"/>
        </w:rPr>
        <w:t> </w:t>
      </w:r>
      <w:r>
        <w:rPr/>
        <w:t>condition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tabs>
          <w:tab w:pos="1342" w:val="left" w:leader="none"/>
          <w:tab w:pos="8901" w:val="left" w:leader="none"/>
        </w:tabs>
        <w:ind w:left="500"/>
      </w:pPr>
      <w:r>
        <w:rPr/>
        <w:pict>
          <v:shape style="position:absolute;margin-left:89.543999pt;margin-top:7.406921pt;width:20.8pt;height:8.550pt;mso-position-horizontal-relative:page;mso-position-vertical-relative:paragraph;z-index:-21415424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05"/>
                      <w:sz w:val="17"/>
                    </w:rPr>
                    <w:t>𝑡,𝑡+1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w w:val="105"/>
        </w:rPr>
        <w:t>𝜀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w w:val="105"/>
          <w:vertAlign w:val="baseline"/>
        </w:rPr>
        <w:t>𝑄</w:t>
      </w:r>
      <w:r>
        <w:rPr>
          <w:rFonts w:ascii="Cambria Math" w:hAnsi="Cambria Math" w:eastAsia="Cambria Math"/>
          <w:w w:val="105"/>
          <w:vertAlign w:val="superscript"/>
        </w:rPr>
        <w:t>∗</w:t>
      </w:r>
      <w:r>
        <w:rPr>
          <w:rFonts w:ascii="Cambria Math" w:hAnsi="Cambria Math" w:eastAsia="Cambria Math"/>
          <w:w w:val="105"/>
          <w:vertAlign w:val="baseline"/>
        </w:rPr>
        <w:tab/>
        <w:t>=</w:t>
      </w:r>
      <w:r>
        <w:rPr>
          <w:rFonts w:ascii="Cambria Math" w:hAnsi="Cambria Math" w:eastAsia="Cambria Math"/>
          <w:spacing w:val="1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𝜀</w:t>
      </w:r>
      <w:r>
        <w:rPr>
          <w:rFonts w:ascii="Cambria Math" w:hAnsi="Cambria Math" w:eastAsia="Cambria Math"/>
          <w:w w:val="105"/>
          <w:vertAlign w:val="subscript"/>
        </w:rPr>
        <w:t>𝑡+1</w:t>
      </w:r>
      <w:r>
        <w:rPr>
          <w:rFonts w:ascii="Cambria Math" w:hAnsi="Cambria Math" w:eastAsia="Cambria Math"/>
          <w:w w:val="105"/>
          <w:vertAlign w:val="baseline"/>
        </w:rPr>
        <w:t>𝑄</w:t>
      </w:r>
      <w:r>
        <w:rPr>
          <w:rFonts w:ascii="Cambria Math" w:hAnsi="Cambria Math" w:eastAsia="Cambria Math"/>
          <w:w w:val="105"/>
          <w:vertAlign w:val="subscript"/>
        </w:rPr>
        <w:t>𝑡,𝑡+1</w:t>
      </w:r>
      <w:r>
        <w:rPr>
          <w:rFonts w:ascii="Cambria Math" w:hAnsi="Cambria Math" w:eastAsia="Cambria Math"/>
          <w:w w:val="105"/>
          <w:vertAlign w:val="baseline"/>
        </w:rPr>
        <w:tab/>
      </w:r>
      <w:r>
        <w:rPr>
          <w:w w:val="105"/>
          <w:vertAlign w:val="baseline"/>
        </w:rPr>
        <w:t>(4.73)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before="1"/>
        <w:ind w:left="500"/>
      </w:pPr>
      <w:r>
        <w:rPr/>
        <w:t>gives</w:t>
      </w: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spacing w:line="122" w:lineRule="exact" w:before="141"/>
        <w:ind w:left="0" w:right="0" w:firstLine="0"/>
        <w:jc w:val="righ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position w:val="-6"/>
          <w:sz w:val="17"/>
        </w:rPr>
        <w:t>𝐶</w:t>
      </w:r>
      <w:r>
        <w:rPr>
          <w:rFonts w:ascii="Cambria Math" w:hAnsi="Cambria Math" w:eastAsia="Cambria Math"/>
          <w:sz w:val="14"/>
        </w:rPr>
        <w:t>∗</w:t>
      </w:r>
    </w:p>
    <w:p>
      <w:pPr>
        <w:spacing w:line="160" w:lineRule="exact" w:before="102"/>
        <w:ind w:left="250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1"/>
          <w:sz w:val="17"/>
        </w:rPr>
        <w:t>−𝜎  </w:t>
      </w:r>
      <w:r>
        <w:rPr>
          <w:rFonts w:ascii="Cambria Math" w:hAnsi="Cambria Math" w:eastAsia="Cambria Math"/>
          <w:spacing w:val="15"/>
          <w:w w:val="105"/>
          <w:position w:val="1"/>
          <w:sz w:val="17"/>
        </w:rPr>
        <w:t> </w:t>
      </w:r>
      <w:r>
        <w:rPr>
          <w:rFonts w:ascii="Cambria Math" w:hAnsi="Cambria Math" w:eastAsia="Cambria Math"/>
          <w:w w:val="105"/>
          <w:position w:val="-6"/>
          <w:sz w:val="17"/>
        </w:rPr>
        <w:t>𝑃</w:t>
      </w:r>
      <w:r>
        <w:rPr>
          <w:rFonts w:ascii="Cambria Math" w:hAnsi="Cambria Math" w:eastAsia="Cambria Math"/>
          <w:w w:val="105"/>
          <w:sz w:val="14"/>
        </w:rPr>
        <w:t>∗</w:t>
      </w:r>
    </w:p>
    <w:p>
      <w:pPr>
        <w:pStyle w:val="BodyText"/>
        <w:spacing w:before="7"/>
        <w:rPr>
          <w:rFonts w:ascii="Cambria Math"/>
          <w:sz w:val="15"/>
        </w:rPr>
      </w:pPr>
      <w:r>
        <w:rPr/>
        <w:br w:type="column"/>
      </w:r>
      <w:r>
        <w:rPr>
          <w:rFonts w:ascii="Cambria Math"/>
          <w:sz w:val="15"/>
        </w:rPr>
      </w:r>
    </w:p>
    <w:p>
      <w:pPr>
        <w:spacing w:line="79" w:lineRule="exact" w:before="0"/>
        <w:ind w:left="810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position w:val="3"/>
          <w:sz w:val="17"/>
        </w:rPr>
        <w:t>𝐶</w:t>
      </w:r>
      <w:r>
        <w:rPr>
          <w:rFonts w:ascii="Cambria Math" w:eastAsia="Cambria Math"/>
          <w:w w:val="105"/>
          <w:sz w:val="14"/>
        </w:rPr>
        <w:t>𝑅,𝑡+1</w:t>
      </w:r>
    </w:p>
    <w:p>
      <w:pPr>
        <w:pStyle w:val="BodyText"/>
        <w:spacing w:before="5"/>
        <w:rPr>
          <w:rFonts w:ascii="Cambria Math"/>
          <w:sz w:val="12"/>
        </w:rPr>
      </w:pPr>
    </w:p>
    <w:p>
      <w:pPr>
        <w:pStyle w:val="BodyText"/>
        <w:spacing w:line="20" w:lineRule="exact"/>
        <w:ind w:left="810" w:right="-5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4.75pt;height:.85pt;mso-position-horizontal-relative:char;mso-position-vertical-relative:line" coordorigin="0,0" coordsize="495,17">
            <v:rect style="position:absolute;left:0;top:0;width:495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40" w:lineRule="auto" w:before="95"/>
        <w:ind w:left="86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w w:val="110"/>
          <w:sz w:val="17"/>
        </w:rPr>
        <w:t>−𝜎 </w:t>
      </w:r>
      <w:r>
        <w:rPr>
          <w:rFonts w:ascii="Cambria Math" w:hAnsi="Cambria Math" w:eastAsia="Cambria Math"/>
          <w:spacing w:val="33"/>
          <w:w w:val="110"/>
          <w:sz w:val="17"/>
        </w:rPr>
        <w:t> </w:t>
      </w:r>
      <w:r>
        <w:rPr>
          <w:rFonts w:ascii="Cambria Math" w:hAnsi="Cambria Math" w:eastAsia="Cambria Math"/>
          <w:w w:val="110"/>
          <w:position w:val="-10"/>
          <w:sz w:val="17"/>
        </w:rPr>
        <w:t>𝑃</w:t>
      </w:r>
      <w:r>
        <w:rPr>
          <w:rFonts w:ascii="Cambria Math" w:hAnsi="Cambria Math" w:eastAsia="Cambria Math"/>
          <w:w w:val="110"/>
          <w:position w:val="-13"/>
          <w:sz w:val="14"/>
        </w:rPr>
        <w:t>𝑡</w:t>
      </w:r>
    </w:p>
    <w:p>
      <w:pPr>
        <w:pStyle w:val="BodyText"/>
        <w:spacing w:before="1"/>
        <w:rPr>
          <w:rFonts w:ascii="Cambria Math"/>
          <w:sz w:val="9"/>
        </w:rPr>
      </w:pPr>
      <w:r>
        <w:rPr/>
        <w:pict>
          <v:rect style="position:absolute;margin-left:236.690002pt;margin-top:7.275635pt;width:17.64pt;height:.84pt;mso-position-horizontal-relative:page;mso-position-vertical-relative:paragraph;z-index:-156815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rFonts w:ascii="Cambria Math"/>
          <w:sz w:val="9"/>
        </w:rPr>
        <w:sectPr>
          <w:type w:val="continuous"/>
          <w:pgSz w:w="12240" w:h="15840"/>
          <w:pgMar w:top="1500" w:bottom="1120" w:left="940" w:right="940"/>
          <w:cols w:num="4" w:equalWidth="0">
            <w:col w:w="995" w:space="40"/>
            <w:col w:w="845" w:space="201"/>
            <w:col w:w="1300" w:space="39"/>
            <w:col w:w="6940"/>
          </w:cols>
        </w:sectPr>
      </w:pPr>
    </w:p>
    <w:p>
      <w:pPr>
        <w:spacing w:line="-69" w:lineRule="auto" w:before="0"/>
        <w:ind w:left="500" w:right="0" w:firstLine="0"/>
        <w:jc w:val="left"/>
        <w:rPr>
          <w:rFonts w:ascii="Cambria Math" w:eastAsia="Cambria Math"/>
          <w:sz w:val="24"/>
        </w:rPr>
      </w:pPr>
      <w:r>
        <w:rPr>
          <w:rFonts w:ascii="Cambria Math" w:eastAsia="Cambria Math"/>
          <w:spacing w:val="-3"/>
          <w:w w:val="110"/>
          <w:position w:val="-9"/>
          <w:sz w:val="24"/>
        </w:rPr>
        <w:t>𝛽</w:t>
      </w:r>
      <w:r>
        <w:rPr>
          <w:rFonts w:ascii="Cambria Math" w:eastAsia="Cambria Math"/>
          <w:spacing w:val="-13"/>
          <w:w w:val="110"/>
          <w:position w:val="-9"/>
          <w:sz w:val="24"/>
        </w:rPr>
        <w:t> </w:t>
      </w:r>
      <w:r>
        <w:rPr>
          <w:rFonts w:ascii="Cambria Math" w:eastAsia="Cambria Math"/>
          <w:spacing w:val="-3"/>
          <w:w w:val="110"/>
          <w:position w:val="-9"/>
          <w:sz w:val="24"/>
        </w:rPr>
        <w:t>(</w:t>
      </w:r>
      <w:r>
        <w:rPr>
          <w:rFonts w:ascii="Cambria Math" w:eastAsia="Cambria Math"/>
          <w:spacing w:val="39"/>
          <w:w w:val="110"/>
          <w:sz w:val="24"/>
          <w:u w:val="single"/>
        </w:rPr>
        <w:t> </w:t>
      </w:r>
      <w:r>
        <w:rPr>
          <w:rFonts w:ascii="Cambria Math" w:eastAsia="Cambria Math"/>
          <w:spacing w:val="-2"/>
          <w:w w:val="110"/>
          <w:sz w:val="14"/>
          <w:u w:val="single"/>
        </w:rPr>
        <w:t>𝑡+1</w:t>
      </w:r>
      <w:r>
        <w:rPr>
          <w:rFonts w:ascii="Cambria Math" w:eastAsia="Cambria Math"/>
          <w:spacing w:val="-2"/>
          <w:w w:val="110"/>
          <w:position w:val="-9"/>
          <w:sz w:val="24"/>
        </w:rPr>
        <w:t>)</w:t>
      </w:r>
    </w:p>
    <w:p>
      <w:pPr>
        <w:spacing w:before="140"/>
        <w:ind w:left="0" w:right="227" w:firstLine="0"/>
        <w:jc w:val="right"/>
        <w:rPr>
          <w:rFonts w:ascii="Cambria Math" w:eastAsia="Cambria Math"/>
          <w:sz w:val="14"/>
        </w:rPr>
      </w:pPr>
      <w:r>
        <w:rPr/>
        <w:pict>
          <v:shape style="position:absolute;margin-left:91.704002pt;margin-top:2.590872pt;width:9.15pt;height:10.6pt;mso-position-horizontal-relative:page;mso-position-vertical-relative:paragraph;z-index:-21414912" type="#_x0000_t202" filled="false" stroked="false">
            <v:textbox inset="0,0,0,0">
              <w:txbxContent>
                <w:p>
                  <w:pPr>
                    <w:spacing w:line="160" w:lineRule="auto" w:before="9"/>
                    <w:ind w:left="0" w:right="0" w:firstLine="0"/>
                    <w:jc w:val="left"/>
                    <w:rPr>
                      <w:rFonts w:ascii="Cambria Math" w:hAnsi="Cambria Math" w:eastAsia="Cambria Math"/>
                      <w:sz w:val="14"/>
                    </w:rPr>
                  </w:pPr>
                  <w:r>
                    <w:rPr>
                      <w:rFonts w:ascii="Cambria Math" w:hAnsi="Cambria Math" w:eastAsia="Cambria Math"/>
                      <w:position w:val="-5"/>
                      <w:sz w:val="17"/>
                    </w:rPr>
                    <w:t>𝐶</w:t>
                  </w:r>
                  <w:r>
                    <w:rPr>
                      <w:rFonts w:ascii="Cambria Math" w:hAnsi="Cambria Math" w:eastAsia="Cambria Math"/>
                      <w:sz w:val="14"/>
                    </w:rPr>
                    <w:t>∗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20"/>
          <w:sz w:val="14"/>
        </w:rPr>
        <w:t>𝑡</w:t>
      </w:r>
    </w:p>
    <w:p>
      <w:pPr>
        <w:pStyle w:val="BodyText"/>
        <w:spacing w:line="76" w:lineRule="exact"/>
        <w:ind w:left="247"/>
        <w:rPr>
          <w:rFonts w:ascii="Cambria Math" w:eastAsia="Cambria Math"/>
        </w:rPr>
      </w:pPr>
      <w:r>
        <w:rPr/>
        <w:br w:type="column"/>
      </w:r>
      <w:r>
        <w:rPr>
          <w:w w:val="86"/>
          <w:u w:val="single"/>
          <w:vertAlign w:val="superscript"/>
        </w:rPr>
        <w:t> </w:t>
      </w:r>
      <w:r>
        <w:rPr>
          <w:u w:val="single"/>
          <w:vertAlign w:val="baseline"/>
        </w:rPr>
        <w:t> </w:t>
      </w:r>
      <w:r>
        <w:rPr>
          <w:spacing w:val="20"/>
          <w:u w:val="single"/>
          <w:vertAlign w:val="baseline"/>
        </w:rPr>
        <w:t> </w:t>
      </w:r>
      <w:r>
        <w:rPr>
          <w:rFonts w:ascii="Cambria Math" w:eastAsia="Cambria Math"/>
          <w:spacing w:val="-1"/>
          <w:w w:val="110"/>
          <w:u w:val="single"/>
          <w:vertAlign w:val="superscript"/>
        </w:rPr>
        <w:t>𝑡</w:t>
      </w:r>
      <w:r>
        <w:rPr>
          <w:rFonts w:ascii="Cambria Math" w:eastAsia="Cambria Math"/>
          <w:spacing w:val="77"/>
          <w:w w:val="110"/>
          <w:vertAlign w:val="baseline"/>
        </w:rPr>
        <w:t> </w:t>
      </w:r>
      <w:r>
        <w:rPr>
          <w:rFonts w:ascii="Cambria Math" w:eastAsia="Cambria Math"/>
          <w:spacing w:val="-1"/>
          <w:w w:val="110"/>
          <w:vertAlign w:val="baseline"/>
        </w:rPr>
        <w:t>𝜀</w:t>
      </w:r>
      <w:r>
        <w:rPr>
          <w:rFonts w:ascii="Cambria Math" w:eastAsia="Cambria Math"/>
          <w:spacing w:val="-1"/>
          <w:w w:val="110"/>
          <w:vertAlign w:val="subscript"/>
        </w:rPr>
        <w:t>𝑡</w:t>
      </w:r>
      <w:r>
        <w:rPr>
          <w:rFonts w:ascii="Cambria Math" w:eastAsia="Cambria Math"/>
          <w:spacing w:val="61"/>
          <w:w w:val="110"/>
          <w:vertAlign w:val="baseline"/>
        </w:rPr>
        <w:t> </w:t>
      </w:r>
      <w:r>
        <w:rPr>
          <w:rFonts w:ascii="Cambria Math" w:eastAsia="Cambria Math"/>
          <w:spacing w:val="-1"/>
          <w:w w:val="110"/>
          <w:vertAlign w:val="baseline"/>
        </w:rPr>
        <w:t>=</w:t>
      </w:r>
      <w:r>
        <w:rPr>
          <w:rFonts w:ascii="Cambria Math" w:eastAsia="Cambria Math"/>
          <w:spacing w:val="47"/>
          <w:w w:val="110"/>
          <w:vertAlign w:val="baseline"/>
        </w:rPr>
        <w:t> </w:t>
      </w:r>
      <w:r>
        <w:rPr>
          <w:rFonts w:ascii="Cambria Math" w:eastAsia="Cambria Math"/>
          <w:w w:val="110"/>
          <w:vertAlign w:val="baseline"/>
        </w:rPr>
        <w:t>𝛽</w:t>
      </w:r>
      <w:r>
        <w:rPr>
          <w:rFonts w:ascii="Cambria Math" w:eastAsia="Cambria Math"/>
          <w:spacing w:val="-15"/>
          <w:w w:val="110"/>
          <w:vertAlign w:val="baseline"/>
        </w:rPr>
        <w:t> </w:t>
      </w:r>
      <w:r>
        <w:rPr>
          <w:rFonts w:ascii="Cambria Math" w:eastAsia="Cambria Math"/>
          <w:w w:val="110"/>
          <w:vertAlign w:val="baseline"/>
        </w:rPr>
        <w:t>(</w:t>
      </w:r>
    </w:p>
    <w:p>
      <w:pPr>
        <w:spacing w:line="155" w:lineRule="exact" w:before="0"/>
        <w:ind w:left="339" w:right="0" w:firstLine="0"/>
        <w:jc w:val="left"/>
        <w:rPr>
          <w:rFonts w:ascii="Cambria Math" w:eastAsia="Cambria Math"/>
          <w:sz w:val="14"/>
        </w:rPr>
      </w:pPr>
      <w:r>
        <w:rPr/>
        <w:pict>
          <v:shape style="position:absolute;margin-left:125.660004pt;margin-top:-4.867838pt;width:9.15pt;height:10.6pt;mso-position-horizontal-relative:page;mso-position-vertical-relative:paragraph;z-index:-21414400" type="#_x0000_t202" filled="false" stroked="false">
            <v:textbox inset="0,0,0,0">
              <w:txbxContent>
                <w:p>
                  <w:pPr>
                    <w:spacing w:line="160" w:lineRule="auto" w:before="9"/>
                    <w:ind w:left="0" w:right="0" w:firstLine="0"/>
                    <w:jc w:val="left"/>
                    <w:rPr>
                      <w:rFonts w:ascii="Cambria Math" w:hAnsi="Cambria Math" w:eastAsia="Cambria Math"/>
                      <w:sz w:val="14"/>
                    </w:rPr>
                  </w:pPr>
                  <w:r>
                    <w:rPr>
                      <w:rFonts w:ascii="Cambria Math" w:hAnsi="Cambria Math" w:eastAsia="Cambria Math"/>
                      <w:position w:val="-5"/>
                      <w:sz w:val="17"/>
                    </w:rPr>
                    <w:t>𝑃</w:t>
                  </w:r>
                  <w:r>
                    <w:rPr>
                      <w:rFonts w:ascii="Cambria Math" w:hAnsi="Cambria Math" w:eastAsia="Cambria Math"/>
                      <w:sz w:val="14"/>
                    </w:rPr>
                    <w:t>∗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10"/>
          <w:sz w:val="14"/>
        </w:rPr>
        <w:t>𝑡+1</w:t>
      </w:r>
    </w:p>
    <w:p>
      <w:pPr>
        <w:spacing w:line="39" w:lineRule="exact" w:before="0"/>
        <w:ind w:left="0" w:right="0" w:firstLine="0"/>
        <w:jc w:val="right"/>
        <w:rPr>
          <w:rFonts w:ascii="Cambria Math"/>
          <w:sz w:val="24"/>
        </w:rPr>
      </w:pPr>
      <w:r>
        <w:rPr/>
        <w:br w:type="column"/>
      </w:r>
      <w:r>
        <w:rPr>
          <w:rFonts w:ascii="Cambria Math"/>
          <w:w w:val="120"/>
          <w:sz w:val="24"/>
        </w:rPr>
        <w:t>)</w:t>
      </w:r>
    </w:p>
    <w:p>
      <w:pPr>
        <w:spacing w:line="177" w:lineRule="exact" w:before="0"/>
        <w:ind w:left="53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3"/>
          <w:sz w:val="17"/>
        </w:rPr>
        <w:t>𝐶</w:t>
      </w:r>
      <w:r>
        <w:rPr>
          <w:rFonts w:ascii="Cambria Math" w:eastAsia="Cambria Math"/>
          <w:w w:val="110"/>
          <w:sz w:val="14"/>
        </w:rPr>
        <w:t>𝑅,𝑡</w:t>
      </w:r>
    </w:p>
    <w:p>
      <w:pPr>
        <w:spacing w:line="216" w:lineRule="exact" w:before="0"/>
        <w:ind w:left="247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pacing w:val="-4"/>
          <w:w w:val="105"/>
          <w:position w:val="3"/>
          <w:sz w:val="17"/>
        </w:rPr>
        <w:t>𝑃</w:t>
      </w:r>
      <w:r>
        <w:rPr>
          <w:rFonts w:ascii="Cambria Math" w:eastAsia="Cambria Math"/>
          <w:spacing w:val="-4"/>
          <w:w w:val="105"/>
          <w:sz w:val="14"/>
        </w:rPr>
        <w:t>𝑡+1</w:t>
      </w:r>
    </w:p>
    <w:p>
      <w:pPr>
        <w:pStyle w:val="BodyText"/>
        <w:tabs>
          <w:tab w:pos="4721" w:val="left" w:leader="none"/>
        </w:tabs>
        <w:spacing w:line="85" w:lineRule="exact"/>
        <w:ind w:left="6"/>
      </w:pPr>
      <w:r>
        <w:rPr/>
        <w:br w:type="column"/>
      </w:r>
      <w:r>
        <w:rPr>
          <w:rFonts w:ascii="Cambria Math" w:eastAsia="Cambria Math"/>
          <w:w w:val="105"/>
        </w:rPr>
        <w:t>𝜀</w:t>
      </w:r>
      <w:r>
        <w:rPr>
          <w:rFonts w:ascii="Cambria Math" w:eastAsia="Cambria Math"/>
          <w:w w:val="105"/>
          <w:vertAlign w:val="subscript"/>
        </w:rPr>
        <w:t>𝑡+1</w:t>
      </w:r>
      <w:r>
        <w:rPr>
          <w:rFonts w:ascii="Cambria Math" w:eastAsia="Cambria Math"/>
          <w:w w:val="105"/>
          <w:vertAlign w:val="baseline"/>
        </w:rPr>
        <w:tab/>
      </w:r>
      <w:r>
        <w:rPr>
          <w:w w:val="105"/>
          <w:vertAlign w:val="baseline"/>
        </w:rPr>
        <w:t>(4.74)</w:t>
      </w:r>
    </w:p>
    <w:p>
      <w:pPr>
        <w:spacing w:after="0" w:line="85" w:lineRule="exact"/>
        <w:sectPr>
          <w:type w:val="continuous"/>
          <w:pgSz w:w="12240" w:h="15840"/>
          <w:pgMar w:top="1500" w:bottom="1120" w:left="940" w:right="940"/>
          <w:cols w:num="5" w:equalWidth="0">
            <w:col w:w="1286" w:space="40"/>
            <w:col w:w="1567" w:space="39"/>
            <w:col w:w="575" w:space="39"/>
            <w:col w:w="594" w:space="40"/>
            <w:col w:w="6180"/>
          </w:cols>
        </w:sect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before="90"/>
        <w:ind w:left="500"/>
      </w:pPr>
      <w:r>
        <w:rPr/>
        <w:t>Using</w:t>
      </w:r>
      <w:r>
        <w:rPr>
          <w:spacing w:val="-4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(4.61)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real</w:t>
      </w:r>
      <w:r>
        <w:rPr>
          <w:spacing w:val="-1"/>
        </w:rPr>
        <w:t> </w:t>
      </w:r>
      <w:r>
        <w:rPr/>
        <w:t>exchange</w:t>
      </w:r>
      <w:r>
        <w:rPr>
          <w:spacing w:val="-1"/>
        </w:rPr>
        <w:t> </w:t>
      </w:r>
      <w:r>
        <w:rPr/>
        <w:t>rate:</w:t>
      </w: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</w:pPr>
    </w:p>
    <w:p>
      <w:pPr>
        <w:pStyle w:val="BodyText"/>
        <w:ind w:left="500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𝑄</w:t>
      </w:r>
      <w:r>
        <w:rPr>
          <w:rFonts w:ascii="Cambria Math" w:eastAsia="Cambria Math"/>
          <w:w w:val="105"/>
          <w:vertAlign w:val="subscript"/>
        </w:rPr>
        <w:t>𝑡</w:t>
      </w:r>
      <w:r>
        <w:rPr>
          <w:rFonts w:ascii="Cambria Math" w:eastAsia="Cambria Math"/>
          <w:spacing w:val="-5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</w:p>
    <w:p>
      <w:pPr>
        <w:pStyle w:val="BodyText"/>
        <w:spacing w:before="94"/>
        <w:ind w:left="80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w w:val="105"/>
        </w:rPr>
        <w:t>𝜀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w w:val="105"/>
          <w:vertAlign w:val="baseline"/>
        </w:rPr>
        <w:t>𝑃</w:t>
      </w:r>
      <w:r>
        <w:rPr>
          <w:rFonts w:ascii="Cambria Math" w:hAnsi="Cambria Math" w:eastAsia="Cambria Math"/>
          <w:w w:val="105"/>
          <w:vertAlign w:val="superscript"/>
        </w:rPr>
        <w:t>∗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8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2.1pt;height:.85pt;mso-position-horizontal-relative:char;mso-position-vertical-relative:line" coordorigin="0,0" coordsize="442,17">
            <v:rect style="position:absolute;left:0;top:0;width:442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195"/>
        <w:rPr>
          <w:rFonts w:ascii="Cambria Math" w:eastAsia="Cambria Math"/>
        </w:rPr>
      </w:pPr>
      <w:r>
        <w:rPr/>
        <w:pict>
          <v:shape style="position:absolute;margin-left:118.339996pt;margin-top:-9.873109pt;width:3.8pt;height:8.550pt;mso-position-horizontal-relative:page;mso-position-vertical-relative:paragraph;z-index:-2141388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10"/>
        </w:rPr>
        <w:t>𝑃</w:t>
      </w:r>
      <w:r>
        <w:rPr>
          <w:rFonts w:ascii="Cambria Math" w:eastAsia="Cambria Math"/>
          <w:w w:val="110"/>
          <w:vertAlign w:val="subscript"/>
        </w:rPr>
        <w:t>𝑡</w:t>
      </w:r>
    </w:p>
    <w:p>
      <w:pPr>
        <w:spacing w:after="0"/>
        <w:rPr>
          <w:rFonts w:ascii="Cambria Math" w:eastAsia="Cambria Math"/>
        </w:rPr>
        <w:sectPr>
          <w:type w:val="continuous"/>
          <w:pgSz w:w="12240" w:h="15840"/>
          <w:pgMar w:top="1500" w:bottom="1120" w:left="940" w:right="940"/>
          <w:cols w:num="2" w:equalWidth="0">
            <w:col w:w="990" w:space="40"/>
            <w:col w:w="9330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90"/>
        <w:ind w:left="500"/>
      </w:pPr>
      <w:r>
        <w:rPr/>
        <w:t>Equation</w:t>
      </w:r>
      <w:r>
        <w:rPr>
          <w:spacing w:val="-1"/>
        </w:rPr>
        <w:t> </w:t>
      </w:r>
      <w:r>
        <w:rPr/>
        <w:t>(4.74)</w:t>
      </w:r>
      <w:r>
        <w:rPr>
          <w:spacing w:val="-1"/>
        </w:rPr>
        <w:t> </w:t>
      </w:r>
      <w:r>
        <w:rPr/>
        <w:t>becomes:</w:t>
      </w: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spacing w:line="122" w:lineRule="exact" w:before="141"/>
        <w:ind w:left="0" w:right="0" w:firstLine="0"/>
        <w:jc w:val="righ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position w:val="-6"/>
          <w:sz w:val="17"/>
        </w:rPr>
        <w:t>𝐶</w:t>
      </w:r>
      <w:r>
        <w:rPr>
          <w:rFonts w:ascii="Cambria Math" w:hAnsi="Cambria Math" w:eastAsia="Cambria Math"/>
          <w:sz w:val="14"/>
        </w:rPr>
        <w:t>∗</w:t>
      </w:r>
    </w:p>
    <w:p>
      <w:pPr>
        <w:spacing w:line="165" w:lineRule="exact" w:before="98"/>
        <w:ind w:left="252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w w:val="110"/>
          <w:sz w:val="17"/>
        </w:rPr>
        <w:t>−𝜎 </w:t>
      </w:r>
      <w:r>
        <w:rPr>
          <w:rFonts w:ascii="Cambria Math" w:hAnsi="Cambria Math" w:eastAsia="Cambria Math"/>
          <w:spacing w:val="9"/>
          <w:w w:val="110"/>
          <w:sz w:val="17"/>
        </w:rPr>
        <w:t> </w:t>
      </w:r>
      <w:r>
        <w:rPr>
          <w:rFonts w:ascii="Cambria Math" w:hAnsi="Cambria Math" w:eastAsia="Cambria Math"/>
          <w:spacing w:val="-71"/>
          <w:w w:val="110"/>
          <w:position w:val="-7"/>
          <w:sz w:val="17"/>
        </w:rPr>
        <w:t>𝑄</w:t>
      </w:r>
      <w:r>
        <w:rPr>
          <w:rFonts w:ascii="Cambria Math" w:hAnsi="Cambria Math" w:eastAsia="Cambria Math"/>
          <w:spacing w:val="-71"/>
          <w:w w:val="110"/>
          <w:position w:val="-11"/>
          <w:sz w:val="14"/>
        </w:rPr>
        <w:t>𝑡</w:t>
      </w:r>
    </w:p>
    <w:p>
      <w:pPr>
        <w:pStyle w:val="BodyText"/>
        <w:spacing w:before="7"/>
        <w:rPr>
          <w:rFonts w:ascii="Cambria Math"/>
          <w:sz w:val="15"/>
        </w:rPr>
      </w:pPr>
      <w:r>
        <w:rPr/>
        <w:br w:type="column"/>
      </w:r>
      <w:r>
        <w:rPr>
          <w:rFonts w:ascii="Cambria Math"/>
          <w:sz w:val="15"/>
        </w:rPr>
      </w:r>
    </w:p>
    <w:p>
      <w:pPr>
        <w:spacing w:line="79" w:lineRule="exact" w:before="0"/>
        <w:ind w:left="491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position w:val="3"/>
          <w:sz w:val="17"/>
        </w:rPr>
        <w:t>𝐶</w:t>
      </w:r>
      <w:r>
        <w:rPr>
          <w:rFonts w:ascii="Cambria Math" w:eastAsia="Cambria Math"/>
          <w:w w:val="105"/>
          <w:sz w:val="14"/>
        </w:rPr>
        <w:t>𝑅,𝑡+1</w:t>
      </w:r>
    </w:p>
    <w:p>
      <w:pPr>
        <w:pStyle w:val="BodyText"/>
        <w:spacing w:before="5"/>
        <w:rPr>
          <w:rFonts w:ascii="Cambria Math"/>
          <w:sz w:val="12"/>
        </w:rPr>
      </w:pPr>
    </w:p>
    <w:p>
      <w:pPr>
        <w:pStyle w:val="BodyText"/>
        <w:spacing w:line="20" w:lineRule="exact"/>
        <w:ind w:left="491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4.75pt;height:.85pt;mso-position-horizontal-relative:char;mso-position-vertical-relative:line" coordorigin="0,0" coordsize="495,17">
            <v:rect style="position:absolute;left:0;top:0;width:495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91" w:lineRule="exact" w:before="71"/>
        <w:ind w:left="86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−𝜎</w:t>
      </w:r>
    </w:p>
    <w:p>
      <w:pPr>
        <w:spacing w:after="0" w:line="191" w:lineRule="exact"/>
        <w:jc w:val="left"/>
        <w:rPr>
          <w:rFonts w:ascii="Cambria Math" w:hAns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4" w:equalWidth="0">
            <w:col w:w="801" w:space="40"/>
            <w:col w:w="813" w:space="39"/>
            <w:col w:w="978" w:space="40"/>
            <w:col w:w="7649"/>
          </w:cols>
        </w:sectPr>
      </w:pPr>
    </w:p>
    <w:p>
      <w:pPr>
        <w:spacing w:line="-43" w:lineRule="auto" w:before="0"/>
        <w:ind w:left="500" w:right="0" w:firstLine="0"/>
        <w:jc w:val="center"/>
        <w:rPr>
          <w:rFonts w:ascii="Cambria Math" w:eastAsia="Cambria Math"/>
          <w:sz w:val="24"/>
        </w:rPr>
      </w:pPr>
      <w:r>
        <w:rPr/>
        <w:pict>
          <v:shape style="position:absolute;margin-left:82.103996pt;margin-top:1.420128pt;width:9.15pt;height:10.6pt;mso-position-horizontal-relative:page;mso-position-vertical-relative:paragraph;z-index:-21413376" type="#_x0000_t202" filled="false" stroked="false">
            <v:textbox inset="0,0,0,0">
              <w:txbxContent>
                <w:p>
                  <w:pPr>
                    <w:spacing w:line="160" w:lineRule="auto" w:before="9"/>
                    <w:ind w:left="0" w:right="0" w:firstLine="0"/>
                    <w:jc w:val="left"/>
                    <w:rPr>
                      <w:rFonts w:ascii="Cambria Math" w:hAnsi="Cambria Math" w:eastAsia="Cambria Math"/>
                      <w:sz w:val="14"/>
                    </w:rPr>
                  </w:pPr>
                  <w:r>
                    <w:rPr>
                      <w:rFonts w:ascii="Cambria Math" w:hAnsi="Cambria Math" w:eastAsia="Cambria Math"/>
                      <w:position w:val="-5"/>
                      <w:sz w:val="17"/>
                    </w:rPr>
                    <w:t>𝐶</w:t>
                  </w:r>
                  <w:r>
                    <w:rPr>
                      <w:rFonts w:ascii="Cambria Math" w:hAnsi="Cambria Math" w:eastAsia="Cambria Math"/>
                      <w:sz w:val="14"/>
                    </w:rPr>
                    <w:t>∗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15"/>
          <w:position w:val="-9"/>
          <w:sz w:val="24"/>
        </w:rPr>
        <w:t>(</w:t>
      </w:r>
      <w:r>
        <w:rPr>
          <w:rFonts w:ascii="Cambria Math" w:eastAsia="Cambria Math"/>
          <w:spacing w:val="17"/>
          <w:w w:val="115"/>
          <w:sz w:val="24"/>
          <w:u w:val="single"/>
        </w:rPr>
        <w:t> </w:t>
      </w:r>
      <w:r>
        <w:rPr>
          <w:rFonts w:ascii="Cambria Math" w:eastAsia="Cambria Math"/>
          <w:w w:val="115"/>
          <w:sz w:val="14"/>
          <w:u w:val="single"/>
        </w:rPr>
        <w:t>𝑡+1</w:t>
      </w:r>
      <w:r>
        <w:rPr>
          <w:rFonts w:ascii="Cambria Math" w:eastAsia="Cambria Math"/>
          <w:w w:val="115"/>
          <w:position w:val="-9"/>
          <w:sz w:val="24"/>
        </w:rPr>
        <w:t>)</w:t>
      </w:r>
    </w:p>
    <w:p>
      <w:pPr>
        <w:spacing w:before="134"/>
        <w:ind w:left="777" w:right="209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20"/>
          <w:sz w:val="14"/>
        </w:rPr>
        <w:t>𝑡</w:t>
      </w:r>
    </w:p>
    <w:p>
      <w:pPr>
        <w:spacing w:line="64" w:lineRule="exact" w:before="0"/>
        <w:ind w:left="687" w:right="0" w:firstLine="0"/>
        <w:jc w:val="left"/>
        <w:rPr>
          <w:rFonts w:ascii="Cambria Math"/>
          <w:sz w:val="24"/>
        </w:rPr>
      </w:pPr>
      <w:r>
        <w:rPr/>
        <w:br w:type="column"/>
      </w:r>
      <w:r>
        <w:rPr>
          <w:rFonts w:ascii="Cambria Math"/>
          <w:spacing w:val="-7"/>
          <w:w w:val="110"/>
          <w:sz w:val="24"/>
        </w:rPr>
        <w:t>=</w:t>
      </w:r>
      <w:r>
        <w:rPr>
          <w:rFonts w:ascii="Cambria Math"/>
          <w:spacing w:val="-8"/>
          <w:w w:val="110"/>
          <w:sz w:val="24"/>
        </w:rPr>
        <w:t> </w:t>
      </w:r>
      <w:r>
        <w:rPr>
          <w:rFonts w:ascii="Cambria Math"/>
          <w:spacing w:val="-7"/>
          <w:w w:val="110"/>
          <w:sz w:val="24"/>
        </w:rPr>
        <w:t>(</w:t>
      </w:r>
    </w:p>
    <w:p>
      <w:pPr>
        <w:spacing w:line="177" w:lineRule="exact" w:before="0"/>
        <w:ind w:left="247" w:right="0" w:firstLine="0"/>
        <w:jc w:val="left"/>
        <w:rPr>
          <w:rFonts w:ascii="Cambria Math" w:eastAsia="Cambria Math"/>
          <w:sz w:val="14"/>
        </w:rPr>
      </w:pPr>
      <w:r>
        <w:rPr/>
        <w:pict>
          <v:rect style="position:absolute;margin-left:116.059998pt;margin-top:-4.224707pt;width:18.6pt;height:.84003pt;mso-position-horizontal-relative:page;mso-position-vertical-relative:paragraph;z-index:1577830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position w:val="3"/>
          <w:sz w:val="17"/>
        </w:rPr>
        <w:t>𝑄</w:t>
      </w:r>
      <w:r>
        <w:rPr>
          <w:rFonts w:ascii="Cambria Math" w:eastAsia="Cambria Math"/>
          <w:w w:val="105"/>
          <w:sz w:val="14"/>
        </w:rPr>
        <w:t>𝑡+1</w:t>
      </w:r>
    </w:p>
    <w:p>
      <w:pPr>
        <w:spacing w:line="64" w:lineRule="exact" w:before="0"/>
        <w:ind w:left="0" w:right="38" w:firstLine="0"/>
        <w:jc w:val="right"/>
        <w:rPr>
          <w:rFonts w:ascii="Cambria Math"/>
          <w:sz w:val="24"/>
        </w:rPr>
      </w:pPr>
      <w:r>
        <w:rPr/>
        <w:br w:type="column"/>
      </w:r>
      <w:r>
        <w:rPr>
          <w:rFonts w:ascii="Cambria Math"/>
          <w:w w:val="120"/>
          <w:sz w:val="24"/>
        </w:rPr>
        <w:t>)</w:t>
      </w:r>
    </w:p>
    <w:p>
      <w:pPr>
        <w:spacing w:line="177" w:lineRule="exact" w:before="0"/>
        <w:ind w:left="55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3"/>
          <w:sz w:val="17"/>
        </w:rPr>
        <w:t>𝐶</w:t>
      </w:r>
      <w:r>
        <w:rPr>
          <w:rFonts w:ascii="Cambria Math" w:eastAsia="Cambria Math"/>
          <w:w w:val="110"/>
          <w:sz w:val="14"/>
        </w:rPr>
        <w:t>𝑅,𝑡</w:t>
      </w:r>
    </w:p>
    <w:p>
      <w:pPr>
        <w:pStyle w:val="BodyText"/>
        <w:spacing w:line="109" w:lineRule="exact"/>
        <w:ind w:left="500"/>
      </w:pPr>
      <w:r>
        <w:rPr/>
        <w:br w:type="column"/>
      </w:r>
      <w:r>
        <w:rPr/>
        <w:t>(4.75)</w:t>
      </w:r>
    </w:p>
    <w:p>
      <w:pPr>
        <w:spacing w:after="0" w:line="109" w:lineRule="exact"/>
        <w:sectPr>
          <w:type w:val="continuous"/>
          <w:pgSz w:w="12240" w:h="15840"/>
          <w:pgMar w:top="1500" w:bottom="1120" w:left="940" w:right="940"/>
          <w:cols w:num="4" w:equalWidth="0">
            <w:col w:w="1094" w:space="40"/>
            <w:col w:w="1051" w:space="39"/>
            <w:col w:w="615" w:space="5563"/>
            <w:col w:w="1958"/>
          </w:cols>
        </w:sect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before="90"/>
        <w:ind w:left="500"/>
      </w:pPr>
      <w:r>
        <w:rPr/>
        <w:t>After</w:t>
      </w:r>
      <w:r>
        <w:rPr>
          <w:spacing w:val="-3"/>
        </w:rPr>
        <w:t> </w:t>
      </w:r>
      <w:r>
        <w:rPr/>
        <w:t>re-arranging</w:t>
      </w:r>
      <w:r>
        <w:rPr>
          <w:spacing w:val="-2"/>
        </w:rPr>
        <w:t> </w:t>
      </w:r>
      <w:r>
        <w:rPr/>
        <w:t>equation (4.75),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becomes:</w:t>
      </w:r>
    </w:p>
    <w:p>
      <w:pPr>
        <w:pStyle w:val="BodyText"/>
        <w:spacing w:before="7"/>
        <w:rPr>
          <w:sz w:val="21"/>
        </w:rPr>
      </w:pPr>
    </w:p>
    <w:p>
      <w:pPr>
        <w:spacing w:line="143" w:lineRule="exact" w:before="76"/>
        <w:ind w:left="1911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6"/>
          <w:sz w:val="14"/>
        </w:rPr>
        <w:t>1</w:t>
      </w:r>
    </w:p>
    <w:p>
      <w:pPr>
        <w:pStyle w:val="BodyText"/>
        <w:tabs>
          <w:tab w:pos="8901" w:val="left" w:leader="none"/>
        </w:tabs>
        <w:spacing w:line="260" w:lineRule="exact"/>
        <w:ind w:left="500"/>
      </w:pPr>
      <w:r>
        <w:rPr/>
        <w:pict>
          <v:rect style="position:absolute;margin-left:142.220001pt;margin-top:1.803609pt;width:4.92pt;height:.599980pt;mso-position-horizontal-relative:page;mso-position-vertical-relative:paragraph;z-index:-21416960" filled="true" fillcolor="#000000" stroked="false">
            <v:fill type="solid"/>
            <w10:wrap type="none"/>
          </v:rect>
        </w:pict>
      </w:r>
      <w:r>
        <w:rPr/>
        <w:pict>
          <v:shape style="position:absolute;margin-left:123.980003pt;margin-top:6.208139pt;width:3.8pt;height:8.550pt;mso-position-horizontal-relative:page;mso-position-vertical-relative:paragraph;z-index:-21412864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w w:val="105"/>
        </w:rPr>
        <w:t>𝐶</w:t>
      </w:r>
      <w:r>
        <w:rPr>
          <w:rFonts w:ascii="Cambria Math" w:hAnsi="Cambria Math" w:eastAsia="Cambria Math"/>
          <w:w w:val="105"/>
          <w:vertAlign w:val="subscript"/>
        </w:rPr>
        <w:t>𝑅,𝑡</w:t>
      </w:r>
      <w:r>
        <w:rPr>
          <w:rFonts w:ascii="Cambria Math" w:hAnsi="Cambria Math" w:eastAsia="Cambria Math"/>
          <w:spacing w:val="2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 </w:t>
      </w:r>
      <w:r>
        <w:rPr>
          <w:rFonts w:ascii="Cambria Math" w:hAnsi="Cambria Math" w:eastAsia="Cambria Math"/>
          <w:spacing w:val="1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𝐾𝐶</w:t>
      </w:r>
      <w:r>
        <w:rPr>
          <w:rFonts w:ascii="Cambria Math" w:hAnsi="Cambria Math" w:eastAsia="Cambria Math"/>
          <w:w w:val="105"/>
          <w:vertAlign w:val="superscript"/>
        </w:rPr>
        <w:t>∗</w:t>
      </w:r>
      <w:r>
        <w:rPr>
          <w:rFonts w:ascii="Cambria Math" w:hAnsi="Cambria Math" w:eastAsia="Cambria Math"/>
          <w:w w:val="105"/>
          <w:vertAlign w:val="baseline"/>
        </w:rPr>
        <w:t>𝑄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w w:val="105"/>
          <w:position w:val="3"/>
          <w:sz w:val="14"/>
          <w:vertAlign w:val="baseline"/>
        </w:rPr>
        <w:t>𝜎</w:t>
        <w:tab/>
      </w:r>
      <w:r>
        <w:rPr>
          <w:w w:val="105"/>
          <w:vertAlign w:val="baseline"/>
        </w:rPr>
        <w:t>(4.76)</w:t>
      </w:r>
    </w:p>
    <w:p>
      <w:pPr>
        <w:pStyle w:val="BodyText"/>
        <w:spacing w:before="6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148"/>
        <w:ind w:left="500"/>
        <w:rPr>
          <w:rFonts w:ascii="Cambria Math" w:eastAsia="Cambria Math"/>
        </w:rPr>
      </w:pPr>
      <w:r>
        <w:rPr/>
        <w:t>Where</w:t>
      </w:r>
      <w:r>
        <w:rPr>
          <w:spacing w:val="-9"/>
        </w:rPr>
        <w:t> </w:t>
      </w:r>
      <w:r>
        <w:rPr>
          <w:rFonts w:ascii="Cambria Math" w:eastAsia="Cambria Math"/>
        </w:rPr>
        <w:t>𝐾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</w:rPr>
        <w:t>=</w:t>
      </w:r>
    </w:p>
    <w:p>
      <w:pPr>
        <w:tabs>
          <w:tab w:pos="1028" w:val="left" w:leader="none"/>
        </w:tabs>
        <w:spacing w:line="199" w:lineRule="auto" w:before="93"/>
        <w:ind w:left="27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3"/>
          <w:sz w:val="17"/>
        </w:rPr>
        <w:t>𝐶</w:t>
      </w:r>
      <w:r>
        <w:rPr>
          <w:rFonts w:ascii="Cambria Math" w:hAnsi="Cambria Math" w:eastAsia="Cambria Math"/>
          <w:w w:val="105"/>
          <w:sz w:val="14"/>
        </w:rPr>
        <w:t>𝑅,𝑡+1</w:t>
      </w:r>
      <w:r>
        <w:rPr>
          <w:rFonts w:ascii="Cambria Math" w:hAnsi="Cambria Math" w:eastAsia="Cambria Math"/>
          <w:spacing w:val="15"/>
          <w:w w:val="105"/>
          <w:sz w:val="14"/>
        </w:rPr>
        <w:t> </w:t>
      </w:r>
      <w:r>
        <w:rPr>
          <w:rFonts w:ascii="Cambria Math" w:hAnsi="Cambria Math" w:eastAsia="Cambria Math"/>
          <w:w w:val="105"/>
          <w:position w:val="-10"/>
          <w:sz w:val="24"/>
        </w:rPr>
        <w:t>𝑄</w:t>
        <w:tab/>
      </w:r>
      <w:r>
        <w:rPr>
          <w:rFonts w:ascii="Cambria Math" w:hAnsi="Cambria Math" w:eastAsia="Cambria Math"/>
          <w:w w:val="105"/>
          <w:sz w:val="17"/>
        </w:rPr>
        <w:t>−</w:t>
      </w:r>
      <w:r>
        <w:rPr>
          <w:rFonts w:ascii="Cambria Math" w:hAnsi="Cambria Math" w:eastAsia="Cambria Math"/>
          <w:w w:val="105"/>
          <w:position w:val="-7"/>
          <w:sz w:val="14"/>
        </w:rPr>
        <w:t>𝜎</w:t>
      </w:r>
    </w:p>
    <w:p>
      <w:pPr>
        <w:spacing w:before="9"/>
        <w:ind w:left="193" w:right="0" w:firstLine="0"/>
        <w:jc w:val="left"/>
        <w:rPr>
          <w:rFonts w:ascii="Cambria Math" w:eastAsia="Cambria Math"/>
          <w:sz w:val="14"/>
        </w:rPr>
      </w:pPr>
      <w:r>
        <w:rPr/>
        <w:pict>
          <v:rect style="position:absolute;margin-left:131.419998pt;margin-top:-5.138608pt;width:24.72pt;height:.83997pt;mso-position-horizontal-relative:page;mso-position-vertical-relative:paragraph;z-index:-21416448" filled="true" fillcolor="#000000" stroked="false">
            <v:fill type="solid"/>
            <w10:wrap type="none"/>
          </v:rect>
        </w:pict>
      </w:r>
      <w:r>
        <w:rPr/>
        <w:pict>
          <v:rect style="position:absolute;margin-left:187.699997pt;margin-top:-9.818619pt;width:4.944pt;height:.599980pt;mso-position-horizontal-relative:page;mso-position-vertical-relative:paragraph;z-index:-21415936" filled="true" fillcolor="#000000" stroked="false">
            <v:fill type="solid"/>
            <w10:wrap type="none"/>
          </v:rect>
        </w:pict>
      </w:r>
      <w:r>
        <w:rPr/>
        <w:pict>
          <v:shape style="position:absolute;margin-left:134.899994pt;margin-top:-5.534088pt;width:46.1pt;height:12.15pt;mso-position-horizontal-relative:page;mso-position-vertical-relative:paragraph;z-index:-21412352" type="#_x0000_t202" filled="false" stroked="false">
            <v:textbox inset="0,0,0,0">
              <w:txbxContent>
                <w:p>
                  <w:pPr>
                    <w:tabs>
                      <w:tab w:pos="621" w:val="left" w:leader="none"/>
                    </w:tabs>
                    <w:spacing w:line="206" w:lineRule="auto" w:before="0"/>
                    <w:ind w:left="0" w:right="0" w:firstLine="0"/>
                    <w:jc w:val="left"/>
                    <w:rPr>
                      <w:rFonts w:ascii="Cambria Math" w:hAnsi="Cambria Math" w:eastAsia="Cambria Math"/>
                      <w:sz w:val="17"/>
                    </w:rPr>
                  </w:pPr>
                  <w:r>
                    <w:rPr>
                      <w:rFonts w:ascii="Cambria Math" w:hAnsi="Cambria Math" w:eastAsia="Cambria Math"/>
                      <w:w w:val="105"/>
                      <w:position w:val="-5"/>
                      <w:sz w:val="17"/>
                    </w:rPr>
                    <w:t>𝐶</w:t>
                  </w:r>
                  <w:r>
                    <w:rPr>
                      <w:rFonts w:ascii="Cambria Math" w:hAnsi="Cambria Math" w:eastAsia="Cambria Math"/>
                      <w:w w:val="105"/>
                      <w:sz w:val="14"/>
                    </w:rPr>
                    <w:t>∗</w:t>
                    <w:tab/>
                  </w:r>
                  <w:r>
                    <w:rPr>
                      <w:rFonts w:ascii="Cambria Math" w:hAnsi="Cambria Math" w:eastAsia="Cambria Math"/>
                      <w:spacing w:val="-3"/>
                      <w:w w:val="105"/>
                      <w:position w:val="1"/>
                      <w:sz w:val="17"/>
                    </w:rPr>
                    <w:t>𝑡+1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8.059998pt;margin-top:-17.519146pt;width:4.150pt;height:7pt;mso-position-horizontal-relative:page;mso-position-vertical-relative:paragraph;z-index:-21411840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Cambria Math"/>
                      <w:sz w:val="14"/>
                    </w:rPr>
                  </w:pPr>
                  <w:r>
                    <w:rPr>
                      <w:rFonts w:ascii="Cambria Math"/>
                      <w:w w:val="106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10"/>
          <w:sz w:val="14"/>
        </w:rPr>
        <w:t>𝑡+1</w:t>
      </w:r>
    </w:p>
    <w:p>
      <w:pPr>
        <w:spacing w:after="0"/>
        <w:jc w:val="left"/>
        <w:rPr>
          <w:rFonts w:ascii="Cambria Math" w:eastAsia="Cambria Math"/>
          <w:sz w:val="14"/>
        </w:rPr>
        <w:sectPr>
          <w:type w:val="continuous"/>
          <w:pgSz w:w="12240" w:h="15840"/>
          <w:pgMar w:top="1500" w:bottom="1120" w:left="940" w:right="940"/>
          <w:cols w:num="2" w:equalWidth="0">
            <w:col w:w="1621" w:space="40"/>
            <w:col w:w="8699"/>
          </w:cols>
        </w:sectPr>
      </w:pPr>
    </w:p>
    <w:p>
      <w:pPr>
        <w:pStyle w:val="BodyText"/>
        <w:spacing w:before="10"/>
        <w:rPr>
          <w:rFonts w:ascii="Cambria Math"/>
          <w:sz w:val="18"/>
        </w:rPr>
      </w:pPr>
    </w:p>
    <w:p>
      <w:pPr>
        <w:pStyle w:val="BodyText"/>
        <w:spacing w:before="90"/>
        <w:ind w:left="500"/>
      </w:pPr>
      <w:r>
        <w:rPr/>
        <w:t>Log-linearise equation</w:t>
      </w:r>
      <w:r>
        <w:rPr>
          <w:spacing w:val="-1"/>
        </w:rPr>
        <w:t> </w:t>
      </w:r>
      <w:r>
        <w:rPr/>
        <w:t>(4.76),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is:</w:t>
      </w:r>
    </w:p>
    <w:p>
      <w:pPr>
        <w:pStyle w:val="BodyText"/>
        <w:spacing w:before="9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tabs>
          <w:tab w:pos="913" w:val="left" w:leader="none"/>
        </w:tabs>
        <w:spacing w:line="217" w:lineRule="exact" w:before="73"/>
        <w:ind w:left="50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𝑐</w:t>
        <w:tab/>
        <w:t>=</w:t>
      </w:r>
      <w:r>
        <w:rPr>
          <w:rFonts w:ascii="Cambria Math" w:hAnsi="Cambria Math" w:eastAsia="Cambria Math"/>
          <w:spacing w:val="77"/>
        </w:rPr>
        <w:t> </w:t>
      </w:r>
      <w:r>
        <w:rPr>
          <w:rFonts w:ascii="Cambria Math" w:hAnsi="Cambria Math" w:eastAsia="Cambria Math"/>
        </w:rPr>
        <w:t>𝑐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6"/>
          <w:vertAlign w:val="baseline"/>
        </w:rPr>
        <w:t> </w:t>
      </w:r>
      <w:r>
        <w:rPr>
          <w:rFonts w:ascii="Cambria Math" w:hAnsi="Cambria Math" w:eastAsia="Cambria Math"/>
          <w:position w:val="14"/>
          <w:sz w:val="17"/>
          <w:vertAlign w:val="baseline"/>
        </w:rPr>
        <w:t>1</w:t>
      </w:r>
      <w:r>
        <w:rPr>
          <w:rFonts w:ascii="Cambria Math" w:hAnsi="Cambria Math" w:eastAsia="Cambria Math"/>
          <w:spacing w:val="17"/>
          <w:position w:val="14"/>
          <w:sz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𝑞</w:t>
      </w:r>
    </w:p>
    <w:p>
      <w:pPr>
        <w:pStyle w:val="BodyText"/>
        <w:spacing w:line="20" w:lineRule="exact"/>
        <w:ind w:left="169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5.8pt;height:.85pt;mso-position-horizontal-relative:char;mso-position-vertical-relative:line" coordorigin="0,0" coordsize="116,17">
            <v:rect style="position:absolute;left:0;top:0;width:116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139" w:lineRule="exact" w:before="151"/>
        <w:ind w:left="500"/>
      </w:pPr>
      <w:r>
        <w:rPr/>
        <w:br w:type="column"/>
      </w:r>
      <w:r>
        <w:rPr/>
        <w:t>(4.77)</w:t>
      </w:r>
    </w:p>
    <w:p>
      <w:pPr>
        <w:spacing w:after="0" w:line="139" w:lineRule="exact"/>
        <w:sectPr>
          <w:type w:val="continuous"/>
          <w:pgSz w:w="12240" w:h="15840"/>
          <w:pgMar w:top="1500" w:bottom="1120" w:left="940" w:right="940"/>
          <w:cols w:num="2" w:equalWidth="0">
            <w:col w:w="2024" w:space="6378"/>
            <w:col w:w="1958"/>
          </w:cols>
        </w:sectPr>
      </w:pPr>
    </w:p>
    <w:p>
      <w:pPr>
        <w:spacing w:line="151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𝑅,𝑡</w:t>
      </w:r>
    </w:p>
    <w:p>
      <w:pPr>
        <w:tabs>
          <w:tab w:pos="825" w:val="left" w:leader="none"/>
        </w:tabs>
        <w:spacing w:line="170" w:lineRule="auto" w:before="0"/>
        <w:ind w:left="444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𝑡</w:t>
        <w:tab/>
      </w:r>
      <w:r>
        <w:rPr>
          <w:rFonts w:ascii="Cambria Math" w:eastAsia="Cambria Math"/>
          <w:w w:val="110"/>
          <w:position w:val="-6"/>
          <w:sz w:val="17"/>
        </w:rPr>
        <w:t>𝜎   </w:t>
      </w:r>
      <w:r>
        <w:rPr>
          <w:rFonts w:ascii="Cambria Math" w:eastAsia="Cambria Math"/>
          <w:spacing w:val="6"/>
          <w:w w:val="110"/>
          <w:position w:val="-6"/>
          <w:sz w:val="17"/>
        </w:rPr>
        <w:t> </w:t>
      </w:r>
      <w:r>
        <w:rPr>
          <w:rFonts w:ascii="Cambria Math" w:eastAsia="Cambria Math"/>
          <w:w w:val="110"/>
          <w:sz w:val="17"/>
        </w:rPr>
        <w:t>𝑡</w:t>
      </w:r>
    </w:p>
    <w:p>
      <w:pPr>
        <w:spacing w:after="0" w:line="170" w:lineRule="auto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2" w:equalWidth="0">
            <w:col w:w="833" w:space="40"/>
            <w:col w:w="9487"/>
          </w:cols>
        </w:sectPr>
      </w:pPr>
    </w:p>
    <w:p>
      <w:pPr>
        <w:pStyle w:val="BodyText"/>
        <w:spacing w:before="1"/>
        <w:rPr>
          <w:rFonts w:ascii="Cambria Math"/>
          <w:sz w:val="19"/>
        </w:rPr>
      </w:pPr>
    </w:p>
    <w:p>
      <w:pPr>
        <w:pStyle w:val="BodyText"/>
        <w:spacing w:before="76"/>
        <w:ind w:left="500"/>
      </w:pPr>
      <w:r>
        <w:rPr/>
        <w:t>Recall</w:t>
      </w:r>
      <w:r>
        <w:rPr>
          <w:spacing w:val="1"/>
        </w:rPr>
        <w:t> </w:t>
      </w:r>
      <w:r>
        <w:rPr/>
        <w:t>from</w:t>
      </w:r>
      <w:r>
        <w:rPr>
          <w:spacing w:val="2"/>
        </w:rPr>
        <w:t> </w:t>
      </w:r>
      <w:r>
        <w:rPr/>
        <w:t>equation</w:t>
      </w:r>
      <w:r>
        <w:rPr>
          <w:spacing w:val="2"/>
        </w:rPr>
        <w:t> </w:t>
      </w:r>
      <w:r>
        <w:rPr/>
        <w:t>(4.71)</w:t>
      </w:r>
      <w:r>
        <w:rPr>
          <w:spacing w:val="1"/>
        </w:rPr>
        <w:t> </w:t>
      </w:r>
      <w:r>
        <w:rPr/>
        <w:t>that</w:t>
      </w:r>
      <w:r>
        <w:rPr>
          <w:spacing w:val="4"/>
        </w:rPr>
        <w:t> </w:t>
      </w:r>
      <w:r>
        <w:rPr>
          <w:rFonts w:ascii="Cambria Math" w:hAnsi="Cambria Math" w:eastAsia="Cambria Math"/>
        </w:rPr>
        <w:t>𝑞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3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𝛼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vertAlign w:val="baseline"/>
        </w:rPr>
        <w:t>𝑠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vertAlign w:val="baseline"/>
        </w:rPr>
        <w:t>,</w:t>
      </w:r>
      <w:r>
        <w:rPr>
          <w:spacing w:val="2"/>
          <w:vertAlign w:val="baseline"/>
        </w:rPr>
        <w:t> </w:t>
      </w:r>
      <w:r>
        <w:rPr>
          <w:vertAlign w:val="baseline"/>
        </w:rPr>
        <w:t>then</w:t>
      </w:r>
      <w:r>
        <w:rPr>
          <w:spacing w:val="2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2"/>
          <w:vertAlign w:val="baseline"/>
        </w:rPr>
        <w:t> </w:t>
      </w:r>
      <w:r>
        <w:rPr>
          <w:vertAlign w:val="baseline"/>
        </w:rPr>
        <w:t>(4.77) becomes:</w:t>
      </w:r>
    </w:p>
    <w:p>
      <w:pPr>
        <w:pStyle w:val="BodyText"/>
        <w:spacing w:before="10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tabs>
          <w:tab w:pos="913" w:val="left" w:leader="none"/>
        </w:tabs>
        <w:spacing w:line="217" w:lineRule="exact" w:before="73"/>
        <w:ind w:left="500" w:right="0" w:firstLine="0"/>
        <w:jc w:val="left"/>
        <w:rPr>
          <w:rFonts w:ascii="Cambria Math" w:hAnsi="Cambria Math" w:eastAsia="Cambria Math"/>
          <w:sz w:val="24"/>
        </w:rPr>
      </w:pPr>
      <w:r>
        <w:rPr>
          <w:rFonts w:ascii="Cambria Math" w:hAnsi="Cambria Math" w:eastAsia="Cambria Math"/>
          <w:sz w:val="24"/>
        </w:rPr>
        <w:t>𝑐</w:t>
        <w:tab/>
        <w:t>=</w:t>
      </w:r>
      <w:r>
        <w:rPr>
          <w:rFonts w:ascii="Cambria Math" w:hAnsi="Cambria Math" w:eastAsia="Cambria Math"/>
          <w:spacing w:val="80"/>
          <w:sz w:val="24"/>
        </w:rPr>
        <w:t> </w:t>
      </w:r>
      <w:r>
        <w:rPr>
          <w:rFonts w:ascii="Cambria Math" w:hAnsi="Cambria Math" w:eastAsia="Cambria Math"/>
          <w:sz w:val="24"/>
        </w:rPr>
        <w:t>𝑐</w:t>
      </w:r>
      <w:r>
        <w:rPr>
          <w:rFonts w:ascii="Cambria Math" w:hAnsi="Cambria Math" w:eastAsia="Cambria Math"/>
          <w:sz w:val="24"/>
          <w:vertAlign w:val="superscript"/>
        </w:rPr>
        <w:t>∗</w:t>
      </w:r>
      <w:r>
        <w:rPr>
          <w:rFonts w:ascii="Cambria Math" w:hAnsi="Cambria Math" w:eastAsia="Cambria Math"/>
          <w:sz w:val="24"/>
          <w:vertAlign w:val="baseline"/>
        </w:rPr>
        <w:t>+</w:t>
      </w:r>
      <w:r>
        <w:rPr>
          <w:rFonts w:ascii="Cambria Math" w:hAnsi="Cambria Math" w:eastAsia="Cambria Math"/>
          <w:spacing w:val="52"/>
          <w:sz w:val="24"/>
          <w:vertAlign w:val="baseline"/>
        </w:rPr>
        <w:t> </w:t>
      </w:r>
      <w:r>
        <w:rPr>
          <w:rFonts w:ascii="Cambria Math" w:hAnsi="Cambria Math" w:eastAsia="Cambria Math"/>
          <w:position w:val="14"/>
          <w:sz w:val="17"/>
          <w:vertAlign w:val="baseline"/>
        </w:rPr>
        <w:t>1−𝛼</w:t>
      </w:r>
      <w:r>
        <w:rPr>
          <w:rFonts w:ascii="Cambria Math" w:hAnsi="Cambria Math" w:eastAsia="Cambria Math"/>
          <w:spacing w:val="10"/>
          <w:position w:val="14"/>
          <w:sz w:val="17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𝑠</w:t>
      </w:r>
    </w:p>
    <w:p>
      <w:pPr>
        <w:pStyle w:val="BodyText"/>
        <w:spacing w:line="20" w:lineRule="exact"/>
        <w:ind w:left="169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7.05pt;height:.85pt;mso-position-horizontal-relative:char;mso-position-vertical-relative:line" coordorigin="0,0" coordsize="341,17">
            <v:rect style="position:absolute;left:0;top:0;width:341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139" w:lineRule="exact" w:before="150"/>
        <w:ind w:left="500"/>
      </w:pPr>
      <w:r>
        <w:rPr/>
        <w:br w:type="column"/>
      </w:r>
      <w:r>
        <w:rPr/>
        <w:t>(4.78)</w:t>
      </w:r>
    </w:p>
    <w:p>
      <w:pPr>
        <w:spacing w:after="0" w:line="139" w:lineRule="exact"/>
        <w:sectPr>
          <w:type w:val="continuous"/>
          <w:pgSz w:w="12240" w:h="15840"/>
          <w:pgMar w:top="1500" w:bottom="1120" w:left="940" w:right="940"/>
          <w:cols w:num="2" w:equalWidth="0">
            <w:col w:w="2229" w:space="6173"/>
            <w:col w:w="1958"/>
          </w:cols>
        </w:sectPr>
      </w:pPr>
    </w:p>
    <w:p>
      <w:pPr>
        <w:spacing w:line="151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𝑅,𝑡</w:t>
      </w:r>
    </w:p>
    <w:p>
      <w:pPr>
        <w:tabs>
          <w:tab w:pos="938" w:val="left" w:leader="none"/>
          <w:tab w:pos="1310" w:val="left" w:leader="none"/>
        </w:tabs>
        <w:spacing w:line="170" w:lineRule="auto" w:before="0"/>
        <w:ind w:left="444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𝑡</w:t>
        <w:tab/>
      </w:r>
      <w:r>
        <w:rPr>
          <w:rFonts w:ascii="Cambria Math" w:eastAsia="Cambria Math"/>
          <w:w w:val="110"/>
          <w:position w:val="-6"/>
          <w:sz w:val="17"/>
        </w:rPr>
        <w:t>𝜎</w:t>
        <w:tab/>
      </w:r>
      <w:r>
        <w:rPr>
          <w:rFonts w:ascii="Cambria Math" w:eastAsia="Cambria Math"/>
          <w:w w:val="110"/>
          <w:sz w:val="17"/>
        </w:rPr>
        <w:t>𝑡</w:t>
      </w:r>
    </w:p>
    <w:p>
      <w:pPr>
        <w:spacing w:after="0" w:line="170" w:lineRule="auto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2" w:equalWidth="0">
            <w:col w:w="833" w:space="40"/>
            <w:col w:w="9487"/>
          </w:cols>
        </w:sectPr>
      </w:pPr>
    </w:p>
    <w:p>
      <w:pPr>
        <w:pStyle w:val="BodyText"/>
        <w:spacing w:before="74"/>
        <w:ind w:left="500"/>
      </w:pPr>
      <w:r>
        <w:rPr/>
        <w:t>Since</w:t>
      </w:r>
      <w:r>
        <w:rPr>
          <w:spacing w:val="-3"/>
        </w:rPr>
        <w:t> </w:t>
      </w:r>
      <w:r>
        <w:rPr/>
        <w:t>consumers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assumed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form habits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their consumption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with world</w:t>
      </w:r>
      <w:r>
        <w:rPr>
          <w:spacing w:val="-1"/>
        </w:rPr>
        <w:t> </w:t>
      </w:r>
      <w:r>
        <w:rPr/>
        <w:t>market</w:t>
      </w:r>
    </w:p>
    <w:p>
      <w:pPr>
        <w:pStyle w:val="BodyText"/>
        <w:spacing w:line="146" w:lineRule="exact" w:before="138"/>
        <w:ind w:left="500"/>
      </w:pPr>
      <w:r>
        <w:rPr/>
        <w:t>clearing</w:t>
      </w:r>
      <w:r>
        <w:rPr>
          <w:spacing w:val="1"/>
        </w:rPr>
        <w:t> </w:t>
      </w:r>
      <w:r>
        <w:rPr/>
        <w:t>condition</w:t>
      </w:r>
      <w:r>
        <w:rPr>
          <w:spacing w:val="8"/>
        </w:rPr>
        <w:t> </w:t>
      </w:r>
      <w:r>
        <w:rPr>
          <w:rFonts w:ascii="Cambria Math" w:hAnsi="Cambria Math" w:eastAsia="Cambria Math"/>
        </w:rPr>
        <w:t>𝑦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spacing w:val="2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𝑐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vertAlign w:val="baseline"/>
        </w:rPr>
        <w:t>,</w:t>
      </w:r>
      <w:r>
        <w:rPr>
          <w:spacing w:val="5"/>
          <w:vertAlign w:val="baseline"/>
        </w:rPr>
        <w:t> </w:t>
      </w:r>
      <w:r>
        <w:rPr>
          <w:vertAlign w:val="baseline"/>
        </w:rPr>
        <w:t>this</w:t>
      </w:r>
      <w:r>
        <w:rPr>
          <w:spacing w:val="4"/>
          <w:vertAlign w:val="baseline"/>
        </w:rPr>
        <w:t> </w:t>
      </w:r>
      <w:r>
        <w:rPr>
          <w:vertAlign w:val="baseline"/>
        </w:rPr>
        <w:t>becomes:</w:t>
      </w:r>
    </w:p>
    <w:p>
      <w:pPr>
        <w:tabs>
          <w:tab w:pos="2956" w:val="left" w:leader="none"/>
        </w:tabs>
        <w:spacing w:line="171" w:lineRule="exact" w:before="0"/>
        <w:ind w:left="2427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</w:t>
        <w:tab/>
        <w:t>𝑡</w:t>
      </w:r>
    </w:p>
    <w:p>
      <w:pPr>
        <w:pStyle w:val="BodyText"/>
        <w:spacing w:before="8"/>
        <w:rPr>
          <w:rFonts w:ascii="Cambria Math"/>
          <w:sz w:val="19"/>
        </w:rPr>
      </w:pPr>
    </w:p>
    <w:p>
      <w:pPr>
        <w:spacing w:after="0"/>
        <w:rPr>
          <w:rFonts w:ascii="Cambria Math"/>
          <w:sz w:val="19"/>
        </w:rPr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tabs>
          <w:tab w:pos="898" w:val="left" w:leader="none"/>
        </w:tabs>
        <w:spacing w:line="143" w:lineRule="exact" w:before="156"/>
        <w:ind w:left="50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𝑐</w:t>
        <w:tab/>
        <w:t>−</w:t>
      </w:r>
      <w:r>
        <w:rPr>
          <w:rFonts w:ascii="Cambria Math" w:hAnsi="Cambria Math" w:eastAsia="Cambria Math"/>
          <w:spacing w:val="54"/>
        </w:rPr>
        <w:t> </w:t>
      </w:r>
      <w:r>
        <w:rPr>
          <w:rFonts w:ascii="Cambria Math" w:hAnsi="Cambria Math" w:eastAsia="Cambria Math"/>
          <w:spacing w:val="-122"/>
        </w:rPr>
        <w:t>ℎ𝑐</w:t>
      </w:r>
    </w:p>
    <w:p>
      <w:pPr>
        <w:tabs>
          <w:tab w:pos="1938" w:val="left" w:leader="none"/>
        </w:tabs>
        <w:spacing w:line="69" w:lineRule="auto" w:before="133"/>
        <w:ind w:left="485" w:right="0" w:firstLine="0"/>
        <w:jc w:val="left"/>
        <w:rPr>
          <w:rFonts w:ascii="Cambria Math" w:hAnsi="Cambria Math" w:eastAsia="Cambria Math"/>
          <w:sz w:val="24"/>
        </w:rPr>
      </w:pPr>
      <w:r>
        <w:rPr/>
        <w:br w:type="column"/>
      </w:r>
      <w:r>
        <w:rPr>
          <w:rFonts w:ascii="Cambria Math" w:hAnsi="Cambria Math" w:eastAsia="Cambria Math"/>
          <w:position w:val="-13"/>
          <w:sz w:val="24"/>
        </w:rPr>
        <w:t>=</w:t>
      </w:r>
      <w:r>
        <w:rPr>
          <w:rFonts w:ascii="Cambria Math" w:hAnsi="Cambria Math" w:eastAsia="Cambria Math"/>
          <w:spacing w:val="71"/>
          <w:position w:val="-13"/>
          <w:sz w:val="24"/>
        </w:rPr>
        <w:t> </w:t>
      </w:r>
      <w:r>
        <w:rPr>
          <w:rFonts w:ascii="Cambria Math" w:hAnsi="Cambria Math" w:eastAsia="Cambria Math"/>
          <w:position w:val="-13"/>
          <w:sz w:val="24"/>
        </w:rPr>
        <w:t>𝑦</w:t>
      </w:r>
      <w:r>
        <w:rPr>
          <w:rFonts w:ascii="Cambria Math" w:hAnsi="Cambria Math" w:eastAsia="Cambria Math"/>
          <w:position w:val="-4"/>
          <w:sz w:val="17"/>
        </w:rPr>
        <w:t>∗</w:t>
      </w:r>
      <w:r>
        <w:rPr>
          <w:rFonts w:ascii="Cambria Math" w:hAnsi="Cambria Math" w:eastAsia="Cambria Math"/>
          <w:spacing w:val="31"/>
          <w:position w:val="-4"/>
          <w:sz w:val="17"/>
        </w:rPr>
        <w:t> </w:t>
      </w:r>
      <w:r>
        <w:rPr>
          <w:rFonts w:ascii="Cambria Math" w:hAnsi="Cambria Math" w:eastAsia="Cambria Math"/>
          <w:position w:val="-13"/>
          <w:sz w:val="24"/>
        </w:rPr>
        <w:t>−</w:t>
      </w:r>
      <w:r>
        <w:rPr>
          <w:rFonts w:ascii="Cambria Math" w:hAnsi="Cambria Math" w:eastAsia="Cambria Math"/>
          <w:spacing w:val="59"/>
          <w:position w:val="-13"/>
          <w:sz w:val="24"/>
        </w:rPr>
        <w:t> </w:t>
      </w:r>
      <w:r>
        <w:rPr>
          <w:rFonts w:ascii="Cambria Math" w:hAnsi="Cambria Math" w:eastAsia="Cambria Math"/>
          <w:position w:val="-13"/>
          <w:sz w:val="24"/>
        </w:rPr>
        <w:t>ℎ𝑦</w:t>
      </w:r>
      <w:r>
        <w:rPr>
          <w:rFonts w:ascii="Cambria Math" w:hAnsi="Cambria Math" w:eastAsia="Cambria Math"/>
          <w:position w:val="-4"/>
          <w:sz w:val="17"/>
        </w:rPr>
        <w:t>∗</w:t>
        <w:tab/>
      </w:r>
      <w:r>
        <w:rPr>
          <w:rFonts w:ascii="Cambria Math" w:hAnsi="Cambria Math" w:eastAsia="Cambria Math"/>
          <w:position w:val="-13"/>
          <w:sz w:val="24"/>
        </w:rPr>
        <w:t>+</w:t>
      </w:r>
      <w:r>
        <w:rPr>
          <w:rFonts w:ascii="Cambria Math" w:hAnsi="Cambria Math" w:eastAsia="Cambria Math"/>
          <w:spacing w:val="57"/>
          <w:position w:val="-13"/>
          <w:sz w:val="24"/>
        </w:rPr>
        <w:t> </w:t>
      </w:r>
      <w:r>
        <w:rPr>
          <w:rFonts w:ascii="Cambria Math" w:hAnsi="Cambria Math" w:eastAsia="Cambria Math"/>
          <w:position w:val="1"/>
          <w:sz w:val="17"/>
        </w:rPr>
        <w:t>(</w:t>
      </w:r>
      <w:r>
        <w:rPr>
          <w:rFonts w:ascii="Cambria Math" w:hAnsi="Cambria Math" w:eastAsia="Cambria Math"/>
          <w:sz w:val="17"/>
        </w:rPr>
        <w:t>1−ℎ</w:t>
      </w:r>
      <w:r>
        <w:rPr>
          <w:rFonts w:ascii="Cambria Math" w:hAnsi="Cambria Math" w:eastAsia="Cambria Math"/>
          <w:position w:val="1"/>
          <w:sz w:val="17"/>
        </w:rPr>
        <w:t>)</w:t>
      </w:r>
      <w:r>
        <w:rPr>
          <w:rFonts w:ascii="Cambria Math" w:hAnsi="Cambria Math" w:eastAsia="Cambria Math"/>
          <w:sz w:val="17"/>
        </w:rPr>
        <w:t>(1−𝛼)</w:t>
      </w:r>
      <w:r>
        <w:rPr>
          <w:rFonts w:ascii="Cambria Math" w:hAnsi="Cambria Math" w:eastAsia="Cambria Math"/>
          <w:spacing w:val="10"/>
          <w:sz w:val="17"/>
        </w:rPr>
        <w:t> </w:t>
      </w:r>
      <w:r>
        <w:rPr>
          <w:rFonts w:ascii="Cambria Math" w:hAnsi="Cambria Math" w:eastAsia="Cambria Math"/>
          <w:position w:val="-13"/>
          <w:sz w:val="24"/>
        </w:rPr>
        <w:t>𝑠</w:t>
      </w:r>
    </w:p>
    <w:p>
      <w:pPr>
        <w:pStyle w:val="BodyText"/>
        <w:spacing w:line="20" w:lineRule="exact"/>
        <w:ind w:left="220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7.8pt;height:.85pt;mso-position-horizontal-relative:char;mso-position-vertical-relative:line" coordorigin="0,0" coordsize="956,17">
            <v:rect style="position:absolute;left:0;top:0;width:956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139" w:lineRule="exact" w:before="160"/>
        <w:ind w:left="500"/>
      </w:pPr>
      <w:r>
        <w:rPr/>
        <w:br w:type="column"/>
      </w:r>
      <w:r>
        <w:rPr/>
        <w:t>(4.79)</w:t>
      </w:r>
    </w:p>
    <w:p>
      <w:pPr>
        <w:spacing w:after="0" w:line="139" w:lineRule="exact"/>
        <w:sectPr>
          <w:type w:val="continuous"/>
          <w:pgSz w:w="12240" w:h="15840"/>
          <w:pgMar w:top="1500" w:bottom="1120" w:left="940" w:right="940"/>
          <w:cols w:num="3" w:equalWidth="0">
            <w:col w:w="1432" w:space="40"/>
            <w:col w:w="3354" w:space="3575"/>
            <w:col w:w="1959"/>
          </w:cols>
        </w:sectPr>
      </w:pPr>
    </w:p>
    <w:p>
      <w:pPr>
        <w:spacing w:line="152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𝑅,𝑡</w:t>
      </w:r>
    </w:p>
    <w:p>
      <w:pPr>
        <w:tabs>
          <w:tab w:pos="1509" w:val="left" w:leader="none"/>
        </w:tabs>
        <w:spacing w:line="154" w:lineRule="exact" w:before="0"/>
        <w:ind w:left="554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𝑅,𝑡−1</w:t>
        <w:tab/>
      </w:r>
      <w:r>
        <w:rPr>
          <w:rFonts w:ascii="Cambria Math" w:hAnsi="Cambria Math" w:eastAsia="Cambria Math"/>
          <w:spacing w:val="-153"/>
          <w:w w:val="105"/>
          <w:sz w:val="17"/>
        </w:rPr>
        <w:t>𝑡</w:t>
      </w:r>
    </w:p>
    <w:p>
      <w:pPr>
        <w:spacing w:line="157" w:lineRule="exact" w:before="0"/>
        <w:ind w:left="600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𝑡−1</w:t>
      </w:r>
    </w:p>
    <w:p>
      <w:pPr>
        <w:tabs>
          <w:tab w:pos="1285" w:val="left" w:leader="none"/>
        </w:tabs>
        <w:spacing w:line="168" w:lineRule="auto" w:before="0"/>
        <w:ind w:left="606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position w:val="-6"/>
          <w:sz w:val="17"/>
        </w:rPr>
        <w:t>𝜎</w:t>
        <w:tab/>
      </w:r>
      <w:r>
        <w:rPr>
          <w:rFonts w:ascii="Cambria Math" w:eastAsia="Cambria Math"/>
          <w:w w:val="110"/>
          <w:sz w:val="17"/>
        </w:rPr>
        <w:t>𝑡</w:t>
      </w:r>
    </w:p>
    <w:p>
      <w:pPr>
        <w:spacing w:after="0" w:line="168" w:lineRule="auto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4" w:equalWidth="0">
            <w:col w:w="833" w:space="40"/>
            <w:col w:w="1585" w:space="39"/>
            <w:col w:w="944" w:space="54"/>
            <w:col w:w="6865"/>
          </w:cols>
        </w:sectPr>
      </w:pPr>
    </w:p>
    <w:p>
      <w:pPr>
        <w:pStyle w:val="BodyText"/>
        <w:rPr>
          <w:rFonts w:ascii="Cambria Math"/>
          <w:sz w:val="23"/>
        </w:rPr>
      </w:pPr>
    </w:p>
    <w:p>
      <w:pPr>
        <w:pStyle w:val="BodyText"/>
        <w:spacing w:line="369" w:lineRule="auto" w:before="86"/>
        <w:ind w:left="500" w:right="654"/>
      </w:pPr>
      <w:r>
        <w:rPr/>
        <w:pict>
          <v:shape style="position:absolute;margin-left:81.264pt;margin-top:33.306873pt;width:3.8pt;height:8.550pt;mso-position-horizontal-relative:page;mso-position-vertical-relative:paragraph;z-index:-21410816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/>
        <w:t>Equation</w:t>
      </w:r>
      <w:r>
        <w:rPr>
          <w:spacing w:val="2"/>
        </w:rPr>
        <w:t> </w:t>
      </w:r>
      <w:r>
        <w:rPr/>
        <w:t>(4.77)</w:t>
      </w:r>
      <w:r>
        <w:rPr>
          <w:spacing w:val="2"/>
        </w:rPr>
        <w:t> </w:t>
      </w:r>
      <w:r>
        <w:rPr/>
        <w:t>shows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relation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/>
        <w:t>links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domestic</w:t>
      </w:r>
      <w:r>
        <w:rPr>
          <w:spacing w:val="1"/>
        </w:rPr>
        <w:t> </w:t>
      </w:r>
      <w:r>
        <w:rPr/>
        <w:t>consumption</w:t>
      </w:r>
      <w:r>
        <w:rPr>
          <w:spacing w:val="2"/>
        </w:rPr>
        <w:t> </w:t>
      </w:r>
      <w:r>
        <w:rPr/>
        <w:t>(</w:t>
      </w:r>
      <w:r>
        <w:rPr>
          <w:rFonts w:ascii="Cambria Math" w:hAnsi="Cambria Math" w:eastAsia="Cambria Math"/>
        </w:rPr>
        <w:t>𝑐</w:t>
      </w:r>
      <w:r>
        <w:rPr>
          <w:rFonts w:ascii="Cambria Math" w:hAnsi="Cambria Math" w:eastAsia="Cambria Math"/>
          <w:vertAlign w:val="subscript"/>
        </w:rPr>
        <w:t>𝑅,𝑡</w:t>
      </w:r>
      <w:r>
        <w:rPr>
          <w:vertAlign w:val="baseline"/>
        </w:rPr>
        <w:t>),</w:t>
      </w:r>
      <w:r>
        <w:rPr>
          <w:spacing w:val="2"/>
          <w:vertAlign w:val="baseline"/>
        </w:rPr>
        <w:t> </w:t>
      </w:r>
      <w:r>
        <w:rPr>
          <w:vertAlign w:val="baseline"/>
        </w:rPr>
        <w:t>world</w:t>
      </w:r>
      <w:r>
        <w:rPr>
          <w:spacing w:val="2"/>
          <w:vertAlign w:val="baseline"/>
        </w:rPr>
        <w:t> </w:t>
      </w:r>
      <w:r>
        <w:rPr>
          <w:vertAlign w:val="baseline"/>
        </w:rPr>
        <w:t>consumption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𝑐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vertAlign w:val="baseline"/>
        </w:rPr>
        <w:t>)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terms of</w:t>
      </w:r>
      <w:r>
        <w:rPr>
          <w:spacing w:val="-1"/>
          <w:vertAlign w:val="baseline"/>
        </w:rPr>
        <w:t> </w:t>
      </w:r>
      <w:r>
        <w:rPr>
          <w:vertAlign w:val="baseline"/>
        </w:rPr>
        <w:t>trade (</w:t>
      </w:r>
      <w:r>
        <w:rPr>
          <w:rFonts w:ascii="Cambria Math" w:hAnsi="Cambria Math" w:eastAsia="Cambria Math"/>
          <w:vertAlign w:val="baseline"/>
        </w:rPr>
        <w:t>𝑠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vertAlign w:val="baseline"/>
        </w:rPr>
        <w:t>).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1"/>
        <w:jc w:val="left"/>
      </w:pPr>
      <w:r>
        <w:rPr/>
        <w:t>Uncovered</w:t>
      </w:r>
      <w:r>
        <w:rPr>
          <w:spacing w:val="-1"/>
        </w:rPr>
        <w:t> </w:t>
      </w:r>
      <w:r>
        <w:rPr/>
        <w:t>Interest</w:t>
      </w:r>
      <w:r>
        <w:rPr>
          <w:spacing w:val="-3"/>
        </w:rPr>
        <w:t> </w:t>
      </w:r>
      <w:r>
        <w:rPr/>
        <w:t>Parity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362" w:lineRule="auto"/>
        <w:ind w:left="500" w:right="496"/>
        <w:jc w:val="both"/>
      </w:pPr>
      <w:r>
        <w:rPr/>
        <w:pict>
          <v:shape style="position:absolute;margin-left:481.299988pt;margin-top:48.847668pt;width:5.75pt;height:8.550pt;mso-position-horizontal-relative:page;mso-position-vertical-relative:paragraph;z-index:-21410304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05"/>
                      <w:sz w:val="17"/>
                    </w:rPr>
                    <w:t>𝑡,</w:t>
                  </w:r>
                </w:p>
              </w:txbxContent>
            </v:textbox>
            <w10:wrap type="none"/>
          </v:shape>
        </w:pict>
      </w:r>
      <w:r>
        <w:rPr/>
        <w:t>Under the complete international financial market, it is assumed that investors are indifferent</w:t>
      </w:r>
      <w:r>
        <w:rPr>
          <w:spacing w:val="1"/>
        </w:rPr>
        <w:t> </w:t>
      </w:r>
      <w:r>
        <w:rPr/>
        <w:t>between</w:t>
      </w:r>
      <w:r>
        <w:rPr>
          <w:spacing w:val="-6"/>
        </w:rPr>
        <w:t> </w:t>
      </w:r>
      <w:r>
        <w:rPr/>
        <w:t>buying</w:t>
      </w:r>
      <w:r>
        <w:rPr>
          <w:spacing w:val="-8"/>
        </w:rPr>
        <w:t> </w:t>
      </w:r>
      <w:r>
        <w:rPr/>
        <w:t>domestic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foreign</w:t>
      </w:r>
      <w:r>
        <w:rPr>
          <w:spacing w:val="-5"/>
        </w:rPr>
        <w:t> </w:t>
      </w:r>
      <w:r>
        <w:rPr/>
        <w:t>bonds</w:t>
      </w:r>
      <w:r>
        <w:rPr>
          <w:spacing w:val="-6"/>
        </w:rPr>
        <w:t> </w:t>
      </w:r>
      <w:r>
        <w:rPr/>
        <w:t>since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interest</w:t>
      </w:r>
      <w:r>
        <w:rPr>
          <w:spacing w:val="-2"/>
        </w:rPr>
        <w:t> </w:t>
      </w:r>
      <w:r>
        <w:rPr/>
        <w:t>rates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both</w:t>
      </w:r>
      <w:r>
        <w:rPr>
          <w:spacing w:val="-2"/>
        </w:rPr>
        <w:t> </w:t>
      </w:r>
      <w:r>
        <w:rPr/>
        <w:t>economies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same.</w:t>
      </w:r>
      <w:r>
        <w:rPr>
          <w:spacing w:val="-57"/>
        </w:rPr>
        <w:t> </w:t>
      </w:r>
      <w:r>
        <w:rPr/>
        <w:t>This</w:t>
      </w:r>
      <w:r>
        <w:rPr>
          <w:spacing w:val="-6"/>
        </w:rPr>
        <w:t> </w:t>
      </w:r>
      <w:r>
        <w:rPr/>
        <w:t>means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returns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domestic</w:t>
      </w:r>
      <w:r>
        <w:rPr>
          <w:spacing w:val="-8"/>
        </w:rPr>
        <w:t> </w:t>
      </w:r>
      <w:r>
        <w:rPr/>
        <w:t>bonds</w:t>
      </w:r>
      <w:r>
        <w:rPr>
          <w:spacing w:val="-6"/>
        </w:rPr>
        <w:t> </w:t>
      </w:r>
      <w:r>
        <w:rPr/>
        <w:t>(</w:t>
      </w:r>
      <w:r>
        <w:rPr>
          <w:rFonts w:ascii="Cambria Math" w:hAnsi="Cambria Math" w:eastAsia="Cambria Math"/>
        </w:rPr>
        <w:t>𝑅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vertAlign w:val="baseline"/>
        </w:rPr>
        <w:t>)</w:t>
      </w:r>
      <w:r>
        <w:rPr>
          <w:spacing w:val="-6"/>
          <w:vertAlign w:val="baseline"/>
        </w:rPr>
        <w:t> </w:t>
      </w:r>
      <w:r>
        <w:rPr>
          <w:vertAlign w:val="baseline"/>
        </w:rPr>
        <w:t>equals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returns</w:t>
      </w:r>
      <w:r>
        <w:rPr>
          <w:spacing w:val="-7"/>
          <w:vertAlign w:val="baseline"/>
        </w:rPr>
        <w:t> </w:t>
      </w:r>
      <w:r>
        <w:rPr>
          <w:vertAlign w:val="baseline"/>
        </w:rPr>
        <w:t>on</w:t>
      </w:r>
      <w:r>
        <w:rPr>
          <w:spacing w:val="-6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-7"/>
          <w:vertAlign w:val="baseline"/>
        </w:rPr>
        <w:t> </w:t>
      </w:r>
      <w:r>
        <w:rPr>
          <w:vertAlign w:val="baseline"/>
        </w:rPr>
        <w:t>bonds</w:t>
      </w:r>
      <w:r>
        <w:rPr>
          <w:spacing w:val="-6"/>
          <w:vertAlign w:val="baseline"/>
        </w:rPr>
        <w:t> </w:t>
      </w:r>
      <w:r>
        <w:rPr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𝑅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spacing w:val="-22"/>
          <w:vertAlign w:val="baseline"/>
        </w:rPr>
        <w:t> </w:t>
      </w:r>
      <w:r>
        <w:rPr>
          <w:vertAlign w:val="baseline"/>
        </w:rPr>
        <w:t>)</w:t>
      </w:r>
      <w:r>
        <w:rPr>
          <w:spacing w:val="-7"/>
          <w:vertAlign w:val="baseline"/>
        </w:rPr>
        <w:t> </w:t>
      </w:r>
      <w:r>
        <w:rPr>
          <w:vertAlign w:val="baseline"/>
        </w:rPr>
        <w:t>such</w:t>
      </w:r>
      <w:r>
        <w:rPr>
          <w:spacing w:val="-7"/>
          <w:vertAlign w:val="baseline"/>
        </w:rPr>
        <w:t> </w:t>
      </w:r>
      <w:r>
        <w:rPr>
          <w:vertAlign w:val="baseline"/>
        </w:rPr>
        <w:t>that: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tabs>
          <w:tab w:pos="1829" w:val="left" w:leader="none"/>
          <w:tab w:pos="8901" w:val="left" w:leader="none"/>
        </w:tabs>
        <w:spacing w:line="143" w:lineRule="exact" w:before="86"/>
        <w:ind w:left="500"/>
      </w:pPr>
      <w:r>
        <w:rPr/>
        <w:pict>
          <v:shape style="position:absolute;margin-left:107.660004pt;margin-top:1.030065pt;width:30.75pt;height:12.15pt;mso-position-horizontal-relative:page;mso-position-vertical-relative:paragraph;z-index:-21409792" type="#_x0000_t202" filled="false" stroked="false">
            <v:textbox inset="0,0,0,0">
              <w:txbxContent>
                <w:p>
                  <w:pPr>
                    <w:spacing w:line="225" w:lineRule="auto" w:before="0"/>
                    <w:ind w:left="0" w:right="0" w:firstLine="0"/>
                    <w:jc w:val="left"/>
                    <w:rPr>
                      <w:rFonts w:ascii="Cambria Math" w:hAnsi="Cambria Math" w:eastAsia="Cambria Math"/>
                      <w:sz w:val="14"/>
                    </w:rPr>
                  </w:pPr>
                  <w:r>
                    <w:rPr>
                      <w:rFonts w:ascii="Cambria Math" w:hAnsi="Cambria Math" w:eastAsia="Cambria Math"/>
                      <w:position w:val="-4"/>
                      <w:sz w:val="17"/>
                    </w:rPr>
                    <w:t>∗     </w:t>
                  </w:r>
                  <w:r>
                    <w:rPr>
                      <w:rFonts w:ascii="Cambria Math" w:hAnsi="Cambria Math" w:eastAsia="Cambria Math"/>
                      <w:sz w:val="17"/>
                      <w:u w:val="single"/>
                    </w:rPr>
                    <w:t> </w:t>
                  </w:r>
                  <w:r>
                    <w:rPr>
                      <w:rFonts w:ascii="Cambria Math" w:hAnsi="Cambria Math" w:eastAsia="Cambria Math"/>
                      <w:spacing w:val="17"/>
                      <w:sz w:val="17"/>
                      <w:u w:val="single"/>
                    </w:rPr>
                    <w:t> </w:t>
                  </w:r>
                  <w:r>
                    <w:rPr>
                      <w:rFonts w:ascii="Cambria Math" w:hAnsi="Cambria Math" w:eastAsia="Cambria Math"/>
                      <w:w w:val="115"/>
                      <w:sz w:val="17"/>
                      <w:u w:val="single"/>
                    </w:rPr>
                    <w:t>𝗌</w:t>
                  </w:r>
                  <w:r>
                    <w:rPr>
                      <w:rFonts w:ascii="Cambria Math" w:hAnsi="Cambria Math" w:eastAsia="Cambria Math"/>
                      <w:w w:val="115"/>
                      <w:position w:val="-2"/>
                      <w:sz w:val="14"/>
                      <w:u w:val="single"/>
                    </w:rPr>
                    <w:t>𝑡</w:t>
                  </w:r>
                  <w:r>
                    <w:rPr>
                      <w:rFonts w:ascii="Cambria Math" w:hAnsi="Cambria Math" w:eastAsia="Cambria Math"/>
                      <w:spacing w:val="7"/>
                      <w:position w:val="-2"/>
                      <w:sz w:val="14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05"/>
        </w:rPr>
        <w:t>𝑅 </w:t>
      </w:r>
      <w:r>
        <w:rPr>
          <w:rFonts w:ascii="Cambria Math" w:eastAsia="Cambria Math"/>
          <w:spacing w:val="37"/>
          <w:w w:val="105"/>
        </w:rPr>
        <w:t> </w:t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11"/>
          <w:w w:val="105"/>
        </w:rPr>
        <w:t> </w:t>
      </w:r>
      <w:r>
        <w:rPr>
          <w:rFonts w:ascii="Cambria Math" w:eastAsia="Cambria Math"/>
          <w:w w:val="105"/>
        </w:rPr>
        <w:t>𝑅 </w:t>
      </w:r>
      <w:r>
        <w:rPr>
          <w:rFonts w:ascii="Cambria Math" w:eastAsia="Cambria Math"/>
          <w:spacing w:val="44"/>
          <w:w w:val="105"/>
        </w:rPr>
        <w:t> </w:t>
      </w:r>
      <w:r>
        <w:rPr>
          <w:rFonts w:ascii="Cambria Math" w:eastAsia="Cambria Math"/>
          <w:w w:val="105"/>
        </w:rPr>
        <w:t>(</w:t>
        <w:tab/>
        <w:t>)</w:t>
        <w:tab/>
      </w:r>
      <w:r>
        <w:rPr>
          <w:w w:val="105"/>
        </w:rPr>
        <w:t>(4.80)</w:t>
      </w:r>
    </w:p>
    <w:p>
      <w:pPr>
        <w:spacing w:after="0" w:line="143" w:lineRule="exact"/>
        <w:sectPr>
          <w:type w:val="continuous"/>
          <w:pgSz w:w="12240" w:h="15840"/>
          <w:pgMar w:top="1500" w:bottom="1120" w:left="940" w:right="940"/>
        </w:sectPr>
      </w:pPr>
    </w:p>
    <w:p>
      <w:pPr>
        <w:tabs>
          <w:tab w:pos="1201" w:val="left" w:leader="none"/>
        </w:tabs>
        <w:spacing w:line="173" w:lineRule="exact" w:before="0"/>
        <w:ind w:left="649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</w:t>
        <w:tab/>
      </w:r>
      <w:r>
        <w:rPr>
          <w:rFonts w:ascii="Cambria Math" w:eastAsia="Cambria Math"/>
          <w:spacing w:val="-2"/>
          <w:w w:val="110"/>
          <w:sz w:val="17"/>
        </w:rPr>
        <w:t>𝑡,</w:t>
      </w:r>
    </w:p>
    <w:p>
      <w:pPr>
        <w:spacing w:before="47"/>
        <w:ind w:left="126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w w:val="110"/>
          <w:position w:val="3"/>
          <w:sz w:val="17"/>
        </w:rPr>
        <w:t>𝗌</w:t>
      </w:r>
      <w:r>
        <w:rPr>
          <w:rFonts w:ascii="Cambria Math" w:eastAsia="Cambria Math"/>
          <w:w w:val="110"/>
          <w:sz w:val="14"/>
        </w:rPr>
        <w:t>𝑡+1</w:t>
      </w:r>
    </w:p>
    <w:p>
      <w:pPr>
        <w:spacing w:after="0"/>
        <w:jc w:val="left"/>
        <w:rPr>
          <w:rFonts w:ascii="Cambria Math" w:eastAsia="Cambria Math"/>
          <w:sz w:val="14"/>
        </w:rPr>
        <w:sectPr>
          <w:type w:val="continuous"/>
          <w:pgSz w:w="12240" w:h="15840"/>
          <w:pgMar w:top="1500" w:bottom="1120" w:left="940" w:right="940"/>
          <w:cols w:num="2" w:equalWidth="0">
            <w:col w:w="1316" w:space="40"/>
            <w:col w:w="9004"/>
          </w:cols>
        </w:sectPr>
      </w:pPr>
    </w:p>
    <w:p>
      <w:pPr>
        <w:pStyle w:val="BodyText"/>
        <w:spacing w:before="8"/>
        <w:rPr>
          <w:rFonts w:ascii="Cambria Math"/>
          <w:sz w:val="18"/>
        </w:rPr>
      </w:pPr>
    </w:p>
    <w:p>
      <w:pPr>
        <w:pStyle w:val="BodyText"/>
        <w:spacing w:before="90"/>
        <w:ind w:left="500"/>
      </w:pPr>
      <w:r>
        <w:rPr/>
        <w:t>Log-linearise</w:t>
      </w:r>
      <w:r>
        <w:rPr>
          <w:spacing w:val="-1"/>
        </w:rPr>
        <w:t> </w:t>
      </w:r>
      <w:r>
        <w:rPr/>
        <w:t>equation</w:t>
      </w:r>
      <w:r>
        <w:rPr>
          <w:spacing w:val="-2"/>
        </w:rPr>
        <w:t> </w:t>
      </w:r>
      <w:r>
        <w:rPr/>
        <w:t>(4.80)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give: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8901" w:val="left" w:leader="none"/>
        </w:tabs>
        <w:ind w:left="500"/>
      </w:pPr>
      <w:r>
        <w:rPr/>
        <w:pict>
          <v:shape style="position:absolute;margin-left:100.940002pt;margin-top:7.286885pt;width:3.8pt;height:8.550pt;mso-position-horizontal-relative:page;mso-position-vertical-relative:paragraph;z-index:-21409280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</w:rPr>
        <w:t>𝑟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3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𝑟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𝐸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(𝑒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𝑒</w:t>
      </w:r>
      <w:r>
        <w:rPr>
          <w:rFonts w:ascii="Cambria Math" w:hAnsi="Cambria Math" w:eastAsia="Cambria Math"/>
          <w:vertAlign w:val="subscript"/>
        </w:rPr>
        <w:t>𝑡+1</w:t>
      </w:r>
      <w:r>
        <w:rPr>
          <w:rFonts w:ascii="Cambria Math" w:hAnsi="Cambria Math" w:eastAsia="Cambria Math"/>
          <w:vertAlign w:val="baseline"/>
        </w:rPr>
        <w:t>)</w:t>
        <w:tab/>
      </w:r>
      <w:r>
        <w:rPr>
          <w:vertAlign w:val="baseline"/>
        </w:rPr>
        <w:t>(4.81)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500"/>
      </w:pPr>
      <w:r>
        <w:rPr/>
        <w:t>Re-arranging,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</w:t>
      </w:r>
      <w:r>
        <w:rPr/>
        <w:t>becomes: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8901" w:val="left" w:leader="none"/>
        </w:tabs>
        <w:ind w:left="500"/>
      </w:pPr>
      <w:r>
        <w:rPr/>
        <w:pict>
          <v:shape style="position:absolute;margin-left:99.624001pt;margin-top:7.286897pt;width:3.8pt;height:8.550pt;mso-position-horizontal-relative:page;mso-position-vertical-relative:paragraph;z-index:-2140876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w w:val="105"/>
        </w:rPr>
        <w:t>𝑟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𝑟</w:t>
      </w:r>
      <w:r>
        <w:rPr>
          <w:rFonts w:ascii="Cambria Math" w:hAnsi="Cambria Math" w:eastAsia="Cambria Math"/>
          <w:w w:val="105"/>
          <w:vertAlign w:val="superscript"/>
        </w:rPr>
        <w:t>∗</w:t>
      </w:r>
      <w:r>
        <w:rPr>
          <w:rFonts w:ascii="Cambria Math" w:hAnsi="Cambria Math" w:eastAsia="Cambria Math"/>
          <w:spacing w:val="1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𝐸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w w:val="105"/>
          <w:vertAlign w:val="baseline"/>
        </w:rPr>
        <w:t>∆𝑒</w:t>
      </w:r>
      <w:r>
        <w:rPr>
          <w:rFonts w:ascii="Cambria Math" w:hAnsi="Cambria Math" w:eastAsia="Cambria Math"/>
          <w:w w:val="105"/>
          <w:vertAlign w:val="subscript"/>
        </w:rPr>
        <w:t>𝑡+1</w:t>
      </w:r>
      <w:r>
        <w:rPr>
          <w:rFonts w:ascii="Cambria Math" w:hAnsi="Cambria Math" w:eastAsia="Cambria Math"/>
          <w:w w:val="105"/>
          <w:vertAlign w:val="baseline"/>
        </w:rPr>
        <w:tab/>
      </w:r>
      <w:r>
        <w:rPr>
          <w:w w:val="105"/>
          <w:vertAlign w:val="baseline"/>
        </w:rPr>
        <w:t>(4.82)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500"/>
      </w:pPr>
      <w:r>
        <w:rPr/>
        <w:t>This</w:t>
      </w:r>
      <w:r>
        <w:rPr>
          <w:spacing w:val="-1"/>
        </w:rPr>
        <w:t> </w:t>
      </w:r>
      <w:r>
        <w:rPr/>
        <w:t>can be</w:t>
      </w:r>
      <w:r>
        <w:rPr>
          <w:spacing w:val="-2"/>
        </w:rPr>
        <w:t> </w:t>
      </w:r>
      <w:r>
        <w:rPr/>
        <w:t>rewritten after</w:t>
      </w:r>
      <w:r>
        <w:rPr>
          <w:spacing w:val="-1"/>
        </w:rPr>
        <w:t> </w:t>
      </w:r>
      <w:r>
        <w:rPr/>
        <w:t>combining</w:t>
      </w:r>
      <w:r>
        <w:rPr>
          <w:spacing w:val="-2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(4.82) with</w:t>
      </w:r>
      <w:r>
        <w:rPr>
          <w:spacing w:val="-1"/>
        </w:rPr>
        <w:t> </w:t>
      </w:r>
      <w:r>
        <w:rPr/>
        <w:t>equation (4.62) to obtain: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tabs>
          <w:tab w:pos="2912" w:val="left" w:leader="none"/>
          <w:tab w:pos="8901" w:val="left" w:leader="none"/>
        </w:tabs>
        <w:spacing w:line="156" w:lineRule="exact"/>
        <w:ind w:left="500"/>
      </w:pP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𝑖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𝜋</w:t>
      </w:r>
      <w:r>
        <w:rPr>
          <w:rFonts w:ascii="Cambria Math" w:hAnsi="Cambria Math" w:eastAsia="Cambria Math"/>
          <w:vertAlign w:val="subscript"/>
        </w:rPr>
        <w:t>𝑡+1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7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𝑖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𝜋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ab/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18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𝐸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∆𝑞</w:t>
      </w:r>
      <w:r>
        <w:rPr>
          <w:rFonts w:ascii="Cambria Math" w:hAnsi="Cambria Math" w:eastAsia="Cambria Math"/>
          <w:vertAlign w:val="subscript"/>
        </w:rPr>
        <w:t>𝑡+1</w:t>
      </w:r>
      <w:r>
        <w:rPr>
          <w:rFonts w:ascii="Cambria Math" w:hAnsi="Cambria Math" w:eastAsia="Cambria Math"/>
          <w:vertAlign w:val="baseline"/>
        </w:rPr>
        <w:tab/>
      </w:r>
      <w:r>
        <w:rPr>
          <w:vertAlign w:val="baseline"/>
        </w:rPr>
        <w:t>(4.83)</w:t>
      </w:r>
    </w:p>
    <w:p>
      <w:pPr>
        <w:tabs>
          <w:tab w:pos="2597" w:val="left" w:leader="none"/>
        </w:tabs>
        <w:spacing w:line="173" w:lineRule="exact" w:before="0"/>
        <w:ind w:left="2067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</w:t>
        <w:tab/>
        <w:t>𝑡+1</w:t>
      </w:r>
    </w:p>
    <w:p>
      <w:pPr>
        <w:pStyle w:val="BodyText"/>
        <w:spacing w:before="1"/>
        <w:rPr>
          <w:rFonts w:ascii="Cambria Math"/>
          <w:sz w:val="18"/>
        </w:rPr>
      </w:pPr>
    </w:p>
    <w:p>
      <w:pPr>
        <w:pStyle w:val="BodyText"/>
        <w:spacing w:line="362" w:lineRule="auto" w:before="90"/>
        <w:ind w:left="500" w:right="500"/>
      </w:pPr>
      <w:r>
        <w:rPr/>
        <w:t>The</w:t>
      </w:r>
      <w:r>
        <w:rPr>
          <w:spacing w:val="35"/>
        </w:rPr>
        <w:t> </w:t>
      </w:r>
      <w:r>
        <w:rPr/>
        <w:t>expression</w:t>
      </w:r>
      <w:r>
        <w:rPr>
          <w:spacing w:val="37"/>
        </w:rPr>
        <w:t> </w:t>
      </w:r>
      <w:r>
        <w:rPr/>
        <w:t>shows</w:t>
      </w:r>
      <w:r>
        <w:rPr>
          <w:spacing w:val="37"/>
        </w:rPr>
        <w:t> </w:t>
      </w:r>
      <w:r>
        <w:rPr/>
        <w:t>that</w:t>
      </w:r>
      <w:r>
        <w:rPr>
          <w:spacing w:val="37"/>
        </w:rPr>
        <w:t> </w:t>
      </w:r>
      <w:r>
        <w:rPr/>
        <w:t>changes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real</w:t>
      </w:r>
      <w:r>
        <w:rPr>
          <w:spacing w:val="40"/>
        </w:rPr>
        <w:t> </w:t>
      </w:r>
      <w:r>
        <w:rPr/>
        <w:t>exchange</w:t>
      </w:r>
      <w:r>
        <w:rPr>
          <w:spacing w:val="36"/>
        </w:rPr>
        <w:t> </w:t>
      </w:r>
      <w:r>
        <w:rPr/>
        <w:t>rate</w:t>
      </w:r>
      <w:r>
        <w:rPr>
          <w:spacing w:val="36"/>
        </w:rPr>
        <w:t> </w:t>
      </w:r>
      <w:r>
        <w:rPr/>
        <w:t>depends</w:t>
      </w:r>
      <w:r>
        <w:rPr>
          <w:spacing w:val="39"/>
        </w:rPr>
        <w:t> </w:t>
      </w:r>
      <w:r>
        <w:rPr/>
        <w:t>on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wedge</w:t>
      </w:r>
      <w:r>
        <w:rPr>
          <w:spacing w:val="36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domestic</w:t>
      </w:r>
      <w:r>
        <w:rPr>
          <w:spacing w:val="-2"/>
        </w:rPr>
        <w:t> </w:t>
      </w:r>
      <w:r>
        <w:rPr/>
        <w:t>and foreign interest rates</w:t>
      </w:r>
    </w:p>
    <w:p>
      <w:pPr>
        <w:spacing w:after="0" w:line="362" w:lineRule="auto"/>
        <w:sectPr>
          <w:type w:val="continuous"/>
          <w:pgSz w:w="12240" w:h="15840"/>
          <w:pgMar w:top="1500" w:bottom="1120" w:left="940" w:right="940"/>
        </w:sectPr>
      </w:pPr>
    </w:p>
    <w:p>
      <w:pPr>
        <w:pStyle w:val="Heading1"/>
        <w:spacing w:before="62"/>
        <w:jc w:val="left"/>
      </w:pPr>
      <w:r>
        <w:rPr/>
        <w:t>Exogenous</w:t>
      </w:r>
      <w:r>
        <w:rPr>
          <w:spacing w:val="-2"/>
        </w:rPr>
        <w:t> </w:t>
      </w:r>
      <w:r>
        <w:rPr/>
        <w:t>Processes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Foreign</w:t>
      </w:r>
      <w:r>
        <w:rPr>
          <w:spacing w:val="-2"/>
        </w:rPr>
        <w:t> </w:t>
      </w:r>
      <w:r>
        <w:rPr/>
        <w:t>Economy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360" w:lineRule="auto"/>
        <w:ind w:left="500" w:right="605"/>
      </w:pPr>
      <w:r>
        <w:rPr/>
        <w:pict>
          <v:shape style="position:absolute;margin-left:241.369995pt;margin-top:74.167648pt;width:5.4pt;height:8.550pt;mso-position-horizontal-relative:page;mso-position-vertical-relative:paragraph;z-index:-21407232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7.130005pt;margin-top:71.902588pt;width:3.4pt;height:7pt;mso-position-horizontal-relative:page;mso-position-vertical-relative:paragraph;z-index:-21402624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14"/>
                    </w:rPr>
                  </w:pPr>
                  <w:r>
                    <w:rPr>
                      <w:rFonts w:ascii="Cambria Math" w:hAnsi="Cambria Math"/>
                      <w:w w:val="99"/>
                      <w:sz w:val="14"/>
                    </w:rPr>
                    <w:t>∗</w:t>
                  </w:r>
                </w:p>
              </w:txbxContent>
            </v:textbox>
            <w10:wrap type="none"/>
          </v:shape>
        </w:pict>
      </w:r>
      <w:r>
        <w:rPr/>
        <w:t>Nigeria is assumed to be a small open economy relative to the large global economy and can</w:t>
      </w:r>
      <w:r>
        <w:rPr>
          <w:spacing w:val="1"/>
        </w:rPr>
        <w:t> </w:t>
      </w:r>
      <w:r>
        <w:rPr/>
        <w:t>barely</w:t>
      </w:r>
      <w:r>
        <w:rPr>
          <w:spacing w:val="-6"/>
        </w:rPr>
        <w:t> </w:t>
      </w:r>
      <w:r>
        <w:rPr/>
        <w:t>affect</w:t>
      </w:r>
      <w:r>
        <w:rPr>
          <w:spacing w:val="-1"/>
        </w:rPr>
        <w:t> </w:t>
      </w:r>
      <w:r>
        <w:rPr/>
        <w:t>large foreign</w:t>
      </w:r>
      <w:r>
        <w:rPr>
          <w:spacing w:val="-1"/>
        </w:rPr>
        <w:t> </w:t>
      </w:r>
      <w:r>
        <w:rPr/>
        <w:t>economies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rate,</w:t>
      </w:r>
      <w:r>
        <w:rPr>
          <w:spacing w:val="-1"/>
        </w:rPr>
        <w:t> </w:t>
      </w:r>
      <w:r>
        <w:rPr/>
        <w:t>inflation</w:t>
      </w:r>
      <w:r>
        <w:rPr>
          <w:spacing w:val="-1"/>
        </w:rPr>
        <w:t> </w:t>
      </w:r>
      <w:r>
        <w:rPr/>
        <w:t>and output.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foreign</w:t>
      </w:r>
      <w:r>
        <w:rPr>
          <w:spacing w:val="-1"/>
        </w:rPr>
        <w:t> </w:t>
      </w:r>
      <w:r>
        <w:rPr/>
        <w:t>variables are</w:t>
      </w:r>
      <w:r>
        <w:rPr>
          <w:spacing w:val="-1"/>
        </w:rPr>
        <w:t> </w:t>
      </w:r>
      <w:r>
        <w:rPr/>
        <w:t>modelled</w:t>
      </w:r>
      <w:r>
        <w:rPr>
          <w:spacing w:val="-1"/>
        </w:rPr>
        <w:t> </w:t>
      </w:r>
      <w:r>
        <w:rPr/>
        <w:t>as exogenous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follow AR(1)</w:t>
      </w:r>
      <w:r>
        <w:rPr>
          <w:spacing w:val="-2"/>
        </w:rPr>
        <w:t> </w:t>
      </w:r>
      <w:r>
        <w:rPr/>
        <w:t>processes such</w:t>
      </w:r>
      <w:r>
        <w:rPr>
          <w:spacing w:val="-1"/>
        </w:rPr>
        <w:t> </w:t>
      </w:r>
      <w:r>
        <w:rPr/>
        <w:t>that:</w:t>
      </w:r>
    </w:p>
    <w:p>
      <w:pPr>
        <w:pStyle w:val="BodyText"/>
        <w:spacing w:before="1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0" w:footer="935" w:top="1380" w:bottom="1200" w:left="940" w:right="940"/>
        </w:sectPr>
      </w:pPr>
    </w:p>
    <w:p>
      <w:pPr>
        <w:pStyle w:val="BodyText"/>
        <w:spacing w:before="96"/>
        <w:ind w:left="500"/>
        <w:rPr>
          <w:rFonts w:ascii="Cambria Math" w:hAnsi="Cambria Math" w:eastAsia="Cambria Math"/>
        </w:rPr>
      </w:pPr>
      <w:r>
        <w:rPr/>
        <w:pict>
          <v:shape style="position:absolute;margin-left:157.820007pt;margin-top:12.086889pt;width:3.8pt;height:8.550pt;mso-position-horizontal-relative:page;mso-position-vertical-relative:paragraph;z-index:-21408256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/>
        <w:t>Foreign</w:t>
      </w:r>
      <w:r>
        <w:rPr>
          <w:spacing w:val="1"/>
        </w:rPr>
        <w:t> </w:t>
      </w:r>
      <w:r>
        <w:rPr/>
        <w:t>Output</w:t>
      </w:r>
      <w:r>
        <w:rPr>
          <w:rFonts w:ascii="Cambria Math" w:hAnsi="Cambria Math" w:eastAsia="Cambria Math"/>
        </w:rPr>
        <w:t>: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𝑦</w:t>
      </w:r>
      <w:r>
        <w:rPr>
          <w:rFonts w:ascii="Cambria Math" w:hAnsi="Cambria Math" w:eastAsia="Cambria Math"/>
          <w:vertAlign w:val="superscript"/>
        </w:rPr>
        <w:t>∗</w:t>
      </w:r>
    </w:p>
    <w:p>
      <w:pPr>
        <w:pStyle w:val="BodyText"/>
        <w:tabs>
          <w:tab w:pos="1109" w:val="left" w:leader="none"/>
        </w:tabs>
        <w:spacing w:before="96"/>
        <w:ind w:left="36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19"/>
          <w:w w:val="105"/>
        </w:rPr>
        <w:t> </w:t>
      </w:r>
      <w:r>
        <w:rPr>
          <w:rFonts w:ascii="Cambria Math" w:hAnsi="Cambria Math" w:eastAsia="Cambria Math"/>
          <w:w w:val="105"/>
        </w:rPr>
        <w:t>𝜌</w:t>
      </w:r>
      <w:r>
        <w:rPr>
          <w:rFonts w:ascii="Cambria Math" w:hAnsi="Cambria Math" w:eastAsia="Cambria Math"/>
          <w:w w:val="105"/>
          <w:vertAlign w:val="subscript"/>
        </w:rPr>
        <w:t>𝑦</w:t>
      </w:r>
      <w:r>
        <w:rPr>
          <w:rFonts w:ascii="Cambria Math" w:hAnsi="Cambria Math" w:eastAsia="Cambria Math"/>
          <w:w w:val="105"/>
          <w:position w:val="2"/>
          <w:sz w:val="14"/>
          <w:vertAlign w:val="baseline"/>
        </w:rPr>
        <w:t>∗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perscript"/>
        </w:rPr>
        <w:t>∗</w:t>
      </w:r>
      <w:r>
        <w:rPr>
          <w:rFonts w:ascii="Cambria Math" w:hAnsi="Cambria Math" w:eastAsia="Cambria Math"/>
          <w:w w:val="105"/>
          <w:vertAlign w:val="baseline"/>
        </w:rPr>
        <w:tab/>
        <w:t>+</w:t>
      </w:r>
      <w:r>
        <w:rPr>
          <w:rFonts w:ascii="Cambria Math" w:hAnsi="Cambria Math" w:eastAsia="Cambria Math"/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ε</w:t>
      </w:r>
      <w:r>
        <w:rPr>
          <w:rFonts w:ascii="Cambria Math" w:hAnsi="Cambria Math" w:eastAsia="Cambria Math"/>
          <w:w w:val="105"/>
          <w:vertAlign w:val="subscript"/>
        </w:rPr>
        <w:t>t</w:t>
      </w:r>
      <w:r>
        <w:rPr>
          <w:rFonts w:ascii="Cambria Math" w:hAnsi="Cambria Math" w:eastAsia="Cambria Math"/>
          <w:w w:val="105"/>
          <w:vertAlign w:val="baseline"/>
        </w:rPr>
        <w:t> </w:t>
      </w:r>
      <w:r>
        <w:rPr>
          <w:rFonts w:ascii="Cambria Math" w:hAnsi="Cambria Math" w:eastAsia="Cambria Math"/>
          <w:spacing w:val="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position w:val="5"/>
          <w:sz w:val="14"/>
          <w:vertAlign w:val="baseline"/>
        </w:rPr>
        <w:t>𝑡</w:t>
      </w:r>
    </w:p>
    <w:p>
      <w:pPr>
        <w:pStyle w:val="BodyText"/>
        <w:spacing w:before="100"/>
        <w:ind w:left="500"/>
      </w:pPr>
      <w:r>
        <w:rPr/>
        <w:br w:type="column"/>
      </w:r>
      <w:r>
        <w:rPr/>
        <w:t>(4.84)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3" w:equalWidth="0">
            <w:col w:w="2318" w:space="40"/>
            <w:col w:w="1752" w:space="4291"/>
            <w:col w:w="1959"/>
          </w:cols>
        </w:sectPr>
      </w:pPr>
    </w:p>
    <w:p>
      <w:pPr>
        <w:pStyle w:val="BodyText"/>
        <w:spacing w:before="9"/>
        <w:rPr>
          <w:sz w:val="23"/>
        </w:rPr>
      </w:pPr>
    </w:p>
    <w:p>
      <w:pPr>
        <w:tabs>
          <w:tab w:pos="3251" w:val="left" w:leader="none"/>
          <w:tab w:pos="4019" w:val="left" w:leader="none"/>
        </w:tabs>
        <w:spacing w:line="78" w:lineRule="exact" w:before="75"/>
        <w:ind w:left="2355" w:right="0" w:firstLine="0"/>
        <w:jc w:val="left"/>
        <w:rPr>
          <w:rFonts w:ascii="Cambria Math" w:hAnsi="Cambria Math" w:eastAsia="Cambria Math"/>
          <w:sz w:val="14"/>
        </w:rPr>
      </w:pPr>
      <w:r>
        <w:rPr/>
        <w:pict>
          <v:shape style="position:absolute;margin-left:190.820007pt;margin-top:-20.334078pt;width:26.45pt;height:10.15pt;mso-position-horizontal-relative:page;mso-position-vertical-relative:paragraph;z-index:-21407744" type="#_x0000_t202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Cambria Math" w:hAnsi="Cambria Math" w:eastAsia="Cambria Math"/>
                      <w:sz w:val="17"/>
                    </w:rPr>
                  </w:pPr>
                  <w:r>
                    <w:rPr>
                      <w:rFonts w:ascii="Cambria Math" w:hAnsi="Cambria Math" w:eastAsia="Cambria Math"/>
                      <w:w w:val="110"/>
                      <w:position w:val="-3"/>
                      <w:sz w:val="14"/>
                    </w:rPr>
                    <w:t>𝑡   </w:t>
                  </w:r>
                  <w:r>
                    <w:rPr>
                      <w:rFonts w:ascii="Cambria Math" w:hAnsi="Cambria Math" w:eastAsia="Cambria Math"/>
                      <w:spacing w:val="29"/>
                      <w:w w:val="110"/>
                      <w:position w:val="-3"/>
                      <w:sz w:val="14"/>
                    </w:rPr>
                    <w:t> </w:t>
                  </w:r>
                  <w:r>
                    <w:rPr>
                      <w:rFonts w:ascii="Cambria Math" w:hAnsi="Cambria Math" w:eastAsia="Cambria Math"/>
                      <w:spacing w:val="-2"/>
                      <w:w w:val="105"/>
                      <w:sz w:val="17"/>
                    </w:rPr>
                    <w:t>𝑡−1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z w:val="17"/>
        </w:rPr>
        <w:t>∗</w:t>
        <w:tab/>
        <w:t>∗</w:t>
        <w:tab/>
        <w:t>𝜋</w:t>
      </w:r>
      <w:r>
        <w:rPr>
          <w:rFonts w:ascii="Cambria Math" w:hAnsi="Cambria Math" w:eastAsia="Cambria Math"/>
          <w:position w:val="7"/>
          <w:sz w:val="14"/>
        </w:rPr>
        <w:t>∗</w:t>
      </w:r>
    </w:p>
    <w:p>
      <w:pPr>
        <w:spacing w:after="0" w:line="78" w:lineRule="exact"/>
        <w:jc w:val="left"/>
        <w:rPr>
          <w:rFonts w:ascii="Cambria Math" w:hAnsi="Cambria Math" w:eastAsia="Cambria Math"/>
          <w:sz w:val="14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spacing w:line="302" w:lineRule="exact" w:before="0"/>
        <w:ind w:left="500" w:right="0" w:firstLine="0"/>
        <w:jc w:val="left"/>
        <w:rPr>
          <w:rFonts w:ascii="Cambria Math" w:hAnsi="Cambria Math" w:eastAsia="Cambria Math"/>
          <w:sz w:val="14"/>
        </w:rPr>
      </w:pPr>
      <w:r>
        <w:rPr/>
        <w:pict>
          <v:shape style="position:absolute;margin-left:197.449997pt;margin-top:9.842788pt;width:3.3pt;height:7pt;mso-position-horizontal-relative:page;mso-position-vertical-relative:paragraph;z-index:-21406720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4"/>
                    </w:rPr>
                  </w:pPr>
                  <w:r>
                    <w:rPr>
                      <w:rFonts w:ascii="Cambria Math" w:eastAsia="Cambria Math"/>
                      <w:w w:val="115"/>
                      <w:sz w:val="14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9.450012pt;margin-top:34.337845pt;width:4.55pt;height:8.550pt;mso-position-horizontal-relative:page;mso-position-vertical-relative:paragraph;z-index:-21405184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𝑟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369995pt;margin-top:32.042789pt;width:3.4pt;height:7pt;mso-position-horizontal-relative:page;mso-position-vertical-relative:paragraph;z-index:-21402112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14"/>
                    </w:rPr>
                  </w:pPr>
                  <w:r>
                    <w:rPr>
                      <w:rFonts w:ascii="Cambria Math" w:hAnsi="Cambria Math"/>
                      <w:w w:val="99"/>
                      <w:sz w:val="14"/>
                    </w:rPr>
                    <w:t>∗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4"/>
        </w:rPr>
        <w:t>Foreign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Inflation:</w:t>
      </w:r>
      <w:r>
        <w:rPr>
          <w:rFonts w:ascii="Cambria Math" w:hAnsi="Cambria Math" w:eastAsia="Cambria Math"/>
          <w:w w:val="105"/>
          <w:sz w:val="24"/>
        </w:rPr>
        <w:t>𝜋</w:t>
      </w:r>
      <w:r>
        <w:rPr>
          <w:rFonts w:ascii="Cambria Math" w:hAnsi="Cambria Math" w:eastAsia="Cambria Math"/>
          <w:w w:val="105"/>
          <w:position w:val="-4"/>
          <w:sz w:val="17"/>
        </w:rPr>
        <w:t>𝑡</w:t>
      </w:r>
      <w:r>
        <w:rPr>
          <w:rFonts w:ascii="Cambria Math" w:hAnsi="Cambria Math" w:eastAsia="Cambria Math"/>
          <w:spacing w:val="4"/>
          <w:w w:val="105"/>
          <w:position w:val="-4"/>
          <w:sz w:val="17"/>
        </w:rPr>
        <w:t> </w:t>
      </w:r>
      <w:r>
        <w:rPr>
          <w:rFonts w:ascii="Cambria Math" w:hAnsi="Cambria Math" w:eastAsia="Cambria Math"/>
          <w:w w:val="105"/>
          <w:sz w:val="24"/>
        </w:rPr>
        <w:t>=</w:t>
      </w:r>
      <w:r>
        <w:rPr>
          <w:rFonts w:ascii="Cambria Math" w:hAnsi="Cambria Math" w:eastAsia="Cambria Math"/>
          <w:spacing w:val="1"/>
          <w:w w:val="105"/>
          <w:sz w:val="24"/>
        </w:rPr>
        <w:t> </w:t>
      </w:r>
      <w:r>
        <w:rPr>
          <w:rFonts w:ascii="Cambria Math" w:hAnsi="Cambria Math" w:eastAsia="Cambria Math"/>
          <w:w w:val="105"/>
          <w:sz w:val="24"/>
        </w:rPr>
        <w:t>𝜌</w:t>
      </w:r>
      <w:r>
        <w:rPr>
          <w:rFonts w:ascii="Cambria Math" w:hAnsi="Cambria Math" w:eastAsia="Cambria Math"/>
          <w:w w:val="105"/>
          <w:sz w:val="24"/>
          <w:vertAlign w:val="subscript"/>
        </w:rPr>
        <w:t>𝜋</w:t>
      </w:r>
      <w:r>
        <w:rPr>
          <w:rFonts w:ascii="Cambria Math" w:hAnsi="Cambria Math" w:eastAsia="Cambria Math"/>
          <w:w w:val="105"/>
          <w:position w:val="2"/>
          <w:sz w:val="14"/>
          <w:vertAlign w:val="baseline"/>
        </w:rPr>
        <w:t>∗</w:t>
      </w:r>
      <w:r>
        <w:rPr>
          <w:rFonts w:ascii="Cambria Math" w:hAnsi="Cambria Math" w:eastAsia="Cambria Math"/>
          <w:w w:val="105"/>
          <w:sz w:val="24"/>
          <w:vertAlign w:val="baseline"/>
        </w:rPr>
        <w:t>𝜋</w:t>
      </w:r>
      <w:r>
        <w:rPr>
          <w:rFonts w:ascii="Cambria Math" w:hAnsi="Cambria Math" w:eastAsia="Cambria Math"/>
          <w:w w:val="105"/>
          <w:position w:val="-4"/>
          <w:sz w:val="17"/>
          <w:vertAlign w:val="baseline"/>
        </w:rPr>
        <w:t>𝑡−1</w:t>
      </w:r>
      <w:r>
        <w:rPr>
          <w:rFonts w:ascii="Cambria Math" w:hAnsi="Cambria Math" w:eastAsia="Cambria Math"/>
          <w:spacing w:val="12"/>
          <w:w w:val="105"/>
          <w:position w:val="-4"/>
          <w:sz w:val="17"/>
          <w:vertAlign w:val="baseline"/>
        </w:rPr>
        <w:t> </w:t>
      </w:r>
      <w:r>
        <w:rPr>
          <w:rFonts w:ascii="Cambria Math" w:hAnsi="Cambria Math" w:eastAsia="Cambria Math"/>
          <w:w w:val="105"/>
          <w:sz w:val="24"/>
          <w:vertAlign w:val="baseline"/>
        </w:rPr>
        <w:t>+</w:t>
      </w:r>
      <w:r>
        <w:rPr>
          <w:rFonts w:ascii="Cambria Math" w:hAnsi="Cambria Math" w:eastAsia="Cambria Math"/>
          <w:spacing w:val="-11"/>
          <w:w w:val="105"/>
          <w:sz w:val="24"/>
          <w:vertAlign w:val="baseline"/>
        </w:rPr>
        <w:t> </w:t>
      </w:r>
      <w:r>
        <w:rPr>
          <w:rFonts w:ascii="Cambria Math" w:hAnsi="Cambria Math" w:eastAsia="Cambria Math"/>
          <w:w w:val="105"/>
          <w:sz w:val="24"/>
          <w:vertAlign w:val="baseline"/>
        </w:rPr>
        <w:t>ε</w:t>
      </w:r>
      <w:r>
        <w:rPr>
          <w:rFonts w:ascii="Cambria Math" w:hAnsi="Cambria Math" w:eastAsia="Cambria Math"/>
          <w:w w:val="105"/>
          <w:sz w:val="24"/>
          <w:vertAlign w:val="subscript"/>
        </w:rPr>
        <w:t>t</w:t>
      </w:r>
      <w:r>
        <w:rPr>
          <w:rFonts w:ascii="Cambria Math" w:hAnsi="Cambria Math" w:eastAsia="Cambria Math"/>
          <w:spacing w:val="46"/>
          <w:w w:val="105"/>
          <w:sz w:val="24"/>
          <w:vertAlign w:val="baseline"/>
        </w:rPr>
        <w:t> </w:t>
      </w:r>
      <w:r>
        <w:rPr>
          <w:rFonts w:ascii="Cambria Math" w:hAnsi="Cambria Math" w:eastAsia="Cambria Math"/>
          <w:w w:val="105"/>
          <w:position w:val="5"/>
          <w:sz w:val="14"/>
          <w:vertAlign w:val="baseline"/>
        </w:rPr>
        <w:t>𝑡</w:t>
      </w:r>
    </w:p>
    <w:p>
      <w:pPr>
        <w:pStyle w:val="BodyText"/>
        <w:spacing w:line="266" w:lineRule="exact"/>
        <w:ind w:left="500"/>
      </w:pPr>
      <w:r>
        <w:rPr/>
        <w:br w:type="column"/>
      </w:r>
      <w:r>
        <w:rPr/>
        <w:t>(4.85)</w:t>
      </w:r>
    </w:p>
    <w:p>
      <w:pPr>
        <w:spacing w:after="0" w:line="266" w:lineRule="exact"/>
        <w:sectPr>
          <w:type w:val="continuous"/>
          <w:pgSz w:w="12240" w:h="15840"/>
          <w:pgMar w:top="1500" w:bottom="1120" w:left="940" w:right="940"/>
          <w:cols w:num="2" w:equalWidth="0">
            <w:col w:w="4238" w:space="4163"/>
            <w:col w:w="1959"/>
          </w:cols>
        </w:sectPr>
      </w:pPr>
    </w:p>
    <w:p>
      <w:pPr>
        <w:pStyle w:val="BodyText"/>
        <w:spacing w:before="6"/>
      </w:pPr>
    </w:p>
    <w:p>
      <w:pPr>
        <w:spacing w:after="0"/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96"/>
        <w:ind w:left="500"/>
        <w:rPr>
          <w:rFonts w:ascii="Cambria Math" w:hAnsi="Cambria Math" w:eastAsia="Cambria Math"/>
        </w:rPr>
      </w:pPr>
      <w:r>
        <w:rPr/>
        <w:pict>
          <v:shape style="position:absolute;margin-left:181.580002pt;margin-top:12.086875pt;width:3.8pt;height:8.550pt;mso-position-horizontal-relative:page;mso-position-vertical-relative:paragraph;z-index:-2140620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/>
        <w:t>Foreign</w:t>
      </w:r>
      <w:r>
        <w:rPr>
          <w:spacing w:val="2"/>
        </w:rPr>
        <w:t> </w:t>
      </w:r>
      <w:r>
        <w:rPr/>
        <w:t>Interest</w:t>
      </w:r>
      <w:r>
        <w:rPr>
          <w:spacing w:val="1"/>
        </w:rPr>
        <w:t> </w:t>
      </w:r>
      <w:r>
        <w:rPr/>
        <w:t>rate</w:t>
      </w:r>
      <w:r>
        <w:rPr>
          <w:rFonts w:ascii="Cambria Math" w:hAnsi="Cambria Math" w:eastAsia="Cambria Math"/>
        </w:rPr>
        <w:t>:</w:t>
      </w:r>
      <w:r>
        <w:rPr>
          <w:rFonts w:ascii="Cambria Math" w:hAnsi="Cambria Math" w:eastAsia="Cambria Math"/>
          <w:spacing w:val="40"/>
        </w:rPr>
        <w:t> </w:t>
      </w:r>
      <w:r>
        <w:rPr>
          <w:rFonts w:ascii="Cambria Math" w:hAnsi="Cambria Math" w:eastAsia="Cambria Math"/>
        </w:rPr>
        <w:t>𝑟</w:t>
      </w:r>
      <w:r>
        <w:rPr>
          <w:rFonts w:ascii="Cambria Math" w:hAnsi="Cambria Math" w:eastAsia="Cambria Math"/>
          <w:vertAlign w:val="superscript"/>
        </w:rPr>
        <w:t>∗</w:t>
      </w:r>
    </w:p>
    <w:p>
      <w:pPr>
        <w:tabs>
          <w:tab w:pos="1143" w:val="left" w:leader="none"/>
        </w:tabs>
        <w:spacing w:before="96"/>
        <w:ind w:left="33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23"/>
          <w:sz w:val="24"/>
        </w:rPr>
        <w:t> </w:t>
      </w:r>
      <w:r>
        <w:rPr>
          <w:rFonts w:ascii="Cambria Math" w:hAnsi="Cambria Math" w:eastAsia="Cambria Math"/>
          <w:sz w:val="24"/>
        </w:rPr>
        <w:t>𝜌</w:t>
      </w:r>
      <w:r>
        <w:rPr>
          <w:rFonts w:ascii="Cambria Math" w:hAnsi="Cambria Math" w:eastAsia="Cambria Math"/>
          <w:spacing w:val="-11"/>
          <w:sz w:val="24"/>
        </w:rPr>
        <w:t> </w:t>
      </w:r>
      <w:r>
        <w:rPr>
          <w:rFonts w:ascii="Cambria Math" w:hAnsi="Cambria Math" w:eastAsia="Cambria Math"/>
          <w:sz w:val="24"/>
          <w:vertAlign w:val="subscript"/>
        </w:rPr>
        <w:t>𝑟</w:t>
      </w:r>
      <w:r>
        <w:rPr>
          <w:rFonts w:ascii="Cambria Math" w:hAnsi="Cambria Math" w:eastAsia="Cambria Math"/>
          <w:position w:val="2"/>
          <w:sz w:val="14"/>
          <w:vertAlign w:val="baseline"/>
        </w:rPr>
        <w:t>∗</w:t>
      </w:r>
      <w:r>
        <w:rPr>
          <w:rFonts w:ascii="Cambria Math" w:hAnsi="Cambria Math" w:eastAsia="Cambria Math"/>
          <w:spacing w:val="46"/>
          <w:position w:val="2"/>
          <w:sz w:val="1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𝑟</w:t>
      </w:r>
      <w:r>
        <w:rPr>
          <w:rFonts w:ascii="Cambria Math" w:hAnsi="Cambria Math" w:eastAsia="Cambria Math"/>
          <w:sz w:val="24"/>
          <w:vertAlign w:val="superscript"/>
        </w:rPr>
        <w:t>∗</w:t>
      </w:r>
      <w:r>
        <w:rPr>
          <w:rFonts w:ascii="Cambria Math" w:hAnsi="Cambria Math" w:eastAsia="Cambria Math"/>
          <w:sz w:val="24"/>
          <w:vertAlign w:val="baseline"/>
        </w:rPr>
        <w:tab/>
      </w:r>
      <w:r>
        <w:rPr>
          <w:rFonts w:ascii="Cambria Math" w:hAnsi="Cambria Math" w:eastAsia="Cambria Math"/>
          <w:w w:val="105"/>
          <w:sz w:val="24"/>
          <w:vertAlign w:val="baseline"/>
        </w:rPr>
        <w:t>+</w:t>
      </w:r>
      <w:r>
        <w:rPr>
          <w:rFonts w:ascii="Cambria Math" w:hAnsi="Cambria Math" w:eastAsia="Cambria Math"/>
          <w:spacing w:val="-1"/>
          <w:w w:val="105"/>
          <w:sz w:val="24"/>
          <w:vertAlign w:val="baseline"/>
        </w:rPr>
        <w:t> </w:t>
      </w:r>
      <w:r>
        <w:rPr>
          <w:rFonts w:ascii="Cambria Math" w:hAnsi="Cambria Math" w:eastAsia="Cambria Math"/>
          <w:w w:val="105"/>
          <w:sz w:val="24"/>
          <w:vertAlign w:val="baseline"/>
        </w:rPr>
        <w:t>ε</w:t>
      </w:r>
      <w:r>
        <w:rPr>
          <w:rFonts w:ascii="Cambria Math" w:hAnsi="Cambria Math" w:eastAsia="Cambria Math"/>
          <w:w w:val="105"/>
          <w:sz w:val="24"/>
          <w:vertAlign w:val="subscript"/>
        </w:rPr>
        <w:t>t</w:t>
      </w:r>
      <w:r>
        <w:rPr>
          <w:rFonts w:ascii="Cambria Math" w:hAnsi="Cambria Math" w:eastAsia="Cambria Math"/>
          <w:w w:val="105"/>
          <w:sz w:val="24"/>
          <w:vertAlign w:val="baseline"/>
        </w:rPr>
        <w:t> </w:t>
      </w:r>
      <w:r>
        <w:rPr>
          <w:rFonts w:ascii="Cambria Math" w:hAnsi="Cambria Math" w:eastAsia="Cambria Math"/>
          <w:spacing w:val="13"/>
          <w:w w:val="105"/>
          <w:sz w:val="24"/>
          <w:vertAlign w:val="baseline"/>
        </w:rPr>
        <w:t> </w:t>
      </w:r>
      <w:r>
        <w:rPr>
          <w:rFonts w:ascii="Cambria Math" w:hAnsi="Cambria Math" w:eastAsia="Cambria Math"/>
          <w:w w:val="105"/>
          <w:position w:val="5"/>
          <w:sz w:val="14"/>
          <w:vertAlign w:val="baseline"/>
        </w:rPr>
        <w:t>𝑡</w:t>
      </w:r>
    </w:p>
    <w:p>
      <w:pPr>
        <w:pStyle w:val="BodyText"/>
        <w:spacing w:before="100"/>
        <w:ind w:left="500"/>
      </w:pPr>
      <w:r>
        <w:rPr/>
        <w:br w:type="column"/>
      </w:r>
      <w:r>
        <w:rPr/>
        <w:t>(4.86)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3" w:equalWidth="0">
            <w:col w:w="2813" w:space="40"/>
            <w:col w:w="1803" w:space="3746"/>
            <w:col w:w="1958"/>
          </w:cols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156" w:lineRule="exact" w:before="91"/>
        <w:ind w:left="500"/>
        <w:rPr>
          <w:rFonts w:ascii="Cambria Math" w:eastAsia="Cambria Math"/>
        </w:rPr>
      </w:pPr>
      <w:r>
        <w:rPr/>
        <w:pict>
          <v:shape style="position:absolute;margin-left:216.050003pt;margin-top:-21.263096pt;width:27.65pt;height:10.15pt;mso-position-horizontal-relative:page;mso-position-vertical-relative:paragraph;z-index:-21405696" type="#_x0000_t202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Cambria Math" w:hAnsi="Cambria Math" w:eastAsia="Cambria Math"/>
                      <w:sz w:val="17"/>
                    </w:rPr>
                  </w:pPr>
                  <w:r>
                    <w:rPr>
                      <w:rFonts w:ascii="Cambria Math" w:hAnsi="Cambria Math" w:eastAsia="Cambria Math"/>
                      <w:w w:val="110"/>
                      <w:position w:val="-3"/>
                      <w:sz w:val="14"/>
                    </w:rPr>
                    <w:t>𝑡    </w:t>
                  </w:r>
                  <w:r>
                    <w:rPr>
                      <w:rFonts w:ascii="Cambria Math" w:hAnsi="Cambria Math" w:eastAsia="Cambria Math"/>
                      <w:spacing w:val="18"/>
                      <w:w w:val="110"/>
                      <w:position w:val="-3"/>
                      <w:sz w:val="14"/>
                    </w:rPr>
                    <w:t> </w:t>
                  </w:r>
                  <w:r>
                    <w:rPr>
                      <w:rFonts w:ascii="Cambria Math" w:hAnsi="Cambria Math" w:eastAsia="Cambria Math"/>
                      <w:spacing w:val="-2"/>
                      <w:w w:val="105"/>
                      <w:sz w:val="17"/>
                    </w:rPr>
                    <w:t>𝑡−1</w:t>
                  </w:r>
                </w:p>
              </w:txbxContent>
            </v:textbox>
            <w10:wrap type="none"/>
          </v:shape>
        </w:pict>
      </w:r>
      <w:r>
        <w:rPr/>
        <w:t>The</w:t>
      </w:r>
      <w:r>
        <w:rPr>
          <w:spacing w:val="11"/>
        </w:rPr>
        <w:t> </w:t>
      </w:r>
      <w:r>
        <w:rPr/>
        <w:t>stochastic</w:t>
      </w:r>
      <w:r>
        <w:rPr>
          <w:spacing w:val="13"/>
        </w:rPr>
        <w:t> </w:t>
      </w:r>
      <w:r>
        <w:rPr/>
        <w:t>processes,</w:t>
      </w:r>
      <w:r>
        <w:rPr>
          <w:rFonts w:ascii="Cambria Math" w:eastAsia="Cambria Math"/>
        </w:rPr>
        <w:t>𝜀</w:t>
      </w:r>
      <w:r>
        <w:rPr>
          <w:rFonts w:ascii="Cambria Math" w:eastAsia="Cambria Math"/>
          <w:vertAlign w:val="superscript"/>
        </w:rPr>
        <w:t>𝑖</w:t>
      </w:r>
      <w:r>
        <w:rPr>
          <w:rFonts w:ascii="Cambria Math" w:eastAsia="Cambria Math"/>
          <w:vertAlign w:val="baseline"/>
        </w:rPr>
        <w:t>~𝑖𝑖𝑁</w:t>
      </w:r>
      <w:r>
        <w:rPr>
          <w:rFonts w:ascii="Cambria Math" w:eastAsia="Cambria Math"/>
          <w:position w:val="1"/>
          <w:vertAlign w:val="baseline"/>
        </w:rPr>
        <w:t>(</w:t>
      </w:r>
      <w:r>
        <w:rPr>
          <w:rFonts w:ascii="Cambria Math" w:eastAsia="Cambria Math"/>
          <w:vertAlign w:val="baseline"/>
        </w:rPr>
        <w:t>0,</w:t>
      </w:r>
      <w:r>
        <w:rPr>
          <w:rFonts w:ascii="Cambria Math" w:eastAsia="Cambria Math"/>
          <w:spacing w:val="43"/>
          <w:vertAlign w:val="baseline"/>
        </w:rPr>
        <w:t> </w:t>
      </w:r>
      <w:r>
        <w:rPr>
          <w:rFonts w:ascii="Cambria Math" w:eastAsia="Cambria Math"/>
          <w:vertAlign w:val="baseline"/>
        </w:rPr>
        <w:t>𝜎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position w:val="1"/>
          <w:vertAlign w:val="baseline"/>
        </w:rPr>
        <w:t>)</w:t>
      </w:r>
    </w:p>
    <w:p>
      <w:pPr>
        <w:tabs>
          <w:tab w:pos="4148" w:val="left" w:leader="none"/>
        </w:tabs>
        <w:spacing w:line="178" w:lineRule="exact" w:before="0"/>
        <w:ind w:left="302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1"/>
          <w:sz w:val="17"/>
        </w:rPr>
        <w:t>𝑡</w:t>
        <w:tab/>
      </w:r>
      <w:r>
        <w:rPr>
          <w:rFonts w:ascii="Cambria Math" w:eastAsia="Cambria Math"/>
          <w:w w:val="110"/>
          <w:sz w:val="17"/>
        </w:rPr>
        <w:t>𝑖</w:t>
      </w:r>
    </w:p>
    <w:p>
      <w:pPr>
        <w:pStyle w:val="BodyText"/>
        <w:spacing w:before="7"/>
        <w:rPr>
          <w:rFonts w:ascii="Cambria Math"/>
          <w:sz w:val="17"/>
        </w:rPr>
      </w:pPr>
    </w:p>
    <w:p>
      <w:pPr>
        <w:pStyle w:val="BodyText"/>
        <w:spacing w:line="146" w:lineRule="exact" w:before="94"/>
        <w:ind w:left="500"/>
      </w:pPr>
      <w:r>
        <w:rPr>
          <w:rFonts w:ascii="Cambria Math" w:hAnsi="Cambria Math" w:eastAsia="Cambria Math"/>
        </w:rPr>
        <w:t>𝑓𝑜𝑟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</w:rPr>
        <w:t>𝑖</w:t>
      </w:r>
      <w:r>
        <w:rPr>
          <w:rFonts w:ascii="Cambria Math" w:hAnsi="Cambria Math" w:eastAsia="Cambria Math"/>
          <w:spacing w:val="27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𝑦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𝜋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4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𝑟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vertAlign w:val="baseline"/>
        </w:rPr>
        <w:t>.</w:t>
      </w:r>
      <w:r>
        <w:rPr>
          <w:spacing w:val="-12"/>
          <w:vertAlign w:val="baseline"/>
        </w:rPr>
        <w:t> </w:t>
      </w:r>
      <w:r>
        <w:rPr>
          <w:vertAlign w:val="baseline"/>
        </w:rPr>
        <w:t>This</w:t>
      </w:r>
      <w:r>
        <w:rPr>
          <w:spacing w:val="-10"/>
          <w:vertAlign w:val="baseline"/>
        </w:rPr>
        <w:t> </w:t>
      </w:r>
      <w:r>
        <w:rPr>
          <w:vertAlign w:val="baseline"/>
        </w:rPr>
        <w:t>means</w:t>
      </w:r>
      <w:r>
        <w:rPr>
          <w:spacing w:val="-12"/>
          <w:vertAlign w:val="baseline"/>
        </w:rPr>
        <w:t> </w:t>
      </w:r>
      <w:r>
        <w:rPr>
          <w:vertAlign w:val="baseline"/>
        </w:rPr>
        <w:t>that</w:t>
      </w:r>
      <w:r>
        <w:rPr>
          <w:spacing w:val="-12"/>
          <w:vertAlign w:val="baseline"/>
        </w:rPr>
        <w:t> </w:t>
      </w:r>
      <w:r>
        <w:rPr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vertAlign w:val="baseline"/>
        </w:rPr>
        <w:t>stochastic</w:t>
      </w:r>
      <w:r>
        <w:rPr>
          <w:spacing w:val="-14"/>
          <w:vertAlign w:val="baseline"/>
        </w:rPr>
        <w:t> </w:t>
      </w:r>
      <w:r>
        <w:rPr>
          <w:vertAlign w:val="baseline"/>
        </w:rPr>
        <w:t>processes</w:t>
      </w:r>
      <w:r>
        <w:rPr>
          <w:spacing w:val="-12"/>
          <w:vertAlign w:val="baseline"/>
        </w:rPr>
        <w:t> </w:t>
      </w:r>
      <w:r>
        <w:rPr>
          <w:vertAlign w:val="baseline"/>
        </w:rPr>
        <w:t>of</w:t>
      </w:r>
      <w:r>
        <w:rPr>
          <w:spacing w:val="-13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-11"/>
          <w:vertAlign w:val="baseline"/>
        </w:rPr>
        <w:t> </w:t>
      </w:r>
      <w:r>
        <w:rPr>
          <w:vertAlign w:val="baseline"/>
        </w:rPr>
        <w:t>output,</w:t>
      </w:r>
      <w:r>
        <w:rPr>
          <w:spacing w:val="-12"/>
          <w:vertAlign w:val="baseline"/>
        </w:rPr>
        <w:t> </w:t>
      </w:r>
      <w:r>
        <w:rPr>
          <w:vertAlign w:val="baseline"/>
        </w:rPr>
        <w:t>inflation</w:t>
      </w:r>
      <w:r>
        <w:rPr>
          <w:spacing w:val="-12"/>
          <w:vertAlign w:val="baseline"/>
        </w:rPr>
        <w:t> </w:t>
      </w:r>
      <w:r>
        <w:rPr>
          <w:vertAlign w:val="baseline"/>
        </w:rPr>
        <w:t>and</w:t>
      </w:r>
      <w:r>
        <w:rPr>
          <w:spacing w:val="-12"/>
          <w:vertAlign w:val="baseline"/>
        </w:rPr>
        <w:t> </w:t>
      </w:r>
      <w:r>
        <w:rPr>
          <w:vertAlign w:val="baseline"/>
        </w:rPr>
        <w:t>interest</w:t>
      </w:r>
    </w:p>
    <w:p>
      <w:pPr>
        <w:tabs>
          <w:tab w:pos="1798" w:val="left" w:leader="none"/>
          <w:tab w:pos="2134" w:val="left" w:leader="none"/>
        </w:tabs>
        <w:spacing w:line="171" w:lineRule="exact" w:before="0"/>
        <w:ind w:left="145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</w:t>
        <w:tab/>
        <w:t>𝑡</w:t>
        <w:tab/>
        <w:t>𝑡</w:t>
      </w:r>
    </w:p>
    <w:p>
      <w:pPr>
        <w:pStyle w:val="BodyText"/>
        <w:spacing w:before="120"/>
        <w:ind w:left="500"/>
        <w:jc w:val="both"/>
      </w:pPr>
      <w:r>
        <w:rPr/>
        <w:pict>
          <v:shape style="position:absolute;margin-left:507.820007pt;margin-top:13.646895pt;width:3pt;height:8.550pt;mso-position-horizontal-relative:page;mso-position-vertical-relative:paragraph;z-index:-21404672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𝑖</w:t>
                  </w:r>
                </w:p>
              </w:txbxContent>
            </v:textbox>
            <w10:wrap type="none"/>
          </v:shape>
        </w:pict>
      </w:r>
      <w:r>
        <w:rPr/>
        <w:t>rate</w:t>
      </w:r>
      <w:r>
        <w:rPr>
          <w:spacing w:val="2"/>
        </w:rPr>
        <w:t> </w:t>
      </w:r>
      <w:r>
        <w:rPr/>
        <w:t>are identically,</w:t>
      </w:r>
      <w:r>
        <w:rPr>
          <w:spacing w:val="2"/>
        </w:rPr>
        <w:t> </w:t>
      </w:r>
      <w:r>
        <w:rPr/>
        <w:t>independently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normally</w:t>
      </w:r>
      <w:r>
        <w:rPr>
          <w:spacing w:val="-3"/>
        </w:rPr>
        <w:t> </w:t>
      </w:r>
      <w:r>
        <w:rPr/>
        <w:t>distributed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zero</w:t>
      </w:r>
      <w:r>
        <w:rPr>
          <w:spacing w:val="3"/>
        </w:rPr>
        <w:t> </w:t>
      </w:r>
      <w:r>
        <w:rPr/>
        <w:t>mean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variance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rFonts w:ascii="Cambria Math" w:eastAsia="Cambria Math"/>
        </w:rPr>
        <w:t>𝜎</w:t>
      </w:r>
      <w:r>
        <w:rPr>
          <w:rFonts w:ascii="Cambria Math" w:eastAsia="Cambria Math"/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before="7"/>
        <w:rPr>
          <w:sz w:val="30"/>
        </w:rPr>
      </w:pPr>
    </w:p>
    <w:p>
      <w:pPr>
        <w:pStyle w:val="Heading1"/>
        <w:numPr>
          <w:ilvl w:val="0"/>
          <w:numId w:val="24"/>
        </w:numPr>
        <w:tabs>
          <w:tab w:pos="1070" w:val="left" w:leader="none"/>
        </w:tabs>
        <w:spacing w:line="240" w:lineRule="auto" w:before="0" w:after="0"/>
        <w:ind w:left="1069" w:right="0" w:hanging="570"/>
        <w:jc w:val="left"/>
      </w:pPr>
      <w:r>
        <w:rPr/>
        <w:t>The</w:t>
      </w:r>
      <w:r>
        <w:rPr>
          <w:spacing w:val="-1"/>
        </w:rPr>
        <w:t> </w:t>
      </w:r>
      <w:r>
        <w:rPr/>
        <w:t>Monetary</w:t>
      </w:r>
      <w:r>
        <w:rPr>
          <w:spacing w:val="-1"/>
        </w:rPr>
        <w:t> </w:t>
      </w:r>
      <w:r>
        <w:rPr/>
        <w:t>Authority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360" w:lineRule="auto"/>
        <w:ind w:left="500" w:right="499"/>
        <w:jc w:val="both"/>
      </w:pPr>
      <w:r>
        <w:rPr/>
        <w:t>The</w:t>
      </w:r>
      <w:r>
        <w:rPr>
          <w:spacing w:val="-7"/>
        </w:rPr>
        <w:t> </w:t>
      </w:r>
      <w:r>
        <w:rPr/>
        <w:t>fourth</w:t>
      </w:r>
      <w:r>
        <w:rPr>
          <w:spacing w:val="-6"/>
        </w:rPr>
        <w:t> </w:t>
      </w:r>
      <w:r>
        <w:rPr/>
        <w:t>agent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model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now</w:t>
      </w:r>
      <w:r>
        <w:rPr>
          <w:spacing w:val="-6"/>
        </w:rPr>
        <w:t> </w:t>
      </w:r>
      <w:r>
        <w:rPr/>
        <w:t>discussed.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Central</w:t>
      </w:r>
      <w:r>
        <w:rPr>
          <w:spacing w:val="-3"/>
        </w:rPr>
        <w:t> </w:t>
      </w:r>
      <w:r>
        <w:rPr/>
        <w:t>Bank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Nigeria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assumed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follow</w:t>
      </w:r>
      <w:r>
        <w:rPr>
          <w:spacing w:val="-57"/>
        </w:rPr>
        <w:t> </w:t>
      </w:r>
      <w:r>
        <w:rPr/>
        <w:t>a</w:t>
      </w:r>
      <w:r>
        <w:rPr>
          <w:spacing w:val="-10"/>
        </w:rPr>
        <w:t> </w:t>
      </w:r>
      <w:r>
        <w:rPr/>
        <w:t>simple</w:t>
      </w:r>
      <w:r>
        <w:rPr>
          <w:spacing w:val="-8"/>
        </w:rPr>
        <w:t> </w:t>
      </w:r>
      <w:r>
        <w:rPr/>
        <w:t>Taylor-type</w:t>
      </w:r>
      <w:r>
        <w:rPr>
          <w:spacing w:val="-7"/>
        </w:rPr>
        <w:t> </w:t>
      </w:r>
      <w:r>
        <w:rPr/>
        <w:t>rule</w:t>
      </w:r>
      <w:r>
        <w:rPr>
          <w:spacing w:val="-7"/>
        </w:rPr>
        <w:t> </w:t>
      </w:r>
      <w:r>
        <w:rPr/>
        <w:t>i.e.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Central</w:t>
      </w:r>
      <w:r>
        <w:rPr>
          <w:spacing w:val="-5"/>
        </w:rPr>
        <w:t> </w:t>
      </w:r>
      <w:r>
        <w:rPr/>
        <w:t>Bank</w:t>
      </w:r>
      <w:r>
        <w:rPr>
          <w:spacing w:val="-9"/>
        </w:rPr>
        <w:t> </w:t>
      </w:r>
      <w:r>
        <w:rPr/>
        <w:t>implements</w:t>
      </w:r>
      <w:r>
        <w:rPr>
          <w:spacing w:val="-4"/>
        </w:rPr>
        <w:t> </w:t>
      </w:r>
      <w:r>
        <w:rPr/>
        <w:t>monetary</w:t>
      </w:r>
      <w:r>
        <w:rPr>
          <w:spacing w:val="-13"/>
        </w:rPr>
        <w:t> </w:t>
      </w:r>
      <w:r>
        <w:rPr/>
        <w:t>policy</w:t>
      </w:r>
      <w:r>
        <w:rPr>
          <w:spacing w:val="-10"/>
        </w:rPr>
        <w:t> </w:t>
      </w:r>
      <w:r>
        <w:rPr/>
        <w:t>using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interest</w:t>
      </w:r>
      <w:r>
        <w:rPr>
          <w:spacing w:val="-7"/>
        </w:rPr>
        <w:t> </w:t>
      </w:r>
      <w:r>
        <w:rPr/>
        <w:t>rate.</w:t>
      </w:r>
      <w:r>
        <w:rPr>
          <w:spacing w:val="-58"/>
        </w:rPr>
        <w:t> </w:t>
      </w:r>
      <w:r>
        <w:rPr/>
        <w:t>The CBN, under this rule, sets the interest rate by considering past value of interest rate, the</w:t>
      </w:r>
      <w:r>
        <w:rPr>
          <w:spacing w:val="1"/>
        </w:rPr>
        <w:t> </w:t>
      </w:r>
      <w:r>
        <w:rPr/>
        <w:t>deviation</w:t>
      </w:r>
      <w:r>
        <w:rPr>
          <w:spacing w:val="-1"/>
        </w:rPr>
        <w:t> </w:t>
      </w:r>
      <w:r>
        <w:rPr/>
        <w:t>of inflation, output and exchange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from target</w:t>
      </w:r>
    </w:p>
    <w:p>
      <w:pPr>
        <w:pStyle w:val="BodyText"/>
        <w:spacing w:before="8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spacing w:line="307" w:lineRule="exact" w:before="176"/>
        <w:ind w:left="500" w:right="0" w:firstLine="0"/>
        <w:jc w:val="left"/>
        <w:rPr>
          <w:rFonts w:ascii="Cambria Math"/>
          <w:sz w:val="24"/>
        </w:rPr>
      </w:pPr>
      <w:r>
        <w:rPr>
          <w:rFonts w:ascii="Cambria Math"/>
          <w:w w:val="110"/>
          <w:position w:val="14"/>
          <w:sz w:val="17"/>
          <w:u w:val="single"/>
        </w:rPr>
        <w:t>R</w:t>
      </w:r>
      <w:r>
        <w:rPr>
          <w:rFonts w:ascii="Cambria Math"/>
          <w:w w:val="110"/>
          <w:position w:val="11"/>
          <w:sz w:val="14"/>
          <w:u w:val="single"/>
        </w:rPr>
        <w:t>t</w:t>
      </w:r>
      <w:r>
        <w:rPr>
          <w:rFonts w:ascii="Cambria Math"/>
          <w:spacing w:val="25"/>
          <w:w w:val="110"/>
          <w:position w:val="11"/>
          <w:sz w:val="14"/>
        </w:rPr>
        <w:t> </w:t>
      </w:r>
      <w:r>
        <w:rPr>
          <w:rFonts w:ascii="Cambria Math"/>
          <w:w w:val="110"/>
          <w:sz w:val="24"/>
        </w:rPr>
        <w:t>=</w:t>
      </w:r>
      <w:r>
        <w:rPr>
          <w:rFonts w:ascii="Cambria Math"/>
          <w:spacing w:val="-7"/>
          <w:w w:val="110"/>
          <w:sz w:val="24"/>
        </w:rPr>
        <w:t> </w:t>
      </w:r>
      <w:r>
        <w:rPr>
          <w:rFonts w:ascii="Cambria Math"/>
          <w:w w:val="110"/>
          <w:sz w:val="24"/>
        </w:rPr>
        <w:t>[</w:t>
      </w:r>
    </w:p>
    <w:p>
      <w:pPr>
        <w:spacing w:line="152" w:lineRule="exact" w:before="0"/>
        <w:ind w:left="534" w:right="0" w:firstLine="0"/>
        <w:jc w:val="left"/>
        <w:rPr>
          <w:rFonts w:ascii="Cambria Math"/>
          <w:sz w:val="17"/>
        </w:rPr>
      </w:pPr>
      <w:r>
        <w:rPr>
          <w:rFonts w:ascii="Cambria Math"/>
          <w:w w:val="111"/>
          <w:sz w:val="17"/>
        </w:rPr>
        <w:t>R</w:t>
      </w:r>
    </w:p>
    <w:p>
      <w:pPr>
        <w:spacing w:line="168" w:lineRule="auto" w:before="134"/>
        <w:ind w:left="88" w:right="-9" w:hanging="128"/>
        <w:jc w:val="left"/>
        <w:rPr>
          <w:rFonts w:ascii="Cambria Math" w:hAnsi="Cambria Math"/>
          <w:sz w:val="17"/>
        </w:rPr>
      </w:pPr>
      <w:r>
        <w:rPr/>
        <w:br w:type="column"/>
      </w:r>
      <w:r>
        <w:rPr>
          <w:rFonts w:ascii="Cambria Math" w:hAnsi="Cambria Math"/>
          <w:w w:val="110"/>
          <w:position w:val="3"/>
          <w:sz w:val="17"/>
          <w:u w:val="single"/>
        </w:rPr>
        <w:t>R</w:t>
      </w:r>
      <w:r>
        <w:rPr>
          <w:rFonts w:ascii="Cambria Math" w:hAnsi="Cambria Math"/>
          <w:w w:val="110"/>
          <w:sz w:val="14"/>
          <w:u w:val="single"/>
        </w:rPr>
        <w:t>t−1</w:t>
      </w:r>
      <w:r>
        <w:rPr>
          <w:rFonts w:ascii="Cambria Math" w:hAnsi="Cambria Math"/>
          <w:w w:val="110"/>
          <w:position w:val="-10"/>
          <w:sz w:val="24"/>
        </w:rPr>
        <w:t>]</w:t>
      </w:r>
      <w:r>
        <w:rPr>
          <w:rFonts w:ascii="Cambria Math" w:hAnsi="Cambria Math"/>
          <w:w w:val="110"/>
          <w:position w:val="11"/>
          <w:sz w:val="17"/>
        </w:rPr>
        <w:t>ρ</w:t>
      </w:r>
      <w:r>
        <w:rPr>
          <w:rFonts w:ascii="Cambria Math" w:hAnsi="Cambria Math"/>
          <w:w w:val="110"/>
          <w:position w:val="7"/>
          <w:sz w:val="14"/>
        </w:rPr>
        <w:t>R</w:t>
      </w:r>
      <w:r>
        <w:rPr>
          <w:rFonts w:ascii="Cambria Math" w:hAnsi="Cambria Math"/>
          <w:spacing w:val="-31"/>
          <w:w w:val="110"/>
          <w:position w:val="7"/>
          <w:sz w:val="14"/>
        </w:rPr>
        <w:t> </w:t>
      </w:r>
      <w:r>
        <w:rPr>
          <w:rFonts w:ascii="Cambria Math" w:hAnsi="Cambria Math"/>
          <w:w w:val="110"/>
          <w:sz w:val="17"/>
        </w:rPr>
        <w:t>R</w:t>
      </w:r>
    </w:p>
    <w:p>
      <w:pPr>
        <w:spacing w:line="208" w:lineRule="exact" w:before="103"/>
        <w:ind w:left="222" w:right="0" w:firstLine="0"/>
        <w:jc w:val="left"/>
        <w:rPr>
          <w:rFonts w:ascii="Cambria Math" w:hAnsi="Cambria Math"/>
          <w:sz w:val="14"/>
        </w:rPr>
      </w:pPr>
      <w:r>
        <w:rPr/>
        <w:br w:type="column"/>
      </w:r>
      <w:r>
        <w:rPr>
          <w:rFonts w:ascii="Cambria Math" w:hAnsi="Cambria Math"/>
          <w:w w:val="110"/>
          <w:position w:val="-6"/>
          <w:sz w:val="17"/>
          <w:u w:val="single"/>
        </w:rPr>
        <w:t>π</w:t>
      </w:r>
      <w:r>
        <w:rPr>
          <w:rFonts w:ascii="Cambria Math" w:hAnsi="Cambria Math"/>
          <w:w w:val="110"/>
          <w:position w:val="-6"/>
          <w:sz w:val="17"/>
        </w:rPr>
        <w:t>   </w:t>
      </w:r>
      <w:r>
        <w:rPr>
          <w:rFonts w:ascii="Cambria Math" w:hAnsi="Cambria Math"/>
          <w:spacing w:val="22"/>
          <w:w w:val="110"/>
          <w:position w:val="-6"/>
          <w:sz w:val="17"/>
        </w:rPr>
        <w:t> </w:t>
      </w:r>
      <w:r>
        <w:rPr>
          <w:rFonts w:ascii="Cambria Math" w:hAnsi="Cambria Math"/>
          <w:spacing w:val="-3"/>
          <w:w w:val="115"/>
          <w:sz w:val="17"/>
        </w:rPr>
        <w:t>υ</w:t>
      </w:r>
      <w:r>
        <w:rPr>
          <w:rFonts w:ascii="Cambria Math" w:hAnsi="Cambria Math"/>
          <w:spacing w:val="-3"/>
          <w:w w:val="115"/>
          <w:position w:val="-2"/>
          <w:sz w:val="14"/>
        </w:rPr>
        <w:t>π</w:t>
      </w:r>
    </w:p>
    <w:p>
      <w:pPr>
        <w:pStyle w:val="BodyText"/>
        <w:spacing w:line="173" w:lineRule="exact"/>
        <w:ind w:right="187"/>
        <w:jc w:val="center"/>
        <w:rPr>
          <w:rFonts w:ascii="Cambria Math"/>
        </w:rPr>
      </w:pPr>
      <w:r>
        <w:rPr/>
        <w:pict>
          <v:shape style="position:absolute;margin-left:153.5pt;margin-top:-2.473561pt;width:3.05pt;height:7pt;mso-position-horizontal-relative:page;mso-position-vertical-relative:paragraph;z-index:-21404160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Cambria Math"/>
                      <w:sz w:val="14"/>
                    </w:rPr>
                  </w:pPr>
                  <w:r>
                    <w:rPr>
                      <w:rFonts w:ascii="Cambria Math"/>
                      <w:w w:val="127"/>
                      <w:sz w:val="14"/>
                      <w:u w:val="single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w w:val="115"/>
        </w:rPr>
        <w:t>[( </w:t>
      </w:r>
      <w:r>
        <w:rPr>
          <w:rFonts w:ascii="Cambria Math"/>
          <w:spacing w:val="58"/>
          <w:w w:val="115"/>
        </w:rPr>
        <w:t> </w:t>
      </w:r>
      <w:r>
        <w:rPr>
          <w:rFonts w:ascii="Cambria Math"/>
          <w:w w:val="115"/>
        </w:rPr>
        <w:t>)</w:t>
      </w:r>
    </w:p>
    <w:p>
      <w:pPr>
        <w:spacing w:line="152" w:lineRule="exact" w:before="0"/>
        <w:ind w:left="0" w:right="98" w:firstLine="0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w w:val="112"/>
          <w:sz w:val="17"/>
        </w:rPr>
        <w:t>π</w:t>
      </w:r>
    </w:p>
    <w:p>
      <w:pPr>
        <w:spacing w:line="208" w:lineRule="exact" w:before="103"/>
        <w:ind w:left="134" w:right="0" w:firstLine="0"/>
        <w:jc w:val="left"/>
        <w:rPr>
          <w:rFonts w:ascii="Cambria Math" w:hAnsi="Cambria Math"/>
          <w:sz w:val="14"/>
        </w:rPr>
      </w:pPr>
      <w:r>
        <w:rPr/>
        <w:br w:type="column"/>
      </w:r>
      <w:r>
        <w:rPr>
          <w:rFonts w:ascii="Cambria Math" w:hAnsi="Cambria Math"/>
          <w:w w:val="110"/>
          <w:position w:val="-6"/>
          <w:sz w:val="17"/>
          <w:u w:val="single"/>
        </w:rPr>
        <w:t>Y</w:t>
      </w:r>
      <w:r>
        <w:rPr>
          <w:rFonts w:ascii="Cambria Math" w:hAnsi="Cambria Math"/>
          <w:w w:val="110"/>
          <w:position w:val="-6"/>
          <w:sz w:val="17"/>
        </w:rPr>
        <w:t>   </w:t>
      </w:r>
      <w:r>
        <w:rPr>
          <w:rFonts w:ascii="Cambria Math" w:hAnsi="Cambria Math"/>
          <w:spacing w:val="24"/>
          <w:w w:val="110"/>
          <w:position w:val="-6"/>
          <w:sz w:val="17"/>
        </w:rPr>
        <w:t> </w:t>
      </w:r>
      <w:r>
        <w:rPr>
          <w:rFonts w:ascii="Cambria Math" w:hAnsi="Cambria Math"/>
          <w:spacing w:val="-2"/>
          <w:w w:val="115"/>
          <w:sz w:val="17"/>
        </w:rPr>
        <w:t>υ</w:t>
      </w:r>
      <w:r>
        <w:rPr>
          <w:rFonts w:ascii="Cambria Math" w:hAnsi="Cambria Math"/>
          <w:spacing w:val="-2"/>
          <w:w w:val="115"/>
          <w:position w:val="-2"/>
          <w:sz w:val="14"/>
        </w:rPr>
        <w:t>Y</w:t>
      </w:r>
    </w:p>
    <w:p>
      <w:pPr>
        <w:pStyle w:val="BodyText"/>
        <w:spacing w:line="173" w:lineRule="exact"/>
        <w:ind w:left="16"/>
        <w:rPr>
          <w:rFonts w:ascii="Cambria Math"/>
        </w:rPr>
      </w:pPr>
      <w:r>
        <w:rPr/>
        <w:pict>
          <v:shape style="position:absolute;margin-left:187.220001pt;margin-top:-2.473561pt;width:3.05pt;height:7pt;mso-position-horizontal-relative:page;mso-position-vertical-relative:paragraph;z-index:-21403648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Cambria Math"/>
                      <w:sz w:val="14"/>
                    </w:rPr>
                  </w:pPr>
                  <w:r>
                    <w:rPr>
                      <w:rFonts w:ascii="Cambria Math"/>
                      <w:w w:val="127"/>
                      <w:sz w:val="14"/>
                      <w:u w:val="single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0.580002pt;margin-top:-.998756pt;width:5.9pt;height:12.05pt;mso-position-horizontal-relative:page;mso-position-vertical-relative:paragraph;z-index:1579417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/>
                    </w:rPr>
                  </w:pPr>
                  <w:r>
                    <w:rPr>
                      <w:rFonts w:ascii="Cambria Math"/>
                      <w:w w:val="118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w w:val="118"/>
        </w:rPr>
        <w:t>(</w:t>
      </w:r>
    </w:p>
    <w:p>
      <w:pPr>
        <w:spacing w:line="152" w:lineRule="exact" w:before="0"/>
        <w:ind w:left="167" w:right="0" w:firstLine="0"/>
        <w:jc w:val="left"/>
        <w:rPr>
          <w:rFonts w:ascii="Cambria Math"/>
          <w:sz w:val="17"/>
        </w:rPr>
      </w:pPr>
      <w:r>
        <w:rPr>
          <w:rFonts w:ascii="Cambria Math"/>
          <w:w w:val="112"/>
          <w:sz w:val="17"/>
        </w:rPr>
        <w:t>Y</w:t>
      </w:r>
    </w:p>
    <w:p>
      <w:pPr>
        <w:spacing w:line="208" w:lineRule="exact" w:before="103"/>
        <w:ind w:left="134" w:right="0" w:firstLine="0"/>
        <w:jc w:val="left"/>
        <w:rPr>
          <w:rFonts w:ascii="Cambria Math" w:hAnsi="Cambria Math"/>
          <w:sz w:val="14"/>
        </w:rPr>
      </w:pPr>
      <w:r>
        <w:rPr/>
        <w:br w:type="column"/>
      </w:r>
      <w:r>
        <w:rPr>
          <w:rFonts w:ascii="Cambria Math" w:hAnsi="Cambria Math"/>
          <w:w w:val="110"/>
          <w:position w:val="-6"/>
          <w:sz w:val="17"/>
          <w:u w:val="single"/>
        </w:rPr>
        <w:t>e</w:t>
      </w:r>
      <w:r>
        <w:rPr>
          <w:rFonts w:ascii="Cambria Math" w:hAnsi="Cambria Math"/>
          <w:w w:val="110"/>
          <w:position w:val="-6"/>
          <w:sz w:val="17"/>
        </w:rPr>
        <w:t>   </w:t>
      </w:r>
      <w:r>
        <w:rPr>
          <w:rFonts w:ascii="Cambria Math" w:hAnsi="Cambria Math"/>
          <w:spacing w:val="22"/>
          <w:w w:val="110"/>
          <w:position w:val="-6"/>
          <w:sz w:val="17"/>
        </w:rPr>
        <w:t> </w:t>
      </w:r>
      <w:r>
        <w:rPr>
          <w:rFonts w:ascii="Cambria Math" w:hAnsi="Cambria Math"/>
          <w:spacing w:val="-2"/>
          <w:w w:val="115"/>
          <w:sz w:val="17"/>
        </w:rPr>
        <w:t>υ</w:t>
      </w:r>
      <w:r>
        <w:rPr>
          <w:rFonts w:ascii="Cambria Math" w:hAnsi="Cambria Math"/>
          <w:spacing w:val="-2"/>
          <w:w w:val="115"/>
          <w:position w:val="-2"/>
          <w:sz w:val="14"/>
        </w:rPr>
        <w:t>e</w:t>
      </w:r>
    </w:p>
    <w:p>
      <w:pPr>
        <w:pStyle w:val="BodyText"/>
        <w:spacing w:line="173" w:lineRule="exact"/>
        <w:ind w:left="16"/>
        <w:rPr>
          <w:rFonts w:ascii="Cambria Math"/>
        </w:rPr>
      </w:pPr>
      <w:r>
        <w:rPr/>
        <w:pict>
          <v:shape style="position:absolute;margin-left:219.889999pt;margin-top:-2.473561pt;width:3.05pt;height:7pt;mso-position-horizontal-relative:page;mso-position-vertical-relative:paragraph;z-index:-21403136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Cambria Math"/>
                      <w:sz w:val="14"/>
                    </w:rPr>
                  </w:pPr>
                  <w:r>
                    <w:rPr>
                      <w:rFonts w:ascii="Cambria Math"/>
                      <w:w w:val="127"/>
                      <w:sz w:val="14"/>
                      <w:u w:val="single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w w:val="120"/>
        </w:rPr>
        <w:t>(</w:t>
      </w:r>
      <w:r>
        <w:rPr>
          <w:rFonts w:ascii="Cambria Math"/>
          <w:spacing w:val="32"/>
          <w:w w:val="120"/>
        </w:rPr>
        <w:t> </w:t>
      </w:r>
      <w:r>
        <w:rPr>
          <w:rFonts w:ascii="Cambria Math"/>
          <w:w w:val="120"/>
        </w:rPr>
        <w:t>)</w:t>
      </w:r>
    </w:p>
    <w:p>
      <w:pPr>
        <w:spacing w:line="152" w:lineRule="exact" w:before="0"/>
        <w:ind w:left="168" w:right="0" w:firstLine="0"/>
        <w:jc w:val="left"/>
        <w:rPr>
          <w:rFonts w:ascii="Cambria Math"/>
          <w:sz w:val="17"/>
        </w:rPr>
      </w:pPr>
      <w:r>
        <w:rPr>
          <w:rFonts w:ascii="Cambria Math"/>
          <w:w w:val="113"/>
          <w:sz w:val="17"/>
        </w:rPr>
        <w:t>e</w:t>
      </w:r>
    </w:p>
    <w:p>
      <w:pPr>
        <w:spacing w:line="200" w:lineRule="exact" w:before="72"/>
        <w:ind w:left="61" w:right="0" w:firstLine="0"/>
        <w:jc w:val="left"/>
        <w:rPr>
          <w:rFonts w:ascii="Cambria Math" w:hAnsi="Cambria Math"/>
          <w:sz w:val="14"/>
        </w:rPr>
      </w:pPr>
      <w:r>
        <w:rPr/>
        <w:br w:type="column"/>
      </w:r>
      <w:r>
        <w:rPr>
          <w:rFonts w:ascii="Cambria Math" w:hAnsi="Cambria Math"/>
          <w:w w:val="105"/>
          <w:sz w:val="17"/>
        </w:rPr>
        <w:t>1−ρ</w:t>
      </w:r>
      <w:r>
        <w:rPr>
          <w:rFonts w:ascii="Cambria Math" w:hAnsi="Cambria Math"/>
          <w:w w:val="105"/>
          <w:position w:val="-2"/>
          <w:sz w:val="14"/>
        </w:rPr>
        <w:t>R</w:t>
      </w:r>
    </w:p>
    <w:p>
      <w:pPr>
        <w:pStyle w:val="BodyText"/>
        <w:spacing w:line="259" w:lineRule="exact"/>
        <w:ind w:left="-23"/>
        <w:rPr>
          <w:rFonts w:ascii="Cambria Math"/>
        </w:rPr>
      </w:pPr>
      <w:r>
        <w:rPr>
          <w:rFonts w:ascii="Cambria Math"/>
          <w:w w:val="104"/>
        </w:rPr>
        <w:t>]</w:t>
      </w:r>
    </w:p>
    <w:p>
      <w:pPr>
        <w:pStyle w:val="BodyText"/>
        <w:tabs>
          <w:tab w:pos="4502" w:val="left" w:leader="none"/>
        </w:tabs>
        <w:spacing w:before="250"/>
        <w:ind w:left="15"/>
      </w:pPr>
      <w:r>
        <w:rPr/>
        <w:br w:type="column"/>
      </w:r>
      <w:r>
        <w:rPr>
          <w:rFonts w:ascii="Cambria Math"/>
          <w:w w:val="105"/>
        </w:rPr>
        <w:t>s</w:t>
      </w:r>
      <w:r>
        <w:rPr>
          <w:rFonts w:ascii="Cambria Math"/>
          <w:w w:val="105"/>
          <w:vertAlign w:val="subscript"/>
        </w:rPr>
        <w:t>r,t</w:t>
      </w:r>
      <w:r>
        <w:rPr>
          <w:rFonts w:ascii="Cambria Math"/>
          <w:w w:val="105"/>
          <w:vertAlign w:val="baseline"/>
        </w:rPr>
        <w:tab/>
      </w:r>
      <w:r>
        <w:rPr>
          <w:w w:val="105"/>
          <w:vertAlign w:val="baseline"/>
        </w:rPr>
        <w:t>(4.87)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7" w:equalWidth="0">
            <w:col w:w="1085" w:space="40"/>
            <w:col w:w="628" w:space="39"/>
            <w:col w:w="727" w:space="40"/>
            <w:col w:w="631" w:space="40"/>
            <w:col w:w="600" w:space="39"/>
            <w:col w:w="491" w:space="40"/>
            <w:col w:w="5960"/>
          </w:cols>
        </w:sect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90"/>
        <w:ind w:left="500"/>
      </w:pPr>
      <w:r>
        <w:rPr/>
        <w:t>Where,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412" w:lineRule="auto"/>
        <w:ind w:left="500" w:right="7450"/>
        <w:jc w:val="both"/>
      </w:pPr>
      <w:r>
        <w:rPr>
          <w:rFonts w:ascii="Cambria Math" w:hAnsi="Cambria Math"/>
        </w:rPr>
        <w:t>R</w:t>
      </w:r>
      <w:r>
        <w:rPr>
          <w:rFonts w:ascii="Cambria Math" w:hAnsi="Cambria Math"/>
          <w:vertAlign w:val="subscript"/>
        </w:rPr>
        <w:t>t</w:t>
      </w:r>
      <w:r>
        <w:rPr>
          <w:vertAlign w:val="baseline"/>
        </w:rPr>
        <w:t>: Nominal interest rate</w:t>
      </w:r>
      <w:r>
        <w:rPr>
          <w:spacing w:val="-57"/>
          <w:vertAlign w:val="baseline"/>
        </w:rPr>
        <w:t> </w:t>
      </w:r>
      <w:r>
        <w:rPr>
          <w:rFonts w:ascii="Cambria Math" w:hAnsi="Cambria Math"/>
          <w:vertAlign w:val="baseline"/>
        </w:rPr>
        <w:t>R</w:t>
      </w:r>
      <w:r>
        <w:rPr>
          <w:rFonts w:ascii="Cambria Math" w:hAnsi="Cambria Math"/>
          <w:vertAlign w:val="subscript"/>
        </w:rPr>
        <w:t>t−1</w:t>
      </w:r>
      <w:r>
        <w:rPr>
          <w:vertAlign w:val="baseline"/>
        </w:rPr>
        <w:t>: lagged interest rate</w:t>
      </w:r>
      <w:r>
        <w:rPr>
          <w:spacing w:val="-57"/>
          <w:vertAlign w:val="baseline"/>
        </w:rPr>
        <w:t> </w:t>
      </w:r>
      <w:r>
        <w:rPr>
          <w:rFonts w:ascii="Cambria Math" w:hAnsi="Cambria Math"/>
          <w:vertAlign w:val="baseline"/>
        </w:rPr>
        <w:t>π</w:t>
      </w:r>
      <w:r>
        <w:rPr>
          <w:rFonts w:ascii="Cambria Math" w:hAnsi="Cambria Math"/>
          <w:vertAlign w:val="subscript"/>
        </w:rPr>
        <w:t>t</w:t>
      </w:r>
      <w:r>
        <w:rPr>
          <w:vertAlign w:val="baseline"/>
        </w:rPr>
        <w:t>:</w:t>
      </w:r>
      <w:r>
        <w:rPr>
          <w:spacing w:val="2"/>
          <w:vertAlign w:val="baseline"/>
        </w:rPr>
        <w:t> </w:t>
      </w:r>
      <w:r>
        <w:rPr>
          <w:vertAlign w:val="baseline"/>
        </w:rPr>
        <w:t>Inflation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</w:p>
    <w:p>
      <w:pPr>
        <w:pStyle w:val="BodyText"/>
        <w:spacing w:line="275" w:lineRule="exact"/>
        <w:ind w:left="500"/>
        <w:jc w:val="both"/>
      </w:pPr>
      <w:r>
        <w:rPr>
          <w:rFonts w:ascii="Cambria Math"/>
        </w:rPr>
        <w:t>Y</w:t>
      </w:r>
      <w:r>
        <w:rPr>
          <w:rFonts w:ascii="Cambria Math"/>
          <w:vertAlign w:val="subscript"/>
        </w:rPr>
        <w:t>t</w:t>
      </w:r>
      <w:r>
        <w:rPr>
          <w:vertAlign w:val="baseline"/>
        </w:rPr>
        <w:t>:</w:t>
      </w:r>
      <w:r>
        <w:rPr>
          <w:spacing w:val="2"/>
          <w:vertAlign w:val="baseline"/>
        </w:rPr>
        <w:t> </w:t>
      </w:r>
      <w:r>
        <w:rPr>
          <w:vertAlign w:val="baseline"/>
        </w:rPr>
        <w:t>Output</w:t>
      </w:r>
    </w:p>
    <w:p>
      <w:pPr>
        <w:pStyle w:val="BodyText"/>
        <w:spacing w:before="201"/>
        <w:ind w:left="500"/>
      </w:pPr>
      <w:r>
        <w:rPr>
          <w:rFonts w:ascii="Cambria Math"/>
        </w:rPr>
        <w:t>e</w:t>
      </w:r>
      <w:r>
        <w:rPr>
          <w:rFonts w:ascii="Cambria Math"/>
          <w:vertAlign w:val="subscript"/>
        </w:rPr>
        <w:t>t</w:t>
      </w:r>
      <w:r>
        <w:rPr>
          <w:vertAlign w:val="baseline"/>
        </w:rPr>
        <w:t>:</w:t>
      </w:r>
      <w:r>
        <w:rPr>
          <w:spacing w:val="5"/>
          <w:vertAlign w:val="baseline"/>
        </w:rPr>
        <w:t> </w:t>
      </w:r>
      <w:r>
        <w:rPr>
          <w:vertAlign w:val="baseline"/>
        </w:rPr>
        <w:t>Exchange</w:t>
      </w:r>
      <w:r>
        <w:rPr>
          <w:spacing w:val="5"/>
          <w:vertAlign w:val="baseline"/>
        </w:rPr>
        <w:t> </w:t>
      </w:r>
      <w:r>
        <w:rPr>
          <w:vertAlign w:val="baseline"/>
        </w:rPr>
        <w:t>rate</w:t>
      </w:r>
    </w:p>
    <w:p>
      <w:pPr>
        <w:pStyle w:val="BodyText"/>
        <w:spacing w:before="204"/>
        <w:ind w:left="500"/>
      </w:pPr>
      <w:r>
        <w:rPr>
          <w:rFonts w:ascii="Cambria Math"/>
        </w:rPr>
        <w:t>s</w:t>
      </w:r>
      <w:r>
        <w:rPr>
          <w:rFonts w:ascii="Cambria Math"/>
          <w:vertAlign w:val="subscript"/>
        </w:rPr>
        <w:t>r,t</w:t>
      </w:r>
      <w:r>
        <w:rPr>
          <w:vertAlign w:val="baseline"/>
        </w:rPr>
        <w:t>:</w:t>
      </w:r>
      <w:r>
        <w:rPr>
          <w:spacing w:val="8"/>
          <w:vertAlign w:val="baseline"/>
        </w:rPr>
        <w:t> </w:t>
      </w:r>
      <w:r>
        <w:rPr>
          <w:vertAlign w:val="baseline"/>
        </w:rPr>
        <w:t>Innovation</w:t>
      </w:r>
      <w:r>
        <w:rPr>
          <w:spacing w:val="7"/>
          <w:vertAlign w:val="baseline"/>
        </w:rPr>
        <w:t> </w:t>
      </w:r>
      <w:r>
        <w:rPr>
          <w:vertAlign w:val="baseline"/>
        </w:rPr>
        <w:t>to</w:t>
      </w:r>
      <w:r>
        <w:rPr>
          <w:spacing w:val="7"/>
          <w:vertAlign w:val="baseline"/>
        </w:rPr>
        <w:t> </w:t>
      </w:r>
      <w:r>
        <w:rPr>
          <w:vertAlign w:val="baseline"/>
        </w:rPr>
        <w:t>monetary</w:t>
      </w:r>
      <w:r>
        <w:rPr>
          <w:spacing w:val="3"/>
          <w:vertAlign w:val="baseline"/>
        </w:rPr>
        <w:t> </w:t>
      </w:r>
      <w:r>
        <w:rPr>
          <w:vertAlign w:val="baseline"/>
        </w:rPr>
        <w:t>policy</w:t>
      </w:r>
    </w:p>
    <w:p>
      <w:pPr>
        <w:spacing w:after="0"/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75"/>
        <w:ind w:left="500"/>
      </w:pPr>
      <w:r>
        <w:rPr>
          <w:rFonts w:ascii="Cambria Math" w:hAnsi="Cambria Math"/>
        </w:rPr>
        <w:t>ρ</w:t>
      </w:r>
      <w:r>
        <w:rPr>
          <w:rFonts w:ascii="Cambria Math" w:hAnsi="Cambria Math"/>
          <w:position w:val="-4"/>
          <w:sz w:val="17"/>
        </w:rPr>
        <w:t>R</w:t>
      </w:r>
      <w:r>
        <w:rPr/>
        <w:t>:</w:t>
      </w:r>
      <w:r>
        <w:rPr>
          <w:spacing w:val="2"/>
        </w:rPr>
        <w:t> </w:t>
      </w:r>
      <w:r>
        <w:rPr/>
        <w:t>Degree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interest</w:t>
      </w:r>
      <w:r>
        <w:rPr>
          <w:spacing w:val="3"/>
        </w:rPr>
        <w:t> </w:t>
      </w:r>
      <w:r>
        <w:rPr/>
        <w:t>rate</w:t>
      </w:r>
      <w:r>
        <w:rPr>
          <w:spacing w:val="2"/>
        </w:rPr>
        <w:t> </w:t>
      </w:r>
      <w:r>
        <w:rPr/>
        <w:t>smoothing</w:t>
      </w:r>
    </w:p>
    <w:p>
      <w:pPr>
        <w:pStyle w:val="BodyText"/>
        <w:spacing w:before="167"/>
        <w:ind w:left="500" w:right="1080"/>
      </w:pPr>
      <w:r>
        <w:rPr>
          <w:rFonts w:ascii="Cambria Math" w:hAnsi="Cambria Math" w:eastAsia="Cambria Math"/>
        </w:rPr>
        <w:t>υ</w:t>
      </w:r>
      <w:r>
        <w:rPr>
          <w:rFonts w:ascii="Cambria Math" w:hAnsi="Cambria Math" w:eastAsia="Cambria Math"/>
          <w:vertAlign w:val="subscript"/>
        </w:rPr>
        <w:t>π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υ</w:t>
      </w:r>
      <w:r>
        <w:rPr>
          <w:rFonts w:ascii="Cambria Math" w:hAnsi="Cambria Math" w:eastAsia="Cambria Math"/>
          <w:vertAlign w:val="subscript"/>
        </w:rPr>
        <w:t>Y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υ</w:t>
      </w:r>
      <w:r>
        <w:rPr>
          <w:rFonts w:ascii="Cambria Math" w:hAnsi="Cambria Math" w:eastAsia="Cambria Math"/>
          <w:vertAlign w:val="subscript"/>
        </w:rPr>
        <w:t>e</w:t>
      </w:r>
      <w:r>
        <w:rPr>
          <w:vertAlign w:val="baseline"/>
        </w:rPr>
        <w:t>:</w:t>
      </w:r>
      <w:r>
        <w:rPr>
          <w:spacing w:val="4"/>
          <w:vertAlign w:val="baseline"/>
        </w:rPr>
        <w:t> </w:t>
      </w:r>
      <w:r>
        <w:rPr>
          <w:vertAlign w:val="baseline"/>
        </w:rPr>
        <w:t>Parameters</w:t>
      </w:r>
      <w:r>
        <w:rPr>
          <w:spacing w:val="4"/>
          <w:vertAlign w:val="baseline"/>
        </w:rPr>
        <w:t> </w:t>
      </w:r>
      <w:r>
        <w:rPr>
          <w:vertAlign w:val="baseline"/>
        </w:rPr>
        <w:t>that</w:t>
      </w:r>
      <w:r>
        <w:rPr>
          <w:spacing w:val="4"/>
          <w:vertAlign w:val="baseline"/>
        </w:rPr>
        <w:t> </w:t>
      </w:r>
      <w:r>
        <w:rPr>
          <w:vertAlign w:val="baseline"/>
        </w:rPr>
        <w:t>measures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response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4"/>
          <w:vertAlign w:val="baseline"/>
        </w:rPr>
        <w:t> </w:t>
      </w:r>
      <w:r>
        <w:rPr>
          <w:vertAlign w:val="baseline"/>
        </w:rPr>
        <w:t>Central</w:t>
      </w:r>
      <w:r>
        <w:rPr>
          <w:spacing w:val="4"/>
          <w:vertAlign w:val="baseline"/>
        </w:rPr>
        <w:t> </w:t>
      </w:r>
      <w:r>
        <w:rPr>
          <w:vertAlign w:val="baseline"/>
        </w:rPr>
        <w:t>Bank</w:t>
      </w:r>
      <w:r>
        <w:rPr>
          <w:spacing w:val="4"/>
          <w:vertAlign w:val="baseline"/>
        </w:rPr>
        <w:t> </w:t>
      </w:r>
      <w:r>
        <w:rPr>
          <w:vertAlign w:val="baseline"/>
        </w:rPr>
        <w:t>to</w:t>
      </w:r>
      <w:r>
        <w:rPr>
          <w:spacing w:val="4"/>
          <w:vertAlign w:val="baseline"/>
        </w:rPr>
        <w:t> </w:t>
      </w:r>
      <w:r>
        <w:rPr>
          <w:vertAlign w:val="baseline"/>
        </w:rPr>
        <w:t>inflation,</w:t>
      </w:r>
      <w:r>
        <w:rPr>
          <w:spacing w:val="4"/>
          <w:vertAlign w:val="baseline"/>
        </w:rPr>
        <w:t> </w:t>
      </w:r>
      <w:r>
        <w:rPr>
          <w:vertAlign w:val="baseline"/>
        </w:rPr>
        <w:t>output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exchange rate. </w:t>
      </w:r>
      <w:r>
        <w:rPr>
          <w:vertAlign w:val="baseline"/>
        </w:rPr>
        <w:t>In addition, </w:t>
      </w:r>
      <w:r>
        <w:rPr>
          <w:rFonts w:ascii="Cambria Math" w:hAnsi="Cambria Math" w:eastAsia="Cambria Math"/>
          <w:vertAlign w:val="baseline"/>
        </w:rPr>
        <w:t>𝑅, π, Y and e </w:t>
      </w:r>
      <w:r>
        <w:rPr>
          <w:vertAlign w:val="baseline"/>
        </w:rPr>
        <w:t>are the target values for interest rate, inflation rate,</w:t>
      </w:r>
      <w:r>
        <w:rPr>
          <w:spacing w:val="-57"/>
          <w:vertAlign w:val="baseline"/>
        </w:rPr>
        <w:t> </w:t>
      </w:r>
      <w:r>
        <w:rPr>
          <w:vertAlign w:val="baseline"/>
        </w:rPr>
        <w:t>output</w:t>
      </w:r>
      <w:r>
        <w:rPr>
          <w:spacing w:val="-1"/>
          <w:vertAlign w:val="baseline"/>
        </w:rPr>
        <w:t> </w:t>
      </w:r>
      <w:r>
        <w:rPr>
          <w:vertAlign w:val="baseline"/>
        </w:rPr>
        <w:t>and exchange</w:t>
      </w:r>
      <w:r>
        <w:rPr>
          <w:spacing w:val="-1"/>
          <w:vertAlign w:val="baseline"/>
        </w:rPr>
        <w:t> </w:t>
      </w:r>
      <w:r>
        <w:rPr>
          <w:vertAlign w:val="baseline"/>
        </w:rPr>
        <w:t>rate.</w:t>
      </w:r>
    </w:p>
    <w:p>
      <w:pPr>
        <w:pStyle w:val="BodyText"/>
        <w:spacing w:before="197"/>
        <w:ind w:left="500"/>
      </w:pPr>
      <w:r>
        <w:rPr/>
        <w:t>The</w:t>
      </w:r>
      <w:r>
        <w:rPr>
          <w:spacing w:val="-3"/>
        </w:rPr>
        <w:t> </w:t>
      </w:r>
      <w:r>
        <w:rPr/>
        <w:t>log-linearisation</w:t>
      </w:r>
      <w:r>
        <w:rPr>
          <w:spacing w:val="-1"/>
        </w:rPr>
        <w:t> </w:t>
      </w:r>
      <w:r>
        <w:rPr/>
        <w:t>of equation</w:t>
      </w:r>
      <w:r>
        <w:rPr>
          <w:spacing w:val="-1"/>
        </w:rPr>
        <w:t> </w:t>
      </w:r>
      <w:r>
        <w:rPr/>
        <w:t>(4.87) gives:</w:t>
      </w:r>
    </w:p>
    <w:p>
      <w:pPr>
        <w:pStyle w:val="BodyText"/>
        <w:tabs>
          <w:tab w:pos="8901" w:val="left" w:leader="none"/>
        </w:tabs>
        <w:spacing w:before="217"/>
        <w:ind w:left="500"/>
      </w:pPr>
      <w:r>
        <w:rPr>
          <w:rFonts w:ascii="Cambria Math" w:hAnsi="Cambria Math" w:eastAsia="Cambria Math"/>
          <w:spacing w:val="-26"/>
        </w:rPr>
        <w:t>𝑟</w:t>
      </w:r>
      <w:r>
        <w:rPr>
          <w:rFonts w:ascii="Cambria Math" w:hAnsi="Cambria Math" w:eastAsia="Cambria Math"/>
          <w:w w:val="119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 </w:t>
      </w:r>
      <w:r>
        <w:rPr>
          <w:rFonts w:ascii="Cambria Math" w:hAnsi="Cambria Math" w:eastAsia="Cambria Math"/>
          <w:spacing w:val="-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 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spacing w:val="-1"/>
          <w:vertAlign w:val="baseline"/>
        </w:rPr>
        <w:t>ρ</w:t>
      </w:r>
      <w:r>
        <w:rPr>
          <w:rFonts w:ascii="Cambria Math" w:hAnsi="Cambria Math" w:eastAsia="Cambria Math"/>
          <w:spacing w:val="9"/>
          <w:w w:val="118"/>
          <w:vertAlign w:val="subscript"/>
        </w:rPr>
        <w:t>R</w:t>
      </w:r>
      <w:r>
        <w:rPr>
          <w:rFonts w:ascii="Cambria Math" w:hAnsi="Cambria Math" w:eastAsia="Cambria Math"/>
          <w:spacing w:val="-26"/>
          <w:vertAlign w:val="baseline"/>
        </w:rPr>
        <w:t>𝑟</w:t>
      </w:r>
      <w:r>
        <w:rPr>
          <w:rFonts w:ascii="Cambria Math" w:hAnsi="Cambria Math" w:eastAsia="Cambria Math"/>
          <w:spacing w:val="4"/>
          <w:w w:val="119"/>
          <w:vertAlign w:val="subscript"/>
        </w:rPr>
        <w:t>𝑡</w:t>
      </w:r>
      <w:r>
        <w:rPr>
          <w:rFonts w:ascii="Cambria Math" w:hAnsi="Cambria Math" w:eastAsia="Cambria Math"/>
          <w:w w:val="103"/>
          <w:vertAlign w:val="subscript"/>
        </w:rPr>
        <w:t>−</w:t>
      </w:r>
      <w:r>
        <w:rPr>
          <w:rFonts w:ascii="Cambria Math" w:hAnsi="Cambria Math" w:eastAsia="Cambria Math"/>
          <w:w w:val="111"/>
          <w:vertAlign w:val="subscript"/>
        </w:rPr>
        <w:t>1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 </w:t>
      </w:r>
      <w:r>
        <w:rPr>
          <w:rFonts w:ascii="Cambria Math" w:hAnsi="Cambria Math" w:eastAsia="Cambria Math"/>
          <w:spacing w:val="1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 </w:t>
      </w:r>
      <w:r>
        <w:rPr>
          <w:rFonts w:ascii="Cambria Math" w:hAnsi="Cambria Math" w:eastAsia="Cambria Math"/>
          <w:spacing w:val="-1"/>
          <w:vertAlign w:val="baseline"/>
        </w:rPr>
        <w:t>ρ</w:t>
      </w:r>
      <w:r>
        <w:rPr>
          <w:rFonts w:ascii="Cambria Math" w:hAnsi="Cambria Math" w:eastAsia="Cambria Math"/>
          <w:spacing w:val="9"/>
          <w:w w:val="118"/>
          <w:vertAlign w:val="subscript"/>
        </w:rPr>
        <w:t>R</w:t>
      </w:r>
      <w:r>
        <w:rPr>
          <w:rFonts w:ascii="Cambria Math" w:hAnsi="Cambria Math" w:eastAsia="Cambria Math"/>
          <w:spacing w:val="1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1"/>
          <w:w w:val="101"/>
          <w:vertAlign w:val="baseline"/>
        </w:rPr>
        <w:t>[</w:t>
      </w:r>
      <w:r>
        <w:rPr>
          <w:rFonts w:ascii="Cambria Math" w:hAnsi="Cambria Math" w:eastAsia="Cambria Math"/>
          <w:spacing w:val="-1"/>
          <w:vertAlign w:val="baseline"/>
        </w:rPr>
        <w:t>υ</w:t>
      </w:r>
      <w:r>
        <w:rPr>
          <w:rFonts w:ascii="Cambria Math" w:hAnsi="Cambria Math" w:eastAsia="Cambria Math"/>
          <w:spacing w:val="9"/>
          <w:w w:val="119"/>
          <w:vertAlign w:val="subscript"/>
        </w:rPr>
        <w:t>π</w:t>
      </w:r>
      <w:r>
        <w:rPr>
          <w:rFonts w:ascii="Cambria Math" w:hAnsi="Cambria Math" w:eastAsia="Cambria Math"/>
          <w:spacing w:val="-140"/>
          <w:vertAlign w:val="baseline"/>
        </w:rPr>
        <w:t>π</w:t>
      </w:r>
      <w:r>
        <w:rPr>
          <w:rFonts w:ascii="Cambria Math" w:hAnsi="Cambria Math" w:eastAsia="Cambria Math"/>
          <w:spacing w:val="3"/>
          <w:vertAlign w:val="baseline"/>
        </w:rPr>
        <w:t>̂</w:t>
      </w:r>
      <w:r>
        <w:rPr>
          <w:rFonts w:ascii="Cambria Math" w:hAnsi="Cambria Math" w:eastAsia="Cambria Math"/>
          <w:w w:val="123"/>
          <w:vertAlign w:val="subscript"/>
        </w:rPr>
        <w:t>t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 </w:t>
      </w:r>
      <w:r>
        <w:rPr>
          <w:rFonts w:ascii="Cambria Math" w:hAnsi="Cambria Math" w:eastAsia="Cambria Math"/>
          <w:spacing w:val="-1"/>
          <w:vertAlign w:val="baseline"/>
        </w:rPr>
        <w:t>υ</w:t>
      </w:r>
      <w:r>
        <w:rPr>
          <w:rFonts w:ascii="Cambria Math" w:hAnsi="Cambria Math" w:eastAsia="Cambria Math"/>
          <w:spacing w:val="9"/>
          <w:w w:val="121"/>
          <w:vertAlign w:val="subscript"/>
        </w:rPr>
        <w:t>y</w:t>
      </w:r>
      <w:r>
        <w:rPr>
          <w:rFonts w:ascii="Cambria Math" w:hAnsi="Cambria Math" w:eastAsia="Cambria Math"/>
          <w:spacing w:val="-109"/>
          <w:vertAlign w:val="baseline"/>
        </w:rPr>
        <w:t>y</w:t>
      </w:r>
      <w:r>
        <w:rPr>
          <w:rFonts w:ascii="Cambria Math" w:hAnsi="Cambria Math" w:eastAsia="Cambria Math"/>
          <w:spacing w:val="13"/>
          <w:vertAlign w:val="baseline"/>
        </w:rPr>
        <w:t>̂</w:t>
      </w:r>
      <w:r>
        <w:rPr>
          <w:rFonts w:ascii="Cambria Math" w:hAnsi="Cambria Math" w:eastAsia="Cambria Math"/>
          <w:w w:val="123"/>
          <w:vertAlign w:val="subscript"/>
        </w:rPr>
        <w:t>t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 </w:t>
      </w:r>
      <w:r>
        <w:rPr>
          <w:rFonts w:ascii="Cambria Math" w:hAnsi="Cambria Math" w:eastAsia="Cambria Math"/>
          <w:spacing w:val="-1"/>
          <w:vertAlign w:val="baseline"/>
        </w:rPr>
        <w:t>υ</w:t>
      </w:r>
      <w:r>
        <w:rPr>
          <w:rFonts w:ascii="Cambria Math" w:hAnsi="Cambria Math" w:eastAsia="Cambria Math"/>
          <w:spacing w:val="9"/>
          <w:w w:val="120"/>
          <w:vertAlign w:val="subscript"/>
        </w:rPr>
        <w:t>e</w:t>
      </w:r>
      <w:r>
        <w:rPr>
          <w:rFonts w:ascii="Cambria Math" w:hAnsi="Cambria Math" w:eastAsia="Cambria Math"/>
          <w:spacing w:val="1"/>
          <w:vertAlign w:val="baseline"/>
        </w:rPr>
        <w:t>∆</w:t>
      </w:r>
      <w:r>
        <w:rPr>
          <w:rFonts w:ascii="Cambria Math" w:hAnsi="Cambria Math" w:eastAsia="Cambria Math"/>
          <w:vertAlign w:val="baseline"/>
        </w:rPr>
        <w:t>e</w:t>
      </w:r>
      <w:r>
        <w:rPr>
          <w:rFonts w:ascii="Cambria Math" w:hAnsi="Cambria Math" w:eastAsia="Cambria Math"/>
          <w:spacing w:val="10"/>
          <w:w w:val="123"/>
          <w:vertAlign w:val="subscript"/>
        </w:rPr>
        <w:t>t</w:t>
      </w:r>
      <w:r>
        <w:rPr>
          <w:rFonts w:ascii="Cambria Math" w:hAnsi="Cambria Math" w:eastAsia="Cambria Math"/>
          <w:w w:val="101"/>
          <w:vertAlign w:val="baseline"/>
        </w:rPr>
        <w:t>]</w:t>
      </w:r>
      <w:r>
        <w:rPr>
          <w:rFonts w:ascii="Cambria Math" w:hAnsi="Cambria Math" w:eastAsia="Cambria Math"/>
          <w:spacing w:val="-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 s</w:t>
      </w:r>
      <w:r>
        <w:rPr>
          <w:rFonts w:ascii="Cambria Math" w:hAnsi="Cambria Math" w:eastAsia="Cambria Math"/>
          <w:spacing w:val="1"/>
          <w:w w:val="121"/>
          <w:vertAlign w:val="subscript"/>
        </w:rPr>
        <w:t>r</w:t>
      </w:r>
      <w:r>
        <w:rPr>
          <w:rFonts w:ascii="Cambria Math" w:hAnsi="Cambria Math" w:eastAsia="Cambria Math"/>
          <w:spacing w:val="1"/>
          <w:w w:val="106"/>
          <w:vertAlign w:val="subscript"/>
        </w:rPr>
        <w:t>,</w:t>
      </w:r>
      <w:r>
        <w:rPr>
          <w:rFonts w:ascii="Cambria Math" w:hAnsi="Cambria Math" w:eastAsia="Cambria Math"/>
          <w:w w:val="123"/>
          <w:vertAlign w:val="subscript"/>
        </w:rPr>
        <w:t>t</w:t>
      </w:r>
      <w:r>
        <w:rPr>
          <w:rFonts w:ascii="Cambria Math" w:hAnsi="Cambria Math" w:eastAsia="Cambria Math"/>
          <w:vertAlign w:val="baseline"/>
        </w:rPr>
        <w:tab/>
      </w:r>
      <w:r>
        <w:rPr>
          <w:vertAlign w:val="baseline"/>
        </w:rPr>
        <w:t>(4.8</w:t>
      </w:r>
      <w:r>
        <w:rPr>
          <w:spacing w:val="-1"/>
          <w:vertAlign w:val="baseline"/>
        </w:rPr>
        <w:t>8</w:t>
      </w:r>
      <w:r>
        <w:rPr>
          <w:vertAlign w:val="baseline"/>
        </w:rPr>
        <w:t>)</w:t>
      </w:r>
    </w:p>
    <w:p>
      <w:pPr>
        <w:pStyle w:val="BodyText"/>
        <w:spacing w:before="5"/>
        <w:rPr>
          <w:sz w:val="32"/>
        </w:rPr>
      </w:pPr>
    </w:p>
    <w:p>
      <w:pPr>
        <w:pStyle w:val="Heading1"/>
        <w:numPr>
          <w:ilvl w:val="0"/>
          <w:numId w:val="24"/>
        </w:numPr>
        <w:tabs>
          <w:tab w:pos="998" w:val="left" w:leader="none"/>
        </w:tabs>
        <w:spacing w:line="240" w:lineRule="auto" w:before="0" w:after="0"/>
        <w:ind w:left="997" w:right="0" w:hanging="498"/>
        <w:jc w:val="both"/>
      </w:pPr>
      <w:r>
        <w:rPr/>
        <w:t>The</w:t>
      </w:r>
      <w:r>
        <w:rPr>
          <w:spacing w:val="-2"/>
        </w:rPr>
        <w:t> </w:t>
      </w:r>
      <w:r>
        <w:rPr/>
        <w:t>Fiscal</w:t>
      </w:r>
      <w:r>
        <w:rPr>
          <w:spacing w:val="-1"/>
        </w:rPr>
        <w:t> </w:t>
      </w:r>
      <w:r>
        <w:rPr/>
        <w:t>Authority</w:t>
      </w:r>
    </w:p>
    <w:p>
      <w:pPr>
        <w:pStyle w:val="BodyText"/>
        <w:spacing w:line="360" w:lineRule="auto" w:before="195"/>
        <w:ind w:left="500" w:right="496"/>
        <w:jc w:val="both"/>
      </w:pPr>
      <w:r>
        <w:rPr/>
        <w:t>The fiscal policy maker is assumed to commit to discretionary policy rather than rules, in making</w:t>
      </w:r>
      <w:r>
        <w:rPr>
          <w:spacing w:val="-57"/>
        </w:rPr>
        <w:t> </w:t>
      </w:r>
      <w:r>
        <w:rPr/>
        <w:t>fiscal decision and is also proposed to be a rent-seeker instead of being benevolent. There is,</w:t>
      </w:r>
      <w:r>
        <w:rPr>
          <w:spacing w:val="1"/>
        </w:rPr>
        <w:t> </w:t>
      </w:r>
      <w:r>
        <w:rPr/>
        <w:t>therefore, the need to explore the micro-foundation of fiscal policy making in order to explicitly</w:t>
      </w:r>
      <w:r>
        <w:rPr>
          <w:spacing w:val="1"/>
        </w:rPr>
        <w:t> </w:t>
      </w:r>
      <w:r>
        <w:rPr/>
        <w:t>model</w:t>
      </w:r>
      <w:r>
        <w:rPr>
          <w:spacing w:val="-1"/>
        </w:rPr>
        <w:t> </w:t>
      </w:r>
      <w:r>
        <w:rPr/>
        <w:t>the alternative</w:t>
      </w:r>
      <w:r>
        <w:rPr>
          <w:spacing w:val="1"/>
        </w:rPr>
        <w:t> </w:t>
      </w:r>
      <w:r>
        <w:rPr/>
        <w:t>assumptions.</w:t>
      </w:r>
    </w:p>
    <w:p>
      <w:pPr>
        <w:spacing w:before="205"/>
        <w:ind w:left="500" w:right="0" w:firstLine="0"/>
        <w:jc w:val="both"/>
        <w:rPr>
          <w:b/>
          <w:sz w:val="24"/>
        </w:rPr>
      </w:pPr>
      <w:r>
        <w:rPr>
          <w:b/>
          <w:sz w:val="24"/>
          <w:u w:val="thick"/>
        </w:rPr>
        <w:t>Assumption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1: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Fiscal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policy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maker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uses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discretion</w:t>
      </w: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spacing w:line="360" w:lineRule="auto" w:before="90"/>
        <w:ind w:left="500" w:right="498"/>
        <w:jc w:val="both"/>
      </w:pPr>
      <w:r>
        <w:rPr/>
        <w:t>The</w:t>
      </w:r>
      <w:r>
        <w:rPr>
          <w:spacing w:val="-4"/>
        </w:rPr>
        <w:t> </w:t>
      </w:r>
      <w:r>
        <w:rPr/>
        <w:t>fiscal</w:t>
      </w:r>
      <w:r>
        <w:rPr>
          <w:spacing w:val="-2"/>
        </w:rPr>
        <w:t> </w:t>
      </w:r>
      <w:r>
        <w:rPr/>
        <w:t>policy</w:t>
      </w:r>
      <w:r>
        <w:rPr>
          <w:spacing w:val="-8"/>
        </w:rPr>
        <w:t> </w:t>
      </w:r>
      <w:r>
        <w:rPr/>
        <w:t>maker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traditionally</w:t>
      </w:r>
      <w:r>
        <w:rPr>
          <w:spacing w:val="-8"/>
        </w:rPr>
        <w:t> </w:t>
      </w:r>
      <w:r>
        <w:rPr/>
        <w:t>modelled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commit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policy</w:t>
      </w:r>
      <w:r>
        <w:rPr>
          <w:spacing w:val="-5"/>
        </w:rPr>
        <w:t> </w:t>
      </w:r>
      <w:r>
        <w:rPr/>
        <w:t>rules in</w:t>
      </w:r>
      <w:r>
        <w:rPr>
          <w:spacing w:val="-1"/>
        </w:rPr>
        <w:t> </w:t>
      </w:r>
      <w:r>
        <w:rPr/>
        <w:t>DSGE</w:t>
      </w:r>
      <w:r>
        <w:rPr>
          <w:spacing w:val="-3"/>
        </w:rPr>
        <w:t> </w:t>
      </w:r>
      <w:r>
        <w:rPr/>
        <w:t>models.</w:t>
      </w:r>
      <w:r>
        <w:rPr>
          <w:spacing w:val="-3"/>
        </w:rPr>
        <w:t> </w:t>
      </w:r>
      <w:r>
        <w:rPr/>
        <w:t>This</w:t>
      </w:r>
      <w:r>
        <w:rPr>
          <w:spacing w:val="-57"/>
        </w:rPr>
        <w:t> </w:t>
      </w:r>
      <w:r>
        <w:rPr/>
        <w:t>implies that government commit to a policy path and follows this path at all dates in the future,</w:t>
      </w:r>
      <w:r>
        <w:rPr>
          <w:spacing w:val="1"/>
        </w:rPr>
        <w:t> </w:t>
      </w:r>
      <w:r>
        <w:rPr/>
        <w:t>irrespective of the state of the</w:t>
      </w:r>
      <w:r>
        <w:rPr>
          <w:spacing w:val="1"/>
        </w:rPr>
        <w:t> </w:t>
      </w:r>
      <w:r>
        <w:rPr/>
        <w:t>economy (Kydland and Prescott, 1977). This definition also</w:t>
      </w:r>
      <w:r>
        <w:rPr>
          <w:spacing w:val="1"/>
        </w:rPr>
        <w:t> </w:t>
      </w:r>
      <w:r>
        <w:rPr/>
        <w:t>indicates that government implements its policy in a mechanical manner without being strategic</w:t>
      </w:r>
      <w:r>
        <w:rPr>
          <w:spacing w:val="1"/>
        </w:rPr>
        <w:t> </w:t>
      </w:r>
      <w:r>
        <w:rPr/>
        <w:t>about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decision</w:t>
      </w:r>
      <w:r>
        <w:rPr>
          <w:spacing w:val="-2"/>
        </w:rPr>
        <w:t> </w:t>
      </w:r>
      <w:r>
        <w:rPr/>
        <w:t>making</w:t>
      </w:r>
      <w:r>
        <w:rPr>
          <w:spacing w:val="-4"/>
        </w:rPr>
        <w:t> </w:t>
      </w:r>
      <w:r>
        <w:rPr/>
        <w:t>(Fragetta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Kirsanova,</w:t>
      </w:r>
      <w:r>
        <w:rPr>
          <w:spacing w:val="-2"/>
        </w:rPr>
        <w:t> </w:t>
      </w:r>
      <w:r>
        <w:rPr/>
        <w:t>2010).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realistic</w:t>
      </w:r>
      <w:r>
        <w:rPr>
          <w:spacing w:val="-2"/>
        </w:rPr>
        <w:t> </w:t>
      </w:r>
      <w:r>
        <w:rPr/>
        <w:t>assumption</w:t>
      </w:r>
      <w:r>
        <w:rPr>
          <w:spacing w:val="-2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that</w:t>
      </w:r>
      <w:r>
        <w:rPr>
          <w:spacing w:val="-57"/>
        </w:rPr>
        <w:t> </w:t>
      </w:r>
      <w:r>
        <w:rPr/>
        <w:t>the government acts strategically in order to respond to the state of the economy in each period,</w:t>
      </w:r>
      <w:r>
        <w:rPr>
          <w:spacing w:val="1"/>
        </w:rPr>
        <w:t> </w:t>
      </w:r>
      <w:r>
        <w:rPr/>
        <w:t>by aligning to discretion in its policy choices (Fragetta and Kirsanova, 2010). A policy maker,</w:t>
      </w:r>
      <w:r>
        <w:rPr>
          <w:spacing w:val="1"/>
        </w:rPr>
        <w:t> </w:t>
      </w:r>
      <w:r>
        <w:rPr/>
        <w:t>therefore, is assumed to commit to discretionary policy when he is free to alter its instrument</w:t>
      </w:r>
      <w:r>
        <w:rPr>
          <w:spacing w:val="1"/>
        </w:rPr>
        <w:t> </w:t>
      </w:r>
      <w:r>
        <w:rPr/>
        <w:t>setting</w:t>
      </w:r>
      <w:r>
        <w:rPr>
          <w:spacing w:val="-3"/>
        </w:rPr>
        <w:t> </w:t>
      </w:r>
      <w:r>
        <w:rPr/>
        <w:t>to suit its own objective</w:t>
      </w:r>
      <w:r>
        <w:rPr>
          <w:spacing w:val="-1"/>
        </w:rPr>
        <w:t> </w:t>
      </w:r>
      <w:r>
        <w:rPr/>
        <w:t>(Walsh, 2010).</w:t>
      </w:r>
    </w:p>
    <w:p>
      <w:pPr>
        <w:pStyle w:val="BodyText"/>
        <w:spacing w:line="360" w:lineRule="auto" w:before="201"/>
        <w:ind w:left="500" w:right="492"/>
        <w:jc w:val="both"/>
      </w:pPr>
      <w:r>
        <w:rPr/>
        <w:t>In a more technical term, using discretionary policy means that government re-optimises every</w:t>
      </w:r>
      <w:r>
        <w:rPr>
          <w:spacing w:val="1"/>
        </w:rPr>
        <w:t> </w:t>
      </w:r>
      <w:r>
        <w:rPr/>
        <w:t>period</w:t>
      </w:r>
      <w:r>
        <w:rPr>
          <w:spacing w:val="-8"/>
        </w:rPr>
        <w:t> </w:t>
      </w:r>
      <w:r>
        <w:rPr/>
        <w:t>i.e.</w:t>
      </w:r>
      <w:r>
        <w:rPr>
          <w:spacing w:val="-8"/>
        </w:rPr>
        <w:t> </w:t>
      </w:r>
      <w:r>
        <w:rPr/>
        <w:t>it</w:t>
      </w:r>
      <w:r>
        <w:rPr>
          <w:spacing w:val="-7"/>
        </w:rPr>
        <w:t> </w:t>
      </w:r>
      <w:r>
        <w:rPr/>
        <w:t>follows</w:t>
      </w:r>
      <w:r>
        <w:rPr>
          <w:spacing w:val="-4"/>
        </w:rPr>
        <w:t> </w:t>
      </w:r>
      <w:r>
        <w:rPr/>
        <w:t>a</w:t>
      </w:r>
      <w:r>
        <w:rPr>
          <w:spacing w:val="-9"/>
        </w:rPr>
        <w:t> </w:t>
      </w:r>
      <w:r>
        <w:rPr/>
        <w:t>period</w:t>
      </w:r>
      <w:r>
        <w:rPr>
          <w:spacing w:val="-7"/>
        </w:rPr>
        <w:t> </w:t>
      </w:r>
      <w:r>
        <w:rPr/>
        <w:t>by</w:t>
      </w:r>
      <w:r>
        <w:rPr>
          <w:spacing w:val="-12"/>
        </w:rPr>
        <w:t> </w:t>
      </w:r>
      <w:r>
        <w:rPr/>
        <w:t>period</w:t>
      </w:r>
      <w:r>
        <w:rPr>
          <w:spacing w:val="-8"/>
        </w:rPr>
        <w:t> </w:t>
      </w:r>
      <w:r>
        <w:rPr/>
        <w:t>(sequential)</w:t>
      </w:r>
      <w:r>
        <w:rPr>
          <w:spacing w:val="-5"/>
        </w:rPr>
        <w:t> </w:t>
      </w:r>
      <w:r>
        <w:rPr/>
        <w:t>optimisation</w:t>
      </w:r>
      <w:r>
        <w:rPr>
          <w:spacing w:val="-8"/>
        </w:rPr>
        <w:t> </w:t>
      </w:r>
      <w:r>
        <w:rPr/>
        <w:t>rather</w:t>
      </w:r>
      <w:r>
        <w:rPr>
          <w:spacing w:val="-9"/>
        </w:rPr>
        <w:t> </w:t>
      </w:r>
      <w:r>
        <w:rPr/>
        <w:t>than</w:t>
      </w:r>
      <w:r>
        <w:rPr>
          <w:spacing w:val="-3"/>
        </w:rPr>
        <w:t> </w:t>
      </w:r>
      <w:r>
        <w:rPr/>
        <w:t>committing</w:t>
      </w:r>
      <w:r>
        <w:rPr>
          <w:spacing w:val="-10"/>
        </w:rPr>
        <w:t> </w:t>
      </w:r>
      <w:r>
        <w:rPr/>
        <w:t>to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state-</w:t>
      </w:r>
      <w:r>
        <w:rPr>
          <w:spacing w:val="-57"/>
        </w:rPr>
        <w:t> </w:t>
      </w:r>
      <w:r>
        <w:rPr/>
        <w:t>contingent</w:t>
      </w:r>
      <w:r>
        <w:rPr>
          <w:spacing w:val="-12"/>
        </w:rPr>
        <w:t> </w:t>
      </w:r>
      <w:r>
        <w:rPr/>
        <w:t>path</w:t>
      </w:r>
      <w:r>
        <w:rPr>
          <w:spacing w:val="-13"/>
        </w:rPr>
        <w:t> </w:t>
      </w:r>
      <w:r>
        <w:rPr/>
        <w:t>(Gali,</w:t>
      </w:r>
      <w:r>
        <w:rPr>
          <w:spacing w:val="-13"/>
        </w:rPr>
        <w:t> </w:t>
      </w:r>
      <w:r>
        <w:rPr/>
        <w:t>2008;</w:t>
      </w:r>
      <w:r>
        <w:rPr>
          <w:spacing w:val="-13"/>
        </w:rPr>
        <w:t> </w:t>
      </w:r>
      <w:r>
        <w:rPr/>
        <w:t>Kirsanova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le</w:t>
      </w:r>
      <w:r>
        <w:rPr>
          <w:spacing w:val="-12"/>
        </w:rPr>
        <w:t> </w:t>
      </w:r>
      <w:r>
        <w:rPr/>
        <w:t>Roux,</w:t>
      </w:r>
      <w:r>
        <w:rPr>
          <w:spacing w:val="-13"/>
        </w:rPr>
        <w:t> </w:t>
      </w:r>
      <w:r>
        <w:rPr/>
        <w:t>2013).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specifying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optimisation</w:t>
      </w:r>
      <w:r>
        <w:rPr>
          <w:spacing w:val="-13"/>
        </w:rPr>
        <w:t> </w:t>
      </w:r>
      <w:r>
        <w:rPr/>
        <w:t>problem</w:t>
      </w:r>
      <w:r>
        <w:rPr>
          <w:spacing w:val="-5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discretionary</w:t>
      </w:r>
      <w:r>
        <w:rPr>
          <w:spacing w:val="-12"/>
        </w:rPr>
        <w:t> </w:t>
      </w:r>
      <w:r>
        <w:rPr/>
        <w:t>policy</w:t>
      </w:r>
      <w:r>
        <w:rPr>
          <w:spacing w:val="-10"/>
        </w:rPr>
        <w:t> </w:t>
      </w:r>
      <w:r>
        <w:rPr/>
        <w:t>maker,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objective</w:t>
      </w:r>
      <w:r>
        <w:rPr>
          <w:spacing w:val="-9"/>
        </w:rPr>
        <w:t> </w:t>
      </w:r>
      <w:r>
        <w:rPr/>
        <w:t>function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void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expectations</w:t>
      </w:r>
      <w:r>
        <w:rPr>
          <w:spacing w:val="-7"/>
        </w:rPr>
        <w:t> </w:t>
      </w:r>
      <w:r>
        <w:rPr/>
        <w:t>operator,</w:t>
      </w:r>
      <w:r>
        <w:rPr>
          <w:spacing w:val="-8"/>
        </w:rPr>
        <w:t> </w:t>
      </w:r>
      <w:r>
        <w:rPr/>
        <w:t>since</w:t>
      </w:r>
      <w:r>
        <w:rPr>
          <w:spacing w:val="-57"/>
        </w:rPr>
        <w:t> </w:t>
      </w:r>
      <w:r>
        <w:rPr/>
        <w:t>he</w:t>
      </w:r>
      <w:r>
        <w:rPr>
          <w:spacing w:val="-12"/>
        </w:rPr>
        <w:t> </w:t>
      </w:r>
      <w:r>
        <w:rPr/>
        <w:t>does</w:t>
      </w:r>
      <w:r>
        <w:rPr>
          <w:spacing w:val="-10"/>
        </w:rPr>
        <w:t> </w:t>
      </w:r>
      <w:r>
        <w:rPr/>
        <w:t>not</w:t>
      </w:r>
      <w:r>
        <w:rPr>
          <w:spacing w:val="-7"/>
        </w:rPr>
        <w:t> </w:t>
      </w:r>
      <w:r>
        <w:rPr/>
        <w:t>commit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any</w:t>
      </w:r>
      <w:r>
        <w:rPr>
          <w:spacing w:val="-12"/>
        </w:rPr>
        <w:t> </w:t>
      </w:r>
      <w:r>
        <w:rPr/>
        <w:t>future</w:t>
      </w:r>
      <w:r>
        <w:rPr>
          <w:spacing w:val="-11"/>
        </w:rPr>
        <w:t> </w:t>
      </w:r>
      <w:r>
        <w:rPr/>
        <w:t>policy</w:t>
      </w:r>
      <w:r>
        <w:rPr>
          <w:spacing w:val="-12"/>
        </w:rPr>
        <w:t> </w:t>
      </w:r>
      <w:r>
        <w:rPr/>
        <w:t>path</w:t>
      </w:r>
      <w:r>
        <w:rPr>
          <w:spacing w:val="-10"/>
        </w:rPr>
        <w:t> </w:t>
      </w:r>
      <w:r>
        <w:rPr/>
        <w:t>but</w:t>
      </w:r>
      <w:r>
        <w:rPr>
          <w:spacing w:val="-10"/>
        </w:rPr>
        <w:t> </w:t>
      </w:r>
      <w:r>
        <w:rPr/>
        <w:t>treats</w:t>
      </w:r>
      <w:r>
        <w:rPr>
          <w:spacing w:val="-9"/>
        </w:rPr>
        <w:t> </w:t>
      </w:r>
      <w:r>
        <w:rPr/>
        <w:t>future</w:t>
      </w:r>
      <w:r>
        <w:rPr>
          <w:spacing w:val="-11"/>
        </w:rPr>
        <w:t> </w:t>
      </w:r>
      <w:r>
        <w:rPr/>
        <w:t>values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policy</w:t>
      </w:r>
      <w:r>
        <w:rPr>
          <w:spacing w:val="-13"/>
        </w:rPr>
        <w:t> </w:t>
      </w:r>
      <w:r>
        <w:rPr/>
        <w:t>instruments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given</w:t>
      </w:r>
      <w:r>
        <w:rPr>
          <w:spacing w:val="-57"/>
        </w:rPr>
        <w:t> </w:t>
      </w:r>
      <w:r>
        <w:rPr/>
        <w:t>(Adam</w:t>
      </w:r>
      <w:r>
        <w:rPr>
          <w:spacing w:val="-1"/>
        </w:rPr>
        <w:t> </w:t>
      </w:r>
      <w:r>
        <w:rPr/>
        <w:t>and Billi,</w:t>
      </w:r>
      <w:r>
        <w:rPr>
          <w:spacing w:val="-1"/>
        </w:rPr>
        <w:t> </w:t>
      </w:r>
      <w:r>
        <w:rPr/>
        <w:t>2007).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optimization problem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discretionary</w:t>
      </w:r>
      <w:r>
        <w:rPr>
          <w:spacing w:val="-6"/>
        </w:rPr>
        <w:t> </w:t>
      </w:r>
      <w:r>
        <w:rPr/>
        <w:t>policy</w:t>
      </w:r>
      <w:r>
        <w:rPr>
          <w:spacing w:val="-5"/>
        </w:rPr>
        <w:t> </w:t>
      </w:r>
      <w:r>
        <w:rPr/>
        <w:t>maker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given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spacing w:before="196"/>
        <w:ind w:left="3615" w:right="3612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𝑀𝑎𝑥</w:t>
      </w:r>
      <w:r>
        <w:rPr>
          <w:rFonts w:ascii="Cambria Math" w:eastAsia="Cambria Math"/>
          <w:spacing w:val="11"/>
        </w:rPr>
        <w:t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position w:val="1"/>
          <w:vertAlign w:val="baseline"/>
        </w:rPr>
        <w:t>(</w:t>
      </w:r>
      <w:r>
        <w:rPr>
          <w:rFonts w:ascii="Cambria Math" w:eastAsia="Cambria Math"/>
          <w:vertAlign w:val="baseline"/>
        </w:rPr>
        <w:t>𝐺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spacing w:val="19"/>
          <w:vertAlign w:val="baseline"/>
        </w:rPr>
        <w:t> </w:t>
      </w:r>
      <w:r>
        <w:rPr>
          <w:rFonts w:ascii="Cambria Math" w:eastAsia="Cambria Math"/>
          <w:vertAlign w:val="baseline"/>
        </w:rPr>
        <w:t>,</w:t>
      </w:r>
      <w:r>
        <w:rPr>
          <w:rFonts w:ascii="Cambria Math" w:eastAsia="Cambria Math"/>
          <w:spacing w:val="-11"/>
          <w:vertAlign w:val="baseline"/>
        </w:rPr>
        <w:t> </w:t>
      </w:r>
      <w:r>
        <w:rPr>
          <w:rFonts w:ascii="Cambria Math" w:eastAsia="Cambria Math"/>
          <w:vertAlign w:val="baseline"/>
        </w:rPr>
        <w:t>𝑅𝑁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position w:val="1"/>
          <w:vertAlign w:val="baseline"/>
        </w:rPr>
        <w:t>)</w:t>
      </w:r>
    </w:p>
    <w:p>
      <w:pPr>
        <w:spacing w:after="0"/>
        <w:jc w:val="center"/>
        <w:rPr>
          <w:rFonts w:ascii="Cambria Math" w:eastAsia="Cambria Math"/>
        </w:rPr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line="345" w:lineRule="auto" w:before="72"/>
        <w:ind w:left="500" w:right="499"/>
        <w:jc w:val="both"/>
      </w:pPr>
      <w:r>
        <w:rPr/>
        <w:t>Subject to the government budget constraint. The policy problem is to choose </w:t>
      </w:r>
      <w:r>
        <w:rPr>
          <w:rFonts w:ascii="Cambria Math" w:eastAsia="Cambria Math"/>
        </w:rPr>
        <w:t>𝐺</w:t>
      </w:r>
      <w:r>
        <w:rPr>
          <w:rFonts w:ascii="Cambria Math" w:eastAsia="Cambria Math"/>
          <w:position w:val="-4"/>
          <w:sz w:val="17"/>
        </w:rPr>
        <w:t>𝑡</w:t>
      </w:r>
      <w:r>
        <w:rPr>
          <w:rFonts w:ascii="Cambria Math" w:eastAsia="Cambria Math"/>
          <w:spacing w:val="1"/>
          <w:position w:val="-4"/>
          <w:sz w:val="17"/>
        </w:rPr>
        <w:t> </w:t>
      </w:r>
      <w:r>
        <w:rPr/>
        <w:t>(government</w:t>
      </w:r>
      <w:r>
        <w:rPr>
          <w:spacing w:val="1"/>
        </w:rPr>
        <w:t> </w:t>
      </w:r>
      <w:r>
        <w:rPr/>
        <w:t>spending) and </w:t>
      </w:r>
      <w:r>
        <w:rPr>
          <w:rFonts w:ascii="Cambria Math" w:eastAsia="Cambria Math"/>
        </w:rPr>
        <w:t>𝑅𝑁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(rent) period by period such that the utility function of the policy maker is</w:t>
      </w:r>
      <w:r>
        <w:rPr>
          <w:spacing w:val="1"/>
          <w:vertAlign w:val="baseline"/>
        </w:rPr>
        <w:t> </w:t>
      </w:r>
      <w:r>
        <w:rPr>
          <w:vertAlign w:val="baseline"/>
        </w:rPr>
        <w:t>maximised.</w:t>
      </w:r>
    </w:p>
    <w:p>
      <w:pPr>
        <w:spacing w:before="224"/>
        <w:ind w:left="500" w:right="0" w:firstLine="0"/>
        <w:jc w:val="both"/>
        <w:rPr>
          <w:b/>
          <w:sz w:val="24"/>
        </w:rPr>
      </w:pPr>
      <w:r>
        <w:rPr>
          <w:b/>
          <w:sz w:val="24"/>
          <w:u w:val="thick"/>
        </w:rPr>
        <w:t>Assumption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2: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Fiscal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policy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maker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seeks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rent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360" w:lineRule="auto" w:before="90"/>
        <w:ind w:left="500" w:right="498"/>
        <w:jc w:val="both"/>
      </w:pPr>
      <w:r>
        <w:rPr>
          <w:spacing w:val="-1"/>
        </w:rPr>
        <w:t>Rent-seeking</w:t>
      </w:r>
      <w:r>
        <w:rPr>
          <w:spacing w:val="-17"/>
        </w:rPr>
        <w:t> </w:t>
      </w:r>
      <w:r>
        <w:rPr>
          <w:spacing w:val="-1"/>
        </w:rPr>
        <w:t>is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/>
        <w:t>major</w:t>
      </w:r>
      <w:r>
        <w:rPr>
          <w:spacing w:val="-16"/>
        </w:rPr>
        <w:t> </w:t>
      </w:r>
      <w:r>
        <w:rPr/>
        <w:t>assumption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field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political</w:t>
      </w:r>
      <w:r>
        <w:rPr>
          <w:spacing w:val="-12"/>
        </w:rPr>
        <w:t> </w:t>
      </w:r>
      <w:r>
        <w:rPr/>
        <w:t>economy</w:t>
      </w:r>
      <w:r>
        <w:rPr>
          <w:spacing w:val="-17"/>
        </w:rPr>
        <w:t> </w:t>
      </w:r>
      <w:r>
        <w:rPr/>
        <w:t>and</w:t>
      </w:r>
      <w:r>
        <w:rPr>
          <w:spacing w:val="-15"/>
        </w:rPr>
        <w:t> </w:t>
      </w:r>
      <w:r>
        <w:rPr/>
        <w:t>public</w:t>
      </w:r>
      <w:r>
        <w:rPr>
          <w:spacing w:val="-16"/>
        </w:rPr>
        <w:t> </w:t>
      </w:r>
      <w:r>
        <w:rPr/>
        <w:t>choice.</w:t>
      </w:r>
      <w:r>
        <w:rPr>
          <w:spacing w:val="-12"/>
        </w:rPr>
        <w:t> </w:t>
      </w:r>
      <w:r>
        <w:rPr/>
        <w:t>It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defined</w:t>
      </w:r>
      <w:r>
        <w:rPr>
          <w:spacing w:val="-57"/>
        </w:rPr>
        <w:t> </w:t>
      </w:r>
      <w:r>
        <w:rPr/>
        <w:t>as a situation where people derive personal benefit from the political arena (Henderson, 2008).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rent-seeking is</w:t>
      </w:r>
      <w:r>
        <w:rPr>
          <w:spacing w:val="1"/>
        </w:rPr>
        <w:t> </w:t>
      </w:r>
      <w:r>
        <w:rPr/>
        <w:t>similarly adopted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 study to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government</w:t>
      </w:r>
      <w:r>
        <w:rPr>
          <w:spacing w:val="-8"/>
        </w:rPr>
        <w:t> </w:t>
      </w:r>
      <w:r>
        <w:rPr/>
        <w:t>has</w:t>
      </w:r>
      <w:r>
        <w:rPr>
          <w:spacing w:val="-5"/>
        </w:rPr>
        <w:t> </w:t>
      </w:r>
      <w:r>
        <w:rPr/>
        <w:t>the</w:t>
      </w:r>
      <w:r>
        <w:rPr>
          <w:spacing w:val="-9"/>
        </w:rPr>
        <w:t> </w:t>
      </w:r>
      <w:r>
        <w:rPr/>
        <w:t>tendency</w:t>
      </w:r>
      <w:r>
        <w:rPr>
          <w:spacing w:val="-11"/>
        </w:rPr>
        <w:t> </w:t>
      </w:r>
      <w:r>
        <w:rPr/>
        <w:t>to</w:t>
      </w:r>
      <w:r>
        <w:rPr>
          <w:spacing w:val="-5"/>
        </w:rPr>
        <w:t> </w:t>
      </w:r>
      <w:r>
        <w:rPr/>
        <w:t>channel</w:t>
      </w:r>
      <w:r>
        <w:rPr>
          <w:spacing w:val="-8"/>
        </w:rPr>
        <w:t> </w:t>
      </w:r>
      <w:r>
        <w:rPr/>
        <w:t>public</w:t>
      </w:r>
      <w:r>
        <w:rPr>
          <w:spacing w:val="-6"/>
        </w:rPr>
        <w:t> </w:t>
      </w:r>
      <w:r>
        <w:rPr/>
        <w:t>resources</w:t>
      </w:r>
      <w:r>
        <w:rPr>
          <w:spacing w:val="-5"/>
        </w:rPr>
        <w:t> </w:t>
      </w:r>
      <w:r>
        <w:rPr/>
        <w:t>for</w:t>
      </w:r>
      <w:r>
        <w:rPr>
          <w:spacing w:val="-10"/>
        </w:rPr>
        <w:t> </w:t>
      </w:r>
      <w:r>
        <w:rPr/>
        <w:t>its</w:t>
      </w:r>
      <w:r>
        <w:rPr>
          <w:spacing w:val="-7"/>
        </w:rPr>
        <w:t> </w:t>
      </w:r>
      <w:r>
        <w:rPr/>
        <w:t>personal</w:t>
      </w:r>
      <w:r>
        <w:rPr>
          <w:spacing w:val="-7"/>
        </w:rPr>
        <w:t> </w:t>
      </w:r>
      <w:r>
        <w:rPr/>
        <w:t>benefits</w:t>
      </w:r>
      <w:r>
        <w:rPr>
          <w:spacing w:val="-8"/>
        </w:rPr>
        <w:t> </w:t>
      </w:r>
      <w:r>
        <w:rPr/>
        <w:t>including</w:t>
      </w:r>
      <w:r>
        <w:rPr>
          <w:spacing w:val="-7"/>
        </w:rPr>
        <w:t> </w:t>
      </w:r>
      <w:r>
        <w:rPr/>
        <w:t>that</w:t>
      </w:r>
      <w:r>
        <w:rPr>
          <w:spacing w:val="-9"/>
        </w:rPr>
        <w:t> </w:t>
      </w:r>
      <w:r>
        <w:rPr/>
        <w:t>of</w:t>
      </w:r>
      <w:r>
        <w:rPr>
          <w:spacing w:val="-57"/>
        </w:rPr>
        <w:t> </w:t>
      </w:r>
      <w:r>
        <w:rPr/>
        <w:t>its</w:t>
      </w:r>
      <w:r>
        <w:rPr>
          <w:spacing w:val="-1"/>
        </w:rPr>
        <w:t> </w:t>
      </w:r>
      <w:r>
        <w:rPr/>
        <w:t>close allies.</w:t>
      </w:r>
    </w:p>
    <w:p>
      <w:pPr>
        <w:pStyle w:val="BodyText"/>
        <w:spacing w:line="360" w:lineRule="auto" w:before="201"/>
        <w:ind w:left="500" w:right="496"/>
        <w:jc w:val="both"/>
      </w:pPr>
      <w:r>
        <w:rPr/>
        <w:t>The</w:t>
      </w:r>
      <w:r>
        <w:rPr>
          <w:spacing w:val="-6"/>
        </w:rPr>
        <w:t> </w:t>
      </w:r>
      <w:r>
        <w:rPr/>
        <w:t>fiscal</w:t>
      </w:r>
      <w:r>
        <w:rPr>
          <w:spacing w:val="-5"/>
        </w:rPr>
        <w:t> </w:t>
      </w:r>
      <w:r>
        <w:rPr/>
        <w:t>policy</w:t>
      </w:r>
      <w:r>
        <w:rPr>
          <w:spacing w:val="-9"/>
        </w:rPr>
        <w:t> </w:t>
      </w:r>
      <w:r>
        <w:rPr/>
        <w:t>maker</w:t>
      </w:r>
      <w:r>
        <w:rPr>
          <w:spacing w:val="-4"/>
        </w:rPr>
        <w:t> </w:t>
      </w:r>
      <w:r>
        <w:rPr/>
        <w:t>is,</w:t>
      </w:r>
      <w:r>
        <w:rPr>
          <w:spacing w:val="-4"/>
        </w:rPr>
        <w:t> </w:t>
      </w:r>
      <w:r>
        <w:rPr/>
        <w:t>therefore,</w:t>
      </w:r>
      <w:r>
        <w:rPr>
          <w:spacing w:val="-3"/>
        </w:rPr>
        <w:t> </w:t>
      </w:r>
      <w:r>
        <w:rPr/>
        <w:t>modelled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being</w:t>
      </w:r>
      <w:r>
        <w:rPr>
          <w:spacing w:val="-5"/>
        </w:rPr>
        <w:t> </w:t>
      </w:r>
      <w:r>
        <w:rPr/>
        <w:t>partly</w:t>
      </w:r>
      <w:r>
        <w:rPr>
          <w:spacing w:val="-9"/>
        </w:rPr>
        <w:t> </w:t>
      </w:r>
      <w:r>
        <w:rPr/>
        <w:t>benevolent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partly</w:t>
      </w:r>
      <w:r>
        <w:rPr>
          <w:spacing w:val="-10"/>
        </w:rPr>
        <w:t> </w:t>
      </w:r>
      <w:r>
        <w:rPr/>
        <w:t>rent-seeking.</w:t>
      </w:r>
      <w:r>
        <w:rPr>
          <w:spacing w:val="-57"/>
        </w:rPr>
        <w:t> </w:t>
      </w:r>
      <w:r>
        <w:rPr/>
        <w:t>In his benevolent state, he seeks to maximise the welfare of the citizens under his jurisdiction,</w:t>
      </w:r>
      <w:r>
        <w:rPr>
          <w:spacing w:val="1"/>
        </w:rPr>
        <w:t> </w:t>
      </w:r>
      <w:r>
        <w:rPr/>
        <w:t>through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provision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public</w:t>
      </w:r>
      <w:r>
        <w:rPr>
          <w:spacing w:val="-5"/>
        </w:rPr>
        <w:t> </w:t>
      </w:r>
      <w:r>
        <w:rPr/>
        <w:t>goods.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ensure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subsequent</w:t>
      </w:r>
      <w:r>
        <w:rPr>
          <w:spacing w:val="-3"/>
        </w:rPr>
        <w:t> </w:t>
      </w:r>
      <w:r>
        <w:rPr/>
        <w:t>re-election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his</w:t>
      </w:r>
      <w:r>
        <w:rPr>
          <w:spacing w:val="-3"/>
        </w:rPr>
        <w:t> </w:t>
      </w:r>
      <w:r>
        <w:rPr/>
        <w:t>party</w:t>
      </w:r>
      <w:r>
        <w:rPr>
          <w:spacing w:val="-11"/>
        </w:rPr>
        <w:t> </w:t>
      </w:r>
      <w:r>
        <w:rPr/>
        <w:t>and</w:t>
      </w:r>
      <w:r>
        <w:rPr>
          <w:spacing w:val="-58"/>
        </w:rPr>
        <w:t> </w:t>
      </w:r>
      <w:r>
        <w:rPr/>
        <w:t>at the same time guarantee his reputation. As a rent-seeker, the fiscal policy maker wants to</w:t>
      </w:r>
      <w:r>
        <w:rPr>
          <w:spacing w:val="1"/>
        </w:rPr>
        <w:t> </w:t>
      </w:r>
      <w:r>
        <w:rPr/>
        <w:t>maximise his private returns from rent-seeking activities which includes: corruption, bribery and</w:t>
      </w:r>
      <w:r>
        <w:rPr>
          <w:spacing w:val="1"/>
        </w:rPr>
        <w:t> </w:t>
      </w:r>
      <w:r>
        <w:rPr/>
        <w:t>inefficiently designed contracts, that drains citizens’ welfare but benefits the politicians, their</w:t>
      </w:r>
      <w:r>
        <w:rPr>
          <w:spacing w:val="1"/>
        </w:rPr>
        <w:t> </w:t>
      </w:r>
      <w:r>
        <w:rPr/>
        <w:t>family members and allies (Persson, 2001; Miller, 2016). An implication of the rent-seeking</w:t>
      </w:r>
      <w:r>
        <w:rPr>
          <w:spacing w:val="1"/>
        </w:rPr>
        <w:t> </w:t>
      </w:r>
      <w:r>
        <w:rPr/>
        <w:t>assumption is that economic policy making does not rely alone on economic factor but is also</w:t>
      </w:r>
      <w:r>
        <w:rPr>
          <w:spacing w:val="1"/>
        </w:rPr>
        <w:t> </w:t>
      </w:r>
      <w:r>
        <w:rPr/>
        <w:t>influenced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political factors.</w:t>
      </w:r>
    </w:p>
    <w:p>
      <w:pPr>
        <w:pStyle w:val="BodyText"/>
        <w:spacing w:line="360" w:lineRule="auto" w:before="201"/>
        <w:ind w:left="500" w:right="496"/>
        <w:jc w:val="both"/>
      </w:pPr>
      <w:r>
        <w:rPr/>
        <w:t>The fiscal authority is therefore assumed to enact discretionary policy in government spending,</w:t>
      </w:r>
      <w:r>
        <w:rPr>
          <w:spacing w:val="1"/>
        </w:rPr>
        <w:t> </w:t>
      </w:r>
      <w:r>
        <w:rPr/>
        <w:t>such that, the preference function is maximised subject to the government budget constraint. The</w:t>
      </w:r>
      <w:r>
        <w:rPr>
          <w:spacing w:val="1"/>
        </w:rPr>
        <w:t> </w:t>
      </w:r>
      <w:r>
        <w:rPr/>
        <w:t>fiscal authority derives utility from providing public goods and consuming rent. The functional</w:t>
      </w:r>
      <w:r>
        <w:rPr>
          <w:spacing w:val="1"/>
        </w:rPr>
        <w:t> </w:t>
      </w:r>
      <w:r>
        <w:rPr/>
        <w:t>form of the utility function is specified by taking a cue from Miller (2016), Azzimonti, Battaglini</w:t>
      </w:r>
      <w:r>
        <w:rPr>
          <w:spacing w:val="-57"/>
        </w:rPr>
        <w:t> </w:t>
      </w:r>
      <w:r>
        <w:rPr/>
        <w:t>and Coate (2016), and Barseghyan, Battaglini and Coate (2013). The utility function of the fiscal</w:t>
      </w:r>
      <w:r>
        <w:rPr>
          <w:spacing w:val="1"/>
        </w:rPr>
        <w:t> </w:t>
      </w:r>
      <w:r>
        <w:rPr/>
        <w:t>policy</w:t>
      </w:r>
      <w:r>
        <w:rPr>
          <w:spacing w:val="-6"/>
        </w:rPr>
        <w:t> </w:t>
      </w:r>
      <w:r>
        <w:rPr/>
        <w:t>maker is therefore</w:t>
      </w:r>
      <w:r>
        <w:rPr>
          <w:spacing w:val="1"/>
        </w:rPr>
        <w:t> </w:t>
      </w:r>
      <w:r>
        <w:rPr/>
        <w:t>specified as:</w:t>
      </w:r>
    </w:p>
    <w:p>
      <w:pPr>
        <w:pStyle w:val="BodyText"/>
        <w:rPr>
          <w:sz w:val="11"/>
        </w:rPr>
      </w:pPr>
    </w:p>
    <w:p>
      <w:pPr>
        <w:spacing w:line="152" w:lineRule="exact" w:before="76"/>
        <w:ind w:left="2223" w:right="0" w:firstLine="0"/>
        <w:jc w:val="left"/>
        <w:rPr>
          <w:rFonts w:ascii="Cambria Math" w:hAnsi="Cambria Math" w:eastAsia="Cambria Math"/>
          <w:sz w:val="14"/>
        </w:rPr>
      </w:pPr>
      <w:r>
        <w:rPr/>
        <w:pict>
          <v:shape style="position:absolute;margin-left:152.300003pt;margin-top:8.495918pt;width:5.6pt;height:11.05pt;mso-position-horizontal-relative:page;mso-position-vertical-relative:paragraph;z-index:-2140108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Cambria Math" w:eastAsia="Cambria Math"/>
                      <w:spacing w:val="-112"/>
                      <w:w w:val="105"/>
                      <w:sz w:val="17"/>
                    </w:rPr>
                    <w:t>𝐺</w:t>
                  </w:r>
                  <w:r>
                    <w:rPr>
                      <w:w w:val="99"/>
                      <w:position w:val="-5"/>
                      <w:sz w:val="14"/>
                      <w:u w:val="single"/>
                    </w:rPr>
                    <w:t> </w:t>
                  </w:r>
                  <w:r>
                    <w:rPr>
                      <w:position w:val="-5"/>
                      <w:sz w:val="14"/>
                      <w:u w:val="single"/>
                    </w:rPr>
                    <w:t> </w:t>
                  </w:r>
                  <w:r>
                    <w:rPr>
                      <w:spacing w:val="-4"/>
                      <w:position w:val="-5"/>
                      <w:sz w:val="14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z w:val="14"/>
        </w:rPr>
        <w:t>1−</w:t>
      </w:r>
    </w:p>
    <w:p>
      <w:pPr>
        <w:pStyle w:val="BodyText"/>
        <w:tabs>
          <w:tab w:pos="2206" w:val="left" w:leader="none"/>
          <w:tab w:pos="2499" w:val="left" w:leader="none"/>
          <w:tab w:pos="8841" w:val="left" w:leader="none"/>
        </w:tabs>
        <w:spacing w:line="146" w:lineRule="exact"/>
        <w:ind w:left="500"/>
      </w:pPr>
      <w:r>
        <w:rPr>
          <w:rFonts w:ascii="Cambria Math" w:hAnsi="Cambria Math" w:eastAsia="Cambria Math"/>
        </w:rPr>
        <w:t>𝑀𝑎𝑥𝑖𝑚𝑖𝑠𝑒</w:t>
      </w:r>
      <w:r>
        <w:rPr>
          <w:rFonts w:ascii="Cambria Math" w:hAnsi="Cambria Math" w:eastAsia="Cambria Math"/>
          <w:spacing w:val="-6"/>
        </w:rPr>
        <w:t> </w:t>
      </w:r>
      <w:r>
        <w:rPr>
          <w:rFonts w:ascii="Cambria Math" w:hAnsi="Cambria Math" w:eastAsia="Cambria Math"/>
          <w:position w:val="1"/>
        </w:rPr>
        <w:t>∑</w:t>
      </w:r>
      <w:r>
        <w:rPr>
          <w:rFonts w:ascii="Cambria Math" w:hAnsi="Cambria Math" w:eastAsia="Cambria Math"/>
          <w:position w:val="1"/>
          <w:vertAlign w:val="superscript"/>
        </w:rPr>
        <w:t>∞</w:t>
      </w:r>
      <w:r>
        <w:rPr>
          <w:rFonts w:ascii="Cambria Math" w:hAnsi="Cambria Math" w:eastAsia="Cambria Math"/>
          <w:position w:val="1"/>
          <w:vertAlign w:val="baseline"/>
        </w:rPr>
        <w:tab/>
      </w:r>
      <w:r>
        <w:rPr>
          <w:rFonts w:ascii="Cambria Math" w:hAnsi="Cambria Math" w:eastAsia="Cambria Math"/>
          <w:position w:val="1"/>
          <w:u w:val="single"/>
          <w:vertAlign w:val="superscript"/>
        </w:rPr>
        <w:t>𝑡</w:t>
      </w:r>
      <w:r>
        <w:rPr>
          <w:rFonts w:ascii="Cambria Math" w:hAnsi="Cambria Math" w:eastAsia="Cambria Math"/>
          <w:position w:val="1"/>
          <w:u w:val="single"/>
          <w:vertAlign w:val="baseline"/>
        </w:rPr>
        <w:tab/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ln</w:t>
      </w:r>
      <w:r>
        <w:rPr>
          <w:rFonts w:ascii="Cambria Math" w:hAnsi="Cambria Math" w:eastAsia="Cambria Math"/>
          <w:spacing w:val="-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𝑅𝑁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ab/>
      </w:r>
      <w:r>
        <w:rPr>
          <w:vertAlign w:val="baseline"/>
        </w:rPr>
        <w:t>(4.89)</w:t>
      </w:r>
    </w:p>
    <w:p>
      <w:pPr>
        <w:spacing w:line="196" w:lineRule="auto" w:before="0"/>
        <w:ind w:left="1765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95"/>
          <w:sz w:val="17"/>
        </w:rPr>
        <w:t>𝑡=0</w:t>
      </w:r>
      <w:r>
        <w:rPr>
          <w:rFonts w:ascii="Cambria Math" w:hAnsi="Cambria Math" w:eastAsia="Cambria Math"/>
          <w:spacing w:val="20"/>
          <w:w w:val="95"/>
          <w:sz w:val="17"/>
        </w:rPr>
        <w:t> </w:t>
      </w:r>
      <w:r>
        <w:rPr>
          <w:rFonts w:ascii="Cambria Math" w:hAnsi="Cambria Math" w:eastAsia="Cambria Math"/>
          <w:w w:val="95"/>
          <w:position w:val="-6"/>
          <w:sz w:val="17"/>
        </w:rPr>
        <w:t>1−</w:t>
      </w:r>
    </w:p>
    <w:p>
      <w:pPr>
        <w:pStyle w:val="BodyText"/>
        <w:spacing w:before="6"/>
        <w:rPr>
          <w:rFonts w:ascii="Cambria Math"/>
          <w:sz w:val="21"/>
        </w:rPr>
      </w:pPr>
    </w:p>
    <w:p>
      <w:pPr>
        <w:pStyle w:val="BodyText"/>
        <w:spacing w:before="90"/>
        <w:ind w:left="500"/>
      </w:pPr>
      <w:r>
        <w:rPr/>
        <w:t>Subject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nominal</w:t>
      </w:r>
      <w:r>
        <w:rPr>
          <w:spacing w:val="-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budget</w:t>
      </w:r>
      <w:r>
        <w:rPr>
          <w:spacing w:val="-1"/>
        </w:rPr>
        <w:t> </w:t>
      </w:r>
      <w:r>
        <w:rPr/>
        <w:t>constraint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8901" w:val="left" w:leader="none"/>
        </w:tabs>
        <w:ind w:left="500"/>
      </w:pPr>
      <w:r>
        <w:rPr>
          <w:rFonts w:ascii="Cambria Math" w:eastAsia="Cambria Math"/>
          <w:spacing w:val="-27"/>
        </w:rPr>
        <w:t>𝑃</w:t>
      </w:r>
      <w:r>
        <w:rPr>
          <w:rFonts w:ascii="Cambria Math" w:eastAsia="Cambria Math"/>
          <w:spacing w:val="16"/>
          <w:w w:val="119"/>
          <w:vertAlign w:val="subscript"/>
        </w:rPr>
        <w:t>𝑡</w:t>
      </w:r>
      <w:r>
        <w:rPr>
          <w:rFonts w:ascii="Cambria Math" w:eastAsia="Cambria Math"/>
          <w:spacing w:val="-8"/>
          <w:vertAlign w:val="baseline"/>
        </w:rPr>
        <w:t>𝐺</w:t>
      </w:r>
      <w:r>
        <w:rPr>
          <w:rFonts w:ascii="Cambria Math" w:eastAsia="Cambria Math"/>
          <w:w w:val="119"/>
          <w:vertAlign w:val="subscript"/>
        </w:rPr>
        <w:t>𝑡</w:t>
      </w:r>
      <w:r>
        <w:rPr>
          <w:rFonts w:ascii="Cambria Math" w:eastAsia="Cambria Math"/>
          <w:spacing w:val="13"/>
          <w:vertAlign w:val="baseline"/>
        </w:rPr>
        <w:t> </w:t>
      </w:r>
      <w:r>
        <w:rPr>
          <w:rFonts w:ascii="Cambria Math" w:eastAsia="Cambria Math"/>
          <w:vertAlign w:val="baseline"/>
        </w:rPr>
        <w:t>+ </w:t>
      </w:r>
      <w:r>
        <w:rPr>
          <w:rFonts w:ascii="Cambria Math" w:eastAsia="Cambria Math"/>
          <w:spacing w:val="2"/>
          <w:w w:val="58"/>
          <w:vertAlign w:val="baseline"/>
        </w:rPr>
        <w:t/>
      </w:r>
      <w:r>
        <w:rPr>
          <w:rFonts w:ascii="Cambria Math" w:eastAsia="Cambria Math"/>
          <w:w w:val="96"/>
          <w:vertAlign w:val="baseline"/>
        </w:rPr>
        <w:t>𝑟</w:t>
      </w:r>
      <w:r>
        <w:rPr>
          <w:rFonts w:ascii="Cambria Math" w:eastAsia="Cambria Math"/>
          <w:spacing w:val="13"/>
          <w:w w:val="119"/>
          <w:vertAlign w:val="subscript"/>
        </w:rPr>
        <w:t>𝑡</w:t>
      </w:r>
      <w:r>
        <w:rPr>
          <w:rFonts w:ascii="Cambria Math" w:eastAsia="Cambria Math"/>
          <w:spacing w:val="-27"/>
          <w:vertAlign w:val="baseline"/>
        </w:rPr>
        <w:t>𝑃</w:t>
      </w:r>
      <w:r>
        <w:rPr>
          <w:rFonts w:ascii="Cambria Math" w:eastAsia="Cambria Math"/>
          <w:w w:val="119"/>
          <w:vertAlign w:val="subscript"/>
        </w:rPr>
        <w:t>𝑡</w:t>
      </w:r>
      <w:r>
        <w:rPr>
          <w:rFonts w:ascii="Cambria Math" w:eastAsia="Cambria Math"/>
          <w:vertAlign w:val="baseline"/>
        </w:rPr>
        <w:t> </w:t>
      </w:r>
      <w:r>
        <w:rPr>
          <w:rFonts w:ascii="Cambria Math" w:eastAsia="Cambria Math"/>
          <w:spacing w:val="-25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5"/>
          <w:vertAlign w:val="baseline"/>
        </w:rPr>
        <w:t> </w:t>
      </w:r>
      <w:r>
        <w:rPr>
          <w:rFonts w:ascii="Cambria Math" w:eastAsia="Cambria Math"/>
          <w:w w:val="96"/>
          <w:vertAlign w:val="baseline"/>
        </w:rPr>
        <w:t>𝑟</w:t>
      </w:r>
      <w:r>
        <w:rPr>
          <w:rFonts w:ascii="Cambria Math" w:eastAsia="Cambria Math"/>
          <w:spacing w:val="13"/>
          <w:w w:val="119"/>
          <w:vertAlign w:val="subscript"/>
        </w:rPr>
        <w:t>𝑡</w:t>
      </w:r>
      <w:r>
        <w:rPr>
          <w:rFonts w:ascii="Cambria Math" w:eastAsia="Cambria Math"/>
          <w:spacing w:val="-27"/>
          <w:vertAlign w:val="baseline"/>
        </w:rPr>
        <w:t>𝑃</w:t>
      </w:r>
      <w:r>
        <w:rPr>
          <w:rFonts w:ascii="Cambria Math" w:eastAsia="Cambria Math"/>
          <w:w w:val="119"/>
          <w:vertAlign w:val="subscript"/>
        </w:rPr>
        <w:t>𝑡</w:t>
      </w:r>
      <w:r>
        <w:rPr>
          <w:rFonts w:ascii="Cambria Math" w:eastAsia="Cambria Math"/>
          <w:vertAlign w:val="baseline"/>
        </w:rPr>
        <w:tab/>
      </w:r>
      <w:r>
        <w:rPr>
          <w:vertAlign w:val="baseline"/>
        </w:rPr>
        <w:t>(4.9</w:t>
      </w:r>
      <w:r>
        <w:rPr>
          <w:spacing w:val="-1"/>
          <w:vertAlign w:val="baseline"/>
        </w:rPr>
        <w:t>0</w:t>
      </w:r>
      <w:r>
        <w:rPr>
          <w:vertAlign w:val="baseline"/>
        </w:rPr>
        <w:t>)</w:t>
      </w:r>
    </w:p>
    <w:p>
      <w:pPr>
        <w:spacing w:after="0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74"/>
        <w:ind w:left="500"/>
      </w:pPr>
      <w:r>
        <w:rPr/>
        <w:t>Where,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500"/>
      </w:pPr>
      <w:r>
        <w:rPr>
          <w:rFonts w:ascii="Cambria Math" w:eastAsia="Cambria Math"/>
        </w:rPr>
        <w:t>𝐺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</w:t>
      </w:r>
      <w:r>
        <w:rPr>
          <w:spacing w:val="2"/>
          <w:vertAlign w:val="baseline"/>
        </w:rPr>
        <w:t> </w:t>
      </w:r>
      <w:r>
        <w:rPr>
          <w:vertAlign w:val="baseline"/>
        </w:rPr>
        <w:t>provision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public goods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2" w:lineRule="auto" w:before="1"/>
        <w:ind w:left="500" w:right="497"/>
        <w:jc w:val="both"/>
      </w:pPr>
      <w:r>
        <w:rPr>
          <w:rFonts w:ascii="Cambria Math" w:eastAsia="Cambria Math"/>
        </w:rPr>
        <w:t>𝑅𝑁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: Rent received. Rent received is defined to depend on the propensity of public office holders</w:t>
      </w:r>
      <w:r>
        <w:rPr>
          <w:spacing w:val="-57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seek rent</w:t>
      </w:r>
      <w:r>
        <w:rPr>
          <w:spacing w:val="-1"/>
          <w:vertAlign w:val="baseline"/>
        </w:rPr>
        <w:t> </w:t>
      </w:r>
      <w:r>
        <w:rPr>
          <w:vertAlign w:val="baseline"/>
        </w:rPr>
        <w:t>and the</w:t>
      </w:r>
      <w:r>
        <w:rPr>
          <w:spacing w:val="-2"/>
          <w:vertAlign w:val="baseline"/>
        </w:rPr>
        <w:t> </w:t>
      </w:r>
      <w:r>
        <w:rPr>
          <w:vertAlign w:val="baseline"/>
        </w:rPr>
        <w:t>total revenue</w:t>
      </w:r>
      <w:r>
        <w:rPr>
          <w:spacing w:val="-1"/>
          <w:vertAlign w:val="baseline"/>
        </w:rPr>
        <w:t> </w:t>
      </w:r>
      <w:r>
        <w:rPr>
          <w:vertAlign w:val="baseline"/>
        </w:rPr>
        <w:t>that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</w:t>
      </w:r>
      <w:r>
        <w:rPr>
          <w:spacing w:val="-1"/>
          <w:vertAlign w:val="baseline"/>
        </w:rPr>
        <w:t> </w:t>
      </w:r>
      <w:r>
        <w:rPr>
          <w:vertAlign w:val="baseline"/>
        </w:rPr>
        <w:t>generates.</w:t>
      </w:r>
      <w:r>
        <w:rPr>
          <w:spacing w:val="1"/>
          <w:vertAlign w:val="baseline"/>
        </w:rPr>
        <w:t> </w:t>
      </w:r>
      <w:r>
        <w:rPr>
          <w:vertAlign w:val="baseline"/>
        </w:rPr>
        <w:t>It is</w:t>
      </w:r>
      <w:r>
        <w:rPr>
          <w:spacing w:val="-1"/>
          <w:vertAlign w:val="baseline"/>
        </w:rPr>
        <w:t> </w:t>
      </w:r>
      <w:r>
        <w:rPr>
          <w:vertAlign w:val="baseline"/>
        </w:rPr>
        <w:t>defined as: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tabs>
          <w:tab w:pos="8841" w:val="left" w:leader="none"/>
        </w:tabs>
        <w:spacing w:before="1"/>
        <w:ind w:left="500"/>
        <w:jc w:val="both"/>
      </w:pPr>
      <w:r>
        <w:rPr>
          <w:rFonts w:ascii="Cambria Math" w:eastAsia="Cambria Math"/>
        </w:rPr>
        <w:t>𝑅</w:t>
      </w:r>
      <w:r>
        <w:rPr>
          <w:rFonts w:ascii="Cambria Math" w:eastAsia="Cambria Math"/>
          <w:spacing w:val="-20"/>
        </w:rPr>
        <w:t>𝑁</w:t>
      </w:r>
      <w:r>
        <w:rPr>
          <w:rFonts w:ascii="Cambria Math" w:eastAsia="Cambria Math"/>
          <w:w w:val="119"/>
          <w:vertAlign w:val="subscript"/>
        </w:rPr>
        <w:t>𝑡</w:t>
      </w:r>
      <w:r>
        <w:rPr>
          <w:rFonts w:ascii="Cambria Math" w:eastAsia="Cambria Math"/>
          <w:vertAlign w:val="baseline"/>
        </w:rPr>
        <w:t> </w:t>
      </w:r>
      <w:r>
        <w:rPr>
          <w:rFonts w:ascii="Cambria Math" w:eastAsia="Cambria Math"/>
          <w:spacing w:val="-25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2"/>
          <w:vertAlign w:val="baseline"/>
        </w:rPr>
        <w:t> </w:t>
      </w:r>
      <w:r>
        <w:rPr>
          <w:rFonts w:ascii="Cambria Math" w:eastAsia="Cambria Math"/>
          <w:spacing w:val="2"/>
          <w:w w:val="58"/>
          <w:vertAlign w:val="baseline"/>
        </w:rPr>
        <w:t/>
      </w:r>
      <w:r>
        <w:rPr>
          <w:rFonts w:ascii="Cambria Math" w:eastAsia="Cambria Math"/>
          <w:w w:val="96"/>
          <w:vertAlign w:val="baseline"/>
        </w:rPr>
        <w:t>𝑟</w:t>
      </w:r>
      <w:r>
        <w:rPr>
          <w:rFonts w:ascii="Cambria Math" w:eastAsia="Cambria Math"/>
          <w:w w:val="119"/>
          <w:vertAlign w:val="subscript"/>
        </w:rPr>
        <w:t>𝑡</w:t>
      </w:r>
      <w:r>
        <w:rPr>
          <w:rFonts w:ascii="Cambria Math" w:eastAsia="Cambria Math"/>
          <w:vertAlign w:val="baseline"/>
        </w:rPr>
        <w:tab/>
      </w:r>
      <w:r>
        <w:rPr>
          <w:vertAlign w:val="baseline"/>
        </w:rPr>
        <w:t>(4.9</w:t>
      </w:r>
      <w:r>
        <w:rPr>
          <w:spacing w:val="-1"/>
          <w:vertAlign w:val="baseline"/>
        </w:rPr>
        <w:t>1</w:t>
      </w:r>
      <w:r>
        <w:rPr>
          <w:vertAlign w:val="baseline"/>
        </w:rPr>
        <w:t>)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500"/>
        <w:jc w:val="both"/>
      </w:pPr>
      <w:r>
        <w:rPr/>
        <w:t>where</w:t>
      </w:r>
      <w:r>
        <w:rPr>
          <w:spacing w:val="-9"/>
        </w:rPr>
        <w:t> </w:t>
      </w:r>
      <w:r>
        <w:rPr>
          <w:rFonts w:ascii="Cambria Math" w:hAnsi="Cambria Math" w:eastAsia="Cambria Math"/>
          <w:w w:val="95"/>
        </w:rPr>
        <w:t/>
      </w:r>
      <w:r>
        <w:rPr>
          <w:rFonts w:ascii="Cambria Math" w:hAnsi="Cambria Math" w:eastAsia="Cambria Math"/>
          <w:spacing w:val="-4"/>
          <w:w w:val="95"/>
        </w:rPr>
        <w:t> </w:t>
      </w:r>
      <w:r>
        <w:rPr>
          <w:rFonts w:ascii="Cambria Math" w:hAnsi="Cambria Math" w:eastAsia="Cambria Math"/>
        </w:rPr>
        <w:t>𝑖𝑠</w:t>
      </w:r>
      <w:r>
        <w:rPr>
          <w:rFonts w:ascii="Cambria Math" w:hAnsi="Cambria Math" w:eastAsia="Cambria Math"/>
          <w:spacing w:val="2"/>
        </w:rPr>
        <w:t> </w:t>
      </w:r>
      <w:r>
        <w:rPr/>
        <w:t>the</w:t>
      </w:r>
      <w:r>
        <w:rPr>
          <w:spacing w:val="-10"/>
        </w:rPr>
        <w:t> </w:t>
      </w:r>
      <w:r>
        <w:rPr/>
        <w:t>degree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rent</w:t>
      </w:r>
      <w:r>
        <w:rPr>
          <w:spacing w:val="-7"/>
        </w:rPr>
        <w:t> </w:t>
      </w:r>
      <w:r>
        <w:rPr/>
        <w:t>seeking.</w:t>
      </w:r>
      <w:r>
        <w:rPr>
          <w:spacing w:val="45"/>
        </w:rPr>
        <w:t> </w:t>
      </w:r>
      <w:r>
        <w:rPr>
          <w:rFonts w:ascii="Cambria Math" w:hAnsi="Cambria Math" w:eastAsia="Cambria Math"/>
          <w:w w:val="95"/>
        </w:rPr>
        <w:t/>
      </w:r>
      <w:r>
        <w:rPr>
          <w:rFonts w:ascii="Cambria Math" w:hAnsi="Cambria Math" w:eastAsia="Cambria Math"/>
          <w:spacing w:val="9"/>
          <w:w w:val="95"/>
        </w:rPr>
        <w:t> </w:t>
      </w:r>
      <w:r>
        <w:rPr>
          <w:rFonts w:ascii="Cambria Math" w:hAnsi="Cambria Math" w:eastAsia="Cambria Math"/>
        </w:rPr>
        <w:t>&lt;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0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≤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1</w:t>
      </w:r>
      <w:r>
        <w:rPr/>
        <w:t>;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degree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rent</w:t>
      </w:r>
      <w:r>
        <w:rPr>
          <w:spacing w:val="-9"/>
        </w:rPr>
        <w:t> </w:t>
      </w:r>
      <w:r>
        <w:rPr/>
        <w:t>seeking</w:t>
      </w:r>
      <w:r>
        <w:rPr>
          <w:spacing w:val="-11"/>
        </w:rPr>
        <w:t> </w:t>
      </w:r>
      <w:r>
        <w:rPr/>
        <w:t>increases</w:t>
      </w:r>
      <w:r>
        <w:rPr>
          <w:spacing w:val="-8"/>
        </w:rPr>
        <w:t> </w:t>
      </w:r>
      <w:r>
        <w:rPr/>
        <w:t>as</w:t>
      </w:r>
    </w:p>
    <w:p>
      <w:pPr>
        <w:pStyle w:val="BodyText"/>
        <w:spacing w:before="139"/>
        <w:ind w:left="560"/>
        <w:jc w:val="both"/>
      </w:pPr>
      <w:r>
        <w:rPr>
          <w:rFonts w:ascii="Cambria Math" w:hAnsi="Cambria Math" w:eastAsia="Cambria Math"/>
          <w:w w:val="95"/>
        </w:rPr>
        <w:t/>
      </w:r>
      <w:r>
        <w:rPr>
          <w:rFonts w:ascii="Cambria Math" w:hAnsi="Cambria Math" w:eastAsia="Cambria Math"/>
          <w:spacing w:val="7"/>
          <w:w w:val="95"/>
        </w:rPr>
        <w:t> </w:t>
      </w:r>
      <w:r>
        <w:rPr>
          <w:rFonts w:ascii="Cambria Math" w:hAnsi="Cambria Math" w:eastAsia="Cambria Math"/>
        </w:rPr>
        <w:t>→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0</w:t>
      </w:r>
      <w:r>
        <w:rPr/>
        <w:t>.</w:t>
      </w:r>
      <w:r>
        <w:rPr>
          <w:spacing w:val="-9"/>
        </w:rPr>
        <w:t> </w:t>
      </w:r>
      <w:r>
        <w:rPr>
          <w:rFonts w:ascii="Cambria Math" w:hAnsi="Cambria Math" w:eastAsia="Cambria Math"/>
        </w:rPr>
        <w:t>𝑟</w:t>
      </w:r>
      <w:r>
        <w:rPr>
          <w:rFonts w:ascii="Cambria Math" w:hAnsi="Cambria Math" w:eastAsia="Cambria Math"/>
          <w:position w:val="-4"/>
          <w:sz w:val="17"/>
        </w:rPr>
        <w:t>𝑡</w:t>
      </w:r>
      <w:r>
        <w:rPr>
          <w:rFonts w:ascii="Cambria Math" w:hAnsi="Cambria Math" w:eastAsia="Cambria Math"/>
          <w:spacing w:val="24"/>
          <w:position w:val="-4"/>
          <w:sz w:val="17"/>
        </w:rPr>
        <w:t> </w:t>
      </w:r>
      <w:r>
        <w:rPr/>
        <w:t>is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total</w:t>
      </w:r>
      <w:r>
        <w:rPr>
          <w:spacing w:val="-9"/>
        </w:rPr>
        <w:t> </w:t>
      </w:r>
      <w:r>
        <w:rPr/>
        <w:t>government</w:t>
      </w:r>
      <w:r>
        <w:rPr>
          <w:spacing w:val="-10"/>
        </w:rPr>
        <w:t> </w:t>
      </w:r>
      <w:r>
        <w:rPr/>
        <w:t>revenue</w:t>
      </w:r>
    </w:p>
    <w:p>
      <w:pPr>
        <w:pStyle w:val="BodyText"/>
        <w:spacing w:line="362" w:lineRule="auto" w:before="107"/>
        <w:ind w:left="500" w:right="499"/>
        <w:jc w:val="both"/>
      </w:pPr>
      <w:r>
        <w:rPr>
          <w:rFonts w:ascii="Cambria Math" w:hAnsi="Cambria Math" w:eastAsia="Cambria Math"/>
        </w:rPr>
        <w:t>𝜁</w:t>
      </w:r>
      <w:r>
        <w:rPr/>
        <w:t>: Institutional Parameter, when </w:t>
      </w:r>
      <w:r>
        <w:rPr>
          <w:rFonts w:ascii="Cambria Math" w:hAnsi="Cambria Math" w:eastAsia="Cambria Math"/>
        </w:rPr>
        <w:t>𝜁 → 1</w:t>
      </w:r>
      <w:r>
        <w:rPr/>
        <w:t>, the political institution is strong and when </w:t>
      </w:r>
      <w:r>
        <w:rPr>
          <w:rFonts w:ascii="Cambria Math" w:hAnsi="Cambria Math" w:eastAsia="Cambria Math"/>
        </w:rPr>
        <w:t>𝜁 → 0</w:t>
      </w:r>
      <w:r>
        <w:rPr/>
        <w:t>, there is</w:t>
      </w:r>
      <w:r>
        <w:rPr>
          <w:spacing w:val="1"/>
        </w:rPr>
        <w:t> </w:t>
      </w:r>
      <w:r>
        <w:rPr/>
        <w:t>weak</w:t>
      </w:r>
      <w:r>
        <w:rPr>
          <w:spacing w:val="-1"/>
        </w:rPr>
        <w:t> </w:t>
      </w:r>
      <w:r>
        <w:rPr/>
        <w:t>political institution.</w:t>
      </w:r>
    </w:p>
    <w:p>
      <w:pPr>
        <w:pStyle w:val="BodyText"/>
        <w:spacing w:line="360" w:lineRule="auto" w:before="197"/>
        <w:ind w:left="500" w:right="497"/>
        <w:jc w:val="both"/>
      </w:pPr>
      <w:r>
        <w:rPr/>
        <w:t>Equation (4.89) is subject to the nominal government budget constraint (equation 4.90). The</w:t>
      </w:r>
      <w:r>
        <w:rPr>
          <w:spacing w:val="1"/>
        </w:rPr>
        <w:t> </w:t>
      </w:r>
      <w:r>
        <w:rPr/>
        <w:t>constraint</w:t>
      </w:r>
      <w:r>
        <w:rPr>
          <w:spacing w:val="-9"/>
        </w:rPr>
        <w:t> </w:t>
      </w:r>
      <w:r>
        <w:rPr/>
        <w:t>shows</w:t>
      </w:r>
      <w:r>
        <w:rPr>
          <w:spacing w:val="-9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total</w:t>
      </w:r>
      <w:r>
        <w:rPr>
          <w:spacing w:val="-9"/>
        </w:rPr>
        <w:t> </w:t>
      </w:r>
      <w:r>
        <w:rPr/>
        <w:t>spending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government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form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rents</w:t>
      </w:r>
      <w:r>
        <w:rPr>
          <w:spacing w:val="-9"/>
        </w:rPr>
        <w:t> </w:t>
      </w:r>
      <w:r>
        <w:rPr/>
        <w:t>accrued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government</w:t>
      </w:r>
      <w:r>
        <w:rPr>
          <w:spacing w:val="-8"/>
        </w:rPr>
        <w:t> </w:t>
      </w:r>
      <w:r>
        <w:rPr/>
        <w:t>and</w:t>
      </w:r>
      <w:r>
        <w:rPr>
          <w:spacing w:val="-58"/>
        </w:rPr>
        <w:t> </w:t>
      </w:r>
      <w:r>
        <w:rPr/>
        <w:t>allies</w:t>
      </w:r>
      <w:r>
        <w:rPr>
          <w:spacing w:val="-1"/>
        </w:rPr>
        <w:t> </w:t>
      </w:r>
      <w:r>
        <w:rPr/>
        <w:t>and on</w:t>
      </w:r>
      <w:r>
        <w:rPr>
          <w:spacing w:val="-1"/>
        </w:rPr>
        <w:t> </w:t>
      </w:r>
      <w:r>
        <w:rPr/>
        <w:t>the provision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public</w:t>
      </w:r>
      <w:r>
        <w:rPr>
          <w:spacing w:val="-2"/>
        </w:rPr>
        <w:t> </w:t>
      </w:r>
      <w:r>
        <w:rPr/>
        <w:t>goods</w:t>
      </w:r>
      <w:r>
        <w:rPr>
          <w:spacing w:val="2"/>
        </w:rPr>
        <w:t> </w:t>
      </w:r>
      <w:r>
        <w:rPr/>
        <w:t>equals</w:t>
      </w:r>
      <w:r>
        <w:rPr>
          <w:spacing w:val="1"/>
        </w:rPr>
        <w:t> </w:t>
      </w:r>
      <w:r>
        <w:rPr/>
        <w:t>total revenue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taxes.</w:t>
      </w:r>
    </w:p>
    <w:p>
      <w:pPr>
        <w:pStyle w:val="BodyText"/>
        <w:spacing w:before="206"/>
        <w:ind w:left="500"/>
        <w:jc w:val="both"/>
        <w:rPr>
          <w:rFonts w:ascii="Cambria Math" w:eastAsia="Cambria Math"/>
        </w:rPr>
      </w:pPr>
      <w:r>
        <w:rPr>
          <w:rFonts w:ascii="Cambria Math" w:eastAsia="Cambria Math"/>
          <w:spacing w:val="-27"/>
        </w:rPr>
        <w:t>𝑃</w:t>
      </w:r>
      <w:r>
        <w:rPr>
          <w:rFonts w:ascii="Cambria Math" w:eastAsia="Cambria Math"/>
          <w:spacing w:val="16"/>
          <w:w w:val="119"/>
          <w:vertAlign w:val="subscript"/>
        </w:rPr>
        <w:t>𝑡</w:t>
      </w:r>
      <w:r>
        <w:rPr>
          <w:rFonts w:ascii="Cambria Math" w:eastAsia="Cambria Math"/>
          <w:spacing w:val="-8"/>
          <w:vertAlign w:val="baseline"/>
        </w:rPr>
        <w:t>𝐺</w:t>
      </w:r>
      <w:r>
        <w:rPr>
          <w:rFonts w:ascii="Cambria Math" w:eastAsia="Cambria Math"/>
          <w:w w:val="119"/>
          <w:vertAlign w:val="subscript"/>
        </w:rPr>
        <w:t>𝑡</w:t>
      </w:r>
      <w:r>
        <w:rPr>
          <w:rFonts w:ascii="Cambria Math" w:eastAsia="Cambria Math"/>
          <w:spacing w:val="13"/>
          <w:vertAlign w:val="baseline"/>
        </w:rPr>
        <w:t> </w:t>
      </w:r>
      <w:r>
        <w:rPr>
          <w:rFonts w:ascii="Cambria Math" w:eastAsia="Cambria Math"/>
          <w:vertAlign w:val="baseline"/>
        </w:rPr>
        <w:t>+ </w:t>
      </w:r>
      <w:r>
        <w:rPr>
          <w:rFonts w:ascii="Cambria Math" w:eastAsia="Cambria Math"/>
          <w:spacing w:val="2"/>
          <w:w w:val="58"/>
          <w:vertAlign w:val="baseline"/>
        </w:rPr>
        <w:t/>
      </w:r>
      <w:r>
        <w:rPr>
          <w:rFonts w:ascii="Cambria Math" w:eastAsia="Cambria Math"/>
          <w:w w:val="96"/>
          <w:vertAlign w:val="baseline"/>
        </w:rPr>
        <w:t>𝑟</w:t>
      </w:r>
      <w:r>
        <w:rPr>
          <w:rFonts w:ascii="Cambria Math" w:eastAsia="Cambria Math"/>
          <w:spacing w:val="13"/>
          <w:w w:val="119"/>
          <w:vertAlign w:val="subscript"/>
        </w:rPr>
        <w:t>𝑡</w:t>
      </w:r>
      <w:r>
        <w:rPr>
          <w:rFonts w:ascii="Cambria Math" w:eastAsia="Cambria Math"/>
          <w:spacing w:val="-27"/>
          <w:vertAlign w:val="baseline"/>
        </w:rPr>
        <w:t>𝑃</w:t>
      </w:r>
      <w:r>
        <w:rPr>
          <w:rFonts w:ascii="Cambria Math" w:eastAsia="Cambria Math"/>
          <w:w w:val="119"/>
          <w:vertAlign w:val="subscript"/>
        </w:rPr>
        <w:t>𝑡</w:t>
      </w:r>
      <w:r>
        <w:rPr>
          <w:rFonts w:ascii="Cambria Math" w:eastAsia="Cambria Math"/>
          <w:vertAlign w:val="baseline"/>
        </w:rPr>
        <w:t> </w:t>
      </w:r>
      <w:r>
        <w:rPr>
          <w:rFonts w:ascii="Cambria Math" w:eastAsia="Cambria Math"/>
          <w:spacing w:val="-25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5"/>
          <w:vertAlign w:val="baseline"/>
        </w:rPr>
        <w:t> </w:t>
      </w:r>
      <w:r>
        <w:rPr>
          <w:rFonts w:ascii="Cambria Math" w:eastAsia="Cambria Math"/>
          <w:w w:val="96"/>
          <w:vertAlign w:val="baseline"/>
        </w:rPr>
        <w:t>𝑟</w:t>
      </w:r>
      <w:r>
        <w:rPr>
          <w:rFonts w:ascii="Cambria Math" w:eastAsia="Cambria Math"/>
          <w:spacing w:val="13"/>
          <w:w w:val="119"/>
          <w:vertAlign w:val="subscript"/>
        </w:rPr>
        <w:t>𝑡</w:t>
      </w:r>
      <w:r>
        <w:rPr>
          <w:rFonts w:ascii="Cambria Math" w:eastAsia="Cambria Math"/>
          <w:spacing w:val="-27"/>
          <w:vertAlign w:val="baseline"/>
        </w:rPr>
        <w:t>𝑃</w:t>
      </w:r>
      <w:r>
        <w:rPr>
          <w:rFonts w:ascii="Cambria Math" w:eastAsia="Cambria Math"/>
          <w:w w:val="119"/>
          <w:vertAlign w:val="subscript"/>
        </w:rPr>
        <w:t>𝑡</w:t>
      </w:r>
    </w:p>
    <w:p>
      <w:pPr>
        <w:pStyle w:val="BodyText"/>
        <w:spacing w:before="7"/>
        <w:rPr>
          <w:rFonts w:ascii="Cambria Math"/>
          <w:sz w:val="28"/>
        </w:rPr>
      </w:pPr>
    </w:p>
    <w:p>
      <w:pPr>
        <w:pStyle w:val="BodyText"/>
        <w:ind w:left="500"/>
      </w:pPr>
      <w:r>
        <w:rPr/>
        <w:t>Where,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before="1"/>
        <w:ind w:left="500"/>
        <w:jc w:val="both"/>
      </w:pPr>
      <w:r>
        <w:rPr>
          <w:rFonts w:ascii="Cambria Math" w:eastAsia="Cambria Math"/>
        </w:rPr>
        <w:t>𝐺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vertAlign w:val="baseline"/>
        </w:rPr>
        <w:t>:</w:t>
      </w:r>
      <w:r>
        <w:rPr>
          <w:rFonts w:ascii="Cambria Math" w:eastAsia="Cambria Math"/>
          <w:spacing w:val="12"/>
          <w:vertAlign w:val="baseline"/>
        </w:rPr>
        <w:t> </w:t>
      </w:r>
      <w:r>
        <w:rPr>
          <w:vertAlign w:val="baseline"/>
        </w:rPr>
        <w:t>Government</w:t>
      </w:r>
      <w:r>
        <w:rPr>
          <w:spacing w:val="5"/>
          <w:vertAlign w:val="baseline"/>
        </w:rPr>
        <w:t> </w:t>
      </w:r>
      <w:r>
        <w:rPr>
          <w:vertAlign w:val="baseline"/>
        </w:rPr>
        <w:t>spending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500"/>
        <w:jc w:val="both"/>
      </w:pPr>
      <w:r>
        <w:rPr>
          <w:rFonts w:ascii="Cambria Math" w:eastAsia="Cambria Math"/>
          <w:spacing w:val="2"/>
          <w:w w:val="58"/>
        </w:rPr>
        <w:t/>
      </w:r>
      <w:r>
        <w:rPr>
          <w:rFonts w:ascii="Cambria Math" w:eastAsia="Cambria Math"/>
          <w:w w:val="96"/>
        </w:rPr>
        <w:t>𝑟</w:t>
      </w:r>
      <w:r>
        <w:rPr>
          <w:rFonts w:ascii="Cambria Math" w:eastAsia="Cambria Math"/>
          <w:spacing w:val="13"/>
          <w:w w:val="119"/>
          <w:vertAlign w:val="subscript"/>
        </w:rPr>
        <w:t>𝑡</w:t>
      </w:r>
      <w:r>
        <w:rPr>
          <w:vertAlign w:val="baseline"/>
        </w:rPr>
        <w:t>: R</w:t>
      </w:r>
      <w:r>
        <w:rPr>
          <w:spacing w:val="-1"/>
          <w:vertAlign w:val="baseline"/>
        </w:rPr>
        <w:t>e</w:t>
      </w:r>
      <w:r>
        <w:rPr>
          <w:vertAlign w:val="baseline"/>
        </w:rPr>
        <w:t>nt r</w:t>
      </w:r>
      <w:r>
        <w:rPr>
          <w:spacing w:val="-2"/>
          <w:vertAlign w:val="baseline"/>
        </w:rPr>
        <w:t>a</w:t>
      </w:r>
      <w:r>
        <w:rPr>
          <w:vertAlign w:val="baseline"/>
        </w:rPr>
        <w:t>ised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500"/>
        <w:jc w:val="both"/>
      </w:pP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:</w:t>
      </w:r>
      <w:r>
        <w:rPr>
          <w:spacing w:val="8"/>
          <w:vertAlign w:val="baseline"/>
        </w:rPr>
        <w:t> </w:t>
      </w:r>
      <w:r>
        <w:rPr>
          <w:vertAlign w:val="baseline"/>
        </w:rPr>
        <w:t>Total</w:t>
      </w:r>
      <w:r>
        <w:rPr>
          <w:spacing w:val="9"/>
          <w:vertAlign w:val="baseline"/>
        </w:rPr>
        <w:t> </w:t>
      </w:r>
      <w:r>
        <w:rPr>
          <w:vertAlign w:val="baseline"/>
        </w:rPr>
        <w:t>Revenue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500"/>
        <w:jc w:val="both"/>
      </w:pPr>
      <w:r>
        <w:rPr>
          <w:rFonts w:ascii="Cambria Math" w:eastAsia="Cambria Math"/>
        </w:rPr>
        <w:t>𝑃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:</w:t>
      </w:r>
      <w:r>
        <w:rPr>
          <w:spacing w:val="-1"/>
          <w:vertAlign w:val="baseline"/>
        </w:rPr>
        <w:t> </w:t>
      </w:r>
      <w:r>
        <w:rPr>
          <w:vertAlign w:val="baseline"/>
        </w:rPr>
        <w:t>Nominal price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362" w:lineRule="auto"/>
        <w:ind w:left="500" w:right="505"/>
        <w:jc w:val="both"/>
      </w:pPr>
      <w:r>
        <w:rPr/>
        <w:t>As usual, the Lagrangian function of the maximisation problem from equations (4.89) and (4.90)</w:t>
      </w:r>
      <w:r>
        <w:rPr>
          <w:spacing w:val="1"/>
        </w:rPr>
        <w:t> </w:t>
      </w:r>
      <w:r>
        <w:rPr/>
        <w:t>is such</w:t>
      </w:r>
      <w:r>
        <w:rPr>
          <w:spacing w:val="-1"/>
        </w:rPr>
        <w:t> </w:t>
      </w:r>
      <w:r>
        <w:rPr/>
        <w:t>that:</w:t>
      </w:r>
    </w:p>
    <w:p>
      <w:pPr>
        <w:pStyle w:val="BodyText"/>
        <w:spacing w:before="8"/>
        <w:rPr>
          <w:sz w:val="10"/>
        </w:rPr>
      </w:pPr>
    </w:p>
    <w:p>
      <w:pPr>
        <w:spacing w:line="152" w:lineRule="exact" w:before="76"/>
        <w:ind w:left="1592" w:right="0" w:firstLine="0"/>
        <w:jc w:val="left"/>
        <w:rPr>
          <w:rFonts w:ascii="Cambria Math" w:hAnsi="Cambria Math" w:eastAsia="Cambria Math"/>
          <w:sz w:val="14"/>
        </w:rPr>
      </w:pPr>
      <w:r>
        <w:rPr/>
        <w:pict>
          <v:shape style="position:absolute;margin-left:120.739998pt;margin-top:8.495914pt;width:5.6pt;height:11.05pt;mso-position-horizontal-relative:page;mso-position-vertical-relative:paragraph;z-index:-21400064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Cambria Math" w:eastAsia="Cambria Math"/>
                      <w:spacing w:val="-112"/>
                      <w:w w:val="105"/>
                      <w:sz w:val="17"/>
                    </w:rPr>
                    <w:t>𝐺</w:t>
                  </w:r>
                  <w:r>
                    <w:rPr>
                      <w:w w:val="99"/>
                      <w:position w:val="-5"/>
                      <w:sz w:val="14"/>
                      <w:u w:val="single"/>
                    </w:rPr>
                    <w:t> </w:t>
                  </w:r>
                  <w:r>
                    <w:rPr>
                      <w:position w:val="-5"/>
                      <w:sz w:val="14"/>
                      <w:u w:val="single"/>
                    </w:rPr>
                    <w:t> </w:t>
                  </w:r>
                  <w:r>
                    <w:rPr>
                      <w:spacing w:val="-4"/>
                      <w:position w:val="-5"/>
                      <w:sz w:val="14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z w:val="14"/>
        </w:rPr>
        <w:t>1−</w:t>
      </w:r>
    </w:p>
    <w:p>
      <w:pPr>
        <w:pStyle w:val="BodyText"/>
        <w:tabs>
          <w:tab w:pos="1575" w:val="left" w:leader="none"/>
          <w:tab w:pos="1868" w:val="left" w:leader="none"/>
          <w:tab w:pos="8901" w:val="left" w:leader="none"/>
        </w:tabs>
        <w:spacing w:line="146" w:lineRule="exact"/>
        <w:ind w:left="500"/>
      </w:pPr>
      <w:r>
        <w:rPr>
          <w:rFonts w:ascii="Cambria Math" w:hAnsi="Cambria Math" w:eastAsia="Cambria Math"/>
          <w:w w:val="107"/>
        </w:rPr>
        <w:t>𝑓</w:t>
      </w:r>
      <w:r>
        <w:rPr>
          <w:rFonts w:ascii="Cambria Math" w:hAnsi="Cambria Math" w:eastAsia="Cambria Math"/>
          <w:spacing w:val="2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  <w:position w:val="1"/>
        </w:rPr>
        <w:t>∑</w:t>
      </w:r>
      <w:r>
        <w:rPr>
          <w:rFonts w:ascii="Cambria Math" w:hAnsi="Cambria Math" w:eastAsia="Cambria Math"/>
          <w:w w:val="115"/>
          <w:position w:val="1"/>
          <w:vertAlign w:val="superscript"/>
        </w:rPr>
        <w:t>∞</w:t>
      </w:r>
      <w:r>
        <w:rPr>
          <w:rFonts w:ascii="Cambria Math" w:hAnsi="Cambria Math" w:eastAsia="Cambria Math"/>
          <w:position w:val="1"/>
          <w:vertAlign w:val="baseline"/>
        </w:rPr>
        <w:tab/>
      </w:r>
      <w:r>
        <w:rPr>
          <w:rFonts w:ascii="Cambria Math" w:hAnsi="Cambria Math" w:eastAsia="Cambria Math"/>
          <w:w w:val="103"/>
          <w:position w:val="1"/>
          <w:u w:val="single"/>
          <w:vertAlign w:val="superscript"/>
        </w:rPr>
        <w:t>𝑡</w:t>
      </w:r>
      <w:r>
        <w:rPr>
          <w:rFonts w:ascii="Cambria Math" w:hAnsi="Cambria Math" w:eastAsia="Cambria Math"/>
          <w:position w:val="1"/>
          <w:u w:val="single"/>
          <w:vertAlign w:val="baseline"/>
        </w:rPr>
        <w:tab/>
      </w:r>
      <w:r>
        <w:rPr>
          <w:rFonts w:ascii="Cambria Math" w:hAnsi="Cambria Math" w:eastAsia="Cambria Math"/>
          <w:spacing w:val="-1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 </w:t>
      </w:r>
      <w:r>
        <w:rPr>
          <w:rFonts w:ascii="Cambria Math" w:hAnsi="Cambria Math" w:eastAsia="Cambria Math"/>
          <w:spacing w:val="-1"/>
          <w:vertAlign w:val="baseline"/>
        </w:rPr>
        <w:t>l</w:t>
      </w:r>
      <w:r>
        <w:rPr>
          <w:rFonts w:ascii="Cambria Math" w:hAnsi="Cambria Math" w:eastAsia="Cambria Math"/>
          <w:vertAlign w:val="baseline"/>
        </w:rPr>
        <w:t>n</w:t>
      </w:r>
      <w:r>
        <w:rPr>
          <w:rFonts w:ascii="Cambria Math" w:hAnsi="Cambria Math" w:eastAsia="Cambria Math"/>
          <w:spacing w:val="-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𝑅</w:t>
      </w:r>
      <w:r>
        <w:rPr>
          <w:rFonts w:ascii="Cambria Math" w:hAnsi="Cambria Math" w:eastAsia="Cambria Math"/>
          <w:spacing w:val="-20"/>
          <w:vertAlign w:val="baseline"/>
        </w:rPr>
        <w:t>𝑁</w:t>
      </w:r>
      <w:r>
        <w:rPr>
          <w:rFonts w:ascii="Cambria Math" w:hAnsi="Cambria Math" w:eastAsia="Cambria Math"/>
          <w:w w:val="119"/>
          <w:vertAlign w:val="subscript"/>
        </w:rPr>
        <w:t>𝑡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𝜆</w:t>
      </w:r>
      <w:r>
        <w:rPr>
          <w:rFonts w:ascii="Cambria Math" w:hAnsi="Cambria Math" w:eastAsia="Cambria Math"/>
          <w:spacing w:val="13"/>
          <w:w w:val="119"/>
          <w:vertAlign w:val="subscript"/>
        </w:rPr>
        <w:t>𝑡</w:t>
      </w:r>
      <w:r>
        <w:rPr>
          <w:rFonts w:ascii="Cambria Math" w:hAnsi="Cambria Math" w:eastAsia="Cambria Math"/>
          <w:spacing w:val="-1"/>
          <w:position w:val="1"/>
          <w:vertAlign w:val="baseline"/>
        </w:rPr>
        <w:t>[</w:t>
      </w:r>
      <w:r>
        <w:rPr>
          <w:rFonts w:ascii="Cambria Math" w:hAnsi="Cambria Math" w:eastAsia="Cambria Math"/>
          <w:w w:val="96"/>
          <w:vertAlign w:val="baseline"/>
        </w:rPr>
        <w:t>𝑟</w:t>
      </w:r>
      <w:r>
        <w:rPr>
          <w:rFonts w:ascii="Cambria Math" w:hAnsi="Cambria Math" w:eastAsia="Cambria Math"/>
          <w:spacing w:val="13"/>
          <w:w w:val="119"/>
          <w:vertAlign w:val="subscript"/>
        </w:rPr>
        <w:t>𝑡</w:t>
      </w:r>
      <w:r>
        <w:rPr>
          <w:rFonts w:ascii="Cambria Math" w:hAnsi="Cambria Math" w:eastAsia="Cambria Math"/>
          <w:spacing w:val="-27"/>
          <w:vertAlign w:val="baseline"/>
        </w:rPr>
        <w:t>𝑃</w:t>
      </w:r>
      <w:r>
        <w:rPr>
          <w:rFonts w:ascii="Cambria Math" w:hAnsi="Cambria Math" w:eastAsia="Cambria Math"/>
          <w:w w:val="119"/>
          <w:vertAlign w:val="subscript"/>
        </w:rPr>
        <w:t>𝑡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 </w:t>
      </w:r>
      <w:r>
        <w:rPr>
          <w:rFonts w:ascii="Cambria Math" w:hAnsi="Cambria Math" w:eastAsia="Cambria Math"/>
          <w:spacing w:val="-27"/>
          <w:vertAlign w:val="baseline"/>
        </w:rPr>
        <w:t>𝑃</w:t>
      </w:r>
      <w:r>
        <w:rPr>
          <w:rFonts w:ascii="Cambria Math" w:hAnsi="Cambria Math" w:eastAsia="Cambria Math"/>
          <w:spacing w:val="16"/>
          <w:w w:val="119"/>
          <w:vertAlign w:val="subscript"/>
        </w:rPr>
        <w:t>𝑡</w:t>
      </w:r>
      <w:r>
        <w:rPr>
          <w:rFonts w:ascii="Cambria Math" w:hAnsi="Cambria Math" w:eastAsia="Cambria Math"/>
          <w:spacing w:val="-8"/>
          <w:vertAlign w:val="baseline"/>
        </w:rPr>
        <w:t>𝐺</w:t>
      </w:r>
      <w:r>
        <w:rPr>
          <w:rFonts w:ascii="Cambria Math" w:hAnsi="Cambria Math" w:eastAsia="Cambria Math"/>
          <w:w w:val="119"/>
          <w:vertAlign w:val="subscript"/>
        </w:rPr>
        <w:t>𝑡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 </w:t>
      </w:r>
      <w:r>
        <w:rPr>
          <w:rFonts w:ascii="Cambria Math" w:hAnsi="Cambria Math" w:eastAsia="Cambria Math"/>
          <w:spacing w:val="2"/>
          <w:w w:val="58"/>
          <w:vertAlign w:val="baseline"/>
        </w:rPr>
        <w:t/>
      </w:r>
      <w:r>
        <w:rPr>
          <w:rFonts w:ascii="Cambria Math" w:hAnsi="Cambria Math" w:eastAsia="Cambria Math"/>
          <w:w w:val="96"/>
          <w:vertAlign w:val="baseline"/>
        </w:rPr>
        <w:t>𝑟</w:t>
      </w:r>
      <w:r>
        <w:rPr>
          <w:rFonts w:ascii="Cambria Math" w:hAnsi="Cambria Math" w:eastAsia="Cambria Math"/>
          <w:spacing w:val="13"/>
          <w:w w:val="119"/>
          <w:vertAlign w:val="subscript"/>
        </w:rPr>
        <w:t>𝑡</w:t>
      </w:r>
      <w:r>
        <w:rPr>
          <w:rFonts w:ascii="Cambria Math" w:hAnsi="Cambria Math" w:eastAsia="Cambria Math"/>
          <w:spacing w:val="-27"/>
          <w:vertAlign w:val="baseline"/>
        </w:rPr>
        <w:t>𝑃</w:t>
      </w:r>
      <w:r>
        <w:rPr>
          <w:rFonts w:ascii="Cambria Math" w:hAnsi="Cambria Math" w:eastAsia="Cambria Math"/>
          <w:spacing w:val="16"/>
          <w:w w:val="119"/>
          <w:vertAlign w:val="subscript"/>
        </w:rPr>
        <w:t>𝑡</w:t>
      </w:r>
      <w:r>
        <w:rPr>
          <w:rFonts w:ascii="Cambria Math" w:hAnsi="Cambria Math" w:eastAsia="Cambria Math"/>
          <w:position w:val="1"/>
          <w:vertAlign w:val="baseline"/>
        </w:rPr>
        <w:t>]</w:t>
        <w:tab/>
      </w:r>
      <w:r>
        <w:rPr>
          <w:vertAlign w:val="baseline"/>
        </w:rPr>
        <w:t>(4.9</w:t>
      </w:r>
      <w:r>
        <w:rPr>
          <w:spacing w:val="-1"/>
          <w:vertAlign w:val="baseline"/>
        </w:rPr>
        <w:t>2</w:t>
      </w:r>
      <w:r>
        <w:rPr>
          <w:vertAlign w:val="baseline"/>
        </w:rPr>
        <w:t>)</w:t>
      </w:r>
    </w:p>
    <w:p>
      <w:pPr>
        <w:spacing w:line="196" w:lineRule="auto" w:before="0"/>
        <w:ind w:left="1131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95"/>
          <w:sz w:val="17"/>
        </w:rPr>
        <w:t>𝑡=0</w:t>
      </w:r>
      <w:r>
        <w:rPr>
          <w:rFonts w:ascii="Cambria Math" w:hAnsi="Cambria Math" w:eastAsia="Cambria Math"/>
          <w:spacing w:val="22"/>
          <w:w w:val="95"/>
          <w:sz w:val="17"/>
        </w:rPr>
        <w:t> </w:t>
      </w:r>
      <w:r>
        <w:rPr>
          <w:rFonts w:ascii="Cambria Math" w:hAnsi="Cambria Math" w:eastAsia="Cambria Math"/>
          <w:w w:val="95"/>
          <w:position w:val="-6"/>
          <w:sz w:val="17"/>
        </w:rPr>
        <w:t>1−</w:t>
      </w:r>
    </w:p>
    <w:p>
      <w:pPr>
        <w:pStyle w:val="BodyText"/>
        <w:spacing w:before="6"/>
        <w:rPr>
          <w:rFonts w:ascii="Cambria Math"/>
          <w:sz w:val="21"/>
        </w:rPr>
      </w:pPr>
    </w:p>
    <w:p>
      <w:pPr>
        <w:pStyle w:val="BodyText"/>
        <w:spacing w:before="90"/>
        <w:ind w:left="500"/>
      </w:pPr>
      <w:r>
        <w:rPr/>
        <w:t>In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same</w:t>
      </w:r>
      <w:r>
        <w:rPr>
          <w:spacing w:val="44"/>
        </w:rPr>
        <w:t> </w:t>
      </w:r>
      <w:r>
        <w:rPr/>
        <w:t>manner,</w:t>
      </w:r>
      <w:r>
        <w:rPr>
          <w:spacing w:val="43"/>
        </w:rPr>
        <w:t> </w:t>
      </w:r>
      <w:r>
        <w:rPr/>
        <w:t>first</w:t>
      </w:r>
      <w:r>
        <w:rPr>
          <w:spacing w:val="45"/>
        </w:rPr>
        <w:t> </w:t>
      </w:r>
      <w:r>
        <w:rPr/>
        <w:t>order</w:t>
      </w:r>
      <w:r>
        <w:rPr>
          <w:spacing w:val="44"/>
        </w:rPr>
        <w:t> </w:t>
      </w:r>
      <w:r>
        <w:rPr/>
        <w:t>condition</w:t>
      </w:r>
      <w:r>
        <w:rPr>
          <w:spacing w:val="44"/>
        </w:rPr>
        <w:t> </w:t>
      </w:r>
      <w:r>
        <w:rPr/>
        <w:t>(F.O.C)</w:t>
      </w:r>
      <w:r>
        <w:rPr>
          <w:spacing w:val="43"/>
        </w:rPr>
        <w:t> </w:t>
      </w:r>
      <w:r>
        <w:rPr/>
        <w:t>of</w:t>
      </w:r>
      <w:r>
        <w:rPr>
          <w:spacing w:val="44"/>
        </w:rPr>
        <w:t> </w:t>
      </w:r>
      <w:r>
        <w:rPr/>
        <w:t>equation</w:t>
      </w:r>
      <w:r>
        <w:rPr>
          <w:spacing w:val="44"/>
        </w:rPr>
        <w:t> </w:t>
      </w:r>
      <w:r>
        <w:rPr/>
        <w:t>(4.92)</w:t>
      </w:r>
      <w:r>
        <w:rPr>
          <w:spacing w:val="44"/>
        </w:rPr>
        <w:t> </w:t>
      </w:r>
      <w:r>
        <w:rPr/>
        <w:t>is</w:t>
      </w:r>
      <w:r>
        <w:rPr>
          <w:spacing w:val="45"/>
        </w:rPr>
        <w:t> </w:t>
      </w:r>
      <w:r>
        <w:rPr/>
        <w:t>obtained</w:t>
      </w:r>
      <w:r>
        <w:rPr>
          <w:spacing w:val="44"/>
        </w:rPr>
        <w:t> </w:t>
      </w:r>
      <w:r>
        <w:rPr/>
        <w:t>as</w:t>
      </w:r>
      <w:r>
        <w:rPr>
          <w:spacing w:val="45"/>
        </w:rPr>
        <w:t> </w:t>
      </w:r>
      <w:r>
        <w:rPr/>
        <w:t>follows:</w:t>
      </w:r>
    </w:p>
    <w:p>
      <w:pPr>
        <w:spacing w:after="0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line="143" w:lineRule="exact" w:before="210"/>
        <w:ind w:left="500"/>
        <w:rPr>
          <w:rFonts w:ascii="Cambria Math" w:hAnsi="Cambria Math" w:eastAsia="Cambria Math"/>
        </w:rPr>
      </w:pPr>
      <w:r>
        <w:rPr>
          <w:w w:val="95"/>
        </w:rPr>
        <w:t>Government</w:t>
      </w:r>
      <w:r>
        <w:rPr>
          <w:spacing w:val="17"/>
          <w:w w:val="95"/>
        </w:rPr>
        <w:t> </w:t>
      </w:r>
      <w:r>
        <w:rPr>
          <w:w w:val="95"/>
        </w:rPr>
        <w:t>Spending:</w:t>
      </w:r>
      <w:r>
        <w:rPr>
          <w:spacing w:val="62"/>
        </w:rPr>
        <w:t> </w:t>
      </w:r>
      <w:r>
        <w:rPr>
          <w:rFonts w:ascii="Cambria Math" w:hAnsi="Cambria Math" w:eastAsia="Cambria Math"/>
          <w:w w:val="95"/>
          <w:vertAlign w:val="superscript"/>
        </w:rPr>
        <w:t>𝜕𝑓</w:t>
      </w:r>
      <w:r>
        <w:rPr>
          <w:rFonts w:ascii="Cambria Math" w:hAnsi="Cambria Math" w:eastAsia="Cambria Math"/>
          <w:spacing w:val="84"/>
          <w:vertAlign w:val="baseline"/>
        </w:rPr>
        <w:t> </w:t>
      </w:r>
      <w:r>
        <w:rPr>
          <w:rFonts w:ascii="Cambria Math" w:hAnsi="Cambria Math" w:eastAsia="Cambria Math"/>
          <w:w w:val="95"/>
          <w:vertAlign w:val="baseline"/>
        </w:rPr>
        <w:t>=</w:t>
      </w:r>
      <w:r>
        <w:rPr>
          <w:rFonts w:ascii="Cambria Math" w:hAnsi="Cambria Math" w:eastAsia="Cambria Math"/>
          <w:spacing w:val="31"/>
          <w:w w:val="95"/>
          <w:vertAlign w:val="baseline"/>
        </w:rPr>
        <w:t> </w:t>
      </w:r>
      <w:r>
        <w:rPr>
          <w:rFonts w:ascii="Cambria Math" w:hAnsi="Cambria Math" w:eastAsia="Cambria Math"/>
          <w:w w:val="95"/>
          <w:vertAlign w:val="baseline"/>
        </w:rPr>
        <w:t>0:</w:t>
      </w:r>
      <w:r>
        <w:rPr>
          <w:rFonts w:ascii="Cambria Math" w:hAnsi="Cambria Math" w:eastAsia="Cambria Math"/>
          <w:spacing w:val="-1"/>
          <w:w w:val="95"/>
          <w:vertAlign w:val="baseline"/>
        </w:rPr>
        <w:t> </w:t>
      </w:r>
      <w:r>
        <w:rPr>
          <w:rFonts w:ascii="Cambria Math" w:hAnsi="Cambria Math" w:eastAsia="Cambria Math"/>
          <w:w w:val="95"/>
          <w:vertAlign w:val="baseline"/>
        </w:rPr>
        <w:t>𝐺</w:t>
      </w:r>
      <w:r>
        <w:rPr>
          <w:rFonts w:ascii="Cambria Math" w:hAnsi="Cambria Math" w:eastAsia="Cambria Math"/>
          <w:w w:val="95"/>
          <w:vertAlign w:val="superscript"/>
        </w:rPr>
        <w:t>−</w:t>
      </w:r>
      <w:r>
        <w:rPr>
          <w:rFonts w:ascii="Cambria Math" w:hAnsi="Cambria Math" w:eastAsia="Cambria Math"/>
          <w:spacing w:val="50"/>
          <w:vertAlign w:val="baseline"/>
        </w:rPr>
        <w:t> </w:t>
      </w:r>
      <w:r>
        <w:rPr>
          <w:rFonts w:ascii="Cambria Math" w:hAnsi="Cambria Math" w:eastAsia="Cambria Math"/>
          <w:w w:val="95"/>
          <w:vertAlign w:val="baseline"/>
        </w:rPr>
        <w:t>=</w:t>
      </w:r>
      <w:r>
        <w:rPr>
          <w:rFonts w:ascii="Cambria Math" w:hAnsi="Cambria Math" w:eastAsia="Cambria Math"/>
          <w:spacing w:val="30"/>
          <w:w w:val="95"/>
          <w:vertAlign w:val="baseline"/>
        </w:rPr>
        <w:t> </w:t>
      </w:r>
      <w:r>
        <w:rPr>
          <w:rFonts w:ascii="Cambria Math" w:hAnsi="Cambria Math" w:eastAsia="Cambria Math"/>
          <w:w w:val="95"/>
          <w:vertAlign w:val="baseline"/>
        </w:rPr>
        <w:t>−𝜆</w:t>
      </w:r>
      <w:r>
        <w:rPr>
          <w:rFonts w:ascii="Cambria Math" w:hAnsi="Cambria Math" w:eastAsia="Cambria Math"/>
          <w:spacing w:val="58"/>
          <w:vertAlign w:val="baseline"/>
        </w:rPr>
        <w:t> </w:t>
      </w:r>
      <w:r>
        <w:rPr>
          <w:rFonts w:ascii="Cambria Math" w:hAnsi="Cambria Math" w:eastAsia="Cambria Math"/>
          <w:w w:val="95"/>
          <w:vertAlign w:val="baseline"/>
        </w:rPr>
        <w:t>𝑃</w:t>
      </w:r>
    </w:p>
    <w:p>
      <w:pPr>
        <w:pStyle w:val="BodyText"/>
        <w:spacing w:line="20" w:lineRule="exact"/>
        <w:ind w:left="279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4.35pt;height:.85pt;mso-position-horizontal-relative:char;mso-position-vertical-relative:line" coordorigin="0,0" coordsize="287,17">
            <v:rect style="position:absolute;left:0;top:0;width:287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139" w:lineRule="exact" w:before="214"/>
        <w:ind w:left="500"/>
      </w:pPr>
      <w:r>
        <w:rPr/>
        <w:br w:type="column"/>
      </w:r>
      <w:r>
        <w:rPr/>
        <w:t>(4.93)</w:t>
      </w:r>
    </w:p>
    <w:p>
      <w:pPr>
        <w:spacing w:after="0" w:line="139" w:lineRule="exact"/>
        <w:sectPr>
          <w:type w:val="continuous"/>
          <w:pgSz w:w="12240" w:h="15840"/>
          <w:pgMar w:top="1500" w:bottom="1120" w:left="940" w:right="940"/>
          <w:cols w:num="2" w:equalWidth="0">
            <w:col w:w="4919" w:space="3482"/>
            <w:col w:w="1959"/>
          </w:cols>
        </w:sectPr>
      </w:pPr>
    </w:p>
    <w:p>
      <w:pPr>
        <w:tabs>
          <w:tab w:pos="972" w:val="left" w:leader="none"/>
        </w:tabs>
        <w:spacing w:line="246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𝜕𝐺</w:t>
      </w:r>
      <w:r>
        <w:rPr>
          <w:rFonts w:ascii="Cambria Math" w:eastAsia="Cambria Math"/>
          <w:w w:val="110"/>
          <w:position w:val="-2"/>
          <w:sz w:val="14"/>
        </w:rPr>
        <w:t>𝑡</w:t>
        <w:tab/>
      </w:r>
      <w:r>
        <w:rPr>
          <w:rFonts w:ascii="Cambria Math" w:eastAsia="Cambria Math"/>
          <w:w w:val="110"/>
          <w:position w:val="5"/>
          <w:sz w:val="17"/>
        </w:rPr>
        <w:t>𝑡</w:t>
      </w:r>
    </w:p>
    <w:p>
      <w:pPr>
        <w:spacing w:line="150" w:lineRule="exact" w:before="0"/>
        <w:ind w:left="760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𝑡  </w:t>
      </w:r>
      <w:r>
        <w:rPr>
          <w:rFonts w:ascii="Cambria Math" w:eastAsia="Cambria Math"/>
          <w:spacing w:val="14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𝑡</w:t>
      </w:r>
    </w:p>
    <w:p>
      <w:pPr>
        <w:spacing w:after="0" w:line="150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2" w:equalWidth="0">
            <w:col w:w="3841" w:space="40"/>
            <w:col w:w="6479"/>
          </w:cols>
        </w:sectPr>
      </w:pPr>
    </w:p>
    <w:p>
      <w:pPr>
        <w:pStyle w:val="BodyText"/>
        <w:spacing w:line="143" w:lineRule="exact" w:before="127"/>
        <w:ind w:left="500"/>
        <w:rPr>
          <w:rFonts w:ascii="Cambria Math" w:eastAsia="Cambria Math"/>
        </w:rPr>
      </w:pPr>
      <w:r>
        <w:rPr>
          <w:w w:val="110"/>
        </w:rPr>
        <w:t>Rent:</w:t>
      </w:r>
      <w:r>
        <w:rPr>
          <w:spacing w:val="6"/>
          <w:w w:val="110"/>
        </w:rPr>
        <w:t> </w:t>
      </w:r>
      <w:r>
        <w:rPr>
          <w:rFonts w:ascii="Cambria Math" w:eastAsia="Cambria Math"/>
          <w:spacing w:val="-68"/>
          <w:w w:val="110"/>
          <w:vertAlign w:val="superscript"/>
        </w:rPr>
        <w:t>𝜕𝑓</w:t>
      </w:r>
    </w:p>
    <w:p>
      <w:pPr>
        <w:spacing w:line="217" w:lineRule="exact" w:before="54"/>
        <w:ind w:left="133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sz w:val="24"/>
        </w:rPr>
        <w:t>=</w:t>
      </w:r>
      <w:r>
        <w:rPr>
          <w:rFonts w:ascii="Cambria Math"/>
          <w:spacing w:val="8"/>
          <w:sz w:val="24"/>
        </w:rPr>
        <w:t> </w:t>
      </w:r>
      <w:r>
        <w:rPr>
          <w:rFonts w:ascii="Cambria Math"/>
          <w:sz w:val="24"/>
        </w:rPr>
        <w:t>0:  </w:t>
      </w:r>
      <w:r>
        <w:rPr>
          <w:rFonts w:ascii="Cambria Math"/>
          <w:spacing w:val="28"/>
          <w:sz w:val="24"/>
        </w:rPr>
        <w:t> </w:t>
      </w:r>
      <w:r>
        <w:rPr>
          <w:rFonts w:ascii="Cambria Math"/>
          <w:position w:val="14"/>
          <w:sz w:val="17"/>
        </w:rPr>
        <w:t>1</w:t>
      </w:r>
    </w:p>
    <w:p>
      <w:pPr>
        <w:pStyle w:val="BodyText"/>
        <w:spacing w:line="143" w:lineRule="exact" w:before="127"/>
        <w:ind w:left="127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</w:rPr>
        <w:t>−𝜆</w:t>
      </w:r>
      <w:r>
        <w:rPr>
          <w:rFonts w:ascii="Cambria Math" w:hAnsi="Cambria Math" w:eastAsia="Cambria Math"/>
          <w:spacing w:val="36"/>
        </w:rPr>
        <w:t> </w:t>
      </w:r>
      <w:r>
        <w:rPr>
          <w:rFonts w:ascii="Cambria Math" w:hAnsi="Cambria Math" w:eastAsia="Cambria Math"/>
        </w:rPr>
        <w:t>𝑃</w:t>
      </w:r>
    </w:p>
    <w:p>
      <w:pPr>
        <w:pStyle w:val="BodyText"/>
        <w:spacing w:line="139" w:lineRule="exact" w:before="131"/>
        <w:ind w:left="500"/>
      </w:pPr>
      <w:r>
        <w:rPr/>
        <w:br w:type="column"/>
      </w:r>
      <w:r>
        <w:rPr/>
        <w:t>(4.94)</w:t>
      </w:r>
    </w:p>
    <w:p>
      <w:pPr>
        <w:spacing w:after="0" w:line="139" w:lineRule="exact"/>
        <w:sectPr>
          <w:pgSz w:w="12240" w:h="15840"/>
          <w:pgMar w:header="0" w:footer="935" w:top="1380" w:bottom="1200" w:left="940" w:right="940"/>
          <w:cols w:num="4" w:equalWidth="0">
            <w:col w:w="1389" w:space="40"/>
            <w:col w:w="871" w:space="39"/>
            <w:col w:w="959" w:space="5104"/>
            <w:col w:w="1958"/>
          </w:cols>
        </w:sectPr>
      </w:pPr>
    </w:p>
    <w:p>
      <w:pPr>
        <w:pStyle w:val="BodyText"/>
        <w:spacing w:line="20" w:lineRule="exact"/>
        <w:ind w:left="1081" w:right="-72"/>
        <w:rPr>
          <w:sz w:val="2"/>
        </w:rPr>
      </w:pPr>
      <w:r>
        <w:rPr>
          <w:sz w:val="2"/>
        </w:rPr>
        <w:pict>
          <v:group style="width:20.65pt;height:.85pt;mso-position-horizontal-relative:char;mso-position-vertical-relative:line" coordorigin="0,0" coordsize="413,17">
            <v:rect style="position:absolute;left:0;top:0;width:413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23"/>
        <w:ind w:left="0" w:right="0" w:firstLine="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7"/>
        </w:rPr>
        <w:t>𝜕𝑅𝑁</w:t>
      </w:r>
      <w:r>
        <w:rPr>
          <w:rFonts w:ascii="Cambria Math" w:eastAsia="Cambria Math"/>
          <w:w w:val="110"/>
          <w:position w:val="-2"/>
          <w:sz w:val="14"/>
        </w:rPr>
        <w:t>𝑡</w:t>
      </w:r>
    </w:p>
    <w:p>
      <w:pPr>
        <w:pStyle w:val="BodyText"/>
        <w:spacing w:line="20" w:lineRule="exact"/>
        <w:ind w:left="568" w:right="-72"/>
        <w:rPr>
          <w:rFonts w:ascii="Cambria Math"/>
          <w:sz w:val="2"/>
        </w:rPr>
      </w:pPr>
      <w:r>
        <w:rPr/>
        <w:br w:type="column"/>
      </w:r>
      <w:r>
        <w:rPr>
          <w:rFonts w:ascii="Cambria Math"/>
          <w:sz w:val="2"/>
        </w:rPr>
        <w:pict>
          <v:group style="width:15.25pt;height:.85pt;mso-position-horizontal-relative:char;mso-position-vertical-relative:line" coordorigin="0,0" coordsize="305,17">
            <v:rect style="position:absolute;left:0;top:0;width:305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23"/>
        <w:ind w:left="568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spacing w:val="-2"/>
          <w:w w:val="105"/>
          <w:sz w:val="17"/>
        </w:rPr>
        <w:t>𝑅𝑁</w:t>
      </w:r>
      <w:r>
        <w:rPr>
          <w:rFonts w:ascii="Cambria Math" w:eastAsia="Cambria Math"/>
          <w:spacing w:val="-2"/>
          <w:w w:val="105"/>
          <w:position w:val="-2"/>
          <w:sz w:val="14"/>
        </w:rPr>
        <w:t>𝑡</w:t>
      </w:r>
    </w:p>
    <w:p>
      <w:pPr>
        <w:spacing w:line="171" w:lineRule="exact" w:before="0"/>
        <w:ind w:left="583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𝑡  </w:t>
      </w:r>
      <w:r>
        <w:rPr>
          <w:rFonts w:ascii="Cambria Math" w:eastAsia="Cambria Math"/>
          <w:spacing w:val="14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𝑡</w:t>
      </w:r>
    </w:p>
    <w:p>
      <w:pPr>
        <w:spacing w:after="0" w:line="171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3" w:equalWidth="0">
            <w:col w:w="1488" w:space="40"/>
            <w:col w:w="868" w:space="39"/>
            <w:col w:w="7925"/>
          </w:cols>
        </w:sectPr>
      </w:pPr>
    </w:p>
    <w:p>
      <w:pPr>
        <w:pStyle w:val="BodyText"/>
        <w:spacing w:before="4"/>
        <w:rPr>
          <w:rFonts w:ascii="Cambria Math"/>
          <w:sz w:val="20"/>
        </w:rPr>
      </w:pPr>
    </w:p>
    <w:p>
      <w:pPr>
        <w:spacing w:after="0"/>
        <w:rPr>
          <w:rFonts w:ascii="Cambria Math"/>
          <w:sz w:val="20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spacing w:line="69" w:lineRule="auto" w:before="134"/>
        <w:ind w:left="500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position w:val="-13"/>
          <w:sz w:val="24"/>
        </w:rPr>
        <w:t>𝜆   </w:t>
      </w:r>
      <w:r>
        <w:rPr>
          <w:w w:val="105"/>
          <w:position w:val="-13"/>
          <w:sz w:val="24"/>
        </w:rPr>
        <w:t>:</w:t>
      </w:r>
      <w:r>
        <w:rPr>
          <w:spacing w:val="1"/>
          <w:w w:val="105"/>
          <w:position w:val="-13"/>
          <w:sz w:val="24"/>
        </w:rPr>
        <w:t> </w:t>
      </w:r>
      <w:r>
        <w:rPr>
          <w:rFonts w:ascii="Cambria Math" w:eastAsia="Cambria Math"/>
          <w:spacing w:val="-68"/>
          <w:w w:val="105"/>
          <w:sz w:val="17"/>
        </w:rPr>
        <w:t>𝜕𝑓</w:t>
      </w:r>
    </w:p>
    <w:p>
      <w:pPr>
        <w:pStyle w:val="BodyText"/>
        <w:spacing w:line="143" w:lineRule="exact" w:before="147"/>
        <w:ind w:left="68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1"/>
        </w:rPr>
        <w:t> </w:t>
      </w:r>
      <w:r>
        <w:rPr>
          <w:rFonts w:ascii="Cambria Math" w:eastAsia="Cambria Math"/>
        </w:rPr>
        <w:t>0:</w:t>
      </w:r>
      <w:r>
        <w:rPr>
          <w:rFonts w:ascii="Cambria Math" w:eastAsia="Cambria Math"/>
          <w:spacing w:val="-2"/>
        </w:rPr>
        <w:t> </w:t>
      </w:r>
      <w:r>
        <w:rPr>
          <w:rFonts w:ascii="Cambria Math" w:eastAsia="Cambria Math"/>
        </w:rPr>
        <w:t>𝑟</w:t>
      </w:r>
      <w:r>
        <w:rPr>
          <w:rFonts w:ascii="Cambria Math" w:eastAsia="Cambria Math"/>
          <w:spacing w:val="35"/>
        </w:rPr>
        <w:t> </w:t>
      </w:r>
      <w:r>
        <w:rPr>
          <w:rFonts w:ascii="Cambria Math" w:eastAsia="Cambria Math"/>
          <w:spacing w:val="-165"/>
        </w:rPr>
        <w:t>𝑃</w:t>
      </w:r>
    </w:p>
    <w:p>
      <w:pPr>
        <w:pStyle w:val="BodyText"/>
        <w:spacing w:line="143" w:lineRule="exact" w:before="147"/>
        <w:ind w:left="91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</w:rPr>
        <w:t>𝑃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  <w:spacing w:val="-164"/>
        </w:rPr>
        <w:t>𝐺</w:t>
      </w:r>
    </w:p>
    <w:p>
      <w:pPr>
        <w:pStyle w:val="BodyText"/>
        <w:spacing w:line="143" w:lineRule="exact" w:before="147"/>
        <w:ind w:left="95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85"/>
        </w:rPr>
        <w:t>+</w:t>
      </w:r>
      <w:r>
        <w:rPr>
          <w:rFonts w:ascii="Cambria Math" w:eastAsia="Cambria Math"/>
          <w:spacing w:val="7"/>
          <w:w w:val="85"/>
        </w:rPr>
        <w:t> </w:t>
      </w:r>
      <w:r>
        <w:rPr>
          <w:rFonts w:ascii="Cambria Math" w:eastAsia="Cambria Math"/>
          <w:w w:val="85"/>
        </w:rPr>
        <w:t>𝑟</w:t>
      </w:r>
      <w:r>
        <w:rPr>
          <w:rFonts w:ascii="Cambria Math" w:eastAsia="Cambria Math"/>
          <w:spacing w:val="44"/>
          <w:w w:val="85"/>
        </w:rPr>
        <w:t> </w:t>
      </w:r>
      <w:r>
        <w:rPr>
          <w:rFonts w:ascii="Cambria Math" w:eastAsia="Cambria Math"/>
          <w:w w:val="85"/>
        </w:rPr>
        <w:t>𝑃</w:t>
      </w:r>
    </w:p>
    <w:p>
      <w:pPr>
        <w:pStyle w:val="BodyText"/>
        <w:spacing w:line="139" w:lineRule="exact" w:before="151"/>
        <w:ind w:left="500"/>
      </w:pPr>
      <w:r>
        <w:rPr/>
        <w:br w:type="column"/>
      </w:r>
      <w:r>
        <w:rPr/>
        <w:t>(4.95)</w:t>
      </w:r>
    </w:p>
    <w:p>
      <w:pPr>
        <w:spacing w:after="0" w:line="139" w:lineRule="exact"/>
        <w:sectPr>
          <w:type w:val="continuous"/>
          <w:pgSz w:w="12240" w:h="15840"/>
          <w:pgMar w:top="1500" w:bottom="1120" w:left="940" w:right="940"/>
          <w:cols w:num="5" w:equalWidth="0">
            <w:col w:w="1082" w:space="40"/>
            <w:col w:w="911" w:space="39"/>
            <w:col w:w="702" w:space="39"/>
            <w:col w:w="858" w:space="4731"/>
            <w:col w:w="1958"/>
          </w:cols>
        </w:sectPr>
      </w:pPr>
    </w:p>
    <w:p>
      <w:pPr>
        <w:spacing w:line="266" w:lineRule="exact" w:before="0"/>
        <w:ind w:left="625" w:right="0" w:firstLine="0"/>
        <w:jc w:val="left"/>
        <w:rPr>
          <w:rFonts w:ascii="Cambria Math" w:eastAsia="Cambria Math"/>
          <w:sz w:val="14"/>
        </w:rPr>
      </w:pPr>
      <w:r>
        <w:rPr/>
        <w:pict>
          <v:rect style="position:absolute;margin-left:89.064003pt;margin-top:.395674pt;width:14.04pt;height:.84pt;mso-position-horizontal-relative:page;mso-position-vertical-relative:paragraph;z-index:1579827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5"/>
          <w:position w:val="7"/>
          <w:sz w:val="17"/>
        </w:rPr>
        <w:t>𝑡</w:t>
      </w:r>
      <w:r>
        <w:rPr>
          <w:rFonts w:ascii="Cambria Math" w:eastAsia="Cambria Math"/>
          <w:spacing w:val="1"/>
          <w:w w:val="115"/>
          <w:position w:val="7"/>
          <w:sz w:val="17"/>
        </w:rPr>
        <w:t> </w:t>
      </w:r>
      <w:r>
        <w:rPr>
          <w:rFonts w:ascii="Cambria Math" w:eastAsia="Cambria Math"/>
          <w:spacing w:val="-22"/>
          <w:w w:val="115"/>
          <w:sz w:val="17"/>
        </w:rPr>
        <w:t>𝜕𝜆</w:t>
      </w:r>
      <w:r>
        <w:rPr>
          <w:rFonts w:ascii="Cambria Math" w:eastAsia="Cambria Math"/>
          <w:spacing w:val="-22"/>
          <w:w w:val="115"/>
          <w:position w:val="-2"/>
          <w:sz w:val="14"/>
        </w:rPr>
        <w:t>𝑡</w:t>
      </w:r>
    </w:p>
    <w:p>
      <w:pPr>
        <w:spacing w:line="170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𝑡  </w:t>
      </w:r>
      <w:r>
        <w:rPr>
          <w:rFonts w:ascii="Cambria Math" w:eastAsia="Cambria Math"/>
          <w:spacing w:val="14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𝑡</w:t>
      </w:r>
    </w:p>
    <w:p>
      <w:pPr>
        <w:spacing w:line="170" w:lineRule="exact" w:before="0"/>
        <w:ind w:left="410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𝑡   </w:t>
      </w:r>
      <w:r>
        <w:rPr>
          <w:rFonts w:ascii="Cambria Math" w:eastAsia="Cambria Math"/>
          <w:spacing w:val="4"/>
          <w:w w:val="110"/>
          <w:sz w:val="17"/>
        </w:rPr>
        <w:t> </w:t>
      </w:r>
      <w:r>
        <w:rPr>
          <w:rFonts w:ascii="Cambria Math" w:eastAsia="Cambria Math"/>
          <w:spacing w:val="-153"/>
          <w:w w:val="110"/>
          <w:sz w:val="17"/>
        </w:rPr>
        <w:t>𝑡</w:t>
      </w:r>
    </w:p>
    <w:p>
      <w:pPr>
        <w:spacing w:line="170" w:lineRule="exact" w:before="0"/>
        <w:ind w:left="511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𝑡  </w:t>
      </w:r>
      <w:r>
        <w:rPr>
          <w:rFonts w:ascii="Cambria Math" w:eastAsia="Cambria Math"/>
          <w:spacing w:val="14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𝑡</w:t>
      </w:r>
    </w:p>
    <w:p>
      <w:pPr>
        <w:spacing w:after="0" w:line="170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4" w:equalWidth="0">
            <w:col w:w="1114" w:space="55"/>
            <w:col w:w="912" w:space="39"/>
            <w:col w:w="721" w:space="40"/>
            <w:col w:w="7479"/>
          </w:cols>
        </w:sectPr>
      </w:pPr>
    </w:p>
    <w:p>
      <w:pPr>
        <w:pStyle w:val="BodyText"/>
        <w:spacing w:before="11"/>
        <w:rPr>
          <w:rFonts w:ascii="Cambria Math"/>
          <w:sz w:val="18"/>
        </w:rPr>
      </w:pPr>
    </w:p>
    <w:p>
      <w:pPr>
        <w:pStyle w:val="BodyText"/>
        <w:spacing w:before="90"/>
        <w:ind w:left="500"/>
      </w:pPr>
      <w:r>
        <w:rPr/>
        <w:t>Equations</w:t>
      </w:r>
      <w:r>
        <w:rPr>
          <w:spacing w:val="-2"/>
        </w:rPr>
        <w:t> </w:t>
      </w:r>
      <w:r>
        <w:rPr/>
        <w:t>(4.93)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(4.94)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combined</w:t>
      </w:r>
      <w:r>
        <w:rPr>
          <w:spacing w:val="-1"/>
        </w:rPr>
        <w:t> </w:t>
      </w:r>
      <w:r>
        <w:rPr/>
        <w:t>to give</w:t>
      </w:r>
      <w:r>
        <w:rPr>
          <w:spacing w:val="-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(4.96):</w:t>
      </w:r>
    </w:p>
    <w:p>
      <w:pPr>
        <w:pStyle w:val="BodyText"/>
        <w:spacing w:before="9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spacing w:line="81" w:lineRule="auto" w:before="139"/>
        <w:ind w:left="500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position w:val="-11"/>
          <w:sz w:val="24"/>
        </w:rPr>
        <w:t>𝐺</w:t>
      </w:r>
      <w:r>
        <w:rPr>
          <w:rFonts w:ascii="Cambria Math" w:hAnsi="Cambria Math" w:eastAsia="Cambria Math"/>
          <w:sz w:val="17"/>
        </w:rPr>
        <w:t>−</w:t>
      </w:r>
      <w:r>
        <w:rPr>
          <w:rFonts w:ascii="Cambria Math" w:hAnsi="Cambria Math" w:eastAsia="Cambria Math"/>
          <w:spacing w:val="26"/>
          <w:sz w:val="17"/>
        </w:rPr>
        <w:t> </w:t>
      </w:r>
      <w:r>
        <w:rPr>
          <w:rFonts w:ascii="Cambria Math" w:hAnsi="Cambria Math" w:eastAsia="Cambria Math"/>
          <w:position w:val="-11"/>
          <w:sz w:val="24"/>
        </w:rPr>
        <w:t>=</w:t>
      </w:r>
      <w:r>
        <w:rPr>
          <w:rFonts w:ascii="Cambria Math" w:hAnsi="Cambria Math" w:eastAsia="Cambria Math"/>
          <w:spacing w:val="81"/>
          <w:position w:val="-11"/>
          <w:sz w:val="24"/>
        </w:rPr>
        <w:t> </w:t>
      </w:r>
      <w:r>
        <w:rPr>
          <w:rFonts w:ascii="Cambria Math" w:hAnsi="Cambria Math" w:eastAsia="Cambria Math"/>
          <w:position w:val="2"/>
          <w:sz w:val="17"/>
        </w:rPr>
        <w:t>1</w:t>
      </w:r>
    </w:p>
    <w:p>
      <w:pPr>
        <w:pStyle w:val="BodyText"/>
        <w:spacing w:line="20" w:lineRule="exact"/>
        <w:ind w:left="1210" w:right="-13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5.25pt;height:.85pt;mso-position-horizontal-relative:char;mso-position-vertical-relative:line" coordorigin="0,0" coordsize="305,17">
            <v:rect style="position:absolute;left:0;top:0;width:305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159" w:lineRule="exact" w:before="150"/>
        <w:ind w:left="500"/>
      </w:pPr>
      <w:r>
        <w:rPr/>
        <w:br w:type="column"/>
      </w:r>
      <w:r>
        <w:rPr/>
        <w:t>(4.96)</w:t>
      </w:r>
    </w:p>
    <w:p>
      <w:pPr>
        <w:spacing w:after="0" w:line="159" w:lineRule="exact"/>
        <w:sectPr>
          <w:type w:val="continuous"/>
          <w:pgSz w:w="12240" w:h="15840"/>
          <w:pgMar w:top="1500" w:bottom="1120" w:left="940" w:right="940"/>
          <w:cols w:num="2" w:equalWidth="0">
            <w:col w:w="1453" w:space="6948"/>
            <w:col w:w="1959"/>
          </w:cols>
        </w:sectPr>
      </w:pPr>
    </w:p>
    <w:p>
      <w:pPr>
        <w:tabs>
          <w:tab w:pos="1210" w:val="left" w:leader="none"/>
        </w:tabs>
        <w:spacing w:line="240" w:lineRule="auto" w:before="0"/>
        <w:ind w:left="637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5"/>
          <w:sz w:val="17"/>
        </w:rPr>
        <w:t>𝑡</w:t>
        <w:tab/>
      </w:r>
      <w:r>
        <w:rPr>
          <w:rFonts w:ascii="Cambria Math" w:eastAsia="Cambria Math"/>
          <w:w w:val="110"/>
          <w:sz w:val="17"/>
        </w:rPr>
        <w:t>𝑅𝑁</w:t>
      </w:r>
      <w:r>
        <w:rPr>
          <w:rFonts w:ascii="Cambria Math" w:eastAsia="Cambria Math"/>
          <w:w w:val="110"/>
          <w:position w:val="-2"/>
          <w:sz w:val="14"/>
        </w:rPr>
        <w:t>𝑡</w:t>
      </w:r>
    </w:p>
    <w:p>
      <w:pPr>
        <w:pStyle w:val="BodyText"/>
        <w:spacing w:before="1"/>
        <w:rPr>
          <w:rFonts w:ascii="Cambria Math"/>
          <w:sz w:val="15"/>
        </w:rPr>
      </w:pPr>
    </w:p>
    <w:p>
      <w:pPr>
        <w:pStyle w:val="BodyText"/>
        <w:spacing w:before="90"/>
        <w:ind w:left="500"/>
      </w:pPr>
      <w:r>
        <w:rPr/>
        <w:t>Equation</w:t>
      </w:r>
      <w:r>
        <w:rPr>
          <w:spacing w:val="-2"/>
        </w:rPr>
        <w:t> </w:t>
      </w:r>
      <w:r>
        <w:rPr/>
        <w:t>(4.96)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then</w:t>
      </w:r>
      <w:r>
        <w:rPr>
          <w:spacing w:val="-1"/>
        </w:rPr>
        <w:t> </w:t>
      </w:r>
      <w:r>
        <w:rPr/>
        <w:t>re-arranged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be:</w:t>
      </w:r>
    </w:p>
    <w:p>
      <w:pPr>
        <w:pStyle w:val="BodyText"/>
        <w:spacing w:before="10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line="143" w:lineRule="exact" w:before="130"/>
        <w:ind w:left="500"/>
        <w:rPr>
          <w:rFonts w:ascii="Cambria Math" w:eastAsia="Cambria Math"/>
        </w:rPr>
      </w:pPr>
      <w:r>
        <w:rPr>
          <w:rFonts w:ascii="Cambria Math" w:eastAsia="Cambria Math"/>
          <w:w w:val="95"/>
        </w:rPr>
        <w:t>𝐺</w:t>
      </w:r>
      <w:r>
        <w:rPr>
          <w:rFonts w:ascii="Cambria Math" w:eastAsia="Cambria Math"/>
          <w:w w:val="95"/>
          <w:vertAlign w:val="superscript"/>
        </w:rPr>
        <w:t/>
      </w:r>
      <w:r>
        <w:rPr>
          <w:rFonts w:ascii="Cambria Math" w:eastAsia="Cambria Math"/>
          <w:spacing w:val="28"/>
          <w:w w:val="95"/>
          <w:vertAlign w:val="baseline"/>
        </w:rPr>
        <w:t> </w:t>
      </w:r>
      <w:r>
        <w:rPr>
          <w:rFonts w:ascii="Cambria Math" w:eastAsia="Cambria Math"/>
          <w:w w:val="95"/>
          <w:vertAlign w:val="baseline"/>
        </w:rPr>
        <w:t>=</w:t>
      </w:r>
      <w:r>
        <w:rPr>
          <w:rFonts w:ascii="Cambria Math" w:eastAsia="Cambria Math"/>
          <w:spacing w:val="9"/>
          <w:w w:val="95"/>
          <w:vertAlign w:val="baseline"/>
        </w:rPr>
        <w:t> </w:t>
      </w:r>
      <w:r>
        <w:rPr>
          <w:rFonts w:ascii="Cambria Math" w:eastAsia="Cambria Math"/>
          <w:w w:val="95"/>
          <w:vertAlign w:val="baseline"/>
        </w:rPr>
        <w:t>𝑅𝑁</w:t>
      </w:r>
    </w:p>
    <w:p>
      <w:pPr>
        <w:pStyle w:val="BodyText"/>
        <w:spacing w:line="139" w:lineRule="exact" w:before="134"/>
        <w:ind w:left="500"/>
      </w:pPr>
      <w:r>
        <w:rPr/>
        <w:br w:type="column"/>
      </w:r>
      <w:r>
        <w:rPr/>
        <w:t>(4.97)</w:t>
      </w:r>
    </w:p>
    <w:p>
      <w:pPr>
        <w:spacing w:after="0" w:line="139" w:lineRule="exact"/>
        <w:sectPr>
          <w:type w:val="continuous"/>
          <w:pgSz w:w="12240" w:h="15840"/>
          <w:pgMar w:top="1500" w:bottom="1120" w:left="940" w:right="940"/>
          <w:cols w:num="2" w:equalWidth="0">
            <w:col w:w="1457" w:space="6945"/>
            <w:col w:w="1958"/>
          </w:cols>
        </w:sectPr>
      </w:pPr>
    </w:p>
    <w:p>
      <w:pPr>
        <w:tabs>
          <w:tab w:pos="1395" w:val="left" w:leader="none"/>
        </w:tabs>
        <w:spacing w:line="190" w:lineRule="exact" w:before="0"/>
        <w:ind w:left="637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</w:t>
        <w:tab/>
      </w:r>
      <w:r>
        <w:rPr>
          <w:rFonts w:ascii="Cambria Math" w:eastAsia="Cambria Math"/>
          <w:w w:val="110"/>
          <w:position w:val="2"/>
          <w:sz w:val="17"/>
        </w:rPr>
        <w:t>𝑡</w:t>
      </w:r>
    </w:p>
    <w:p>
      <w:pPr>
        <w:pStyle w:val="BodyText"/>
        <w:spacing w:before="1"/>
        <w:rPr>
          <w:rFonts w:ascii="Cambria Math"/>
          <w:sz w:val="18"/>
        </w:rPr>
      </w:pPr>
    </w:p>
    <w:p>
      <w:pPr>
        <w:pStyle w:val="BodyText"/>
        <w:spacing w:before="90"/>
        <w:ind w:left="500"/>
      </w:pPr>
      <w:r>
        <w:rPr/>
        <w:t>Equation</w:t>
      </w:r>
      <w:r>
        <w:rPr>
          <w:spacing w:val="-2"/>
        </w:rPr>
        <w:t> </w:t>
      </w:r>
      <w:r>
        <w:rPr/>
        <w:t>(4.97)</w:t>
      </w:r>
      <w:r>
        <w:rPr>
          <w:spacing w:val="-1"/>
        </w:rPr>
        <w:t> </w:t>
      </w:r>
      <w:r>
        <w:rPr/>
        <w:t>gives:</w:t>
      </w:r>
    </w:p>
    <w:p>
      <w:pPr>
        <w:pStyle w:val="BodyText"/>
        <w:spacing w:before="4"/>
        <w:rPr>
          <w:sz w:val="21"/>
        </w:rPr>
      </w:pPr>
    </w:p>
    <w:p>
      <w:pPr>
        <w:spacing w:line="152" w:lineRule="exact" w:before="76"/>
        <w:ind w:left="1640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6"/>
          <w:sz w:val="14"/>
        </w:rPr>
        <w:t>1</w:t>
      </w:r>
    </w:p>
    <w:p>
      <w:pPr>
        <w:pStyle w:val="BodyText"/>
        <w:tabs>
          <w:tab w:pos="8901" w:val="left" w:leader="none"/>
        </w:tabs>
        <w:spacing w:line="279" w:lineRule="exact"/>
        <w:ind w:left="500"/>
      </w:pPr>
      <w:r>
        <w:rPr/>
        <w:pict>
          <v:rect style="position:absolute;margin-left:129.020004pt;margin-top:1.333578pt;width:4.2pt;height:.600010pt;mso-position-horizontal-relative:page;mso-position-vertical-relative:paragraph;z-index:1579878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pacing w:val="-8"/>
        </w:rPr>
        <w:t>𝐺</w:t>
      </w:r>
      <w:r>
        <w:rPr>
          <w:rFonts w:ascii="Cambria Math" w:eastAsia="Cambria Math"/>
          <w:w w:val="119"/>
          <w:vertAlign w:val="subscript"/>
        </w:rPr>
        <w:t>𝑡</w:t>
      </w:r>
      <w:r>
        <w:rPr>
          <w:rFonts w:ascii="Cambria Math" w:eastAsia="Cambria Math"/>
          <w:vertAlign w:val="baseline"/>
        </w:rPr>
        <w:t> </w:t>
      </w:r>
      <w:r>
        <w:rPr>
          <w:rFonts w:ascii="Cambria Math" w:eastAsia="Cambria Math"/>
          <w:spacing w:val="-25"/>
          <w:vertAlign w:val="baseline"/>
        </w:rPr>
        <w:t> </w:t>
      </w:r>
      <w:r>
        <w:rPr>
          <w:rFonts w:ascii="Cambria Math" w:eastAsia="Cambria Math"/>
          <w:vertAlign w:val="baseline"/>
        </w:rPr>
        <w:t>= </w:t>
      </w:r>
      <w:r>
        <w:rPr>
          <w:rFonts w:ascii="Cambria Math" w:eastAsia="Cambria Math"/>
          <w:spacing w:val="14"/>
          <w:vertAlign w:val="baseline"/>
        </w:rPr>
        <w:t> </w:t>
      </w:r>
      <w:r>
        <w:rPr>
          <w:rFonts w:ascii="Cambria Math" w:eastAsia="Cambria Math"/>
          <w:spacing w:val="1"/>
          <w:position w:val="1"/>
          <w:vertAlign w:val="baseline"/>
        </w:rPr>
        <w:t>(</w:t>
      </w:r>
      <w:r>
        <w:rPr>
          <w:rFonts w:ascii="Cambria Math" w:eastAsia="Cambria Math"/>
          <w:spacing w:val="-1"/>
          <w:w w:val="58"/>
          <w:vertAlign w:val="baseline"/>
        </w:rPr>
        <w:t/>
      </w:r>
      <w:r>
        <w:rPr>
          <w:rFonts w:ascii="Cambria Math" w:eastAsia="Cambria Math"/>
          <w:w w:val="96"/>
          <w:vertAlign w:val="baseline"/>
        </w:rPr>
        <w:t>𝑟</w:t>
      </w:r>
      <w:r>
        <w:rPr>
          <w:rFonts w:ascii="Cambria Math" w:eastAsia="Cambria Math"/>
          <w:spacing w:val="13"/>
          <w:w w:val="119"/>
          <w:vertAlign w:val="subscript"/>
        </w:rPr>
        <w:t>𝑡</w:t>
      </w:r>
      <w:r>
        <w:rPr>
          <w:rFonts w:ascii="Cambria Math" w:eastAsia="Cambria Math"/>
          <w:spacing w:val="3"/>
          <w:position w:val="1"/>
          <w:vertAlign w:val="baseline"/>
        </w:rPr>
        <w:t>)</w:t>
      </w:r>
      <w:r>
        <w:rPr>
          <w:rFonts w:ascii="Cambria Math" w:eastAsia="Cambria Math"/>
          <w:w w:val="56"/>
          <w:position w:val="6"/>
          <w:sz w:val="14"/>
          <w:vertAlign w:val="baseline"/>
        </w:rPr>
        <w:t/>
      </w:r>
      <w:r>
        <w:rPr>
          <w:rFonts w:ascii="Cambria Math" w:eastAsia="Cambria Math"/>
          <w:position w:val="6"/>
          <w:sz w:val="14"/>
          <w:vertAlign w:val="baseline"/>
        </w:rPr>
        <w:tab/>
      </w:r>
      <w:r>
        <w:rPr>
          <w:vertAlign w:val="baseline"/>
        </w:rPr>
        <w:t>(4.9</w:t>
      </w:r>
      <w:r>
        <w:rPr>
          <w:spacing w:val="-1"/>
          <w:vertAlign w:val="baseline"/>
        </w:rPr>
        <w:t>8</w:t>
      </w:r>
      <w:r>
        <w:rPr>
          <w:vertAlign w:val="baseline"/>
        </w:rPr>
        <w:t>)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before="1"/>
        <w:ind w:left="500"/>
      </w:pPr>
      <w:r>
        <w:rPr/>
        <w:t>In</w:t>
      </w:r>
      <w:r>
        <w:rPr>
          <w:spacing w:val="-1"/>
        </w:rPr>
        <w:t> </w:t>
      </w:r>
      <w:r>
        <w:rPr/>
        <w:t>equation</w:t>
      </w:r>
      <w:r>
        <w:rPr>
          <w:spacing w:val="-4"/>
        </w:rPr>
        <w:t> </w:t>
      </w:r>
      <w:r>
        <w:rPr/>
        <w:t>(4.98), government</w:t>
      </w:r>
      <w:r>
        <w:rPr>
          <w:spacing w:val="-4"/>
        </w:rPr>
        <w:t> </w:t>
      </w:r>
      <w:r>
        <w:rPr/>
        <w:t>spending</w:t>
      </w:r>
      <w:r>
        <w:rPr>
          <w:spacing w:val="-5"/>
        </w:rPr>
        <w:t> </w:t>
      </w:r>
      <w:r>
        <w:rPr/>
        <w:t>policy</w:t>
      </w:r>
      <w:r>
        <w:rPr>
          <w:spacing w:val="-4"/>
        </w:rPr>
        <w:t> </w:t>
      </w:r>
      <w:r>
        <w:rPr>
          <w:rFonts w:ascii="Cambria Math" w:eastAsia="Cambria Math"/>
        </w:rPr>
        <w:t>𝐺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spacing w:val="17"/>
          <w:vertAlign w:val="baseline"/>
        </w:rPr>
        <w:t> </w:t>
      </w:r>
      <w:r>
        <w:rPr>
          <w:vertAlign w:val="baseline"/>
        </w:rPr>
        <w:t>at</w:t>
      </w:r>
      <w:r>
        <w:rPr>
          <w:spacing w:val="-2"/>
          <w:vertAlign w:val="baseline"/>
        </w:rPr>
        <w:t> </w:t>
      </w:r>
      <w:r>
        <w:rPr>
          <w:vertAlign w:val="baseline"/>
        </w:rPr>
        <w:t>time</w:t>
      </w:r>
      <w:r>
        <w:rPr>
          <w:spacing w:val="-4"/>
          <w:vertAlign w:val="baseline"/>
        </w:rPr>
        <w:t> </w:t>
      </w:r>
      <w:r>
        <w:rPr>
          <w:vertAlign w:val="baseline"/>
        </w:rPr>
        <w:t>t</w:t>
      </w:r>
      <w:r>
        <w:rPr>
          <w:spacing w:val="-2"/>
          <w:vertAlign w:val="baseline"/>
        </w:rPr>
        <w:t> </w:t>
      </w:r>
      <w:r>
        <w:rPr>
          <w:vertAlign w:val="baseline"/>
        </w:rPr>
        <w:t>depends</w:t>
      </w:r>
      <w:r>
        <w:rPr>
          <w:spacing w:val="-4"/>
          <w:vertAlign w:val="baseline"/>
        </w:rPr>
        <w:t> </w:t>
      </w:r>
      <w:r>
        <w:rPr>
          <w:vertAlign w:val="baseline"/>
        </w:rPr>
        <w:t>on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degree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rent</w:t>
      </w:r>
      <w:r>
        <w:rPr>
          <w:spacing w:val="-3"/>
          <w:vertAlign w:val="baseline"/>
        </w:rPr>
        <w:t> </w:t>
      </w:r>
      <w:r>
        <w:rPr>
          <w:vertAlign w:val="baseline"/>
        </w:rPr>
        <w:t>seeking</w:t>
      </w:r>
    </w:p>
    <w:p>
      <w:pPr>
        <w:pStyle w:val="BodyText"/>
        <w:spacing w:line="530" w:lineRule="auto" w:before="143"/>
        <w:ind w:left="500" w:right="3356"/>
      </w:pPr>
      <w:r>
        <w:rPr>
          <w:rFonts w:ascii="Cambria Math" w:eastAsia="Cambria Math"/>
        </w:rPr>
        <w:t>()</w:t>
      </w:r>
      <w:r>
        <w:rPr/>
        <w:t>,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quality</w:t>
      </w:r>
      <w:r>
        <w:rPr>
          <w:spacing w:val="-15"/>
        </w:rPr>
        <w:t> </w:t>
      </w:r>
      <w:r>
        <w:rPr/>
        <w:t>of</w:t>
      </w:r>
      <w:r>
        <w:rPr>
          <w:spacing w:val="-11"/>
        </w:rPr>
        <w:t> </w:t>
      </w:r>
      <w:r>
        <w:rPr/>
        <w:t>political</w:t>
      </w:r>
      <w:r>
        <w:rPr>
          <w:spacing w:val="-11"/>
        </w:rPr>
        <w:t> </w:t>
      </w:r>
      <w:r>
        <w:rPr/>
        <w:t>institution</w:t>
      </w:r>
      <w:r>
        <w:rPr>
          <w:spacing w:val="-11"/>
        </w:rPr>
        <w:t> </w:t>
      </w:r>
      <w:r>
        <w:rPr>
          <w:rFonts w:ascii="Cambria Math" w:eastAsia="Cambria Math"/>
        </w:rPr>
        <w:t>(𝜁)</w:t>
      </w:r>
      <w:r>
        <w:rPr>
          <w:rFonts w:ascii="Cambria Math" w:eastAsia="Cambria Math"/>
          <w:spacing w:val="-3"/>
        </w:rPr>
        <w:t> </w:t>
      </w:r>
      <w:r>
        <w:rPr/>
        <w:t>and</w:t>
      </w:r>
      <w:r>
        <w:rPr>
          <w:spacing w:val="-11"/>
        </w:rPr>
        <w:t> </w:t>
      </w:r>
      <w:r>
        <w:rPr/>
        <w:t>government</w:t>
      </w:r>
      <w:r>
        <w:rPr>
          <w:spacing w:val="-10"/>
        </w:rPr>
        <w:t> </w:t>
      </w:r>
      <w:r>
        <w:rPr/>
        <w:t>revenue.</w:t>
      </w:r>
      <w:r>
        <w:rPr>
          <w:spacing w:val="-57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(4.98) is then log-linearised as:</w:t>
      </w:r>
    </w:p>
    <w:p>
      <w:pPr>
        <w:pStyle w:val="BodyText"/>
        <w:tabs>
          <w:tab w:pos="8901" w:val="left" w:leader="none"/>
        </w:tabs>
        <w:spacing w:line="204" w:lineRule="exact" w:after="8"/>
        <w:ind w:left="500"/>
      </w:pPr>
      <w:r>
        <w:rPr>
          <w:rFonts w:ascii="Cambria Math" w:eastAsia="Cambria Math"/>
        </w:rPr>
        <w:t>𝑔</w:t>
      </w:r>
      <w:r>
        <w:rPr>
          <w:rFonts w:ascii="Cambria Math" w:eastAsia="Cambria Math"/>
          <w:spacing w:val="67"/>
        </w:rPr>
        <w:t> </w:t>
      </w:r>
      <w:r>
        <w:rPr>
          <w:rFonts w:ascii="Cambria Math" w:eastAsia="Cambria Math"/>
        </w:rPr>
        <w:t>= </w:t>
      </w:r>
      <w:r>
        <w:rPr>
          <w:rFonts w:ascii="Cambria Math" w:eastAsia="Cambria Math"/>
          <w:position w:val="14"/>
          <w:sz w:val="17"/>
        </w:rPr>
        <w:t>1</w:t>
      </w:r>
      <w:r>
        <w:rPr>
          <w:rFonts w:ascii="Cambria Math" w:eastAsia="Cambria Math"/>
          <w:spacing w:val="-4"/>
          <w:position w:val="14"/>
          <w:sz w:val="17"/>
        </w:rPr>
        <w:t> 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𝑟</w:t>
      </w:r>
      <w:r>
        <w:rPr>
          <w:rFonts w:ascii="Cambria Math" w:eastAsia="Cambria Math"/>
          <w:spacing w:val="19"/>
        </w:rPr>
        <w:t> </w:t>
      </w:r>
      <w:r>
        <w:rPr>
          <w:rFonts w:ascii="Cambria Math" w:eastAsia="Cambria Math"/>
          <w:position w:val="1"/>
        </w:rPr>
        <w:t>)</w:t>
        <w:tab/>
      </w:r>
      <w:r>
        <w:rPr/>
        <w:t>(4.99)</w:t>
      </w:r>
    </w:p>
    <w:p>
      <w:pPr>
        <w:pStyle w:val="BodyText"/>
        <w:spacing w:line="20" w:lineRule="exact"/>
        <w:ind w:left="1040"/>
        <w:rPr>
          <w:sz w:val="2"/>
        </w:rPr>
      </w:pPr>
      <w:r>
        <w:rPr>
          <w:sz w:val="2"/>
        </w:rPr>
        <w:pict>
          <v:group style="width:4.95pt;height:.85pt;mso-position-horizontal-relative:char;mso-position-vertical-relative:line" coordorigin="0,0" coordsize="99,17">
            <v:rect style="position:absolute;left:0;top:0;width:99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1040" w:val="left" w:leader="none"/>
          <w:tab w:pos="1532" w:val="left" w:leader="none"/>
        </w:tabs>
        <w:spacing w:line="153" w:lineRule="auto" w:before="0"/>
        <w:ind w:left="639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𝑡</w:t>
        <w:tab/>
      </w:r>
      <w:r>
        <w:rPr>
          <w:rFonts w:ascii="Cambria Math" w:eastAsia="Cambria Math"/>
          <w:w w:val="80"/>
          <w:position w:val="-6"/>
          <w:sz w:val="17"/>
        </w:rPr>
        <w:t/>
        <w:tab/>
      </w:r>
      <w:r>
        <w:rPr>
          <w:rFonts w:ascii="Cambria Math" w:eastAsia="Cambria Math"/>
          <w:sz w:val="17"/>
        </w:rPr>
        <w:t>𝑡</w:t>
      </w:r>
    </w:p>
    <w:p>
      <w:pPr>
        <w:pStyle w:val="BodyText"/>
        <w:spacing w:before="7"/>
        <w:rPr>
          <w:rFonts w:ascii="Cambria Math"/>
          <w:sz w:val="22"/>
        </w:rPr>
      </w:pPr>
    </w:p>
    <w:p>
      <w:pPr>
        <w:spacing w:before="90"/>
        <w:ind w:left="50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Assumption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3: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There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is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no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or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weak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policy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coordination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360" w:lineRule="auto" w:before="90"/>
        <w:ind w:left="500" w:right="500"/>
        <w:jc w:val="both"/>
      </w:pPr>
      <w:r>
        <w:rPr/>
        <w:t>This</w:t>
      </w:r>
      <w:r>
        <w:rPr>
          <w:spacing w:val="-7"/>
        </w:rPr>
        <w:t> </w:t>
      </w:r>
      <w:r>
        <w:rPr/>
        <w:t>third</w:t>
      </w:r>
      <w:r>
        <w:rPr>
          <w:spacing w:val="-8"/>
        </w:rPr>
        <w:t> </w:t>
      </w:r>
      <w:r>
        <w:rPr/>
        <w:t>assumption</w:t>
      </w:r>
      <w:r>
        <w:rPr>
          <w:spacing w:val="-7"/>
        </w:rPr>
        <w:t> </w:t>
      </w:r>
      <w:r>
        <w:rPr/>
        <w:t>is</w:t>
      </w:r>
      <w:r>
        <w:rPr>
          <w:spacing w:val="-9"/>
        </w:rPr>
        <w:t> </w:t>
      </w:r>
      <w:r>
        <w:rPr/>
        <w:t>implicitly</w:t>
      </w:r>
      <w:r>
        <w:rPr>
          <w:spacing w:val="-15"/>
        </w:rPr>
        <w:t> </w:t>
      </w:r>
      <w:r>
        <w:rPr/>
        <w:t>modelled</w:t>
      </w:r>
      <w:r>
        <w:rPr>
          <w:spacing w:val="-7"/>
        </w:rPr>
        <w:t> </w:t>
      </w:r>
      <w:r>
        <w:rPr/>
        <w:t>by</w:t>
      </w:r>
      <w:r>
        <w:rPr>
          <w:spacing w:val="-12"/>
        </w:rPr>
        <w:t> </w:t>
      </w:r>
      <w:r>
        <w:rPr/>
        <w:t>assuming</w:t>
      </w:r>
      <w:r>
        <w:rPr>
          <w:spacing w:val="-10"/>
        </w:rPr>
        <w:t> </w:t>
      </w:r>
      <w:r>
        <w:rPr/>
        <w:t>that</w:t>
      </w:r>
      <w:r>
        <w:rPr>
          <w:spacing w:val="-7"/>
        </w:rPr>
        <w:t> </w:t>
      </w:r>
      <w:r>
        <w:rPr/>
        <w:t>both</w:t>
      </w:r>
      <w:r>
        <w:rPr>
          <w:spacing w:val="-7"/>
        </w:rPr>
        <w:t> </w:t>
      </w:r>
      <w:r>
        <w:rPr/>
        <w:t>fiscal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monetary</w:t>
      </w:r>
      <w:r>
        <w:rPr>
          <w:spacing w:val="-12"/>
        </w:rPr>
        <w:t> </w:t>
      </w:r>
      <w:r>
        <w:rPr/>
        <w:t>authorities</w:t>
      </w:r>
      <w:r>
        <w:rPr>
          <w:spacing w:val="-58"/>
        </w:rPr>
        <w:t> </w:t>
      </w:r>
      <w:r>
        <w:rPr/>
        <w:t>are</w:t>
      </w:r>
      <w:r>
        <w:rPr>
          <w:spacing w:val="-4"/>
        </w:rPr>
        <w:t> </w:t>
      </w:r>
      <w:r>
        <w:rPr/>
        <w:t>adopting</w:t>
      </w:r>
      <w:r>
        <w:rPr>
          <w:spacing w:val="-4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policy</w:t>
      </w:r>
      <w:r>
        <w:rPr>
          <w:spacing w:val="-7"/>
        </w:rPr>
        <w:t> </w:t>
      </w:r>
      <w:r>
        <w:rPr/>
        <w:t>regimes-discretion</w:t>
      </w:r>
      <w:r>
        <w:rPr>
          <w:spacing w:val="-4"/>
        </w:rPr>
        <w:t> </w:t>
      </w:r>
      <w:r>
        <w:rPr/>
        <w:t>or rules.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case</w:t>
      </w:r>
      <w:r>
        <w:rPr>
          <w:spacing w:val="-6"/>
        </w:rPr>
        <w:t> </w:t>
      </w:r>
      <w:r>
        <w:rPr/>
        <w:t>of this</w:t>
      </w:r>
      <w:r>
        <w:rPr>
          <w:spacing w:val="-4"/>
        </w:rPr>
        <w:t> </w:t>
      </w:r>
      <w:r>
        <w:rPr/>
        <w:t>study,</w:t>
      </w:r>
      <w:r>
        <w:rPr>
          <w:spacing w:val="-5"/>
        </w:rPr>
        <w:t> </w:t>
      </w:r>
      <w:r>
        <w:rPr/>
        <w:t>the government</w:t>
      </w:r>
      <w:r>
        <w:rPr>
          <w:spacing w:val="-58"/>
        </w:rPr>
        <w:t> </w:t>
      </w:r>
      <w:r>
        <w:rPr/>
        <w:t>is</w:t>
      </w:r>
      <w:r>
        <w:rPr>
          <w:spacing w:val="-1"/>
        </w:rPr>
        <w:t> </w:t>
      </w:r>
      <w:r>
        <w:rPr/>
        <w:t>pursuing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discretionary</w:t>
      </w:r>
      <w:r>
        <w:rPr>
          <w:spacing w:val="-3"/>
        </w:rPr>
        <w:t> </w:t>
      </w:r>
      <w:r>
        <w:rPr/>
        <w:t>regime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Central Bank</w:t>
      </w:r>
      <w:r>
        <w:rPr>
          <w:spacing w:val="-1"/>
        </w:rPr>
        <w:t> </w:t>
      </w:r>
      <w:r>
        <w:rPr/>
        <w:t>is following</w:t>
      </w:r>
      <w:r>
        <w:rPr>
          <w:spacing w:val="-3"/>
        </w:rPr>
        <w:t> </w:t>
      </w:r>
      <w:r>
        <w:rPr/>
        <w:t>a rule-based</w:t>
      </w:r>
      <w:r>
        <w:rPr>
          <w:spacing w:val="2"/>
        </w:rPr>
        <w:t> </w:t>
      </w:r>
      <w:r>
        <w:rPr/>
        <w:t>regime.</w:t>
      </w:r>
    </w:p>
    <w:p>
      <w:pPr>
        <w:pStyle w:val="Heading1"/>
        <w:numPr>
          <w:ilvl w:val="0"/>
          <w:numId w:val="24"/>
        </w:numPr>
        <w:tabs>
          <w:tab w:pos="1005" w:val="left" w:leader="none"/>
        </w:tabs>
        <w:spacing w:line="240" w:lineRule="auto" w:before="208" w:after="0"/>
        <w:ind w:left="1004" w:right="0" w:hanging="505"/>
        <w:jc w:val="left"/>
      </w:pPr>
      <w:r>
        <w:rPr/>
        <w:t>Exogenous</w:t>
      </w:r>
      <w:r>
        <w:rPr>
          <w:spacing w:val="-2"/>
        </w:rPr>
        <w:t> </w:t>
      </w:r>
      <w:r>
        <w:rPr/>
        <w:t>Shock</w:t>
      </w:r>
      <w:r>
        <w:rPr>
          <w:spacing w:val="-2"/>
        </w:rPr>
        <w:t> </w:t>
      </w:r>
      <w:r>
        <w:rPr/>
        <w:t>Processes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360" w:lineRule="auto"/>
        <w:ind w:left="500" w:right="502"/>
        <w:jc w:val="both"/>
      </w:pPr>
      <w:r>
        <w:rPr/>
        <w:t>In the model adopted for this study, eleven sources of exogenous shocks are considered. They</w:t>
      </w:r>
      <w:r>
        <w:rPr>
          <w:spacing w:val="1"/>
        </w:rPr>
        <w:t> </w:t>
      </w:r>
      <w:r>
        <w:rPr/>
        <w:t>include: innovation in technology, monetary policy, government spending, foreign inflation,</w:t>
      </w:r>
      <w:r>
        <w:rPr>
          <w:spacing w:val="1"/>
        </w:rPr>
        <w:t> </w:t>
      </w:r>
      <w:r>
        <w:rPr/>
        <w:t>foreign output and foreign interest rate, tax, rent seeking, output, domestic inflation and transfer</w:t>
      </w:r>
      <w:r>
        <w:rPr>
          <w:spacing w:val="1"/>
        </w:rPr>
        <w:t> </w:t>
      </w:r>
      <w:r>
        <w:rPr/>
        <w:t>payment.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equations of these</w:t>
      </w:r>
      <w:r>
        <w:rPr>
          <w:spacing w:val="-1"/>
        </w:rPr>
        <w:t> </w:t>
      </w:r>
      <w:r>
        <w:rPr/>
        <w:t>shocks can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expressed as</w:t>
      </w:r>
      <w:r>
        <w:rPr>
          <w:spacing w:val="2"/>
        </w:rPr>
        <w:t> </w:t>
      </w:r>
      <w:r>
        <w:rPr/>
        <w:t>follows:</w:t>
      </w:r>
    </w:p>
    <w:p>
      <w:pPr>
        <w:pStyle w:val="BodyText"/>
        <w:tabs>
          <w:tab w:pos="8781" w:val="left" w:leader="none"/>
        </w:tabs>
        <w:spacing w:before="203"/>
        <w:ind w:left="500"/>
        <w:jc w:val="both"/>
      </w:pPr>
      <w:r>
        <w:rPr/>
        <w:pict>
          <v:shape style="position:absolute;margin-left:218.929993pt;margin-top:17.436895pt;width:3.8pt;height:8.550pt;mso-position-horizontal-relative:page;mso-position-vertical-relative:paragraph;z-index:-21396480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/>
        <w:t>Technology:</w:t>
      </w:r>
      <w:r>
        <w:rPr>
          <w:rFonts w:ascii="Cambria Math" w:hAnsi="Cambria Math" w:eastAsia="Cambria Math"/>
        </w:rPr>
        <w:t>𝑎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4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8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𝜌</w:t>
      </w:r>
      <w:r>
        <w:rPr>
          <w:rFonts w:ascii="Cambria Math" w:hAnsi="Cambria Math" w:eastAsia="Cambria Math"/>
          <w:vertAlign w:val="subscript"/>
        </w:rPr>
        <w:t>𝑎</w:t>
      </w:r>
      <w:r>
        <w:rPr>
          <w:rFonts w:ascii="Cambria Math" w:hAnsi="Cambria Math" w:eastAsia="Cambria Math"/>
          <w:vertAlign w:val="baseline"/>
        </w:rPr>
        <w:t>𝑎</w:t>
      </w:r>
      <w:r>
        <w:rPr>
          <w:rFonts w:ascii="Cambria Math" w:hAnsi="Cambria Math" w:eastAsia="Cambria Math"/>
          <w:vertAlign w:val="subscript"/>
        </w:rPr>
        <w:t>𝑡−1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7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𝜀</w:t>
      </w:r>
      <w:r>
        <w:rPr>
          <w:rFonts w:ascii="Cambria Math" w:hAnsi="Cambria Math" w:eastAsia="Cambria Math"/>
          <w:vertAlign w:val="superscript"/>
        </w:rPr>
        <w:t>𝑎</w:t>
      </w:r>
      <w:r>
        <w:rPr>
          <w:rFonts w:ascii="Cambria Math" w:hAnsi="Cambria Math" w:eastAsia="Cambria Math"/>
          <w:vertAlign w:val="baseline"/>
        </w:rPr>
        <w:tab/>
      </w:r>
      <w:r>
        <w:rPr>
          <w:vertAlign w:val="baseline"/>
        </w:rPr>
        <w:t>(4.100)</w:t>
      </w:r>
    </w:p>
    <w:p>
      <w:pPr>
        <w:spacing w:after="0"/>
        <w:jc w:val="both"/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tabs>
          <w:tab w:pos="8721" w:val="left" w:leader="none"/>
        </w:tabs>
        <w:spacing w:line="146" w:lineRule="exact" w:before="64"/>
        <w:ind w:left="500"/>
      </w:pPr>
      <w:r>
        <w:rPr/>
        <w:t>Monetary</w:t>
      </w:r>
      <w:r>
        <w:rPr>
          <w:spacing w:val="-2"/>
        </w:rPr>
        <w:t> </w:t>
      </w:r>
      <w:r>
        <w:rPr/>
        <w:t>Policy:</w:t>
      </w:r>
      <w:r>
        <w:rPr>
          <w:rFonts w:ascii="Cambria Math" w:hAnsi="Cambria Math" w:eastAsia="Cambria Math"/>
        </w:rPr>
        <w:t>s</w:t>
      </w:r>
      <w:r>
        <w:rPr>
          <w:rFonts w:ascii="Cambria Math" w:hAnsi="Cambria Math" w:eastAsia="Cambria Math"/>
          <w:vertAlign w:val="superscript"/>
        </w:rPr>
        <w:t>R</w:t>
      </w:r>
      <w:r>
        <w:rPr>
          <w:rFonts w:ascii="Cambria Math" w:hAnsi="Cambria Math" w:eastAsia="Cambria Math"/>
          <w:spacing w:val="2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7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𝜌</w:t>
      </w:r>
      <w:r>
        <w:rPr>
          <w:rFonts w:ascii="Cambria Math" w:hAnsi="Cambria Math" w:eastAsia="Cambria Math"/>
          <w:position w:val="-4"/>
          <w:sz w:val="17"/>
          <w:vertAlign w:val="baseline"/>
        </w:rPr>
        <w:t>𝑟</w:t>
      </w:r>
      <w:r>
        <w:rPr>
          <w:rFonts w:ascii="Cambria Math" w:hAnsi="Cambria Math" w:eastAsia="Cambria Math"/>
          <w:spacing w:val="-19"/>
          <w:position w:val="-4"/>
          <w:sz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𝑠𝑟</w:t>
      </w:r>
      <w:r>
        <w:rPr>
          <w:rFonts w:ascii="Cambria Math" w:hAnsi="Cambria Math" w:eastAsia="Cambria Math"/>
          <w:position w:val="-4"/>
          <w:sz w:val="17"/>
          <w:vertAlign w:val="baseline"/>
        </w:rPr>
        <w:t>𝑡−1</w:t>
      </w:r>
      <w:r>
        <w:rPr>
          <w:rFonts w:ascii="Cambria Math" w:hAnsi="Cambria Math" w:eastAsia="Cambria Math"/>
          <w:spacing w:val="28"/>
          <w:position w:val="-4"/>
          <w:sz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6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𝜀</w:t>
      </w:r>
      <w:r>
        <w:rPr>
          <w:rFonts w:ascii="Cambria Math" w:hAnsi="Cambria Math" w:eastAsia="Cambria Math"/>
          <w:vertAlign w:val="superscript"/>
        </w:rPr>
        <w:t>𝑟</w:t>
      </w:r>
      <w:r>
        <w:rPr>
          <w:rFonts w:ascii="Cambria Math" w:hAnsi="Cambria Math" w:eastAsia="Cambria Math"/>
          <w:vertAlign w:val="baseline"/>
        </w:rPr>
        <w:tab/>
      </w:r>
      <w:r>
        <w:rPr>
          <w:vertAlign w:val="baseline"/>
        </w:rPr>
        <w:t>(4.101)</w:t>
      </w:r>
    </w:p>
    <w:p>
      <w:pPr>
        <w:tabs>
          <w:tab w:pos="3964" w:val="left" w:leader="none"/>
        </w:tabs>
        <w:spacing w:line="171" w:lineRule="exact" w:before="0"/>
        <w:ind w:left="2276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t>t</w:t>
        <w:tab/>
        <w:t>𝑡</w:t>
      </w:r>
    </w:p>
    <w:p>
      <w:pPr>
        <w:pStyle w:val="BodyText"/>
        <w:spacing w:before="7"/>
        <w:rPr>
          <w:rFonts w:ascii="Cambria Math"/>
          <w:sz w:val="16"/>
        </w:rPr>
      </w:pPr>
    </w:p>
    <w:p>
      <w:pPr>
        <w:pStyle w:val="BodyText"/>
        <w:tabs>
          <w:tab w:pos="8721" w:val="left" w:leader="none"/>
        </w:tabs>
        <w:spacing w:line="146" w:lineRule="exact" w:before="127"/>
        <w:ind w:left="500"/>
      </w:pPr>
      <w:r>
        <w:rPr/>
        <w:t>Government</w:t>
      </w:r>
      <w:r>
        <w:rPr>
          <w:spacing w:val="6"/>
        </w:rPr>
        <w:t> </w:t>
      </w:r>
      <w:r>
        <w:rPr/>
        <w:t>Spending:</w:t>
      </w:r>
      <w:r>
        <w:rPr>
          <w:spacing w:val="8"/>
        </w:rPr>
        <w:t> </w:t>
      </w:r>
      <w:r>
        <w:rPr>
          <w:rFonts w:ascii="Cambria Math" w:hAnsi="Cambria Math" w:eastAsia="Cambria Math"/>
        </w:rPr>
        <w:t>s</w:t>
      </w:r>
      <w:r>
        <w:rPr>
          <w:rFonts w:ascii="Cambria Math" w:hAnsi="Cambria Math" w:eastAsia="Cambria Math"/>
          <w:vertAlign w:val="superscript"/>
        </w:rPr>
        <w:t>G</w:t>
      </w:r>
      <w:r>
        <w:rPr>
          <w:rFonts w:ascii="Cambria Math" w:hAnsi="Cambria Math" w:eastAsia="Cambria Math"/>
          <w:spacing w:val="3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8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𝜌</w:t>
      </w:r>
      <w:r>
        <w:rPr>
          <w:rFonts w:ascii="Cambria Math" w:hAnsi="Cambria Math" w:eastAsia="Cambria Math"/>
          <w:vertAlign w:val="subscript"/>
        </w:rPr>
        <w:t>𝑔</w:t>
      </w:r>
      <w:r>
        <w:rPr>
          <w:rFonts w:ascii="Cambria Math" w:hAnsi="Cambria Math" w:eastAsia="Cambria Math"/>
          <w:vertAlign w:val="baseline"/>
        </w:rPr>
        <w:t>𝑠𝑔</w:t>
      </w:r>
      <w:r>
        <w:rPr>
          <w:rFonts w:ascii="Cambria Math" w:hAnsi="Cambria Math" w:eastAsia="Cambria Math"/>
          <w:vertAlign w:val="subscript"/>
        </w:rPr>
        <w:t>𝑡−1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65"/>
          <w:vertAlign w:val="baseline"/>
        </w:rPr>
        <w:t> </w:t>
      </w:r>
      <w:r>
        <w:rPr>
          <w:rFonts w:ascii="Cambria Math" w:hAnsi="Cambria Math" w:eastAsia="Cambria Math"/>
          <w:spacing w:val="10"/>
          <w:vertAlign w:val="baseline"/>
        </w:rPr>
        <w:t>𝜀</w:t>
      </w:r>
      <w:r>
        <w:rPr>
          <w:rFonts w:ascii="Cambria Math" w:hAnsi="Cambria Math" w:eastAsia="Cambria Math"/>
          <w:spacing w:val="10"/>
          <w:vertAlign w:val="superscript"/>
        </w:rPr>
        <w:t>𝑔</w:t>
      </w:r>
      <w:r>
        <w:rPr>
          <w:rFonts w:ascii="Cambria Math" w:hAnsi="Cambria Math" w:eastAsia="Cambria Math"/>
          <w:spacing w:val="10"/>
          <w:vertAlign w:val="baseline"/>
        </w:rPr>
        <w:tab/>
      </w:r>
      <w:r>
        <w:rPr>
          <w:vertAlign w:val="baseline"/>
        </w:rPr>
        <w:t>(4.102)</w:t>
      </w:r>
    </w:p>
    <w:p>
      <w:pPr>
        <w:tabs>
          <w:tab w:pos="4652" w:val="left" w:leader="none"/>
        </w:tabs>
        <w:spacing w:line="188" w:lineRule="exact" w:before="0"/>
        <w:ind w:left="2896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position w:val="2"/>
          <w:sz w:val="17"/>
        </w:rPr>
        <w:t>t</w:t>
        <w:tab/>
      </w:r>
      <w:r>
        <w:rPr>
          <w:rFonts w:ascii="Cambria Math" w:eastAsia="Cambria Math"/>
          <w:w w:val="115"/>
          <w:sz w:val="17"/>
        </w:rPr>
        <w:t>𝑡</w:t>
      </w:r>
    </w:p>
    <w:p>
      <w:pPr>
        <w:pStyle w:val="BodyText"/>
        <w:spacing w:before="10"/>
        <w:rPr>
          <w:rFonts w:ascii="Cambria Math"/>
          <w:sz w:val="18"/>
        </w:rPr>
      </w:pPr>
    </w:p>
    <w:p>
      <w:pPr>
        <w:pStyle w:val="BodyText"/>
        <w:tabs>
          <w:tab w:pos="8729" w:val="left" w:leader="none"/>
        </w:tabs>
        <w:spacing w:before="96"/>
        <w:ind w:left="500"/>
      </w:pPr>
      <w:r>
        <w:rPr/>
        <w:pict>
          <v:shape style="position:absolute;margin-left:174.5pt;margin-top:12.086919pt;width:3.8pt;height:8.550pt;mso-position-horizontal-relative:page;mso-position-vertical-relative:paragraph;z-index:-2139596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/>
        <w:t>Tax:</w:t>
      </w:r>
      <w:r>
        <w:rPr>
          <w:spacing w:val="7"/>
        </w:rPr>
        <w:t> </w:t>
      </w:r>
      <w:r>
        <w:rPr>
          <w:rFonts w:ascii="Cambria Math" w:hAnsi="Cambria Math" w:eastAsia="Cambria Math"/>
        </w:rPr>
        <w:t>𝑟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4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𝜌</w:t>
      </w:r>
      <w:r>
        <w:rPr>
          <w:rFonts w:ascii="Cambria Math" w:hAnsi="Cambria Math" w:eastAsia="Cambria Math"/>
          <w:vertAlign w:val="subscript"/>
        </w:rPr>
        <w:t>𝑐</w:t>
      </w:r>
      <w:r>
        <w:rPr>
          <w:rFonts w:ascii="Cambria Math" w:hAnsi="Cambria Math" w:eastAsia="Cambria Math"/>
          <w:vertAlign w:val="baseline"/>
        </w:rPr>
        <w:t>𝑟</w:t>
      </w:r>
      <w:r>
        <w:rPr>
          <w:rFonts w:ascii="Cambria Math" w:hAnsi="Cambria Math" w:eastAsia="Cambria Math"/>
          <w:vertAlign w:val="subscript"/>
        </w:rPr>
        <w:t>𝑡−1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𝜀</w:t>
      </w:r>
      <w:r>
        <w:rPr>
          <w:rFonts w:ascii="Cambria Math" w:hAnsi="Cambria Math" w:eastAsia="Cambria Math"/>
          <w:vertAlign w:val="superscript"/>
        </w:rPr>
        <w:t>𝑐</w:t>
      </w:r>
      <w:r>
        <w:rPr>
          <w:rFonts w:ascii="Cambria Math" w:hAnsi="Cambria Math" w:eastAsia="Cambria Math"/>
          <w:vertAlign w:val="baseline"/>
        </w:rPr>
        <w:tab/>
      </w:r>
      <w:r>
        <w:rPr>
          <w:vertAlign w:val="baseline"/>
        </w:rPr>
        <w:t>(4.103)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tabs>
          <w:tab w:pos="2727" w:val="left" w:leader="none"/>
          <w:tab w:pos="8781" w:val="left" w:leader="none"/>
        </w:tabs>
        <w:spacing w:line="143" w:lineRule="exact" w:before="130"/>
        <w:ind w:left="500"/>
      </w:pPr>
      <w:r>
        <w:rPr/>
        <w:t>Output:</w:t>
      </w:r>
      <w:r>
        <w:rPr>
          <w:spacing w:val="3"/>
        </w:rPr>
        <w:t> </w:t>
      </w:r>
      <w:r>
        <w:rPr>
          <w:rFonts w:ascii="Cambria Math" w:eastAsia="Cambria Math"/>
        </w:rPr>
        <w:t>s</w:t>
      </w:r>
      <w:r>
        <w:rPr>
          <w:rFonts w:ascii="Cambria Math" w:eastAsia="Cambria Math"/>
          <w:vertAlign w:val="superscript"/>
        </w:rPr>
        <w:t>y</w:t>
      </w:r>
      <w:r>
        <w:rPr>
          <w:rFonts w:ascii="Cambria Math" w:eastAsia="Cambria Math"/>
          <w:spacing w:val="24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74"/>
          <w:vertAlign w:val="baseline"/>
        </w:rPr>
        <w:t> </w:t>
      </w:r>
      <w:r>
        <w:rPr>
          <w:rFonts w:ascii="Cambria Math" w:eastAsia="Cambria Math"/>
          <w:vertAlign w:val="baseline"/>
        </w:rPr>
        <w:t>𝜌</w:t>
      </w:r>
      <w:r>
        <w:rPr>
          <w:rFonts w:ascii="Cambria Math" w:eastAsia="Cambria Math"/>
          <w:spacing w:val="63"/>
          <w:vertAlign w:val="baseline"/>
        </w:rPr>
        <w:t> </w:t>
      </w:r>
      <w:r>
        <w:rPr>
          <w:rFonts w:ascii="Cambria Math" w:eastAsia="Cambria Math"/>
          <w:vertAlign w:val="baseline"/>
        </w:rPr>
        <w:t>𝑠𝑦</w:t>
        <w:tab/>
        <w:t>+</w:t>
      </w:r>
      <w:r>
        <w:rPr>
          <w:rFonts w:ascii="Cambria Math" w:eastAsia="Cambria Math"/>
          <w:spacing w:val="68"/>
          <w:vertAlign w:val="baseline"/>
        </w:rPr>
        <w:t> </w:t>
      </w:r>
      <w:r>
        <w:rPr>
          <w:rFonts w:ascii="Cambria Math" w:eastAsia="Cambria Math"/>
          <w:vertAlign w:val="baseline"/>
        </w:rPr>
        <w:t>𝜀</w:t>
      </w:r>
      <w:r>
        <w:rPr>
          <w:rFonts w:ascii="Cambria Math" w:eastAsia="Cambria Math"/>
          <w:vertAlign w:val="superscript"/>
        </w:rPr>
        <w:t>𝑦</w:t>
      </w:r>
      <w:r>
        <w:rPr>
          <w:rFonts w:ascii="Cambria Math" w:eastAsia="Cambria Math"/>
          <w:vertAlign w:val="baseline"/>
        </w:rPr>
        <w:tab/>
      </w:r>
      <w:r>
        <w:rPr>
          <w:vertAlign w:val="baseline"/>
        </w:rPr>
        <w:t>(4.104)</w:t>
      </w:r>
    </w:p>
    <w:p>
      <w:pPr>
        <w:tabs>
          <w:tab w:pos="2002" w:val="left" w:leader="none"/>
          <w:tab w:pos="2362" w:val="left" w:leader="none"/>
          <w:tab w:pos="3119" w:val="left" w:leader="none"/>
        </w:tabs>
        <w:spacing w:line="190" w:lineRule="exact" w:before="0"/>
        <w:ind w:left="1398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10"/>
          <w:sz w:val="17"/>
        </w:rPr>
        <w:t>t</w:t>
        <w:tab/>
      </w:r>
      <w:r>
        <w:rPr>
          <w:rFonts w:ascii="Cambria Math" w:hAnsi="Cambria Math" w:eastAsia="Cambria Math"/>
          <w:w w:val="110"/>
          <w:position w:val="2"/>
          <w:sz w:val="17"/>
        </w:rPr>
        <w:t>𝑦</w:t>
        <w:tab/>
        <w:t>𝑡−1</w:t>
        <w:tab/>
      </w:r>
      <w:r>
        <w:rPr>
          <w:rFonts w:ascii="Cambria Math" w:hAnsi="Cambria Math" w:eastAsia="Cambria Math"/>
          <w:w w:val="110"/>
          <w:sz w:val="17"/>
        </w:rPr>
        <w:t>𝑡</w:t>
      </w:r>
    </w:p>
    <w:p>
      <w:pPr>
        <w:pStyle w:val="BodyText"/>
        <w:spacing w:before="10"/>
        <w:rPr>
          <w:rFonts w:ascii="Cambria Math"/>
          <w:sz w:val="19"/>
        </w:rPr>
      </w:pPr>
    </w:p>
    <w:p>
      <w:pPr>
        <w:pStyle w:val="BodyText"/>
        <w:tabs>
          <w:tab w:pos="8781" w:val="left" w:leader="none"/>
        </w:tabs>
        <w:spacing w:line="146" w:lineRule="exact" w:before="96"/>
        <w:ind w:left="500"/>
      </w:pPr>
      <w:r>
        <w:rPr/>
        <w:t>Domestic</w:t>
      </w:r>
      <w:r>
        <w:rPr>
          <w:spacing w:val="12"/>
        </w:rPr>
        <w:t> </w:t>
      </w:r>
      <w:r>
        <w:rPr/>
        <w:t>Inflation:</w:t>
      </w:r>
      <w:r>
        <w:rPr>
          <w:spacing w:val="83"/>
        </w:rPr>
        <w:t> </w:t>
      </w:r>
      <w:r>
        <w:rPr>
          <w:rFonts w:ascii="Cambria Math" w:hAnsi="Cambria Math" w:eastAsia="Cambria Math"/>
        </w:rPr>
        <w:t>s</w:t>
      </w:r>
      <w:r>
        <w:rPr>
          <w:rFonts w:ascii="Cambria Math" w:hAnsi="Cambria Math" w:eastAsia="Cambria Math"/>
          <w:vertAlign w:val="superscript"/>
        </w:rPr>
        <w:t>πD</w:t>
      </w:r>
      <w:r>
        <w:rPr>
          <w:rFonts w:ascii="Cambria Math" w:hAnsi="Cambria Math" w:eastAsia="Cambria Math"/>
          <w:spacing w:val="3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9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𝜌</w:t>
      </w:r>
      <w:r>
        <w:rPr>
          <w:rFonts w:ascii="Cambria Math" w:hAnsi="Cambria Math" w:eastAsia="Cambria Math"/>
          <w:vertAlign w:val="subscript"/>
        </w:rPr>
        <w:t>𝜋</w:t>
      </w:r>
      <w:r>
        <w:rPr>
          <w:rFonts w:ascii="Cambria Math" w:hAnsi="Cambria Math" w:eastAsia="Cambria Math"/>
          <w:vertAlign w:val="baseline"/>
        </w:rPr>
        <w:t>𝑠𝜋</w:t>
      </w:r>
      <w:r>
        <w:rPr>
          <w:rFonts w:ascii="Cambria Math" w:hAnsi="Cambria Math" w:eastAsia="Cambria Math"/>
          <w:vertAlign w:val="subscript"/>
        </w:rPr>
        <w:t>𝑡−1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7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𝜀</w:t>
      </w:r>
      <w:r>
        <w:rPr>
          <w:rFonts w:ascii="Cambria Math" w:hAnsi="Cambria Math" w:eastAsia="Cambria Math"/>
          <w:vertAlign w:val="superscript"/>
        </w:rPr>
        <w:t>𝜋𝐷</w:t>
      </w:r>
      <w:r>
        <w:rPr>
          <w:rFonts w:ascii="Cambria Math" w:hAnsi="Cambria Math" w:eastAsia="Cambria Math"/>
          <w:vertAlign w:val="baseline"/>
        </w:rPr>
        <w:tab/>
      </w:r>
      <w:r>
        <w:rPr>
          <w:vertAlign w:val="baseline"/>
        </w:rPr>
        <w:t>(4.105)</w:t>
      </w:r>
    </w:p>
    <w:p>
      <w:pPr>
        <w:tabs>
          <w:tab w:pos="4480" w:val="left" w:leader="none"/>
        </w:tabs>
        <w:spacing w:line="171" w:lineRule="exact" w:before="0"/>
        <w:ind w:left="259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t>t</w:t>
        <w:tab/>
        <w:t>𝑡</w:t>
      </w:r>
    </w:p>
    <w:p>
      <w:pPr>
        <w:pStyle w:val="BodyText"/>
        <w:spacing w:before="10"/>
        <w:rPr>
          <w:rFonts w:ascii="Cambria Math"/>
          <w:sz w:val="17"/>
        </w:rPr>
      </w:pPr>
    </w:p>
    <w:p>
      <w:pPr>
        <w:pStyle w:val="BodyText"/>
        <w:tabs>
          <w:tab w:pos="8721" w:val="left" w:leader="none"/>
        </w:tabs>
        <w:spacing w:before="96"/>
        <w:ind w:left="500"/>
      </w:pPr>
      <w:r>
        <w:rPr/>
        <w:pict>
          <v:shape style="position:absolute;margin-left:238.130005pt;margin-top:12.086924pt;width:3.8pt;height:8.550pt;mso-position-horizontal-relative:page;mso-position-vertical-relative:paragraph;z-index:-21395456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/>
        <w:t>Rent</w:t>
      </w:r>
      <w:r>
        <w:rPr>
          <w:spacing w:val="12"/>
        </w:rPr>
        <w:t> </w:t>
      </w:r>
      <w:r>
        <w:rPr/>
        <w:t>seeking:</w:t>
      </w:r>
      <w:r>
        <w:rPr>
          <w:spacing w:val="16"/>
        </w:rPr>
        <w:t> </w:t>
      </w:r>
      <w:r>
        <w:rPr>
          <w:rFonts w:ascii="Cambria Math" w:hAnsi="Cambria Math" w:eastAsia="Cambria Math"/>
        </w:rPr>
        <w:t>𝑟𝑛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4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𝜌</w:t>
      </w:r>
      <w:r>
        <w:rPr>
          <w:rFonts w:ascii="Cambria Math" w:hAnsi="Cambria Math" w:eastAsia="Cambria Math"/>
          <w:vertAlign w:val="subscript"/>
        </w:rPr>
        <w:t>𝑟𝑛</w:t>
      </w:r>
      <w:r>
        <w:rPr>
          <w:rFonts w:ascii="Cambria Math" w:hAnsi="Cambria Math" w:eastAsia="Cambria Math"/>
          <w:vertAlign w:val="baseline"/>
        </w:rPr>
        <w:t>𝑟𝑛</w:t>
      </w:r>
      <w:r>
        <w:rPr>
          <w:rFonts w:ascii="Cambria Math" w:hAnsi="Cambria Math" w:eastAsia="Cambria Math"/>
          <w:vertAlign w:val="subscript"/>
        </w:rPr>
        <w:t>𝑡−1</w:t>
      </w:r>
      <w:r>
        <w:rPr>
          <w:rFonts w:ascii="Cambria Math" w:hAnsi="Cambria Math" w:eastAsia="Cambria Math"/>
          <w:spacing w:val="2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𝜀</w:t>
      </w:r>
      <w:r>
        <w:rPr>
          <w:rFonts w:ascii="Cambria Math" w:hAnsi="Cambria Math" w:eastAsia="Cambria Math"/>
          <w:vertAlign w:val="superscript"/>
        </w:rPr>
        <w:t>𝑟𝑛</w:t>
      </w:r>
      <w:r>
        <w:rPr>
          <w:rFonts w:ascii="Cambria Math" w:hAnsi="Cambria Math" w:eastAsia="Cambria Math"/>
          <w:vertAlign w:val="baseline"/>
        </w:rPr>
        <w:tab/>
      </w:r>
      <w:r>
        <w:rPr>
          <w:vertAlign w:val="baseline"/>
        </w:rPr>
        <w:t>(4.106)</w:t>
      </w:r>
    </w:p>
    <w:p>
      <w:pPr>
        <w:pStyle w:val="BodyText"/>
        <w:rPr>
          <w:sz w:val="30"/>
        </w:rPr>
      </w:pPr>
    </w:p>
    <w:p>
      <w:pPr>
        <w:pStyle w:val="BodyText"/>
        <w:tabs>
          <w:tab w:pos="8714" w:val="left" w:leader="none"/>
        </w:tabs>
        <w:ind w:left="500"/>
      </w:pPr>
      <w:r>
        <w:rPr/>
        <w:pict>
          <v:shape style="position:absolute;margin-left:266.450012pt;margin-top:7.286887pt;width:3.8pt;height:8.550pt;mso-position-horizontal-relative:page;mso-position-vertical-relative:paragraph;z-index:-21394944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1.369995pt;margin-top:33.086887pt;width:5.4pt;height:8.550pt;mso-position-horizontal-relative:page;mso-position-vertical-relative:paragraph;z-index:-2139340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7.130005pt;margin-top:30.821829pt;width:3.4pt;height:7pt;mso-position-horizontal-relative:page;mso-position-vertical-relative:paragraph;z-index:-21390848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14"/>
                    </w:rPr>
                  </w:pPr>
                  <w:r>
                    <w:rPr>
                      <w:rFonts w:ascii="Cambria Math" w:hAnsi="Cambria Math"/>
                      <w:w w:val="99"/>
                      <w:sz w:val="14"/>
                    </w:rPr>
                    <w:t>∗</w:t>
                  </w:r>
                </w:p>
              </w:txbxContent>
            </v:textbox>
            <w10:wrap type="none"/>
          </v:shape>
        </w:pict>
      </w:r>
      <w:r>
        <w:rPr/>
        <w:t>Transfer</w:t>
      </w:r>
      <w:r>
        <w:rPr>
          <w:spacing w:val="4"/>
        </w:rPr>
        <w:t> </w:t>
      </w:r>
      <w:r>
        <w:rPr/>
        <w:t>payment:</w:t>
      </w:r>
      <w:r>
        <w:rPr>
          <w:spacing w:val="74"/>
        </w:rPr>
        <w:t> </w:t>
      </w:r>
      <w:r>
        <w:rPr>
          <w:rFonts w:ascii="Cambria Math" w:hAnsi="Cambria Math" w:eastAsia="Cambria Math"/>
        </w:rPr>
        <w:t>𝑇𝑃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3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𝜌</w:t>
      </w:r>
      <w:r>
        <w:rPr>
          <w:rFonts w:ascii="Cambria Math" w:hAnsi="Cambria Math" w:eastAsia="Cambria Math"/>
          <w:vertAlign w:val="subscript"/>
        </w:rPr>
        <w:t>𝑇𝑃</w:t>
      </w:r>
      <w:r>
        <w:rPr>
          <w:rFonts w:ascii="Cambria Math" w:hAnsi="Cambria Math" w:eastAsia="Cambria Math"/>
          <w:vertAlign w:val="baseline"/>
        </w:rPr>
        <w:t>𝑇𝑃</w:t>
      </w:r>
      <w:r>
        <w:rPr>
          <w:rFonts w:ascii="Cambria Math" w:hAnsi="Cambria Math" w:eastAsia="Cambria Math"/>
          <w:vertAlign w:val="subscript"/>
        </w:rPr>
        <w:t>𝑡−1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𝜀</w:t>
      </w:r>
      <w:r>
        <w:rPr>
          <w:rFonts w:ascii="Cambria Math" w:hAnsi="Cambria Math" w:eastAsia="Cambria Math"/>
          <w:vertAlign w:val="superscript"/>
        </w:rPr>
        <w:t>𝑇𝑃</w:t>
      </w:r>
      <w:r>
        <w:rPr>
          <w:rFonts w:ascii="Cambria Math" w:hAnsi="Cambria Math" w:eastAsia="Cambria Math"/>
          <w:vertAlign w:val="baseline"/>
        </w:rPr>
        <w:tab/>
      </w:r>
      <w:r>
        <w:rPr>
          <w:vertAlign w:val="baseline"/>
        </w:rPr>
        <w:t>(4.40)</w:t>
      </w:r>
    </w:p>
    <w:p>
      <w:pPr>
        <w:pStyle w:val="BodyText"/>
        <w:spacing w:before="2"/>
      </w:pPr>
    </w:p>
    <w:p>
      <w:pPr>
        <w:spacing w:after="0"/>
        <w:sectPr>
          <w:pgSz w:w="12240" w:h="15840"/>
          <w:pgMar w:header="0" w:footer="935" w:top="1380" w:bottom="1200" w:left="940" w:right="940"/>
        </w:sectPr>
      </w:pPr>
    </w:p>
    <w:p>
      <w:pPr>
        <w:pStyle w:val="BodyText"/>
        <w:spacing w:before="96"/>
        <w:ind w:left="500"/>
        <w:rPr>
          <w:rFonts w:ascii="Cambria Math" w:hAnsi="Cambria Math" w:eastAsia="Cambria Math"/>
        </w:rPr>
      </w:pPr>
      <w:r>
        <w:rPr/>
        <w:pict>
          <v:shape style="position:absolute;margin-left:157.820007pt;margin-top:12.086908pt;width:3.8pt;height:8.550pt;mso-position-horizontal-relative:page;mso-position-vertical-relative:paragraph;z-index:-21394432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/>
        <w:t>Foreign</w:t>
      </w:r>
      <w:r>
        <w:rPr>
          <w:spacing w:val="1"/>
        </w:rPr>
        <w:t> </w:t>
      </w:r>
      <w:r>
        <w:rPr/>
        <w:t>Output</w:t>
      </w:r>
      <w:r>
        <w:rPr>
          <w:rFonts w:ascii="Cambria Math" w:hAnsi="Cambria Math" w:eastAsia="Cambria Math"/>
        </w:rPr>
        <w:t>: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𝑦</w:t>
      </w:r>
      <w:r>
        <w:rPr>
          <w:rFonts w:ascii="Cambria Math" w:hAnsi="Cambria Math" w:eastAsia="Cambria Math"/>
          <w:vertAlign w:val="superscript"/>
        </w:rPr>
        <w:t>∗</w:t>
      </w:r>
    </w:p>
    <w:p>
      <w:pPr>
        <w:pStyle w:val="BodyText"/>
        <w:tabs>
          <w:tab w:pos="1109" w:val="left" w:leader="none"/>
        </w:tabs>
        <w:spacing w:before="96"/>
        <w:ind w:left="36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19"/>
          <w:w w:val="105"/>
        </w:rPr>
        <w:t> </w:t>
      </w:r>
      <w:r>
        <w:rPr>
          <w:rFonts w:ascii="Cambria Math" w:hAnsi="Cambria Math" w:eastAsia="Cambria Math"/>
          <w:w w:val="105"/>
        </w:rPr>
        <w:t>𝜌</w:t>
      </w:r>
      <w:r>
        <w:rPr>
          <w:rFonts w:ascii="Cambria Math" w:hAnsi="Cambria Math" w:eastAsia="Cambria Math"/>
          <w:w w:val="105"/>
          <w:vertAlign w:val="subscript"/>
        </w:rPr>
        <w:t>𝑦</w:t>
      </w:r>
      <w:r>
        <w:rPr>
          <w:rFonts w:ascii="Cambria Math" w:hAnsi="Cambria Math" w:eastAsia="Cambria Math"/>
          <w:w w:val="105"/>
          <w:position w:val="2"/>
          <w:sz w:val="14"/>
          <w:vertAlign w:val="baseline"/>
        </w:rPr>
        <w:t>∗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perscript"/>
        </w:rPr>
        <w:t>∗</w:t>
      </w:r>
      <w:r>
        <w:rPr>
          <w:rFonts w:ascii="Cambria Math" w:hAnsi="Cambria Math" w:eastAsia="Cambria Math"/>
          <w:w w:val="105"/>
          <w:vertAlign w:val="baseline"/>
        </w:rPr>
        <w:tab/>
        <w:t>+</w:t>
      </w:r>
      <w:r>
        <w:rPr>
          <w:rFonts w:ascii="Cambria Math" w:hAnsi="Cambria Math" w:eastAsia="Cambria Math"/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ε</w:t>
      </w:r>
      <w:r>
        <w:rPr>
          <w:rFonts w:ascii="Cambria Math" w:hAnsi="Cambria Math" w:eastAsia="Cambria Math"/>
          <w:w w:val="105"/>
          <w:vertAlign w:val="subscript"/>
        </w:rPr>
        <w:t>t</w:t>
      </w:r>
      <w:r>
        <w:rPr>
          <w:rFonts w:ascii="Cambria Math" w:hAnsi="Cambria Math" w:eastAsia="Cambria Math"/>
          <w:w w:val="105"/>
          <w:vertAlign w:val="baseline"/>
        </w:rPr>
        <w:t> </w:t>
      </w:r>
      <w:r>
        <w:rPr>
          <w:rFonts w:ascii="Cambria Math" w:hAnsi="Cambria Math" w:eastAsia="Cambria Math"/>
          <w:spacing w:val="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position w:val="5"/>
          <w:sz w:val="14"/>
          <w:vertAlign w:val="baseline"/>
        </w:rPr>
        <w:t>𝑡</w:t>
      </w:r>
    </w:p>
    <w:p>
      <w:pPr>
        <w:pStyle w:val="BodyText"/>
        <w:spacing w:before="100"/>
        <w:ind w:left="500"/>
      </w:pPr>
      <w:r>
        <w:rPr/>
        <w:br w:type="column"/>
      </w:r>
      <w:r>
        <w:rPr/>
        <w:t>(4.84)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3" w:equalWidth="0">
            <w:col w:w="2318" w:space="40"/>
            <w:col w:w="1752" w:space="4171"/>
            <w:col w:w="2079"/>
          </w:cols>
        </w:sectPr>
      </w:pPr>
    </w:p>
    <w:p>
      <w:pPr>
        <w:pStyle w:val="BodyText"/>
        <w:spacing w:before="9"/>
        <w:rPr>
          <w:sz w:val="23"/>
        </w:rPr>
      </w:pPr>
    </w:p>
    <w:p>
      <w:pPr>
        <w:tabs>
          <w:tab w:pos="3251" w:val="left" w:leader="none"/>
          <w:tab w:pos="4019" w:val="left" w:leader="none"/>
        </w:tabs>
        <w:spacing w:line="78" w:lineRule="exact" w:before="75"/>
        <w:ind w:left="2355" w:right="0" w:firstLine="0"/>
        <w:jc w:val="left"/>
        <w:rPr>
          <w:rFonts w:ascii="Cambria Math" w:hAnsi="Cambria Math" w:eastAsia="Cambria Math"/>
          <w:sz w:val="14"/>
        </w:rPr>
      </w:pPr>
      <w:r>
        <w:rPr/>
        <w:pict>
          <v:shape style="position:absolute;margin-left:190.820007pt;margin-top:-20.334089pt;width:26.45pt;height:10.15pt;mso-position-horizontal-relative:page;mso-position-vertical-relative:paragraph;z-index:-21393920" type="#_x0000_t202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Cambria Math" w:hAnsi="Cambria Math" w:eastAsia="Cambria Math"/>
                      <w:sz w:val="17"/>
                    </w:rPr>
                  </w:pPr>
                  <w:r>
                    <w:rPr>
                      <w:rFonts w:ascii="Cambria Math" w:hAnsi="Cambria Math" w:eastAsia="Cambria Math"/>
                      <w:w w:val="110"/>
                      <w:position w:val="-3"/>
                      <w:sz w:val="14"/>
                    </w:rPr>
                    <w:t>𝑡   </w:t>
                  </w:r>
                  <w:r>
                    <w:rPr>
                      <w:rFonts w:ascii="Cambria Math" w:hAnsi="Cambria Math" w:eastAsia="Cambria Math"/>
                      <w:spacing w:val="29"/>
                      <w:w w:val="110"/>
                      <w:position w:val="-3"/>
                      <w:sz w:val="14"/>
                    </w:rPr>
                    <w:t> </w:t>
                  </w:r>
                  <w:r>
                    <w:rPr>
                      <w:rFonts w:ascii="Cambria Math" w:hAnsi="Cambria Math" w:eastAsia="Cambria Math"/>
                      <w:spacing w:val="-2"/>
                      <w:w w:val="105"/>
                      <w:sz w:val="17"/>
                    </w:rPr>
                    <w:t>𝑡−1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z w:val="17"/>
        </w:rPr>
        <w:t>∗</w:t>
        <w:tab/>
        <w:t>∗</w:t>
        <w:tab/>
        <w:t>𝜋</w:t>
      </w:r>
      <w:r>
        <w:rPr>
          <w:rFonts w:ascii="Cambria Math" w:hAnsi="Cambria Math" w:eastAsia="Cambria Math"/>
          <w:position w:val="7"/>
          <w:sz w:val="14"/>
        </w:rPr>
        <w:t>∗</w:t>
      </w:r>
    </w:p>
    <w:p>
      <w:pPr>
        <w:spacing w:after="0" w:line="78" w:lineRule="exact"/>
        <w:jc w:val="left"/>
        <w:rPr>
          <w:rFonts w:ascii="Cambria Math" w:hAnsi="Cambria Math" w:eastAsia="Cambria Math"/>
          <w:sz w:val="14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spacing w:line="302" w:lineRule="exact" w:before="0"/>
        <w:ind w:left="500" w:right="0" w:firstLine="0"/>
        <w:jc w:val="left"/>
        <w:rPr>
          <w:rFonts w:ascii="Cambria Math" w:hAnsi="Cambria Math" w:eastAsia="Cambria Math"/>
          <w:sz w:val="14"/>
        </w:rPr>
      </w:pPr>
      <w:r>
        <w:rPr/>
        <w:pict>
          <v:shape style="position:absolute;margin-left:197.449997pt;margin-top:9.861685pt;width:3.3pt;height:7pt;mso-position-horizontal-relative:page;mso-position-vertical-relative:paragraph;z-index:-21392896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4"/>
                    </w:rPr>
                  </w:pPr>
                  <w:r>
                    <w:rPr>
                      <w:rFonts w:ascii="Cambria Math" w:eastAsia="Cambria Math"/>
                      <w:w w:val="115"/>
                      <w:sz w:val="14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9.450012pt;margin-top:34.326744pt;width:4.55pt;height:8.550pt;mso-position-horizontal-relative:page;mso-position-vertical-relative:paragraph;z-index:-21391360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𝑟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369995pt;margin-top:32.061684pt;width:3.4pt;height:7pt;mso-position-horizontal-relative:page;mso-position-vertical-relative:paragraph;z-index:-21390336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14"/>
                    </w:rPr>
                  </w:pPr>
                  <w:r>
                    <w:rPr>
                      <w:rFonts w:ascii="Cambria Math" w:hAnsi="Cambria Math"/>
                      <w:w w:val="99"/>
                      <w:sz w:val="14"/>
                    </w:rPr>
                    <w:t>∗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4"/>
        </w:rPr>
        <w:t>Foreign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Inflation:</w:t>
      </w:r>
      <w:r>
        <w:rPr>
          <w:rFonts w:ascii="Cambria Math" w:hAnsi="Cambria Math" w:eastAsia="Cambria Math"/>
          <w:w w:val="105"/>
          <w:sz w:val="24"/>
        </w:rPr>
        <w:t>𝜋</w:t>
      </w:r>
      <w:r>
        <w:rPr>
          <w:rFonts w:ascii="Cambria Math" w:hAnsi="Cambria Math" w:eastAsia="Cambria Math"/>
          <w:w w:val="105"/>
          <w:position w:val="-4"/>
          <w:sz w:val="17"/>
        </w:rPr>
        <w:t>𝑡</w:t>
      </w:r>
      <w:r>
        <w:rPr>
          <w:rFonts w:ascii="Cambria Math" w:hAnsi="Cambria Math" w:eastAsia="Cambria Math"/>
          <w:spacing w:val="4"/>
          <w:w w:val="105"/>
          <w:position w:val="-4"/>
          <w:sz w:val="17"/>
        </w:rPr>
        <w:t> </w:t>
      </w:r>
      <w:r>
        <w:rPr>
          <w:rFonts w:ascii="Cambria Math" w:hAnsi="Cambria Math" w:eastAsia="Cambria Math"/>
          <w:w w:val="105"/>
          <w:sz w:val="24"/>
        </w:rPr>
        <w:t>=</w:t>
      </w:r>
      <w:r>
        <w:rPr>
          <w:rFonts w:ascii="Cambria Math" w:hAnsi="Cambria Math" w:eastAsia="Cambria Math"/>
          <w:spacing w:val="1"/>
          <w:w w:val="105"/>
          <w:sz w:val="24"/>
        </w:rPr>
        <w:t> </w:t>
      </w:r>
      <w:r>
        <w:rPr>
          <w:rFonts w:ascii="Cambria Math" w:hAnsi="Cambria Math" w:eastAsia="Cambria Math"/>
          <w:w w:val="105"/>
          <w:sz w:val="24"/>
        </w:rPr>
        <w:t>𝜌</w:t>
      </w:r>
      <w:r>
        <w:rPr>
          <w:rFonts w:ascii="Cambria Math" w:hAnsi="Cambria Math" w:eastAsia="Cambria Math"/>
          <w:w w:val="105"/>
          <w:sz w:val="24"/>
          <w:vertAlign w:val="subscript"/>
        </w:rPr>
        <w:t>𝜋</w:t>
      </w:r>
      <w:r>
        <w:rPr>
          <w:rFonts w:ascii="Cambria Math" w:hAnsi="Cambria Math" w:eastAsia="Cambria Math"/>
          <w:w w:val="105"/>
          <w:position w:val="2"/>
          <w:sz w:val="14"/>
          <w:vertAlign w:val="baseline"/>
        </w:rPr>
        <w:t>∗</w:t>
      </w:r>
      <w:r>
        <w:rPr>
          <w:rFonts w:ascii="Cambria Math" w:hAnsi="Cambria Math" w:eastAsia="Cambria Math"/>
          <w:w w:val="105"/>
          <w:sz w:val="24"/>
          <w:vertAlign w:val="baseline"/>
        </w:rPr>
        <w:t>𝜋</w:t>
      </w:r>
      <w:r>
        <w:rPr>
          <w:rFonts w:ascii="Cambria Math" w:hAnsi="Cambria Math" w:eastAsia="Cambria Math"/>
          <w:w w:val="105"/>
          <w:position w:val="-4"/>
          <w:sz w:val="17"/>
          <w:vertAlign w:val="baseline"/>
        </w:rPr>
        <w:t>𝑡−1</w:t>
      </w:r>
      <w:r>
        <w:rPr>
          <w:rFonts w:ascii="Cambria Math" w:hAnsi="Cambria Math" w:eastAsia="Cambria Math"/>
          <w:spacing w:val="12"/>
          <w:w w:val="105"/>
          <w:position w:val="-4"/>
          <w:sz w:val="17"/>
          <w:vertAlign w:val="baseline"/>
        </w:rPr>
        <w:t> </w:t>
      </w:r>
      <w:r>
        <w:rPr>
          <w:rFonts w:ascii="Cambria Math" w:hAnsi="Cambria Math" w:eastAsia="Cambria Math"/>
          <w:w w:val="105"/>
          <w:sz w:val="24"/>
          <w:vertAlign w:val="baseline"/>
        </w:rPr>
        <w:t>+</w:t>
      </w:r>
      <w:r>
        <w:rPr>
          <w:rFonts w:ascii="Cambria Math" w:hAnsi="Cambria Math" w:eastAsia="Cambria Math"/>
          <w:spacing w:val="-11"/>
          <w:w w:val="105"/>
          <w:sz w:val="24"/>
          <w:vertAlign w:val="baseline"/>
        </w:rPr>
        <w:t> </w:t>
      </w:r>
      <w:r>
        <w:rPr>
          <w:rFonts w:ascii="Cambria Math" w:hAnsi="Cambria Math" w:eastAsia="Cambria Math"/>
          <w:w w:val="105"/>
          <w:sz w:val="24"/>
          <w:vertAlign w:val="baseline"/>
        </w:rPr>
        <w:t>ε</w:t>
      </w:r>
      <w:r>
        <w:rPr>
          <w:rFonts w:ascii="Cambria Math" w:hAnsi="Cambria Math" w:eastAsia="Cambria Math"/>
          <w:w w:val="105"/>
          <w:sz w:val="24"/>
          <w:vertAlign w:val="subscript"/>
        </w:rPr>
        <w:t>t</w:t>
      </w:r>
      <w:r>
        <w:rPr>
          <w:rFonts w:ascii="Cambria Math" w:hAnsi="Cambria Math" w:eastAsia="Cambria Math"/>
          <w:spacing w:val="46"/>
          <w:w w:val="105"/>
          <w:sz w:val="24"/>
          <w:vertAlign w:val="baseline"/>
        </w:rPr>
        <w:t> </w:t>
      </w:r>
      <w:r>
        <w:rPr>
          <w:rFonts w:ascii="Cambria Math" w:hAnsi="Cambria Math" w:eastAsia="Cambria Math"/>
          <w:w w:val="105"/>
          <w:position w:val="5"/>
          <w:sz w:val="14"/>
          <w:vertAlign w:val="baseline"/>
        </w:rPr>
        <w:t>𝑡</w:t>
      </w:r>
    </w:p>
    <w:p>
      <w:pPr>
        <w:pStyle w:val="BodyText"/>
        <w:spacing w:line="266" w:lineRule="exact"/>
        <w:ind w:left="500"/>
      </w:pPr>
      <w:r>
        <w:rPr/>
        <w:br w:type="column"/>
      </w:r>
      <w:r>
        <w:rPr/>
        <w:t>(4.85)</w:t>
      </w:r>
    </w:p>
    <w:p>
      <w:pPr>
        <w:spacing w:after="0" w:line="266" w:lineRule="exact"/>
        <w:sectPr>
          <w:type w:val="continuous"/>
          <w:pgSz w:w="12240" w:h="15840"/>
          <w:pgMar w:top="1500" w:bottom="1120" w:left="940" w:right="940"/>
          <w:cols w:num="2" w:equalWidth="0">
            <w:col w:w="4238" w:space="4043"/>
            <w:col w:w="2079"/>
          </w:cols>
        </w:sectPr>
      </w:pPr>
    </w:p>
    <w:p>
      <w:pPr>
        <w:pStyle w:val="BodyText"/>
        <w:spacing w:before="5"/>
      </w:pPr>
    </w:p>
    <w:p>
      <w:pPr>
        <w:spacing w:after="0"/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97"/>
        <w:ind w:left="500"/>
        <w:rPr>
          <w:rFonts w:ascii="Cambria Math" w:hAnsi="Cambria Math" w:eastAsia="Cambria Math"/>
        </w:rPr>
      </w:pPr>
      <w:r>
        <w:rPr/>
        <w:pict>
          <v:shape style="position:absolute;margin-left:181.580002pt;margin-top:12.136892pt;width:3.8pt;height:8.550pt;mso-position-horizontal-relative:page;mso-position-vertical-relative:paragraph;z-index:-21392384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/>
        <w:t>Foreign</w:t>
      </w:r>
      <w:r>
        <w:rPr>
          <w:spacing w:val="2"/>
        </w:rPr>
        <w:t> </w:t>
      </w:r>
      <w:r>
        <w:rPr/>
        <w:t>Interest</w:t>
      </w:r>
      <w:r>
        <w:rPr>
          <w:spacing w:val="1"/>
        </w:rPr>
        <w:t> </w:t>
      </w:r>
      <w:r>
        <w:rPr/>
        <w:t>rate</w:t>
      </w:r>
      <w:r>
        <w:rPr>
          <w:rFonts w:ascii="Cambria Math" w:hAnsi="Cambria Math" w:eastAsia="Cambria Math"/>
        </w:rPr>
        <w:t>:</w:t>
      </w:r>
      <w:r>
        <w:rPr>
          <w:rFonts w:ascii="Cambria Math" w:hAnsi="Cambria Math" w:eastAsia="Cambria Math"/>
          <w:spacing w:val="40"/>
        </w:rPr>
        <w:t> </w:t>
      </w:r>
      <w:r>
        <w:rPr>
          <w:rFonts w:ascii="Cambria Math" w:hAnsi="Cambria Math" w:eastAsia="Cambria Math"/>
        </w:rPr>
        <w:t>𝑟</w:t>
      </w:r>
      <w:r>
        <w:rPr>
          <w:rFonts w:ascii="Cambria Math" w:hAnsi="Cambria Math" w:eastAsia="Cambria Math"/>
          <w:vertAlign w:val="superscript"/>
        </w:rPr>
        <w:t>∗</w:t>
      </w:r>
    </w:p>
    <w:p>
      <w:pPr>
        <w:tabs>
          <w:tab w:pos="1143" w:val="left" w:leader="none"/>
        </w:tabs>
        <w:spacing w:before="97"/>
        <w:ind w:left="33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23"/>
          <w:sz w:val="24"/>
        </w:rPr>
        <w:t> </w:t>
      </w:r>
      <w:r>
        <w:rPr>
          <w:rFonts w:ascii="Cambria Math" w:hAnsi="Cambria Math" w:eastAsia="Cambria Math"/>
          <w:sz w:val="24"/>
        </w:rPr>
        <w:t>𝜌</w:t>
      </w:r>
      <w:r>
        <w:rPr>
          <w:rFonts w:ascii="Cambria Math" w:hAnsi="Cambria Math" w:eastAsia="Cambria Math"/>
          <w:spacing w:val="-11"/>
          <w:sz w:val="24"/>
        </w:rPr>
        <w:t> </w:t>
      </w:r>
      <w:r>
        <w:rPr>
          <w:rFonts w:ascii="Cambria Math" w:hAnsi="Cambria Math" w:eastAsia="Cambria Math"/>
          <w:sz w:val="24"/>
          <w:vertAlign w:val="subscript"/>
        </w:rPr>
        <w:t>𝑟</w:t>
      </w:r>
      <w:r>
        <w:rPr>
          <w:rFonts w:ascii="Cambria Math" w:hAnsi="Cambria Math" w:eastAsia="Cambria Math"/>
          <w:position w:val="2"/>
          <w:sz w:val="14"/>
          <w:vertAlign w:val="baseline"/>
        </w:rPr>
        <w:t>∗</w:t>
      </w:r>
      <w:r>
        <w:rPr>
          <w:rFonts w:ascii="Cambria Math" w:hAnsi="Cambria Math" w:eastAsia="Cambria Math"/>
          <w:spacing w:val="46"/>
          <w:position w:val="2"/>
          <w:sz w:val="1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𝑟</w:t>
      </w:r>
      <w:r>
        <w:rPr>
          <w:rFonts w:ascii="Cambria Math" w:hAnsi="Cambria Math" w:eastAsia="Cambria Math"/>
          <w:sz w:val="24"/>
          <w:vertAlign w:val="superscript"/>
        </w:rPr>
        <w:t>∗</w:t>
      </w:r>
      <w:r>
        <w:rPr>
          <w:rFonts w:ascii="Cambria Math" w:hAnsi="Cambria Math" w:eastAsia="Cambria Math"/>
          <w:sz w:val="24"/>
          <w:vertAlign w:val="baseline"/>
        </w:rPr>
        <w:tab/>
      </w:r>
      <w:r>
        <w:rPr>
          <w:rFonts w:ascii="Cambria Math" w:hAnsi="Cambria Math" w:eastAsia="Cambria Math"/>
          <w:w w:val="105"/>
          <w:sz w:val="24"/>
          <w:vertAlign w:val="baseline"/>
        </w:rPr>
        <w:t>+</w:t>
      </w:r>
      <w:r>
        <w:rPr>
          <w:rFonts w:ascii="Cambria Math" w:hAnsi="Cambria Math" w:eastAsia="Cambria Math"/>
          <w:spacing w:val="-1"/>
          <w:w w:val="105"/>
          <w:sz w:val="24"/>
          <w:vertAlign w:val="baseline"/>
        </w:rPr>
        <w:t> </w:t>
      </w:r>
      <w:r>
        <w:rPr>
          <w:rFonts w:ascii="Cambria Math" w:hAnsi="Cambria Math" w:eastAsia="Cambria Math"/>
          <w:w w:val="105"/>
          <w:sz w:val="24"/>
          <w:vertAlign w:val="baseline"/>
        </w:rPr>
        <w:t>ε</w:t>
      </w:r>
      <w:r>
        <w:rPr>
          <w:rFonts w:ascii="Cambria Math" w:hAnsi="Cambria Math" w:eastAsia="Cambria Math"/>
          <w:w w:val="105"/>
          <w:sz w:val="24"/>
          <w:vertAlign w:val="subscript"/>
        </w:rPr>
        <w:t>t</w:t>
      </w:r>
      <w:r>
        <w:rPr>
          <w:rFonts w:ascii="Cambria Math" w:hAnsi="Cambria Math" w:eastAsia="Cambria Math"/>
          <w:w w:val="105"/>
          <w:sz w:val="24"/>
          <w:vertAlign w:val="baseline"/>
        </w:rPr>
        <w:t> </w:t>
      </w:r>
      <w:r>
        <w:rPr>
          <w:rFonts w:ascii="Cambria Math" w:hAnsi="Cambria Math" w:eastAsia="Cambria Math"/>
          <w:spacing w:val="13"/>
          <w:w w:val="105"/>
          <w:sz w:val="24"/>
          <w:vertAlign w:val="baseline"/>
        </w:rPr>
        <w:t> </w:t>
      </w:r>
      <w:r>
        <w:rPr>
          <w:rFonts w:ascii="Cambria Math" w:hAnsi="Cambria Math" w:eastAsia="Cambria Math"/>
          <w:w w:val="105"/>
          <w:position w:val="5"/>
          <w:sz w:val="14"/>
          <w:vertAlign w:val="baseline"/>
        </w:rPr>
        <w:t>𝑡</w:t>
      </w:r>
    </w:p>
    <w:p>
      <w:pPr>
        <w:pStyle w:val="BodyText"/>
        <w:spacing w:before="100"/>
        <w:ind w:left="500"/>
      </w:pPr>
      <w:r>
        <w:rPr/>
        <w:br w:type="column"/>
      </w:r>
      <w:r>
        <w:rPr/>
        <w:t>(4.86)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3" w:equalWidth="0">
            <w:col w:w="2813" w:space="40"/>
            <w:col w:w="1803" w:space="3626"/>
            <w:col w:w="2078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spacing w:line="163" w:lineRule="exact" w:before="117"/>
        <w:ind w:left="500"/>
        <w:rPr>
          <w:rFonts w:ascii="Cambria Math" w:eastAsia="Cambria Math"/>
        </w:rPr>
      </w:pPr>
      <w:r>
        <w:rPr/>
        <w:pict>
          <v:shape style="position:absolute;margin-left:216.050003pt;margin-top:-21.643103pt;width:27.65pt;height:10.15pt;mso-position-horizontal-relative:page;mso-position-vertical-relative:paragraph;z-index:-21391872" type="#_x0000_t202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Cambria Math" w:hAnsi="Cambria Math" w:eastAsia="Cambria Math"/>
                      <w:sz w:val="17"/>
                    </w:rPr>
                  </w:pPr>
                  <w:r>
                    <w:rPr>
                      <w:rFonts w:ascii="Cambria Math" w:hAnsi="Cambria Math" w:eastAsia="Cambria Math"/>
                      <w:w w:val="110"/>
                      <w:position w:val="-3"/>
                      <w:sz w:val="14"/>
                    </w:rPr>
                    <w:t>𝑡    </w:t>
                  </w:r>
                  <w:r>
                    <w:rPr>
                      <w:rFonts w:ascii="Cambria Math" w:hAnsi="Cambria Math" w:eastAsia="Cambria Math"/>
                      <w:spacing w:val="18"/>
                      <w:w w:val="110"/>
                      <w:position w:val="-3"/>
                      <w:sz w:val="14"/>
                    </w:rPr>
                    <w:t> </w:t>
                  </w:r>
                  <w:r>
                    <w:rPr>
                      <w:rFonts w:ascii="Cambria Math" w:hAnsi="Cambria Math" w:eastAsia="Cambria Math"/>
                      <w:spacing w:val="-2"/>
                      <w:w w:val="105"/>
                      <w:sz w:val="17"/>
                    </w:rPr>
                    <w:t>𝑡−1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Where,</w:t>
      </w:r>
      <w:r>
        <w:rPr>
          <w:rFonts w:ascii="Cambria Math" w:eastAsia="Cambria Math"/>
          <w:w w:val="105"/>
        </w:rPr>
        <w:t>𝜀</w:t>
      </w:r>
      <w:r>
        <w:rPr>
          <w:rFonts w:ascii="Cambria Math" w:eastAsia="Cambria Math"/>
          <w:w w:val="105"/>
          <w:vertAlign w:val="superscript"/>
        </w:rPr>
        <w:t>𝑗</w:t>
      </w:r>
      <w:r>
        <w:rPr>
          <w:rFonts w:ascii="Cambria Math" w:eastAsia="Cambria Math"/>
          <w:w w:val="105"/>
          <w:vertAlign w:val="baseline"/>
        </w:rPr>
        <w:t>~𝑖𝑖𝑁</w:t>
      </w:r>
      <w:r>
        <w:rPr>
          <w:rFonts w:ascii="Cambria Math" w:eastAsia="Cambria Math"/>
          <w:w w:val="105"/>
          <w:position w:val="1"/>
          <w:vertAlign w:val="baseline"/>
        </w:rPr>
        <w:t>(</w:t>
      </w:r>
      <w:r>
        <w:rPr>
          <w:rFonts w:ascii="Cambria Math" w:eastAsia="Cambria Math"/>
          <w:w w:val="105"/>
          <w:vertAlign w:val="baseline"/>
        </w:rPr>
        <w:t>0,</w:t>
      </w:r>
      <w:r>
        <w:rPr>
          <w:rFonts w:ascii="Cambria Math" w:eastAsia="Cambria Math"/>
          <w:spacing w:val="4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𝜎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w w:val="105"/>
          <w:position w:val="1"/>
          <w:vertAlign w:val="baseline"/>
        </w:rPr>
        <w:t>)</w:t>
      </w:r>
    </w:p>
    <w:p>
      <w:pPr>
        <w:tabs>
          <w:tab w:pos="2453" w:val="left" w:leader="none"/>
        </w:tabs>
        <w:spacing w:line="181" w:lineRule="exact" w:before="0"/>
        <w:ind w:left="1304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</w:t>
        <w:tab/>
      </w:r>
      <w:r>
        <w:rPr>
          <w:rFonts w:ascii="Cambria Math" w:eastAsia="Cambria Math"/>
          <w:w w:val="110"/>
          <w:position w:val="1"/>
          <w:sz w:val="17"/>
        </w:rPr>
        <w:t>𝑖</w:t>
      </w:r>
    </w:p>
    <w:p>
      <w:pPr>
        <w:pStyle w:val="BodyText"/>
        <w:spacing w:before="3"/>
        <w:rPr>
          <w:rFonts w:ascii="Cambria Math"/>
          <w:sz w:val="18"/>
        </w:rPr>
      </w:pPr>
    </w:p>
    <w:p>
      <w:pPr>
        <w:pStyle w:val="BodyText"/>
        <w:spacing w:line="146" w:lineRule="exact" w:before="94"/>
        <w:ind w:left="50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𝑓𝑜𝑟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𝑗</w:t>
      </w:r>
      <w:r>
        <w:rPr>
          <w:rFonts w:ascii="Cambria Math" w:hAnsi="Cambria Math" w:eastAsia="Cambria Math"/>
          <w:spacing w:val="27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6"/>
        </w:rPr>
        <w:t> </w:t>
      </w:r>
      <w:r>
        <w:rPr>
          <w:rFonts w:ascii="Cambria Math" w:hAnsi="Cambria Math" w:eastAsia="Cambria Math"/>
        </w:rPr>
        <w:t>𝑎,</w:t>
      </w:r>
      <w:r>
        <w:rPr>
          <w:rFonts w:ascii="Cambria Math" w:hAnsi="Cambria Math" w:eastAsia="Cambria Math"/>
          <w:spacing w:val="-8"/>
        </w:rPr>
        <w:t> </w:t>
      </w:r>
      <w:r>
        <w:rPr>
          <w:rFonts w:ascii="Cambria Math" w:hAnsi="Cambria Math" w:eastAsia="Cambria Math"/>
        </w:rPr>
        <w:t>𝑟,</w:t>
      </w:r>
      <w:r>
        <w:rPr>
          <w:rFonts w:ascii="Cambria Math" w:hAnsi="Cambria Math" w:eastAsia="Cambria Math"/>
          <w:spacing w:val="-7"/>
        </w:rPr>
        <w:t> </w:t>
      </w:r>
      <w:r>
        <w:rPr>
          <w:rFonts w:ascii="Cambria Math" w:hAnsi="Cambria Math" w:eastAsia="Cambria Math"/>
        </w:rPr>
        <w:t>𝑦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𝜋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𝑟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𝑔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𝑇𝑃,</w:t>
      </w:r>
      <w:r>
        <w:rPr>
          <w:rFonts w:ascii="Cambria Math" w:hAnsi="Cambria Math" w:eastAsia="Cambria Math"/>
          <w:spacing w:val="-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𝑟𝑛,</w:t>
      </w:r>
      <w:r>
        <w:rPr>
          <w:rFonts w:ascii="Cambria Math" w:hAnsi="Cambria Math" w:eastAsia="Cambria Math"/>
          <w:spacing w:val="-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𝑟,</w:t>
      </w:r>
      <w:r>
        <w:rPr>
          <w:rFonts w:ascii="Cambria Math" w:hAnsi="Cambria Math" w:eastAsia="Cambria Math"/>
          <w:spacing w:val="-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𝑦,</w:t>
      </w:r>
      <w:r>
        <w:rPr>
          <w:rFonts w:ascii="Cambria Math" w:hAnsi="Cambria Math" w:eastAsia="Cambria Math"/>
          <w:spacing w:val="-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𝜋</w:t>
      </w:r>
    </w:p>
    <w:p>
      <w:pPr>
        <w:tabs>
          <w:tab w:pos="2242" w:val="left" w:leader="none"/>
          <w:tab w:pos="2578" w:val="left" w:leader="none"/>
        </w:tabs>
        <w:spacing w:line="171" w:lineRule="exact" w:before="0"/>
        <w:ind w:left="1899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</w:t>
        <w:tab/>
        <w:t>𝑡</w:t>
        <w:tab/>
        <w:t>𝑡</w:t>
      </w:r>
    </w:p>
    <w:p>
      <w:pPr>
        <w:pStyle w:val="BodyText"/>
        <w:spacing w:before="8"/>
        <w:rPr>
          <w:rFonts w:ascii="Cambria Math"/>
          <w:sz w:val="18"/>
        </w:rPr>
      </w:pPr>
    </w:p>
    <w:p>
      <w:pPr>
        <w:pStyle w:val="Heading1"/>
        <w:numPr>
          <w:ilvl w:val="0"/>
          <w:numId w:val="24"/>
        </w:numPr>
        <w:tabs>
          <w:tab w:pos="1077" w:val="left" w:leader="none"/>
        </w:tabs>
        <w:spacing w:line="240" w:lineRule="auto" w:before="88" w:after="0"/>
        <w:ind w:left="1076" w:right="0" w:hanging="577"/>
        <w:jc w:val="left"/>
      </w:pPr>
      <w:r>
        <w:rPr/>
        <w:t>Aggregation</w:t>
      </w:r>
      <w:r>
        <w:rPr>
          <w:spacing w:val="-1"/>
        </w:rPr>
        <w:t> </w:t>
      </w:r>
      <w:r>
        <w:rPr/>
        <w:t>Rules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360" w:lineRule="auto"/>
        <w:ind w:left="500" w:right="500"/>
        <w:jc w:val="both"/>
      </w:pPr>
      <w:r>
        <w:rPr/>
        <w:t>According to Adegboye (2015), the following aggregation rules for consumption and labour</w:t>
      </w:r>
      <w:r>
        <w:rPr>
          <w:spacing w:val="1"/>
        </w:rPr>
        <w:t> </w:t>
      </w:r>
      <w:r>
        <w:rPr/>
        <w:t>supply over the Ricardian and non-Ricardian households are specified. Aggregate consumption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both Ricardian</w:t>
      </w:r>
      <w:r>
        <w:rPr>
          <w:spacing w:val="2"/>
        </w:rPr>
        <w:t> </w:t>
      </w:r>
      <w:r>
        <w:rPr/>
        <w:t>and non-Ricardian agents is</w:t>
      </w:r>
      <w:r>
        <w:rPr>
          <w:spacing w:val="-1"/>
        </w:rPr>
        <w:t> </w:t>
      </w:r>
      <w:r>
        <w:rPr/>
        <w:t>given by:</w:t>
      </w:r>
    </w:p>
    <w:p>
      <w:pPr>
        <w:pStyle w:val="BodyText"/>
        <w:tabs>
          <w:tab w:pos="8781" w:val="left" w:leader="none"/>
        </w:tabs>
        <w:spacing w:before="204"/>
        <w:ind w:left="500"/>
      </w:pPr>
      <w:r>
        <w:rPr>
          <w:rFonts w:ascii="Cambria Math" w:hAnsi="Cambria Math"/>
        </w:rPr>
        <w:t>c</w:t>
      </w:r>
      <w:r>
        <w:rPr>
          <w:rFonts w:ascii="Cambria Math" w:hAnsi="Cambria Math"/>
          <w:vertAlign w:val="subscript"/>
        </w:rPr>
        <w:t>t</w:t>
      </w:r>
      <w:r>
        <w:rPr>
          <w:rFonts w:ascii="Cambria Math" w:hAnsi="Cambria Math"/>
          <w:spacing w:val="36"/>
          <w:vertAlign w:val="baseline"/>
        </w:rPr>
        <w:t> </w:t>
      </w:r>
      <w:r>
        <w:rPr>
          <w:rFonts w:ascii="Cambria Math" w:hAnsi="Cambria Math"/>
          <w:vertAlign w:val="baseline"/>
        </w:rPr>
        <w:t>=</w:t>
      </w:r>
      <w:r>
        <w:rPr>
          <w:rFonts w:ascii="Cambria Math" w:hAnsi="Cambria Math"/>
          <w:spacing w:val="23"/>
          <w:vertAlign w:val="baseline"/>
        </w:rPr>
        <w:t> </w:t>
      </w:r>
      <w:r>
        <w:rPr>
          <w:rFonts w:ascii="Cambria Math" w:hAnsi="Cambria Math"/>
          <w:vertAlign w:val="baseline"/>
        </w:rPr>
        <w:t>ψ</w:t>
      </w:r>
      <w:r>
        <w:rPr>
          <w:rFonts w:ascii="Cambria Math" w:hAnsi="Cambria Math"/>
          <w:spacing w:val="9"/>
          <w:vertAlign w:val="baseline"/>
        </w:rPr>
        <w:t> </w:t>
      </w:r>
      <w:r>
        <w:rPr>
          <w:rFonts w:ascii="Cambria Math" w:hAnsi="Cambria Math"/>
          <w:vertAlign w:val="baseline"/>
        </w:rPr>
        <w:t>c</w:t>
      </w:r>
      <w:r>
        <w:rPr>
          <w:rFonts w:ascii="Cambria Math" w:hAnsi="Cambria Math"/>
          <w:vertAlign w:val="subscript"/>
        </w:rPr>
        <w:t>R,t</w:t>
      </w:r>
      <w:r>
        <w:rPr>
          <w:rFonts w:ascii="Cambria Math" w:hAnsi="Cambria Math"/>
          <w:spacing w:val="21"/>
          <w:vertAlign w:val="baseline"/>
        </w:rPr>
        <w:t> </w:t>
      </w:r>
      <w:r>
        <w:rPr>
          <w:rFonts w:ascii="Cambria Math" w:hAnsi="Cambria Math"/>
          <w:vertAlign w:val="baseline"/>
        </w:rPr>
        <w:t>+</w:t>
      </w:r>
      <w:r>
        <w:rPr>
          <w:rFonts w:ascii="Cambria Math" w:hAnsi="Cambria Math"/>
          <w:spacing w:val="9"/>
          <w:vertAlign w:val="baseline"/>
        </w:rPr>
        <w:t> </w:t>
      </w:r>
      <w:r>
        <w:rPr>
          <w:rFonts w:ascii="Cambria Math" w:hAnsi="Cambria Math"/>
          <w:vertAlign w:val="baseline"/>
        </w:rPr>
        <w:t>(1</w:t>
      </w:r>
      <w:r>
        <w:rPr>
          <w:rFonts w:ascii="Cambria Math" w:hAnsi="Cambria Math"/>
          <w:spacing w:val="7"/>
          <w:vertAlign w:val="baseline"/>
        </w:rPr>
        <w:t> </w:t>
      </w:r>
      <w:r>
        <w:rPr>
          <w:rFonts w:ascii="Cambria Math" w:hAnsi="Cambria Math"/>
          <w:vertAlign w:val="baseline"/>
        </w:rPr>
        <w:t>−</w:t>
      </w:r>
      <w:r>
        <w:rPr>
          <w:rFonts w:ascii="Cambria Math" w:hAnsi="Cambria Math"/>
          <w:spacing w:val="9"/>
          <w:vertAlign w:val="baseline"/>
        </w:rPr>
        <w:t> </w:t>
      </w:r>
      <w:r>
        <w:rPr>
          <w:rFonts w:ascii="Cambria Math" w:hAnsi="Cambria Math"/>
          <w:vertAlign w:val="baseline"/>
        </w:rPr>
        <w:t>ψ)c</w:t>
      </w:r>
      <w:r>
        <w:rPr>
          <w:rFonts w:ascii="Cambria Math" w:hAnsi="Cambria Math"/>
          <w:vertAlign w:val="subscript"/>
        </w:rPr>
        <w:t>NR,t</w:t>
      </w:r>
      <w:r>
        <w:rPr>
          <w:rFonts w:ascii="Cambria Math" w:hAnsi="Cambria Math"/>
          <w:vertAlign w:val="baseline"/>
        </w:rPr>
        <w:tab/>
      </w:r>
      <w:r>
        <w:rPr>
          <w:vertAlign w:val="baseline"/>
        </w:rPr>
        <w:t>(4.106)</w:t>
      </w:r>
    </w:p>
    <w:p>
      <w:pPr>
        <w:pStyle w:val="BodyText"/>
        <w:rPr>
          <w:sz w:val="31"/>
        </w:rPr>
      </w:pPr>
    </w:p>
    <w:p>
      <w:pPr>
        <w:pStyle w:val="BodyText"/>
        <w:ind w:left="500"/>
        <w:jc w:val="both"/>
      </w:pPr>
      <w:r>
        <w:rPr/>
        <w:t>Aggregate</w:t>
      </w:r>
      <w:r>
        <w:rPr>
          <w:spacing w:val="-1"/>
        </w:rPr>
        <w:t> </w:t>
      </w:r>
      <w:r>
        <w:rPr/>
        <w:t>labour</w:t>
      </w:r>
      <w:r>
        <w:rPr>
          <w:spacing w:val="-2"/>
        </w:rPr>
        <w:t> </w:t>
      </w:r>
      <w:r>
        <w:rPr/>
        <w:t>supply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both</w:t>
      </w:r>
      <w:r>
        <w:rPr>
          <w:spacing w:val="-1"/>
        </w:rPr>
        <w:t> </w:t>
      </w:r>
      <w:r>
        <w:rPr/>
        <w:t>Ricardian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non-Ricardian agents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by: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8781" w:val="left" w:leader="none"/>
        </w:tabs>
        <w:ind w:left="500"/>
      </w:pPr>
      <w:r>
        <w:rPr>
          <w:rFonts w:ascii="Cambria Math" w:hAnsi="Cambria Math"/>
        </w:rPr>
        <w:t>n</w:t>
      </w:r>
      <w:r>
        <w:rPr>
          <w:rFonts w:ascii="Cambria Math" w:hAnsi="Cambria Math"/>
          <w:vertAlign w:val="subscript"/>
        </w:rPr>
        <w:t>t</w:t>
      </w:r>
      <w:r>
        <w:rPr>
          <w:rFonts w:ascii="Cambria Math" w:hAnsi="Cambria Math"/>
          <w:spacing w:val="34"/>
          <w:vertAlign w:val="baseline"/>
        </w:rPr>
        <w:t> </w:t>
      </w:r>
      <w:r>
        <w:rPr>
          <w:rFonts w:ascii="Cambria Math" w:hAnsi="Cambria Math"/>
          <w:vertAlign w:val="baseline"/>
        </w:rPr>
        <w:t>=</w:t>
      </w:r>
      <w:r>
        <w:rPr>
          <w:rFonts w:ascii="Cambria Math" w:hAnsi="Cambria Math"/>
          <w:spacing w:val="27"/>
          <w:vertAlign w:val="baseline"/>
        </w:rPr>
        <w:t> </w:t>
      </w:r>
      <w:r>
        <w:rPr>
          <w:rFonts w:ascii="Cambria Math" w:hAnsi="Cambria Math"/>
          <w:vertAlign w:val="baseline"/>
        </w:rPr>
        <w:t>ω</w:t>
      </w:r>
      <w:r>
        <w:rPr>
          <w:rFonts w:ascii="Cambria Math" w:hAnsi="Cambria Math"/>
          <w:spacing w:val="8"/>
          <w:vertAlign w:val="baseline"/>
        </w:rPr>
        <w:t> </w:t>
      </w:r>
      <w:r>
        <w:rPr>
          <w:rFonts w:ascii="Cambria Math" w:hAnsi="Cambria Math"/>
          <w:vertAlign w:val="baseline"/>
        </w:rPr>
        <w:t>n</w:t>
      </w:r>
      <w:r>
        <w:rPr>
          <w:rFonts w:ascii="Cambria Math" w:hAnsi="Cambria Math"/>
          <w:vertAlign w:val="subscript"/>
        </w:rPr>
        <w:t>R,t</w:t>
      </w:r>
      <w:r>
        <w:rPr>
          <w:rFonts w:ascii="Cambria Math" w:hAnsi="Cambria Math"/>
          <w:spacing w:val="17"/>
          <w:vertAlign w:val="baseline"/>
        </w:rPr>
        <w:t> </w:t>
      </w:r>
      <w:r>
        <w:rPr>
          <w:rFonts w:ascii="Cambria Math" w:hAnsi="Cambria Math"/>
          <w:vertAlign w:val="baseline"/>
        </w:rPr>
        <w:t>+</w:t>
      </w:r>
      <w:r>
        <w:rPr>
          <w:rFonts w:ascii="Cambria Math" w:hAnsi="Cambria Math"/>
          <w:spacing w:val="9"/>
          <w:vertAlign w:val="baseline"/>
        </w:rPr>
        <w:t> </w:t>
      </w:r>
      <w:r>
        <w:rPr>
          <w:rFonts w:ascii="Cambria Math" w:hAnsi="Cambria Math"/>
          <w:vertAlign w:val="baseline"/>
        </w:rPr>
        <w:t>(1</w:t>
      </w:r>
      <w:r>
        <w:rPr>
          <w:rFonts w:ascii="Cambria Math" w:hAnsi="Cambria Math"/>
          <w:spacing w:val="8"/>
          <w:vertAlign w:val="baseline"/>
        </w:rPr>
        <w:t> </w:t>
      </w:r>
      <w:r>
        <w:rPr>
          <w:rFonts w:ascii="Cambria Math" w:hAnsi="Cambria Math"/>
          <w:vertAlign w:val="baseline"/>
        </w:rPr>
        <w:t>−</w:t>
      </w:r>
      <w:r>
        <w:rPr>
          <w:rFonts w:ascii="Cambria Math" w:hAnsi="Cambria Math"/>
          <w:spacing w:val="9"/>
          <w:vertAlign w:val="baseline"/>
        </w:rPr>
        <w:t> </w:t>
      </w:r>
      <w:r>
        <w:rPr>
          <w:rFonts w:ascii="Cambria Math" w:hAnsi="Cambria Math"/>
          <w:vertAlign w:val="baseline"/>
        </w:rPr>
        <w:t>ω)n</w:t>
      </w:r>
      <w:r>
        <w:rPr>
          <w:rFonts w:ascii="Cambria Math" w:hAnsi="Cambria Math"/>
          <w:vertAlign w:val="subscript"/>
        </w:rPr>
        <w:t>NR,t</w:t>
      </w:r>
      <w:r>
        <w:rPr>
          <w:rFonts w:ascii="Cambria Math" w:hAnsi="Cambria Math"/>
          <w:vertAlign w:val="baseline"/>
        </w:rPr>
        <w:tab/>
      </w:r>
      <w:r>
        <w:rPr>
          <w:vertAlign w:val="baseline"/>
        </w:rPr>
        <w:t>(4.107)</w:t>
      </w:r>
    </w:p>
    <w:p>
      <w:pPr>
        <w:pStyle w:val="BodyText"/>
        <w:spacing w:before="11"/>
        <w:rPr>
          <w:sz w:val="30"/>
        </w:rPr>
      </w:pPr>
    </w:p>
    <w:p>
      <w:pPr>
        <w:pStyle w:val="BodyText"/>
        <w:ind w:left="500"/>
        <w:jc w:val="both"/>
      </w:pPr>
      <w:r>
        <w:rPr/>
        <w:t>Total</w:t>
      </w:r>
      <w:r>
        <w:rPr>
          <w:spacing w:val="-1"/>
        </w:rPr>
        <w:t> </w:t>
      </w:r>
      <w:r>
        <w:rPr/>
        <w:t>inflation is</w:t>
      </w:r>
      <w:r>
        <w:rPr>
          <w:spacing w:val="-1"/>
        </w:rPr>
        <w:t> </w:t>
      </w:r>
      <w:r>
        <w:rPr/>
        <w:t>also given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sum of domestic</w:t>
      </w:r>
      <w:r>
        <w:rPr>
          <w:spacing w:val="-1"/>
        </w:rPr>
        <w:t> </w:t>
      </w:r>
      <w:r>
        <w:rPr/>
        <w:t>inflation and</w:t>
      </w:r>
      <w:r>
        <w:rPr>
          <w:spacing w:val="-1"/>
        </w:rPr>
        <w:t> </w:t>
      </w:r>
      <w:r>
        <w:rPr/>
        <w:t>foreign inflation,</w:t>
      </w:r>
      <w:r>
        <w:rPr>
          <w:spacing w:val="-1"/>
        </w:rPr>
        <w:t> </w:t>
      </w:r>
      <w:r>
        <w:rPr/>
        <w:t>such that: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tabs>
          <w:tab w:pos="8762" w:val="left" w:leader="none"/>
        </w:tabs>
        <w:ind w:left="500"/>
      </w:pPr>
      <w:r>
        <w:rPr>
          <w:rFonts w:ascii="Cambria Math" w:eastAsia="Cambria Math"/>
          <w:w w:val="105"/>
        </w:rPr>
        <w:t>𝜋</w:t>
      </w:r>
      <w:r>
        <w:rPr>
          <w:rFonts w:ascii="Cambria Math" w:eastAsia="Cambria Math"/>
          <w:w w:val="105"/>
          <w:vertAlign w:val="subscript"/>
        </w:rPr>
        <w:t>𝑡</w:t>
      </w:r>
      <w:r>
        <w:rPr>
          <w:rFonts w:ascii="Cambria Math" w:eastAsia="Cambria Math"/>
          <w:spacing w:val="26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13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𝜋</w:t>
      </w:r>
      <w:r>
        <w:rPr>
          <w:rFonts w:ascii="Cambria Math" w:eastAsia="Cambria Math"/>
          <w:w w:val="105"/>
          <w:vertAlign w:val="subscript"/>
        </w:rPr>
        <w:t>𝐷,𝑡</w:t>
      </w:r>
      <w:r>
        <w:rPr>
          <w:rFonts w:ascii="Cambria Math" w:eastAsia="Cambria Math"/>
          <w:spacing w:val="1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-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𝜋</w:t>
      </w:r>
      <w:r>
        <w:rPr>
          <w:rFonts w:ascii="Cambria Math" w:eastAsia="Cambria Math"/>
          <w:w w:val="105"/>
          <w:vertAlign w:val="subscript"/>
        </w:rPr>
        <w:t>𝐹,𝑡</w:t>
      </w:r>
      <w:r>
        <w:rPr>
          <w:rFonts w:ascii="Cambria Math" w:eastAsia="Cambria Math"/>
          <w:w w:val="105"/>
          <w:vertAlign w:val="baseline"/>
        </w:rPr>
        <w:tab/>
      </w:r>
      <w:r>
        <w:rPr>
          <w:w w:val="105"/>
          <w:vertAlign w:val="baseline"/>
        </w:rPr>
        <w:t>(4.108)</w:t>
      </w:r>
    </w:p>
    <w:p>
      <w:pPr>
        <w:spacing w:after="0"/>
        <w:sectPr>
          <w:type w:val="continuous"/>
          <w:pgSz w:w="12240" w:h="15840"/>
          <w:pgMar w:top="1500" w:bottom="1120" w:left="940" w:right="940"/>
        </w:sectPr>
      </w:pPr>
    </w:p>
    <w:p>
      <w:pPr>
        <w:pStyle w:val="Heading1"/>
        <w:numPr>
          <w:ilvl w:val="0"/>
          <w:numId w:val="24"/>
        </w:numPr>
        <w:tabs>
          <w:tab w:pos="1150" w:val="left" w:leader="none"/>
        </w:tabs>
        <w:spacing w:line="240" w:lineRule="auto" w:before="62" w:after="0"/>
        <w:ind w:left="1149" w:right="0" w:hanging="650"/>
        <w:jc w:val="left"/>
      </w:pPr>
      <w:r>
        <w:rPr/>
        <w:t>General</w:t>
      </w:r>
      <w:r>
        <w:rPr>
          <w:spacing w:val="-2"/>
        </w:rPr>
        <w:t> </w:t>
      </w:r>
      <w:r>
        <w:rPr/>
        <w:t>Equilibrium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Heading2"/>
        <w:numPr>
          <w:ilvl w:val="0"/>
          <w:numId w:val="25"/>
        </w:numPr>
        <w:tabs>
          <w:tab w:pos="1221" w:val="left" w:leader="none"/>
        </w:tabs>
        <w:spacing w:line="240" w:lineRule="auto" w:before="1" w:after="0"/>
        <w:ind w:left="1220" w:right="0" w:hanging="361"/>
        <w:jc w:val="left"/>
      </w:pPr>
      <w:r>
        <w:rPr/>
        <w:t>Aggregate</w:t>
      </w:r>
      <w:r>
        <w:rPr>
          <w:spacing w:val="-1"/>
        </w:rPr>
        <w:t> </w:t>
      </w:r>
      <w:r>
        <w:rPr/>
        <w:t>Demand</w:t>
      </w:r>
      <w:r>
        <w:rPr>
          <w:spacing w:val="1"/>
        </w:rPr>
        <w:t> </w:t>
      </w:r>
      <w:r>
        <w:rPr/>
        <w:t>Side:</w:t>
      </w:r>
      <w:r>
        <w:rPr>
          <w:spacing w:val="-2"/>
        </w:rPr>
        <w:t> </w:t>
      </w:r>
      <w:r>
        <w:rPr/>
        <w:t>Goods Market</w:t>
      </w:r>
      <w:r>
        <w:rPr>
          <w:spacing w:val="-2"/>
        </w:rPr>
        <w:t> </w:t>
      </w:r>
      <w:r>
        <w:rPr/>
        <w:t>Equilibrium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IS-Curve</w:t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spacing w:line="360" w:lineRule="auto"/>
        <w:ind w:left="500" w:right="500"/>
      </w:pPr>
      <w:r>
        <w:rPr/>
        <w:t>Goods</w:t>
      </w:r>
      <w:r>
        <w:rPr>
          <w:spacing w:val="3"/>
        </w:rPr>
        <w:t> </w:t>
      </w:r>
      <w:r>
        <w:rPr/>
        <w:t>market</w:t>
      </w:r>
      <w:r>
        <w:rPr>
          <w:spacing w:val="5"/>
        </w:rPr>
        <w:t> </w:t>
      </w:r>
      <w:r>
        <w:rPr/>
        <w:t>clearing</w:t>
      </w:r>
      <w:r>
        <w:rPr>
          <w:spacing w:val="1"/>
        </w:rPr>
        <w:t> </w:t>
      </w:r>
      <w:r>
        <w:rPr/>
        <w:t>condition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domestic</w:t>
      </w:r>
      <w:r>
        <w:rPr>
          <w:spacing w:val="3"/>
        </w:rPr>
        <w:t> </w:t>
      </w:r>
      <w:r>
        <w:rPr/>
        <w:t>economy</w:t>
      </w:r>
      <w:r>
        <w:rPr>
          <w:spacing w:val="-2"/>
        </w:rPr>
        <w:t> </w:t>
      </w:r>
      <w:r>
        <w:rPr/>
        <w:t>requires</w:t>
      </w:r>
      <w:r>
        <w:rPr>
          <w:spacing w:val="4"/>
        </w:rPr>
        <w:t> </w:t>
      </w:r>
      <w:r>
        <w:rPr/>
        <w:t>that</w:t>
      </w:r>
      <w:r>
        <w:rPr>
          <w:spacing w:val="3"/>
        </w:rPr>
        <w:t> </w:t>
      </w:r>
      <w:r>
        <w:rPr/>
        <w:t>aggregate</w:t>
      </w:r>
      <w:r>
        <w:rPr>
          <w:spacing w:val="4"/>
        </w:rPr>
        <w:t> </w:t>
      </w:r>
      <w:r>
        <w:rPr/>
        <w:t>output</w:t>
      </w:r>
      <w:r>
        <w:rPr>
          <w:spacing w:val="4"/>
        </w:rPr>
        <w:t> </w:t>
      </w:r>
      <w:r>
        <w:rPr/>
        <w:t>equals</w:t>
      </w:r>
      <w:r>
        <w:rPr>
          <w:spacing w:val="-57"/>
        </w:rPr>
        <w:t> </w:t>
      </w:r>
      <w:r>
        <w:rPr/>
        <w:t>aggregate</w:t>
      </w:r>
      <w:r>
        <w:rPr>
          <w:spacing w:val="-2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and foreign demands (exports)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locally</w:t>
      </w:r>
      <w:r>
        <w:rPr>
          <w:spacing w:val="-5"/>
        </w:rPr>
        <w:t> </w:t>
      </w:r>
      <w:r>
        <w:rPr/>
        <w:t>produced</w:t>
      </w:r>
      <w:r>
        <w:rPr>
          <w:spacing w:val="2"/>
        </w:rPr>
        <w:t> </w:t>
      </w:r>
      <w:r>
        <w:rPr/>
        <w:t>goods such that:</w:t>
      </w:r>
    </w:p>
    <w:p>
      <w:pPr>
        <w:pStyle w:val="BodyText"/>
        <w:spacing w:before="10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header="0" w:footer="935" w:top="1380" w:bottom="1200" w:left="940" w:right="940"/>
        </w:sectPr>
      </w:pPr>
    </w:p>
    <w:p>
      <w:pPr>
        <w:pStyle w:val="BodyText"/>
        <w:tabs>
          <w:tab w:pos="987" w:val="left" w:leader="none"/>
        </w:tabs>
        <w:spacing w:line="143" w:lineRule="exact" w:before="151"/>
        <w:ind w:left="500"/>
        <w:rPr>
          <w:rFonts w:ascii="Cambria Math" w:eastAsia="Cambria Math"/>
        </w:rPr>
      </w:pPr>
      <w:r>
        <w:rPr>
          <w:rFonts w:ascii="Cambria Math" w:eastAsia="Cambria Math"/>
        </w:rPr>
        <w:t>𝑌</w:t>
        <w:tab/>
        <w:t>=</w:t>
      </w:r>
      <w:r>
        <w:rPr>
          <w:rFonts w:ascii="Cambria Math" w:eastAsia="Cambria Math"/>
          <w:spacing w:val="14"/>
        </w:rPr>
        <w:t> </w:t>
      </w:r>
      <w:r>
        <w:rPr>
          <w:rFonts w:ascii="Cambria Math" w:eastAsia="Cambria Math"/>
          <w:spacing w:val="-168"/>
        </w:rPr>
        <w:t>𝐶</w:t>
      </w:r>
    </w:p>
    <w:p>
      <w:pPr>
        <w:spacing w:line="225" w:lineRule="exact" w:before="70"/>
        <w:ind w:left="476" w:right="0" w:firstLine="0"/>
        <w:jc w:val="left"/>
        <w:rPr>
          <w:rFonts w:ascii="Cambria Math" w:hAnsi="Cambria Math" w:eastAsia="Cambria Math"/>
          <w:sz w:val="24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1"/>
          <w:sz w:val="24"/>
        </w:rPr>
        <w:t>+ </w:t>
      </w:r>
      <w:r>
        <w:rPr>
          <w:rFonts w:ascii="Cambria Math" w:hAnsi="Cambria Math" w:eastAsia="Cambria Math"/>
          <w:w w:val="105"/>
          <w:sz w:val="24"/>
        </w:rPr>
        <w:t>∫</w:t>
      </w:r>
      <w:r>
        <w:rPr>
          <w:rFonts w:ascii="Cambria Math" w:hAnsi="Cambria Math" w:eastAsia="Cambria Math"/>
          <w:w w:val="105"/>
          <w:position w:val="16"/>
          <w:sz w:val="17"/>
        </w:rPr>
        <w:t>1</w:t>
      </w:r>
      <w:r>
        <w:rPr>
          <w:rFonts w:ascii="Cambria Math" w:hAnsi="Cambria Math" w:eastAsia="Cambria Math"/>
          <w:spacing w:val="1"/>
          <w:w w:val="105"/>
          <w:position w:val="16"/>
          <w:sz w:val="17"/>
        </w:rPr>
        <w:t> </w:t>
      </w:r>
      <w:r>
        <w:rPr>
          <w:rFonts w:ascii="Cambria Math" w:hAnsi="Cambria Math" w:eastAsia="Cambria Math"/>
          <w:spacing w:val="-76"/>
          <w:w w:val="105"/>
          <w:position w:val="1"/>
          <w:sz w:val="24"/>
        </w:rPr>
        <w:t>𝐶</w:t>
      </w:r>
      <w:r>
        <w:rPr>
          <w:rFonts w:ascii="Cambria Math" w:hAnsi="Cambria Math" w:eastAsia="Cambria Math"/>
          <w:spacing w:val="-76"/>
          <w:w w:val="105"/>
          <w:position w:val="1"/>
          <w:sz w:val="24"/>
          <w:vertAlign w:val="superscript"/>
        </w:rPr>
        <w:t>𝑖</w:t>
      </w:r>
    </w:p>
    <w:p>
      <w:pPr>
        <w:pStyle w:val="BodyText"/>
        <w:spacing w:line="143" w:lineRule="exact" w:before="151"/>
        <w:ind w:left="390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𝑑𝑖</w:t>
      </w:r>
      <w:r>
        <w:rPr>
          <w:rFonts w:ascii="Cambria Math" w:eastAsia="Cambria Math"/>
          <w:spacing w:val="7"/>
        </w:rPr>
        <w:t> </w:t>
      </w:r>
      <w:r>
        <w:rPr>
          <w:rFonts w:ascii="Cambria Math" w:eastAsia="Cambria Math"/>
        </w:rPr>
        <w:t>+ 𝐺</w:t>
      </w:r>
    </w:p>
    <w:p>
      <w:pPr>
        <w:pStyle w:val="BodyText"/>
        <w:spacing w:line="139" w:lineRule="exact" w:before="155"/>
        <w:ind w:left="500"/>
      </w:pPr>
      <w:r>
        <w:rPr/>
        <w:br w:type="column"/>
      </w:r>
      <w:r>
        <w:rPr/>
        <w:t>(4.109)</w:t>
      </w:r>
    </w:p>
    <w:p>
      <w:pPr>
        <w:spacing w:after="0" w:line="139" w:lineRule="exact"/>
        <w:sectPr>
          <w:type w:val="continuous"/>
          <w:pgSz w:w="12240" w:h="15840"/>
          <w:pgMar w:top="1500" w:bottom="1120" w:left="940" w:right="940"/>
          <w:cols w:num="4" w:equalWidth="0">
            <w:col w:w="1379" w:space="40"/>
            <w:col w:w="1204" w:space="39"/>
            <w:col w:w="1091" w:space="4529"/>
            <w:col w:w="2078"/>
          </w:cols>
        </w:sectPr>
      </w:pPr>
    </w:p>
    <w:p>
      <w:pPr>
        <w:spacing w:line="171" w:lineRule="exact" w:before="0"/>
        <w:ind w:left="606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𝑡(𝑗)</w:t>
      </w:r>
    </w:p>
    <w:p>
      <w:pPr>
        <w:spacing w:line="171" w:lineRule="exact" w:before="0"/>
        <w:ind w:left="412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𝐷,𝑡(𝑗)</w:t>
      </w:r>
    </w:p>
    <w:p>
      <w:pPr>
        <w:tabs>
          <w:tab w:pos="664" w:val="left" w:leader="none"/>
          <w:tab w:pos="1833" w:val="left" w:leader="none"/>
        </w:tabs>
        <w:spacing w:line="213" w:lineRule="auto" w:before="0"/>
        <w:ind w:left="347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position w:val="-3"/>
          <w:sz w:val="17"/>
        </w:rPr>
        <w:t>0</w:t>
        <w:tab/>
      </w:r>
      <w:r>
        <w:rPr>
          <w:rFonts w:ascii="Cambria Math" w:eastAsia="Cambria Math"/>
          <w:w w:val="110"/>
          <w:sz w:val="17"/>
        </w:rPr>
        <w:t>𝐷,𝑡(𝑗)</w:t>
        <w:tab/>
      </w:r>
      <w:r>
        <w:rPr>
          <w:rFonts w:ascii="Cambria Math" w:eastAsia="Cambria Math"/>
          <w:w w:val="110"/>
          <w:position w:val="1"/>
          <w:sz w:val="17"/>
        </w:rPr>
        <w:t>𝑡</w:t>
      </w:r>
    </w:p>
    <w:p>
      <w:pPr>
        <w:spacing w:after="0" w:line="213" w:lineRule="auto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3" w:equalWidth="0">
            <w:col w:w="913" w:space="40"/>
            <w:col w:w="880" w:space="39"/>
            <w:col w:w="8488"/>
          </w:cols>
        </w:sectPr>
      </w:pPr>
    </w:p>
    <w:p>
      <w:pPr>
        <w:pStyle w:val="BodyText"/>
        <w:spacing w:before="9"/>
        <w:rPr>
          <w:rFonts w:ascii="Cambria Math"/>
          <w:sz w:val="17"/>
        </w:rPr>
      </w:pPr>
    </w:p>
    <w:p>
      <w:pPr>
        <w:pStyle w:val="BodyText"/>
        <w:spacing w:before="86"/>
        <w:ind w:left="500"/>
      </w:pPr>
      <w:r>
        <w:rPr>
          <w:rFonts w:ascii="Cambria Math" w:eastAsia="Cambria Math"/>
        </w:rPr>
        <w:t>𝐶</w:t>
      </w:r>
      <w:r>
        <w:rPr>
          <w:rFonts w:ascii="Cambria Math" w:eastAsia="Cambria Math"/>
          <w:vertAlign w:val="subscript"/>
        </w:rPr>
        <w:t>𝐷,𝑡(𝑗)</w:t>
      </w:r>
      <w:r>
        <w:rPr>
          <w:rFonts w:ascii="Cambria Math" w:eastAsia="Cambria Math"/>
          <w:vertAlign w:val="baseline"/>
        </w:rPr>
        <w:t>:</w:t>
      </w:r>
      <w:r>
        <w:rPr>
          <w:rFonts w:ascii="Cambria Math" w:eastAsia="Cambria Math"/>
          <w:spacing w:val="13"/>
          <w:vertAlign w:val="baseline"/>
        </w:rPr>
        <w:t> </w:t>
      </w:r>
      <w:r>
        <w:rPr>
          <w:vertAlign w:val="baseline"/>
        </w:rPr>
        <w:t>Domestic</w:t>
      </w:r>
      <w:r>
        <w:rPr>
          <w:spacing w:val="4"/>
          <w:vertAlign w:val="baseline"/>
        </w:rPr>
        <w:t> </w:t>
      </w:r>
      <w:r>
        <w:rPr>
          <w:vertAlign w:val="baseline"/>
        </w:rPr>
        <w:t>demand</w:t>
      </w:r>
      <w:r>
        <w:rPr>
          <w:spacing w:val="5"/>
          <w:vertAlign w:val="baseline"/>
        </w:rPr>
        <w:t> </w:t>
      </w:r>
      <w:r>
        <w:rPr>
          <w:vertAlign w:val="baseline"/>
        </w:rPr>
        <w:t>for</w:t>
      </w:r>
      <w:r>
        <w:rPr>
          <w:spacing w:val="6"/>
          <w:vertAlign w:val="baseline"/>
        </w:rPr>
        <w:t> </w:t>
      </w:r>
      <w:r>
        <w:rPr>
          <w:vertAlign w:val="baseline"/>
        </w:rPr>
        <w:t>good</w:t>
      </w:r>
      <w:r>
        <w:rPr>
          <w:spacing w:val="5"/>
          <w:vertAlign w:val="baseline"/>
        </w:rPr>
        <w:t> </w:t>
      </w:r>
      <w:r>
        <w:rPr>
          <w:vertAlign w:val="baseline"/>
        </w:rPr>
        <w:t>j</w:t>
      </w:r>
      <w:r>
        <w:rPr>
          <w:spacing w:val="6"/>
          <w:vertAlign w:val="baseline"/>
        </w:rPr>
        <w:t> </w:t>
      </w:r>
      <w:r>
        <w:rPr>
          <w:vertAlign w:val="baseline"/>
        </w:rPr>
        <w:t>produced</w:t>
      </w:r>
      <w:r>
        <w:rPr>
          <w:spacing w:val="5"/>
          <w:vertAlign w:val="baseline"/>
        </w:rPr>
        <w:t> </w:t>
      </w:r>
      <w:r>
        <w:rPr>
          <w:vertAlign w:val="baseline"/>
        </w:rPr>
        <w:t>in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domestic</w:t>
      </w:r>
      <w:r>
        <w:rPr>
          <w:spacing w:val="4"/>
          <w:vertAlign w:val="baseline"/>
        </w:rPr>
        <w:t> </w:t>
      </w:r>
      <w:r>
        <w:rPr>
          <w:vertAlign w:val="baseline"/>
        </w:rPr>
        <w:t>economy</w:t>
      </w:r>
    </w:p>
    <w:p>
      <w:pPr>
        <w:pStyle w:val="BodyText"/>
        <w:spacing w:before="7"/>
        <w:rPr>
          <w:sz w:val="33"/>
        </w:rPr>
      </w:pPr>
    </w:p>
    <w:p>
      <w:pPr>
        <w:pStyle w:val="BodyText"/>
        <w:tabs>
          <w:tab w:pos="1105" w:val="left" w:leader="none"/>
          <w:tab w:pos="5356" w:val="left" w:leader="none"/>
        </w:tabs>
        <w:spacing w:line="585" w:lineRule="auto"/>
        <w:ind w:left="500" w:right="1923"/>
      </w:pPr>
      <w:r>
        <w:rPr/>
        <w:pict>
          <v:shape style="position:absolute;margin-left:78.503998pt;margin-top:8.254897pt;width:23.35pt;height:8.550pt;mso-position-horizontal-relative:page;mso-position-vertical-relative:paragraph;z-index:-21388800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05"/>
                      <w:sz w:val="17"/>
                    </w:rPr>
                    <w:t>𝐷,𝑡(𝑗)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410004pt;margin-top:42.574898pt;width:23.35pt;height:8.550pt;mso-position-horizontal-relative:page;mso-position-vertical-relative:paragraph;z-index:-2138828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05"/>
                      <w:sz w:val="17"/>
                    </w:rPr>
                    <w:t>𝐷,𝑡(𝑗)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</w:rPr>
        <w:t>𝐶</w:t>
      </w:r>
      <w:r>
        <w:rPr>
          <w:rFonts w:ascii="Cambria Math" w:eastAsia="Cambria Math"/>
          <w:vertAlign w:val="superscript"/>
        </w:rPr>
        <w:t>𝑖</w:t>
      </w:r>
      <w:r>
        <w:rPr>
          <w:rFonts w:ascii="Cambria Math" w:eastAsia="Cambria Math"/>
          <w:vertAlign w:val="baseline"/>
        </w:rPr>
        <w:tab/>
        <w:t>: </w:t>
      </w:r>
      <w:r>
        <w:rPr>
          <w:vertAlign w:val="baseline"/>
        </w:rPr>
        <w:t>Foreign demand by country i for good j produced in the domestic economy</w:t>
      </w:r>
      <w:r>
        <w:rPr>
          <w:spacing w:val="-57"/>
          <w:vertAlign w:val="baseline"/>
        </w:rPr>
        <w:t> </w:t>
      </w:r>
      <w:r>
        <w:rPr>
          <w:vertAlign w:val="baseline"/>
        </w:rPr>
        <w:t>Where</w:t>
      </w:r>
      <w:r>
        <w:rPr>
          <w:spacing w:val="12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11"/>
          <w:vertAlign w:val="baseline"/>
        </w:rPr>
        <w:t> </w:t>
      </w:r>
      <w:r>
        <w:rPr>
          <w:vertAlign w:val="baseline"/>
        </w:rPr>
        <w:t>to</w:t>
      </w:r>
      <w:r>
        <w:rPr>
          <w:spacing w:val="14"/>
          <w:vertAlign w:val="baseline"/>
        </w:rPr>
        <w:t> </w:t>
      </w:r>
      <w:r>
        <w:rPr>
          <w:vertAlign w:val="baseline"/>
        </w:rPr>
        <w:t>Gali</w:t>
      </w:r>
      <w:r>
        <w:rPr>
          <w:spacing w:val="17"/>
          <w:vertAlign w:val="baseline"/>
        </w:rPr>
        <w:t> </w:t>
      </w:r>
      <w:r>
        <w:rPr>
          <w:vertAlign w:val="baseline"/>
        </w:rPr>
        <w:t>(2008),</w:t>
      </w:r>
      <w:r>
        <w:rPr>
          <w:spacing w:val="18"/>
          <w:vertAlign w:val="baseline"/>
        </w:rPr>
        <w:t> </w:t>
      </w:r>
      <w:r>
        <w:rPr>
          <w:rFonts w:ascii="Cambria Math" w:eastAsia="Cambria Math"/>
          <w:vertAlign w:val="baseline"/>
        </w:rPr>
        <w:t>𝐶</w:t>
      </w:r>
      <w:r>
        <w:rPr>
          <w:rFonts w:ascii="Cambria Math" w:eastAsia="Cambria Math"/>
          <w:vertAlign w:val="subscript"/>
        </w:rPr>
        <w:t>𝐷,𝑡(𝑗)</w:t>
      </w:r>
      <w:r>
        <w:rPr>
          <w:vertAlign w:val="baseline"/>
        </w:rPr>
        <w:t>and</w:t>
      </w:r>
      <w:r>
        <w:rPr>
          <w:spacing w:val="14"/>
          <w:vertAlign w:val="baseline"/>
        </w:rPr>
        <w:t> </w:t>
      </w:r>
      <w:r>
        <w:rPr>
          <w:rFonts w:ascii="Cambria Math" w:eastAsia="Cambria Math"/>
          <w:vertAlign w:val="baseline"/>
        </w:rPr>
        <w:t>𝐶</w:t>
      </w:r>
      <w:r>
        <w:rPr>
          <w:rFonts w:ascii="Cambria Math" w:eastAsia="Cambria Math"/>
          <w:vertAlign w:val="superscript"/>
        </w:rPr>
        <w:t>𝑖</w:t>
      </w:r>
      <w:r>
        <w:rPr>
          <w:rFonts w:ascii="Cambria Math" w:eastAsia="Cambria Math"/>
          <w:vertAlign w:val="baseline"/>
        </w:rPr>
        <w:tab/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defined as:</w:t>
      </w:r>
    </w:p>
    <w:p>
      <w:pPr>
        <w:spacing w:after="0" w:line="585" w:lineRule="auto"/>
        <w:sectPr>
          <w:type w:val="continuous"/>
          <w:pgSz w:w="12240" w:h="15840"/>
          <w:pgMar w:top="1500" w:bottom="1120" w:left="940" w:right="940"/>
        </w:sectPr>
      </w:pPr>
    </w:p>
    <w:p>
      <w:pPr>
        <w:tabs>
          <w:tab w:pos="1537" w:val="left" w:leader="none"/>
        </w:tabs>
        <w:spacing w:line="211" w:lineRule="auto" w:before="54"/>
        <w:ind w:left="500" w:right="0" w:firstLine="0"/>
        <w:jc w:val="left"/>
        <w:rPr>
          <w:rFonts w:ascii="Cambria Math" w:eastAsia="Cambria Math"/>
          <w:sz w:val="14"/>
        </w:rPr>
      </w:pPr>
      <w:r>
        <w:rPr/>
        <w:pict>
          <v:shape style="position:absolute;margin-left:78.503998pt;margin-top:8.782673pt;width:55.55pt;height:17.25pt;mso-position-horizontal-relative:page;mso-position-vertical-relative:paragraph;z-index:-21387776" type="#_x0000_t202" filled="false" stroked="false">
            <v:textbox inset="0,0,0,0">
              <w:txbxContent>
                <w:p>
                  <w:pPr>
                    <w:spacing w:line="240" w:lineRule="auto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𝐷,𝑡(𝑗)</w:t>
                  </w:r>
                  <w:r>
                    <w:rPr>
                      <w:rFonts w:ascii="Cambria Math" w:eastAsia="Cambria Math"/>
                      <w:spacing w:val="25"/>
                      <w:w w:val="110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w w:val="110"/>
                      <w:position w:val="5"/>
                      <w:sz w:val="24"/>
                    </w:rPr>
                    <w:t>=</w:t>
                  </w:r>
                  <w:r>
                    <w:rPr>
                      <w:rFonts w:ascii="Cambria Math" w:eastAsia="Cambria Math"/>
                      <w:spacing w:val="2"/>
                      <w:w w:val="110"/>
                      <w:position w:val="5"/>
                      <w:sz w:val="24"/>
                    </w:rPr>
                    <w:t> </w:t>
                  </w:r>
                  <w:r>
                    <w:rPr>
                      <w:rFonts w:ascii="Cambria Math" w:eastAsia="Cambria Math"/>
                      <w:w w:val="110"/>
                      <w:position w:val="5"/>
                      <w:sz w:val="24"/>
                    </w:rPr>
                    <w:t>(</w:t>
                  </w:r>
                  <w:r>
                    <w:rPr>
                      <w:rFonts w:ascii="Cambria Math" w:eastAsia="Cambria Math"/>
                      <w:spacing w:val="23"/>
                      <w:w w:val="110"/>
                      <w:position w:val="5"/>
                      <w:sz w:val="24"/>
                    </w:rPr>
                    <w:t> </w:t>
                  </w:r>
                  <w:r>
                    <w:rPr>
                      <w:rFonts w:ascii="Cambria Math" w:eastAsia="Cambria Math"/>
                      <w:spacing w:val="-121"/>
                      <w:w w:val="110"/>
                      <w:position w:val="-6"/>
                      <w:sz w:val="17"/>
                    </w:rPr>
                    <w:t>𝑃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05"/>
          <w:position w:val="-11"/>
          <w:sz w:val="24"/>
        </w:rPr>
        <w:t>𝐶</w:t>
        <w:tab/>
      </w:r>
      <w:r>
        <w:rPr>
          <w:rFonts w:ascii="Cambria Math" w:eastAsia="Cambria Math"/>
          <w:w w:val="105"/>
          <w:position w:val="4"/>
          <w:sz w:val="17"/>
          <w:u w:val="single"/>
        </w:rPr>
        <w:t>𝑃</w:t>
      </w:r>
      <w:r>
        <w:rPr>
          <w:rFonts w:ascii="Cambria Math" w:eastAsia="Cambria Math"/>
          <w:w w:val="105"/>
          <w:sz w:val="14"/>
          <w:u w:val="single"/>
        </w:rPr>
        <w:t>𝐷,𝑡(𝑗)</w:t>
      </w:r>
    </w:p>
    <w:p>
      <w:pPr>
        <w:spacing w:line="152" w:lineRule="exact" w:before="0"/>
        <w:ind w:left="0" w:right="90" w:firstLine="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4"/>
        </w:rPr>
        <w:t>𝐷,𝑡</w:t>
      </w:r>
    </w:p>
    <w:p>
      <w:pPr>
        <w:spacing w:line="141" w:lineRule="exact" w:before="0"/>
        <w:ind w:left="84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−𝗌</w:t>
      </w:r>
    </w:p>
    <w:p>
      <w:pPr>
        <w:pStyle w:val="BodyText"/>
        <w:spacing w:line="274" w:lineRule="exact"/>
        <w:ind w:left="-33"/>
        <w:rPr>
          <w:rFonts w:ascii="Cambria Math"/>
        </w:rPr>
      </w:pPr>
      <w:r>
        <w:rPr>
          <w:rFonts w:ascii="Cambria Math"/>
          <w:w w:val="119"/>
        </w:rPr>
        <w:t>)</w:t>
      </w:r>
    </w:p>
    <w:p>
      <w:pPr>
        <w:tabs>
          <w:tab w:pos="755" w:val="left" w:leader="none"/>
          <w:tab w:pos="2085" w:val="left" w:leader="none"/>
          <w:tab w:pos="2754" w:val="left" w:leader="none"/>
        </w:tabs>
        <w:spacing w:line="338" w:lineRule="exact" w:before="61"/>
        <w:ind w:left="13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z w:val="24"/>
        </w:rPr>
        <w:t>𝐶</w:t>
        <w:tab/>
      </w:r>
      <w:r>
        <w:rPr>
          <w:sz w:val="24"/>
        </w:rPr>
        <w:t>where</w:t>
      </w:r>
      <w:r>
        <w:rPr>
          <w:spacing w:val="-8"/>
          <w:sz w:val="24"/>
        </w:rPr>
        <w:t> </w:t>
      </w:r>
      <w:r>
        <w:rPr>
          <w:rFonts w:ascii="Cambria Math" w:eastAsia="Cambria Math"/>
          <w:sz w:val="24"/>
        </w:rPr>
        <w:t>𝐶</w:t>
        <w:tab/>
      </w:r>
      <w:r>
        <w:rPr>
          <w:rFonts w:ascii="Cambria Math" w:eastAsia="Cambria Math"/>
          <w:position w:val="1"/>
          <w:sz w:val="24"/>
        </w:rPr>
        <w:t>(</w:t>
        <w:tab/>
        <w:t>)</w:t>
      </w:r>
      <w:r>
        <w:rPr>
          <w:rFonts w:ascii="Cambria Math" w:eastAsia="Cambria Math"/>
          <w:spacing w:val="1"/>
          <w:position w:val="1"/>
          <w:sz w:val="24"/>
        </w:rPr>
        <w:t> </w:t>
      </w:r>
      <w:r>
        <w:rPr>
          <w:rFonts w:ascii="Cambria Math" w:eastAsia="Cambria Math"/>
          <w:position w:val="14"/>
          <w:sz w:val="17"/>
          <w:u w:val="single"/>
        </w:rPr>
        <w:t>𝑃</w:t>
      </w:r>
      <w:r>
        <w:rPr>
          <w:rFonts w:ascii="Cambria Math" w:eastAsia="Cambria Math"/>
          <w:position w:val="11"/>
          <w:sz w:val="14"/>
          <w:u w:val="single"/>
        </w:rPr>
        <w:t>𝐷,𝑡</w:t>
      </w:r>
    </w:p>
    <w:p>
      <w:pPr>
        <w:spacing w:line="148" w:lineRule="exact" w:before="0"/>
        <w:ind w:left="0" w:right="74" w:firstLine="0"/>
        <w:jc w:val="right"/>
        <w:rPr>
          <w:rFonts w:ascii="Cambria Math" w:eastAsia="Cambria Math"/>
          <w:sz w:val="14"/>
        </w:rPr>
      </w:pPr>
      <w:r>
        <w:rPr/>
        <w:pict>
          <v:shape style="position:absolute;margin-left:174.860001pt;margin-top:-11.193027pt;width:152.950pt;height:17.25pt;mso-position-horizontal-relative:page;mso-position-vertical-relative:paragraph;z-index:-21387264" type="#_x0000_t202" filled="false" stroked="false">
            <v:textbox inset="0,0,0,0">
              <w:txbxContent>
                <w:p>
                  <w:pPr>
                    <w:tabs>
                      <w:tab w:pos="1380" w:val="left" w:leader="none"/>
                    </w:tabs>
                    <w:spacing w:line="240" w:lineRule="auto" w:before="0"/>
                    <w:ind w:left="0" w:right="0" w:firstLine="0"/>
                    <w:jc w:val="left"/>
                    <w:rPr>
                      <w:rFonts w:ascii="Cambria Math" w:hAnsi="Cambria Math" w:eastAsia="Cambria Math"/>
                      <w:sz w:val="17"/>
                    </w:rPr>
                  </w:pPr>
                  <w:r>
                    <w:rPr>
                      <w:rFonts w:ascii="Cambria Math" w:hAnsi="Cambria Math" w:eastAsia="Cambria Math"/>
                      <w:w w:val="105"/>
                      <w:sz w:val="17"/>
                    </w:rPr>
                    <w:t>𝐷,𝑡</w:t>
                    <w:tab/>
                    <w:t>𝐷,𝑡  </w:t>
                  </w:r>
                  <w:r>
                    <w:rPr>
                      <w:rFonts w:ascii="Cambria Math" w:hAnsi="Cambria Math" w:eastAsia="Cambria Math"/>
                      <w:w w:val="105"/>
                      <w:position w:val="5"/>
                      <w:sz w:val="24"/>
                    </w:rPr>
                    <w:t>= </w:t>
                  </w:r>
                  <w:r>
                    <w:rPr>
                      <w:rFonts w:ascii="Cambria Math" w:hAnsi="Cambria Math" w:eastAsia="Cambria Math"/>
                      <w:spacing w:val="50"/>
                      <w:w w:val="105"/>
                      <w:position w:val="5"/>
                      <w:sz w:val="24"/>
                    </w:rPr>
                    <w:t> </w:t>
                  </w:r>
                  <w:r>
                    <w:rPr>
                      <w:rFonts w:ascii="Cambria Math" w:hAnsi="Cambria Math" w:eastAsia="Cambria Math"/>
                      <w:w w:val="105"/>
                      <w:position w:val="5"/>
                      <w:sz w:val="24"/>
                    </w:rPr>
                    <w:t>1</w:t>
                  </w:r>
                  <w:r>
                    <w:rPr>
                      <w:rFonts w:ascii="Cambria Math" w:hAnsi="Cambria Math" w:eastAsia="Cambria Math"/>
                      <w:spacing w:val="-5"/>
                      <w:w w:val="105"/>
                      <w:position w:val="5"/>
                      <w:sz w:val="24"/>
                    </w:rPr>
                    <w:t> </w:t>
                  </w:r>
                  <w:r>
                    <w:rPr>
                      <w:rFonts w:ascii="Cambria Math" w:hAnsi="Cambria Math" w:eastAsia="Cambria Math"/>
                      <w:w w:val="105"/>
                      <w:position w:val="5"/>
                      <w:sz w:val="24"/>
                    </w:rPr>
                    <w:t>−</w:t>
                  </w:r>
                  <w:r>
                    <w:rPr>
                      <w:rFonts w:ascii="Cambria Math" w:hAnsi="Cambria Math" w:eastAsia="Cambria Math"/>
                      <w:spacing w:val="-4"/>
                      <w:w w:val="105"/>
                      <w:position w:val="5"/>
                      <w:sz w:val="24"/>
                    </w:rPr>
                    <w:t> </w:t>
                  </w:r>
                  <w:r>
                    <w:rPr>
                      <w:rFonts w:ascii="Cambria Math" w:hAnsi="Cambria Math" w:eastAsia="Cambria Math"/>
                      <w:w w:val="105"/>
                      <w:position w:val="5"/>
                      <w:sz w:val="24"/>
                    </w:rPr>
                    <w:t>𝛼 </w:t>
                  </w:r>
                  <w:r>
                    <w:rPr>
                      <w:rFonts w:ascii="Cambria Math" w:hAnsi="Cambria Math" w:eastAsia="Cambria Math"/>
                      <w:spacing w:val="31"/>
                      <w:w w:val="105"/>
                      <w:position w:val="5"/>
                      <w:sz w:val="24"/>
                    </w:rPr>
                    <w:t> </w:t>
                  </w:r>
                  <w:r>
                    <w:rPr>
                      <w:rFonts w:ascii="Cambria Math" w:hAnsi="Cambria Math" w:eastAsia="Cambria Math"/>
                      <w:w w:val="105"/>
                      <w:position w:val="5"/>
                      <w:sz w:val="24"/>
                    </w:rPr>
                    <w:t>(</w:t>
                  </w:r>
                  <w:r>
                    <w:rPr>
                      <w:rFonts w:ascii="Cambria Math" w:hAnsi="Cambria Math" w:eastAsia="Cambria Math"/>
                      <w:spacing w:val="21"/>
                      <w:w w:val="105"/>
                      <w:position w:val="5"/>
                      <w:sz w:val="24"/>
                    </w:rPr>
                    <w:t> </w:t>
                  </w:r>
                  <w:r>
                    <w:rPr>
                      <w:rFonts w:ascii="Cambria Math" w:hAnsi="Cambria Math" w:eastAsia="Cambria Math"/>
                      <w:spacing w:val="-121"/>
                      <w:w w:val="105"/>
                      <w:position w:val="-6"/>
                      <w:sz w:val="17"/>
                    </w:rPr>
                    <w:t>𝑃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20"/>
          <w:sz w:val="14"/>
        </w:rPr>
        <w:t>𝑡</w:t>
      </w:r>
    </w:p>
    <w:p>
      <w:pPr>
        <w:spacing w:line="161" w:lineRule="exact" w:before="0"/>
        <w:ind w:left="86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sz w:val="17"/>
        </w:rPr>
        <w:t>−𝑦</w:t>
      </w:r>
    </w:p>
    <w:p>
      <w:pPr>
        <w:pStyle w:val="BodyText"/>
        <w:spacing w:line="255" w:lineRule="exact"/>
        <w:ind w:left="-32"/>
        <w:rPr>
          <w:rFonts w:ascii="Cambria Math"/>
        </w:rPr>
      </w:pPr>
      <w:r>
        <w:rPr>
          <w:rFonts w:ascii="Cambria Math"/>
          <w:w w:val="118"/>
        </w:rPr>
        <w:t>)</w:t>
      </w:r>
    </w:p>
    <w:p>
      <w:pPr>
        <w:pStyle w:val="BodyText"/>
        <w:spacing w:before="134"/>
        <w:ind w:left="13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10"/>
        </w:rPr>
        <w:t>𝐶</w:t>
      </w:r>
      <w:r>
        <w:rPr>
          <w:rFonts w:ascii="Cambria Math" w:eastAsia="Cambria Math"/>
          <w:w w:val="110"/>
          <w:vertAlign w:val="subscript"/>
        </w:rPr>
        <w:t>𝑡</w:t>
      </w:r>
    </w:p>
    <w:p>
      <w:pPr>
        <w:spacing w:after="0"/>
        <w:rPr>
          <w:rFonts w:ascii="Cambria Math" w:eastAsia="Cambria Math"/>
        </w:rPr>
        <w:sectPr>
          <w:type w:val="continuous"/>
          <w:pgSz w:w="12240" w:h="15840"/>
          <w:pgMar w:top="1500" w:bottom="1120" w:left="940" w:right="940"/>
          <w:cols w:num="5" w:equalWidth="0">
            <w:col w:w="2039" w:space="40"/>
            <w:col w:w="296" w:space="39"/>
            <w:col w:w="3328" w:space="40"/>
            <w:col w:w="314" w:space="39"/>
            <w:col w:w="4225"/>
          </w:cols>
        </w:sectPr>
      </w:pPr>
    </w:p>
    <w:p>
      <w:pPr>
        <w:pStyle w:val="BodyText"/>
        <w:spacing w:before="1"/>
        <w:rPr>
          <w:rFonts w:ascii="Cambria Math"/>
          <w:sz w:val="20"/>
        </w:rPr>
      </w:pPr>
    </w:p>
    <w:p>
      <w:pPr>
        <w:pStyle w:val="BodyText"/>
        <w:spacing w:before="90"/>
        <w:ind w:left="500"/>
      </w:pPr>
      <w:r>
        <w:rPr/>
        <w:t>and</w:t>
      </w: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7"/>
        <w:rPr>
          <w:sz w:val="16"/>
        </w:rPr>
      </w:pPr>
    </w:p>
    <w:p>
      <w:pPr>
        <w:tabs>
          <w:tab w:pos="1815" w:val="left" w:leader="none"/>
        </w:tabs>
        <w:spacing w:line="74" w:lineRule="exact" w:before="0"/>
        <w:ind w:left="642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1</w:t>
        <w:tab/>
      </w:r>
      <w:r>
        <w:rPr>
          <w:rFonts w:ascii="Cambria Math" w:eastAsia="Cambria Math"/>
          <w:spacing w:val="-123"/>
          <w:position w:val="1"/>
          <w:sz w:val="17"/>
        </w:rPr>
        <w:t>𝑃</w:t>
      </w:r>
    </w:p>
    <w:p>
      <w:pPr>
        <w:spacing w:line="169" w:lineRule="exact" w:before="96"/>
        <w:ind w:left="476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10"/>
          <w:sz w:val="17"/>
        </w:rPr>
        <w:t>−𝗌</w:t>
      </w:r>
    </w:p>
    <w:p>
      <w:pPr>
        <w:tabs>
          <w:tab w:pos="1199" w:val="left" w:leader="none"/>
        </w:tabs>
        <w:spacing w:line="169" w:lineRule="exact" w:before="96"/>
        <w:ind w:left="642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-10"/>
          <w:sz w:val="17"/>
        </w:rPr>
        <w:t>𝑃</w:t>
        <w:tab/>
      </w:r>
      <w:r>
        <w:rPr>
          <w:rFonts w:ascii="Cambria Math" w:hAnsi="Cambria Math" w:eastAsia="Cambria Math"/>
          <w:spacing w:val="-95"/>
          <w:w w:val="105"/>
          <w:sz w:val="17"/>
        </w:rPr>
        <w:t>−𝛾</w:t>
      </w:r>
    </w:p>
    <w:p>
      <w:pPr>
        <w:spacing w:line="119" w:lineRule="exact" w:before="146"/>
        <w:ind w:left="130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w w:val="105"/>
          <w:position w:val="-6"/>
          <w:sz w:val="17"/>
        </w:rPr>
        <w:t>𝑃</w:t>
      </w:r>
      <w:r>
        <w:rPr>
          <w:rFonts w:ascii="Cambria Math" w:eastAsia="Cambria Math"/>
          <w:w w:val="105"/>
          <w:sz w:val="14"/>
        </w:rPr>
        <w:t>𝑖</w:t>
      </w:r>
    </w:p>
    <w:p>
      <w:pPr>
        <w:spacing w:line="193" w:lineRule="exact" w:before="72"/>
        <w:ind w:left="200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−𝑦</w:t>
      </w:r>
    </w:p>
    <w:p>
      <w:pPr>
        <w:spacing w:after="0" w:line="193" w:lineRule="exact"/>
        <w:jc w:val="left"/>
        <w:rPr>
          <w:rFonts w:ascii="Cambria Math" w:hAns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5" w:equalWidth="0">
            <w:col w:w="1926" w:space="40"/>
            <w:col w:w="727" w:space="1711"/>
            <w:col w:w="1426" w:space="40"/>
            <w:col w:w="298" w:space="39"/>
            <w:col w:w="4153"/>
          </w:cols>
        </w:sectPr>
      </w:pPr>
    </w:p>
    <w:p>
      <w:pPr>
        <w:pStyle w:val="BodyText"/>
        <w:spacing w:line="144" w:lineRule="exact" w:before="18"/>
        <w:ind w:left="500"/>
        <w:rPr>
          <w:rFonts w:ascii="Cambria Math" w:hAnsi="Cambria Math" w:eastAsia="Cambria Math"/>
        </w:rPr>
      </w:pPr>
      <w:r>
        <w:rPr/>
        <w:pict>
          <v:shape style="position:absolute;margin-left:349.869995pt;margin-top:11.566885pt;width:5.55pt;height:8.550pt;mso-position-horizontal-relative:page;mso-position-vertical-relative:paragraph;z-index:15809024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05"/>
                      <w:sz w:val="17"/>
                    </w:rPr>
                    <w:t>𝑃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w w:val="110"/>
        </w:rPr>
        <w:t>∫</w:t>
      </w:r>
      <w:r>
        <w:rPr>
          <w:rFonts w:ascii="Cambria Math" w:hAnsi="Cambria Math" w:eastAsia="Cambria Math"/>
          <w:spacing w:val="4"/>
          <w:w w:val="110"/>
        </w:rPr>
        <w:t> </w:t>
      </w:r>
      <w:r>
        <w:rPr>
          <w:rFonts w:ascii="Cambria Math" w:hAnsi="Cambria Math" w:eastAsia="Cambria Math"/>
          <w:spacing w:val="-77"/>
          <w:w w:val="110"/>
          <w:position w:val="1"/>
        </w:rPr>
        <w:t>𝐶</w:t>
      </w:r>
      <w:r>
        <w:rPr>
          <w:rFonts w:ascii="Cambria Math" w:hAnsi="Cambria Math" w:eastAsia="Cambria Math"/>
          <w:spacing w:val="-77"/>
          <w:w w:val="110"/>
          <w:position w:val="1"/>
          <w:vertAlign w:val="superscript"/>
        </w:rPr>
        <w:t>𝑖</w:t>
      </w:r>
    </w:p>
    <w:p>
      <w:pPr>
        <w:spacing w:line="162" w:lineRule="exact" w:before="0"/>
        <w:ind w:left="418" w:right="0" w:firstLine="0"/>
        <w:jc w:val="lef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w w:val="110"/>
          <w:position w:val="-11"/>
          <w:sz w:val="24"/>
        </w:rPr>
        <w:t>=</w:t>
      </w:r>
      <w:r>
        <w:rPr>
          <w:rFonts w:ascii="Cambria Math" w:eastAsia="Cambria Math"/>
          <w:spacing w:val="7"/>
          <w:w w:val="110"/>
          <w:position w:val="-11"/>
          <w:sz w:val="24"/>
        </w:rPr>
        <w:t> </w:t>
      </w:r>
      <w:r>
        <w:rPr>
          <w:rFonts w:ascii="Cambria Math" w:eastAsia="Cambria Math"/>
          <w:w w:val="110"/>
          <w:position w:val="-11"/>
          <w:sz w:val="24"/>
        </w:rPr>
        <w:t>(</w:t>
      </w:r>
      <w:r>
        <w:rPr>
          <w:rFonts w:ascii="Cambria Math" w:eastAsia="Cambria Math"/>
          <w:spacing w:val="53"/>
          <w:w w:val="110"/>
          <w:sz w:val="24"/>
          <w:u w:val="single"/>
        </w:rPr>
        <w:t> </w:t>
      </w:r>
      <w:r>
        <w:rPr>
          <w:rFonts w:ascii="Cambria Math" w:eastAsia="Cambria Math"/>
          <w:w w:val="110"/>
          <w:sz w:val="14"/>
          <w:u w:val="single"/>
        </w:rPr>
        <w:t>𝐷,𝑡(𝑗)</w:t>
      </w:r>
      <w:r>
        <w:rPr>
          <w:rFonts w:ascii="Cambria Math" w:eastAsia="Cambria Math"/>
          <w:w w:val="110"/>
          <w:position w:val="-11"/>
          <w:sz w:val="24"/>
        </w:rPr>
        <w:t>)</w:t>
      </w:r>
    </w:p>
    <w:p>
      <w:pPr>
        <w:pStyle w:val="BodyText"/>
        <w:tabs>
          <w:tab w:pos="1697" w:val="left" w:leader="none"/>
        </w:tabs>
        <w:spacing w:line="156" w:lineRule="exact" w:before="6"/>
        <w:ind w:left="225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05"/>
        </w:rPr>
        <w:t>𝐶</w:t>
      </w:r>
      <w:r>
        <w:rPr>
          <w:rFonts w:ascii="Cambria Math" w:eastAsia="Cambria Math"/>
          <w:w w:val="105"/>
          <w:vertAlign w:val="superscript"/>
        </w:rPr>
        <w:t>𝑖</w:t>
      </w:r>
      <w:r>
        <w:rPr>
          <w:rFonts w:ascii="Cambria Math" w:eastAsia="Cambria Math"/>
          <w:w w:val="105"/>
          <w:vertAlign w:val="baseline"/>
        </w:rPr>
        <w:t> </w:t>
      </w:r>
      <w:r>
        <w:rPr>
          <w:rFonts w:ascii="Cambria Math" w:eastAsia="Cambria Math"/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where</w:t>
      </w:r>
      <w:r>
        <w:rPr>
          <w:spacing w:val="-5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𝐶</w:t>
      </w:r>
      <w:r>
        <w:rPr>
          <w:rFonts w:ascii="Cambria Math" w:eastAsia="Cambria Math"/>
          <w:w w:val="105"/>
          <w:vertAlign w:val="superscript"/>
        </w:rPr>
        <w:t>𝑖</w:t>
      </w:r>
      <w:r>
        <w:rPr>
          <w:rFonts w:ascii="Cambria Math" w:eastAsia="Cambria Math"/>
          <w:w w:val="105"/>
          <w:vertAlign w:val="baseline"/>
        </w:rPr>
        <w:tab/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7"/>
          <w:vertAlign w:val="baseline"/>
        </w:rPr>
        <w:t> </w:t>
      </w:r>
      <w:r>
        <w:rPr>
          <w:rFonts w:ascii="Cambria Math" w:eastAsia="Cambria Math"/>
          <w:position w:val="1"/>
          <w:vertAlign w:val="baseline"/>
        </w:rPr>
        <w:t>(</w:t>
      </w:r>
      <w:r>
        <w:rPr>
          <w:rFonts w:ascii="Cambria Math" w:eastAsia="Cambria Math"/>
          <w:vertAlign w:val="baseline"/>
        </w:rPr>
        <w:t>𝛼</w:t>
      </w:r>
      <w:r>
        <w:rPr>
          <w:rFonts w:ascii="Cambria Math" w:eastAsia="Cambria Math"/>
          <w:position w:val="1"/>
          <w:vertAlign w:val="baseline"/>
        </w:rPr>
        <w:t>)</w:t>
      </w:r>
      <w:r>
        <w:rPr>
          <w:rFonts w:ascii="Cambria Math" w:eastAsia="Cambria Math"/>
          <w:spacing w:val="-12"/>
          <w:position w:val="1"/>
          <w:vertAlign w:val="baseline"/>
        </w:rPr>
        <w:t> </w:t>
      </w:r>
      <w:r>
        <w:rPr>
          <w:rFonts w:ascii="Cambria Math" w:eastAsia="Cambria Math"/>
          <w:vertAlign w:val="baseline"/>
        </w:rPr>
        <w:t>(</w:t>
      </w:r>
      <w:r>
        <w:rPr>
          <w:rFonts w:ascii="Cambria Math" w:eastAsia="Cambria Math"/>
          <w:u w:val="single"/>
          <w:vertAlign w:val="superscript"/>
        </w:rPr>
        <w:t> </w:t>
      </w:r>
      <w:r>
        <w:rPr>
          <w:rFonts w:ascii="Cambria Math" w:eastAsia="Cambria Math"/>
          <w:u w:val="single"/>
          <w:vertAlign w:val="baseline"/>
        </w:rPr>
        <w:t>  </w:t>
      </w:r>
      <w:r>
        <w:rPr>
          <w:rFonts w:ascii="Cambria Math" w:eastAsia="Cambria Math"/>
          <w:spacing w:val="26"/>
          <w:u w:val="single"/>
          <w:vertAlign w:val="baseline"/>
        </w:rPr>
        <w:t> </w:t>
      </w:r>
      <w:r>
        <w:rPr>
          <w:rFonts w:ascii="Cambria Math" w:eastAsia="Cambria Math"/>
          <w:u w:val="single"/>
          <w:vertAlign w:val="superscript"/>
        </w:rPr>
        <w:t>𝐷,𝑡</w:t>
      </w:r>
      <w:r>
        <w:rPr>
          <w:rFonts w:ascii="Cambria Math" w:eastAsia="Cambria Math"/>
          <w:spacing w:val="73"/>
          <w:u w:val="single"/>
          <w:vertAlign w:val="baseline"/>
        </w:rPr>
        <w:t> </w:t>
      </w:r>
      <w:r>
        <w:rPr>
          <w:rFonts w:ascii="Cambria Math" w:eastAsia="Cambria Math"/>
          <w:vertAlign w:val="baseline"/>
        </w:rPr>
        <w:t>)</w:t>
      </w:r>
    </w:p>
    <w:p>
      <w:pPr>
        <w:spacing w:line="162" w:lineRule="exact" w:before="0"/>
        <w:ind w:left="239" w:right="0" w:firstLine="0"/>
        <w:jc w:val="lef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w w:val="115"/>
          <w:position w:val="-10"/>
          <w:sz w:val="24"/>
        </w:rPr>
        <w:t>(</w:t>
      </w:r>
      <w:r>
        <w:rPr>
          <w:rFonts w:ascii="Cambria Math" w:eastAsia="Cambria Math"/>
          <w:spacing w:val="28"/>
          <w:w w:val="115"/>
          <w:sz w:val="24"/>
          <w:u w:val="single"/>
        </w:rPr>
        <w:t> </w:t>
      </w:r>
      <w:r>
        <w:rPr>
          <w:rFonts w:ascii="Cambria Math" w:eastAsia="Cambria Math"/>
          <w:w w:val="115"/>
          <w:sz w:val="14"/>
          <w:u w:val="single"/>
        </w:rPr>
        <w:t>𝐹,𝑡</w:t>
      </w:r>
      <w:r>
        <w:rPr>
          <w:rFonts w:ascii="Cambria Math" w:eastAsia="Cambria Math"/>
          <w:w w:val="115"/>
          <w:position w:val="-10"/>
          <w:sz w:val="24"/>
        </w:rPr>
        <w:t>)</w:t>
      </w:r>
    </w:p>
    <w:p>
      <w:pPr>
        <w:spacing w:line="162" w:lineRule="exact" w:before="0"/>
        <w:ind w:left="242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position w:val="-8"/>
          <w:sz w:val="24"/>
        </w:rPr>
        <w:t>𝐶</w:t>
      </w:r>
      <w:r>
        <w:rPr>
          <w:rFonts w:ascii="Cambria Math" w:eastAsia="Cambria Math"/>
          <w:w w:val="105"/>
          <w:sz w:val="17"/>
        </w:rPr>
        <w:t>𝑖</w:t>
      </w:r>
    </w:p>
    <w:p>
      <w:pPr>
        <w:spacing w:after="0" w:line="162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5" w:equalWidth="0">
            <w:col w:w="995" w:space="40"/>
            <w:col w:w="1409" w:space="39"/>
            <w:col w:w="3120" w:space="39"/>
            <w:col w:w="767" w:space="40"/>
            <w:col w:w="3911"/>
          </w:cols>
        </w:sectPr>
      </w:pPr>
    </w:p>
    <w:p>
      <w:pPr>
        <w:tabs>
          <w:tab w:pos="908" w:val="left" w:leader="none"/>
        </w:tabs>
        <w:spacing w:line="211" w:lineRule="auto" w:before="0"/>
        <w:ind w:left="594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position w:val="-3"/>
          <w:sz w:val="17"/>
        </w:rPr>
        <w:t>0</w:t>
        <w:tab/>
      </w:r>
      <w:r>
        <w:rPr>
          <w:rFonts w:ascii="Cambria Math" w:eastAsia="Cambria Math"/>
          <w:w w:val="105"/>
          <w:sz w:val="17"/>
        </w:rPr>
        <w:t>𝐷,𝑡(𝑗)</w:t>
      </w:r>
    </w:p>
    <w:p>
      <w:pPr>
        <w:spacing w:before="44"/>
        <w:ind w:left="494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w w:val="110"/>
          <w:position w:val="3"/>
          <w:sz w:val="17"/>
        </w:rPr>
        <w:t>𝑃</w:t>
      </w:r>
      <w:r>
        <w:rPr>
          <w:rFonts w:ascii="Cambria Math" w:eastAsia="Cambria Math"/>
          <w:w w:val="110"/>
          <w:sz w:val="14"/>
        </w:rPr>
        <w:t>𝐷,𝑡</w:t>
      </w:r>
    </w:p>
    <w:p>
      <w:pPr>
        <w:spacing w:line="173" w:lineRule="exact" w:before="0"/>
        <w:ind w:left="0" w:right="38" w:firstLine="0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𝐷,𝑡</w:t>
      </w:r>
    </w:p>
    <w:p>
      <w:pPr>
        <w:spacing w:line="173" w:lineRule="exact" w:before="0"/>
        <w:ind w:left="0" w:right="38" w:firstLine="0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𝐷,𝑡</w:t>
      </w:r>
    </w:p>
    <w:p>
      <w:pPr>
        <w:spacing w:before="39"/>
        <w:ind w:left="594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w w:val="110"/>
          <w:position w:val="4"/>
          <w:sz w:val="17"/>
        </w:rPr>
        <w:t>𝗌</w:t>
      </w:r>
      <w:r>
        <w:rPr>
          <w:rFonts w:ascii="Cambria Math" w:eastAsia="Cambria Math"/>
          <w:w w:val="110"/>
          <w:sz w:val="14"/>
        </w:rPr>
        <w:t>𝑖,𝑡</w:t>
      </w:r>
      <w:r>
        <w:rPr>
          <w:rFonts w:ascii="Cambria Math" w:eastAsia="Cambria Math"/>
          <w:w w:val="110"/>
          <w:position w:val="4"/>
          <w:sz w:val="17"/>
        </w:rPr>
        <w:t>𝑃</w:t>
      </w:r>
      <w:r>
        <w:rPr>
          <w:rFonts w:ascii="Cambria Math" w:eastAsia="Cambria Math"/>
          <w:w w:val="110"/>
          <w:sz w:val="14"/>
        </w:rPr>
        <w:t>𝐹,𝑡</w:t>
      </w:r>
    </w:p>
    <w:p>
      <w:pPr>
        <w:tabs>
          <w:tab w:pos="1265" w:val="left" w:leader="none"/>
        </w:tabs>
        <w:spacing w:line="146" w:lineRule="exact" w:before="0"/>
        <w:ind w:left="618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5"/>
          <w:sz w:val="14"/>
        </w:rPr>
        <w:t>𝑖</w:t>
        <w:tab/>
      </w:r>
      <w:r>
        <w:rPr>
          <w:rFonts w:ascii="Cambria Math" w:eastAsia="Cambria Math"/>
          <w:w w:val="115"/>
          <w:sz w:val="17"/>
        </w:rPr>
        <w:t>𝑡</w:t>
      </w:r>
    </w:p>
    <w:p>
      <w:pPr>
        <w:spacing w:line="138" w:lineRule="exact" w:before="0"/>
        <w:ind w:left="594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20"/>
          <w:sz w:val="14"/>
        </w:rPr>
        <w:t>𝑡</w:t>
      </w:r>
    </w:p>
    <w:p>
      <w:pPr>
        <w:spacing w:after="0" w:line="138" w:lineRule="exact"/>
        <w:jc w:val="left"/>
        <w:rPr>
          <w:rFonts w:ascii="Cambria Math" w:eastAsia="Cambria Math"/>
          <w:sz w:val="14"/>
        </w:rPr>
        <w:sectPr>
          <w:type w:val="continuous"/>
          <w:pgSz w:w="12240" w:h="15840"/>
          <w:pgMar w:top="1500" w:bottom="1120" w:left="940" w:right="940"/>
          <w:cols w:num="6" w:equalWidth="0">
            <w:col w:w="1376" w:space="40"/>
            <w:col w:w="810" w:space="39"/>
            <w:col w:w="850" w:space="154"/>
            <w:col w:w="870" w:space="200"/>
            <w:col w:w="1138" w:space="78"/>
            <w:col w:w="4805"/>
          </w:cols>
        </w:sectPr>
      </w:pPr>
    </w:p>
    <w:p>
      <w:pPr>
        <w:pStyle w:val="BodyText"/>
        <w:spacing w:before="10"/>
        <w:rPr>
          <w:rFonts w:ascii="Cambria Math"/>
          <w:sz w:val="18"/>
        </w:rPr>
      </w:pPr>
    </w:p>
    <w:p>
      <w:pPr>
        <w:pStyle w:val="BodyText"/>
        <w:spacing w:line="360" w:lineRule="auto" w:before="90"/>
        <w:ind w:left="500" w:right="497"/>
      </w:pPr>
      <w:r>
        <w:rPr/>
        <w:t>Equation</w:t>
      </w:r>
      <w:r>
        <w:rPr>
          <w:spacing w:val="-14"/>
        </w:rPr>
        <w:t> </w:t>
      </w:r>
      <w:r>
        <w:rPr/>
        <w:t>(4.109)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/>
        <w:t>inserted</w:t>
      </w:r>
      <w:r>
        <w:rPr>
          <w:spacing w:val="-14"/>
        </w:rPr>
        <w:t> </w:t>
      </w:r>
      <w:r>
        <w:rPr/>
        <w:t>into</w:t>
      </w:r>
      <w:r>
        <w:rPr>
          <w:spacing w:val="-14"/>
        </w:rPr>
        <w:t> </w:t>
      </w:r>
      <w:r>
        <w:rPr/>
        <w:t>aggregate</w:t>
      </w:r>
      <w:r>
        <w:rPr>
          <w:spacing w:val="-14"/>
        </w:rPr>
        <w:t> </w:t>
      </w:r>
      <w:r>
        <w:rPr/>
        <w:t>domestic</w:t>
      </w:r>
      <w:r>
        <w:rPr>
          <w:spacing w:val="-14"/>
        </w:rPr>
        <w:t> </w:t>
      </w:r>
      <w:r>
        <w:rPr/>
        <w:t>output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equation</w:t>
      </w:r>
      <w:r>
        <w:rPr>
          <w:spacing w:val="-11"/>
        </w:rPr>
        <w:t> </w:t>
      </w:r>
      <w:r>
        <w:rPr/>
        <w:t>(4.110)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get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aggregate</w:t>
      </w:r>
      <w:r>
        <w:rPr>
          <w:spacing w:val="-57"/>
        </w:rPr>
        <w:t> </w:t>
      </w:r>
      <w:r>
        <w:rPr/>
        <w:t>domestic</w:t>
      </w:r>
      <w:r>
        <w:rPr>
          <w:spacing w:val="-2"/>
        </w:rPr>
        <w:t> </w:t>
      </w:r>
      <w:r>
        <w:rPr/>
        <w:t>and foreign demands (exports)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locally</w:t>
      </w:r>
      <w:r>
        <w:rPr>
          <w:spacing w:val="-5"/>
        </w:rPr>
        <w:t> </w:t>
      </w:r>
      <w:r>
        <w:rPr/>
        <w:t>produced</w:t>
      </w:r>
      <w:r>
        <w:rPr>
          <w:spacing w:val="2"/>
        </w:rPr>
        <w:t> </w:t>
      </w:r>
      <w:r>
        <w:rPr/>
        <w:t>goods.</w:t>
      </w:r>
    </w:p>
    <w:p>
      <w:pPr>
        <w:spacing w:after="0" w:line="360" w:lineRule="auto"/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rPr>
          <w:sz w:val="16"/>
        </w:rPr>
      </w:pPr>
    </w:p>
    <w:p>
      <w:pPr>
        <w:spacing w:line="141" w:lineRule="exact" w:before="131"/>
        <w:ind w:left="0" w:right="180" w:firstLine="0"/>
        <w:jc w:val="righ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1</w:t>
      </w:r>
    </w:p>
    <w:p>
      <w:pPr>
        <w:pStyle w:val="BodyText"/>
        <w:spacing w:line="83" w:lineRule="exact"/>
        <w:ind w:left="50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position w:val="1"/>
        </w:rPr>
        <w:t>𝑌</w:t>
      </w:r>
      <w:r>
        <w:rPr>
          <w:rFonts w:ascii="Cambria Math" w:hAnsi="Cambria Math" w:eastAsia="Cambria Math"/>
          <w:spacing w:val="66"/>
          <w:position w:val="1"/>
        </w:rPr>
        <w:t> </w:t>
      </w:r>
      <w:r>
        <w:rPr>
          <w:rFonts w:ascii="Cambria Math" w:hAnsi="Cambria Math" w:eastAsia="Cambria Math"/>
          <w:position w:val="1"/>
        </w:rPr>
        <w:t>=</w:t>
      </w:r>
      <w:r>
        <w:rPr>
          <w:rFonts w:ascii="Cambria Math" w:hAnsi="Cambria Math" w:eastAsia="Cambria Math"/>
          <w:spacing w:val="13"/>
          <w:position w:val="1"/>
        </w:rPr>
        <w:t> </w:t>
      </w:r>
      <w:r>
        <w:rPr>
          <w:rFonts w:ascii="Cambria Math" w:hAnsi="Cambria Math" w:eastAsia="Cambria Math"/>
          <w:position w:val="1"/>
        </w:rPr>
        <w:t>[</w:t>
      </w:r>
      <w:r>
        <w:rPr>
          <w:rFonts w:ascii="Cambria Math" w:hAnsi="Cambria Math" w:eastAsia="Cambria Math"/>
        </w:rPr>
        <w:t>∫</w:t>
      </w:r>
      <w:r>
        <w:rPr>
          <w:rFonts w:ascii="Cambria Math" w:hAnsi="Cambria Math" w:eastAsia="Cambria Math"/>
          <w:spacing w:val="88"/>
        </w:rPr>
        <w:t> </w:t>
      </w:r>
      <w:r>
        <w:rPr>
          <w:rFonts w:ascii="Cambria Math" w:hAnsi="Cambria Math" w:eastAsia="Cambria Math"/>
          <w:spacing w:val="-168"/>
          <w:position w:val="1"/>
        </w:rPr>
        <w:t>𝑌</w:t>
      </w:r>
    </w:p>
    <w:p>
      <w:pPr>
        <w:pStyle w:val="BodyText"/>
        <w:spacing w:before="11"/>
        <w:rPr>
          <w:rFonts w:ascii="Cambria Math"/>
          <w:sz w:val="14"/>
        </w:rPr>
      </w:pPr>
      <w:r>
        <w:rPr/>
        <w:br w:type="column"/>
      </w:r>
      <w:r>
        <w:rPr>
          <w:rFonts w:ascii="Cambria Math"/>
          <w:sz w:val="14"/>
        </w:rPr>
      </w:r>
    </w:p>
    <w:p>
      <w:pPr>
        <w:spacing w:line="156" w:lineRule="exact" w:before="0"/>
        <w:ind w:left="1044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30"/>
          <w:sz w:val="14"/>
        </w:rPr>
        <w:t>𝗌</w:t>
      </w:r>
    </w:p>
    <w:p>
      <w:pPr>
        <w:pStyle w:val="BodyText"/>
        <w:spacing w:line="20" w:lineRule="exact"/>
        <w:ind w:left="95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3.2pt;height:.6pt;mso-position-horizontal-relative:char;mso-position-vertical-relative:line" coordorigin="0,0" coordsize="264,12">
            <v:rect style="position:absolute;left:0;top:0;width:264;height: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55" w:lineRule="auto" w:before="48"/>
        <w:ind w:left="276" w:right="0" w:firstLine="0"/>
        <w:jc w:val="left"/>
        <w:rPr>
          <w:rFonts w:ascii="Cambria Math" w:hAnsi="Cambria Math" w:eastAsia="Cambria Math"/>
          <w:sz w:val="24"/>
        </w:rPr>
      </w:pPr>
      <w:r>
        <w:rPr>
          <w:rFonts w:ascii="Cambria Math" w:hAnsi="Cambria Math" w:eastAsia="Cambria Math"/>
          <w:w w:val="105"/>
          <w:position w:val="1"/>
          <w:sz w:val="17"/>
        </w:rPr>
        <w:t>𝗌−1</w:t>
      </w:r>
      <w:r>
        <w:rPr>
          <w:rFonts w:ascii="Cambria Math" w:hAnsi="Cambria Math" w:eastAsia="Cambria Math"/>
          <w:spacing w:val="-4"/>
          <w:w w:val="105"/>
          <w:position w:val="1"/>
          <w:sz w:val="17"/>
        </w:rPr>
        <w:t> </w:t>
      </w:r>
      <w:r>
        <w:rPr>
          <w:rFonts w:ascii="Cambria Math" w:hAnsi="Cambria Math" w:eastAsia="Cambria Math"/>
          <w:w w:val="105"/>
          <w:position w:val="-12"/>
          <w:sz w:val="24"/>
        </w:rPr>
        <w:t>𝑑𝑗]</w:t>
      </w:r>
      <w:r>
        <w:rPr>
          <w:rFonts w:ascii="Cambria Math" w:hAnsi="Cambria Math" w:eastAsia="Cambria Math"/>
          <w:w w:val="105"/>
          <w:sz w:val="14"/>
        </w:rPr>
        <w:t>𝗌−1 </w:t>
      </w:r>
      <w:r>
        <w:rPr>
          <w:rFonts w:ascii="Cambria Math" w:hAnsi="Cambria Math" w:eastAsia="Cambria Math"/>
          <w:spacing w:val="1"/>
          <w:w w:val="105"/>
          <w:sz w:val="14"/>
        </w:rPr>
        <w:t> </w:t>
      </w:r>
      <w:r>
        <w:rPr>
          <w:rFonts w:ascii="Cambria Math" w:hAnsi="Cambria Math" w:eastAsia="Cambria Math"/>
          <w:w w:val="105"/>
          <w:position w:val="-12"/>
          <w:sz w:val="24"/>
        </w:rPr>
        <w:t>=</w:t>
      </w:r>
      <w:r>
        <w:rPr>
          <w:rFonts w:ascii="Cambria Math" w:hAnsi="Cambria Math" w:eastAsia="Cambria Math"/>
          <w:spacing w:val="5"/>
          <w:w w:val="105"/>
          <w:position w:val="-12"/>
          <w:sz w:val="24"/>
        </w:rPr>
        <w:t> </w:t>
      </w:r>
      <w:r>
        <w:rPr>
          <w:rFonts w:ascii="Cambria Math" w:hAnsi="Cambria Math" w:eastAsia="Cambria Math"/>
          <w:spacing w:val="-167"/>
          <w:w w:val="105"/>
          <w:position w:val="-12"/>
          <w:sz w:val="24"/>
        </w:rPr>
        <w:t>𝐶</w:t>
      </w:r>
    </w:p>
    <w:p>
      <w:pPr>
        <w:pStyle w:val="BodyText"/>
        <w:spacing w:line="20" w:lineRule="exact"/>
        <w:ind w:left="276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5.6pt;height:.85pt;mso-position-horizontal-relative:char;mso-position-vertical-relative:line" coordorigin="0,0" coordsize="312,17">
            <v:rect style="position:absolute;left:0;top:0;width:312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before="8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tabs>
          <w:tab w:pos="1367" w:val="left" w:leader="none"/>
        </w:tabs>
        <w:spacing w:line="225" w:lineRule="exact"/>
        <w:ind w:left="248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position w:val="1"/>
        </w:rPr>
        <w:t>+</w:t>
      </w:r>
      <w:r>
        <w:rPr>
          <w:rFonts w:ascii="Cambria Math" w:hAnsi="Cambria Math" w:eastAsia="Cambria Math"/>
          <w:spacing w:val="4"/>
          <w:position w:val="1"/>
        </w:rPr>
        <w:t> </w:t>
      </w:r>
      <w:r>
        <w:rPr>
          <w:rFonts w:ascii="Cambria Math" w:hAnsi="Cambria Math" w:eastAsia="Cambria Math"/>
        </w:rPr>
        <w:t>∫</w:t>
      </w:r>
      <w:r>
        <w:rPr>
          <w:rFonts w:ascii="Cambria Math" w:hAnsi="Cambria Math" w:eastAsia="Cambria Math"/>
          <w:position w:val="16"/>
          <w:sz w:val="17"/>
        </w:rPr>
        <w:t>1</w:t>
      </w:r>
      <w:r>
        <w:rPr>
          <w:rFonts w:ascii="Cambria Math" w:hAnsi="Cambria Math" w:eastAsia="Cambria Math"/>
          <w:spacing w:val="4"/>
          <w:position w:val="16"/>
          <w:sz w:val="17"/>
        </w:rPr>
        <w:t> </w:t>
      </w:r>
      <w:r>
        <w:rPr>
          <w:rFonts w:ascii="Cambria Math" w:hAnsi="Cambria Math" w:eastAsia="Cambria Math"/>
          <w:position w:val="1"/>
        </w:rPr>
        <w:t>𝐶</w:t>
      </w:r>
      <w:r>
        <w:rPr>
          <w:rFonts w:ascii="Cambria Math" w:hAnsi="Cambria Math" w:eastAsia="Cambria Math"/>
          <w:position w:val="1"/>
          <w:vertAlign w:val="superscript"/>
        </w:rPr>
        <w:t>𝑖</w:t>
      </w:r>
      <w:r>
        <w:rPr>
          <w:rFonts w:ascii="Cambria Math" w:hAnsi="Cambria Math" w:eastAsia="Cambria Math"/>
          <w:position w:val="1"/>
          <w:vertAlign w:val="baseline"/>
        </w:rPr>
        <w:tab/>
        <w:t>𝑑𝑖</w:t>
      </w:r>
      <w:r>
        <w:rPr>
          <w:rFonts w:ascii="Cambria Math" w:hAnsi="Cambria Math" w:eastAsia="Cambria Math"/>
          <w:spacing w:val="7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+ 𝐺</w:t>
      </w:r>
    </w:p>
    <w:p>
      <w:pPr>
        <w:pStyle w:val="BodyText"/>
        <w:rPr>
          <w:rFonts w:ascii="Cambria Math"/>
          <w:sz w:val="34"/>
        </w:rPr>
      </w:pPr>
      <w:r>
        <w:rPr/>
        <w:br w:type="column"/>
      </w:r>
      <w:r>
        <w:rPr>
          <w:rFonts w:ascii="Cambria Math"/>
          <w:sz w:val="34"/>
        </w:rPr>
      </w:r>
    </w:p>
    <w:p>
      <w:pPr>
        <w:pStyle w:val="BodyText"/>
        <w:spacing w:line="139" w:lineRule="exact"/>
        <w:ind w:left="500"/>
      </w:pPr>
      <w:r>
        <w:rPr/>
        <w:t>(4.110)</w:t>
      </w:r>
    </w:p>
    <w:p>
      <w:pPr>
        <w:spacing w:after="0" w:line="139" w:lineRule="exact"/>
        <w:sectPr>
          <w:type w:val="continuous"/>
          <w:pgSz w:w="12240" w:h="15840"/>
          <w:pgMar w:top="1500" w:bottom="1120" w:left="940" w:right="940"/>
          <w:cols w:num="4" w:equalWidth="0">
            <w:col w:w="1519" w:space="40"/>
            <w:col w:w="1678" w:space="39"/>
            <w:col w:w="2068" w:space="2938"/>
            <w:col w:w="2078"/>
          </w:cols>
        </w:sectPr>
      </w:pPr>
    </w:p>
    <w:p>
      <w:pPr>
        <w:tabs>
          <w:tab w:pos="1189" w:val="left" w:leader="none"/>
        </w:tabs>
        <w:spacing w:line="165" w:lineRule="auto" w:before="0"/>
        <w:ind w:left="606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</w:t>
        <w:tab/>
      </w:r>
      <w:r>
        <w:rPr>
          <w:rFonts w:ascii="Cambria Math" w:eastAsia="Cambria Math"/>
          <w:spacing w:val="-12"/>
          <w:w w:val="110"/>
          <w:position w:val="-4"/>
          <w:sz w:val="17"/>
        </w:rPr>
        <w:t>0</w:t>
      </w:r>
    </w:p>
    <w:p>
      <w:pPr>
        <w:spacing w:line="165" w:lineRule="auto" w:before="0"/>
        <w:ind w:left="151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5"/>
          <w:sz w:val="17"/>
        </w:rPr>
        <w:t>𝑡(𝑗)  </w:t>
      </w:r>
      <w:r>
        <w:rPr>
          <w:rFonts w:ascii="Cambria Math" w:eastAsia="Cambria Math"/>
          <w:spacing w:val="31"/>
          <w:w w:val="115"/>
          <w:sz w:val="17"/>
        </w:rPr>
        <w:t> </w:t>
      </w:r>
      <w:r>
        <w:rPr>
          <w:rFonts w:ascii="Cambria Math" w:eastAsia="Cambria Math"/>
          <w:w w:val="115"/>
          <w:position w:val="-6"/>
          <w:sz w:val="17"/>
        </w:rPr>
        <w:t>𝗌</w:t>
      </w:r>
    </w:p>
    <w:p>
      <w:pPr>
        <w:spacing w:line="151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𝐷,𝑡</w:t>
      </w:r>
    </w:p>
    <w:p>
      <w:pPr>
        <w:tabs>
          <w:tab w:pos="667" w:val="left" w:leader="none"/>
          <w:tab w:pos="1797" w:val="left" w:leader="none"/>
        </w:tabs>
        <w:spacing w:line="184" w:lineRule="auto" w:before="0"/>
        <w:ind w:left="352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position w:val="-3"/>
          <w:sz w:val="17"/>
        </w:rPr>
        <w:t>0</w:t>
        <w:tab/>
      </w:r>
      <w:r>
        <w:rPr>
          <w:rFonts w:ascii="Cambria Math" w:eastAsia="Cambria Math"/>
          <w:w w:val="110"/>
          <w:sz w:val="17"/>
        </w:rPr>
        <w:t>𝐷,𝑡(𝑗)</w:t>
        <w:tab/>
      </w:r>
      <w:r>
        <w:rPr>
          <w:rFonts w:ascii="Cambria Math" w:eastAsia="Cambria Math"/>
          <w:w w:val="110"/>
          <w:position w:val="1"/>
          <w:sz w:val="17"/>
        </w:rPr>
        <w:t>𝑡</w:t>
      </w:r>
    </w:p>
    <w:p>
      <w:pPr>
        <w:spacing w:after="0" w:line="184" w:lineRule="auto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4" w:equalWidth="0">
            <w:col w:w="1288" w:space="40"/>
            <w:col w:w="744" w:space="545"/>
            <w:col w:w="842" w:space="39"/>
            <w:col w:w="6862"/>
          </w:cols>
        </w:sectPr>
      </w:pPr>
    </w:p>
    <w:p>
      <w:pPr>
        <w:pStyle w:val="BodyText"/>
        <w:spacing w:before="7"/>
        <w:rPr>
          <w:rFonts w:ascii="Cambria Math"/>
          <w:sz w:val="19"/>
        </w:rPr>
      </w:pPr>
    </w:p>
    <w:p>
      <w:pPr>
        <w:spacing w:after="0"/>
        <w:rPr>
          <w:rFonts w:ascii="Cambria Math"/>
          <w:sz w:val="19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90"/>
        <w:ind w:left="500"/>
      </w:pPr>
      <w:r>
        <w:rPr/>
        <w:t>It</w:t>
      </w:r>
      <w:r>
        <w:rPr>
          <w:spacing w:val="-2"/>
        </w:rPr>
        <w:t> </w:t>
      </w:r>
      <w:r>
        <w:rPr/>
        <w:t>becomes:</w:t>
      </w:r>
    </w:p>
    <w:p>
      <w:pPr>
        <w:pStyle w:val="BodyText"/>
        <w:spacing w:before="8"/>
        <w:rPr>
          <w:sz w:val="33"/>
        </w:rPr>
      </w:pPr>
    </w:p>
    <w:p>
      <w:pPr>
        <w:pStyle w:val="BodyText"/>
        <w:spacing w:line="125" w:lineRule="exac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𝑃</w:t>
      </w:r>
    </w:p>
    <w:p>
      <w:pPr>
        <w:pStyle w:val="BodyText"/>
        <w:rPr>
          <w:rFonts w:ascii="Cambria Math"/>
          <w:sz w:val="16"/>
        </w:rPr>
      </w:pPr>
      <w:r>
        <w:rPr/>
        <w:br w:type="column"/>
      </w:r>
      <w:r>
        <w:rPr>
          <w:rFonts w:ascii="Cambria Math"/>
          <w:sz w:val="16"/>
        </w:rPr>
      </w:r>
    </w:p>
    <w:p>
      <w:pPr>
        <w:pStyle w:val="BodyText"/>
        <w:rPr>
          <w:rFonts w:ascii="Cambria Math"/>
          <w:sz w:val="16"/>
        </w:rPr>
      </w:pPr>
    </w:p>
    <w:p>
      <w:pPr>
        <w:pStyle w:val="BodyText"/>
        <w:rPr>
          <w:rFonts w:ascii="Cambria Math"/>
          <w:sz w:val="16"/>
        </w:rPr>
      </w:pPr>
    </w:p>
    <w:p>
      <w:pPr>
        <w:pStyle w:val="BodyText"/>
        <w:spacing w:before="8"/>
        <w:rPr>
          <w:rFonts w:ascii="Cambria Math"/>
          <w:sz w:val="12"/>
        </w:rPr>
      </w:pPr>
    </w:p>
    <w:p>
      <w:pPr>
        <w:spacing w:line="166" w:lineRule="exact" w:before="0"/>
        <w:ind w:left="303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−𝑦</w:t>
      </w:r>
    </w:p>
    <w:p>
      <w:pPr>
        <w:pStyle w:val="BodyText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sz w:val="28"/>
        </w:rPr>
      </w:r>
    </w:p>
    <w:p>
      <w:pPr>
        <w:pStyle w:val="BodyText"/>
        <w:spacing w:before="2"/>
        <w:rPr>
          <w:rFonts w:ascii="Cambria Math"/>
          <w:sz w:val="34"/>
        </w:rPr>
      </w:pPr>
    </w:p>
    <w:p>
      <w:pPr>
        <w:tabs>
          <w:tab w:pos="917" w:val="left" w:leader="none"/>
        </w:tabs>
        <w:spacing w:line="149" w:lineRule="exact" w:before="0"/>
        <w:ind w:left="500" w:right="0" w:firstLine="0"/>
        <w:jc w:val="left"/>
        <w:rPr>
          <w:rFonts w:ascii="Cambria Math" w:eastAsia="Cambria Math"/>
          <w:sz w:val="24"/>
        </w:rPr>
      </w:pPr>
      <w:r>
        <w:rPr>
          <w:rFonts w:ascii="Cambria Math" w:eastAsia="Cambria Math"/>
          <w:sz w:val="17"/>
        </w:rPr>
        <w:t>1</w:t>
        <w:tab/>
      </w:r>
      <w:r>
        <w:rPr>
          <w:rFonts w:ascii="Cambria Math" w:eastAsia="Cambria Math"/>
          <w:spacing w:val="-166"/>
          <w:position w:val="-8"/>
          <w:sz w:val="24"/>
        </w:rPr>
        <w:t>𝑃</w:t>
      </w:r>
    </w:p>
    <w:p>
      <w:pPr>
        <w:pStyle w:val="BodyText"/>
        <w:rPr>
          <w:rFonts w:ascii="Cambria Math"/>
          <w:sz w:val="16"/>
        </w:rPr>
      </w:pPr>
      <w:r>
        <w:rPr/>
        <w:br w:type="column"/>
      </w:r>
      <w:r>
        <w:rPr>
          <w:rFonts w:ascii="Cambria Math"/>
          <w:sz w:val="16"/>
        </w:rPr>
      </w:r>
    </w:p>
    <w:p>
      <w:pPr>
        <w:pStyle w:val="BodyText"/>
        <w:rPr>
          <w:rFonts w:ascii="Cambria Math"/>
          <w:sz w:val="16"/>
        </w:rPr>
      </w:pPr>
    </w:p>
    <w:p>
      <w:pPr>
        <w:pStyle w:val="BodyText"/>
        <w:rPr>
          <w:rFonts w:ascii="Cambria Math"/>
          <w:sz w:val="16"/>
        </w:rPr>
      </w:pPr>
    </w:p>
    <w:p>
      <w:pPr>
        <w:spacing w:line="197" w:lineRule="exact" w:before="118"/>
        <w:ind w:left="0" w:right="0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−𝛾</w:t>
      </w:r>
    </w:p>
    <w:p>
      <w:pPr>
        <w:pStyle w:val="BodyText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sz w:val="28"/>
        </w:rPr>
      </w:r>
    </w:p>
    <w:p>
      <w:pPr>
        <w:pStyle w:val="BodyText"/>
        <w:spacing w:before="11"/>
        <w:rPr>
          <w:rFonts w:ascii="Cambria Math"/>
          <w:sz w:val="33"/>
        </w:rPr>
      </w:pPr>
    </w:p>
    <w:p>
      <w:pPr>
        <w:spacing w:line="152" w:lineRule="exact" w:before="0"/>
        <w:ind w:left="149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position w:val="-8"/>
          <w:sz w:val="24"/>
        </w:rPr>
        <w:t>𝑃</w:t>
      </w:r>
      <w:r>
        <w:rPr>
          <w:rFonts w:ascii="Cambria Math" w:eastAsia="Cambria Math"/>
          <w:sz w:val="17"/>
        </w:rPr>
        <w:t>𝑖</w:t>
      </w:r>
    </w:p>
    <w:p>
      <w:pPr>
        <w:pStyle w:val="BodyText"/>
        <w:rPr>
          <w:rFonts w:ascii="Cambria Math"/>
          <w:sz w:val="16"/>
        </w:rPr>
      </w:pPr>
      <w:r>
        <w:rPr/>
        <w:br w:type="column"/>
      </w:r>
      <w:r>
        <w:rPr>
          <w:rFonts w:ascii="Cambria Math"/>
          <w:sz w:val="16"/>
        </w:rPr>
      </w:r>
    </w:p>
    <w:p>
      <w:pPr>
        <w:pStyle w:val="BodyText"/>
        <w:rPr>
          <w:rFonts w:ascii="Cambria Math"/>
          <w:sz w:val="16"/>
        </w:rPr>
      </w:pPr>
    </w:p>
    <w:p>
      <w:pPr>
        <w:pStyle w:val="BodyText"/>
        <w:rPr>
          <w:rFonts w:ascii="Cambria Math"/>
          <w:sz w:val="16"/>
        </w:rPr>
      </w:pPr>
    </w:p>
    <w:p>
      <w:pPr>
        <w:spacing w:before="99"/>
        <w:ind w:left="243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−𝑦</w:t>
      </w:r>
    </w:p>
    <w:p>
      <w:pPr>
        <w:spacing w:after="0"/>
        <w:jc w:val="left"/>
        <w:rPr>
          <w:rFonts w:ascii="Cambria Math" w:hAns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6" w:equalWidth="0">
            <w:col w:w="2085" w:space="40"/>
            <w:col w:w="571" w:space="403"/>
            <w:col w:w="1067" w:space="39"/>
            <w:col w:w="688" w:space="40"/>
            <w:col w:w="363" w:space="40"/>
            <w:col w:w="5024"/>
          </w:cols>
        </w:sectPr>
      </w:pPr>
    </w:p>
    <w:p>
      <w:pPr>
        <w:spacing w:line="202" w:lineRule="exact" w:before="0"/>
        <w:ind w:left="500" w:right="0" w:firstLine="0"/>
        <w:jc w:val="left"/>
        <w:rPr>
          <w:rFonts w:ascii="Cambria Math" w:hAnsi="Cambria Math" w:eastAsia="Cambria Math"/>
          <w:sz w:val="24"/>
        </w:rPr>
      </w:pPr>
      <w:r>
        <w:rPr/>
        <w:pict>
          <v:shape style="position:absolute;margin-left:222.529999pt;margin-top:19.083776pt;width:4.95pt;height:8.550pt;mso-position-horizontal-relative:page;mso-position-vertical-relative:paragraph;z-index:-2138572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104"/>
                      <w:sz w:val="17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z w:val="24"/>
        </w:rPr>
        <w:t>𝑌</w:t>
      </w:r>
      <w:r>
        <w:rPr>
          <w:rFonts w:ascii="Cambria Math" w:hAnsi="Cambria Math" w:eastAsia="Cambria Math"/>
          <w:spacing w:val="80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21"/>
          <w:sz w:val="24"/>
        </w:rPr>
        <w:t> </w:t>
      </w:r>
      <w:r>
        <w:rPr>
          <w:rFonts w:ascii="Cambria Math" w:hAnsi="Cambria Math" w:eastAsia="Cambria Math"/>
          <w:position w:val="1"/>
          <w:sz w:val="24"/>
        </w:rPr>
        <w:t>(</w:t>
      </w:r>
      <w:r>
        <w:rPr>
          <w:rFonts w:ascii="Cambria Math" w:hAnsi="Cambria Math" w:eastAsia="Cambria Math"/>
          <w:sz w:val="24"/>
        </w:rPr>
        <w:t>1</w:t>
      </w:r>
      <w:r>
        <w:rPr>
          <w:rFonts w:ascii="Cambria Math" w:hAnsi="Cambria Math" w:eastAsia="Cambria Math"/>
          <w:spacing w:val="6"/>
          <w:sz w:val="24"/>
        </w:rPr>
        <w:t> </w:t>
      </w:r>
      <w:r>
        <w:rPr>
          <w:rFonts w:ascii="Cambria Math" w:hAnsi="Cambria Math" w:eastAsia="Cambria Math"/>
          <w:sz w:val="24"/>
        </w:rPr>
        <w:t>−</w:t>
      </w:r>
      <w:r>
        <w:rPr>
          <w:rFonts w:ascii="Cambria Math" w:hAnsi="Cambria Math" w:eastAsia="Cambria Math"/>
          <w:spacing w:val="8"/>
          <w:sz w:val="24"/>
        </w:rPr>
        <w:t> </w:t>
      </w:r>
      <w:r>
        <w:rPr>
          <w:rFonts w:ascii="Cambria Math" w:hAnsi="Cambria Math" w:eastAsia="Cambria Math"/>
          <w:sz w:val="24"/>
        </w:rPr>
        <w:t>𝛼</w:t>
      </w:r>
      <w:r>
        <w:rPr>
          <w:rFonts w:ascii="Cambria Math" w:hAnsi="Cambria Math" w:eastAsia="Cambria Math"/>
          <w:position w:val="1"/>
          <w:sz w:val="24"/>
        </w:rPr>
        <w:t>)</w:t>
      </w:r>
      <w:r>
        <w:rPr>
          <w:rFonts w:ascii="Cambria Math" w:hAnsi="Cambria Math" w:eastAsia="Cambria Math"/>
          <w:spacing w:val="-5"/>
          <w:position w:val="1"/>
          <w:sz w:val="24"/>
        </w:rPr>
        <w:t> </w:t>
      </w:r>
      <w:r>
        <w:rPr>
          <w:rFonts w:ascii="Cambria Math" w:hAnsi="Cambria Math" w:eastAsia="Cambria Math"/>
          <w:sz w:val="24"/>
        </w:rPr>
        <w:t>(</w:t>
      </w:r>
      <w:r>
        <w:rPr>
          <w:rFonts w:ascii="Cambria Math" w:hAnsi="Cambria Math" w:eastAsia="Cambria Math"/>
          <w:spacing w:val="86"/>
          <w:position w:val="13"/>
          <w:sz w:val="24"/>
          <w:u w:val="single"/>
        </w:rPr>
        <w:t> </w:t>
      </w:r>
      <w:r>
        <w:rPr>
          <w:rFonts w:ascii="Cambria Math" w:hAnsi="Cambria Math" w:eastAsia="Cambria Math"/>
          <w:position w:val="13"/>
          <w:sz w:val="17"/>
          <w:u w:val="single"/>
        </w:rPr>
        <w:t>𝐷,𝑡</w:t>
      </w:r>
      <w:r>
        <w:rPr>
          <w:rFonts w:ascii="Cambria Math" w:hAnsi="Cambria Math" w:eastAsia="Cambria Math"/>
          <w:sz w:val="24"/>
        </w:rPr>
        <w:t>)</w:t>
      </w:r>
    </w:p>
    <w:p>
      <w:pPr>
        <w:tabs>
          <w:tab w:pos="1670" w:val="left" w:leader="none"/>
        </w:tabs>
        <w:spacing w:line="202" w:lineRule="exact" w:before="0"/>
        <w:ind w:left="239" w:right="0" w:firstLine="0"/>
        <w:jc w:val="left"/>
        <w:rPr>
          <w:rFonts w:ascii="Cambria Math" w:hAnsi="Cambria Math" w:eastAsia="Cambria Math"/>
          <w:sz w:val="24"/>
        </w:rPr>
      </w:pPr>
      <w:r>
        <w:rPr/>
        <w:br w:type="column"/>
      </w:r>
      <w:r>
        <w:rPr>
          <w:rFonts w:ascii="Cambria Math" w:hAnsi="Cambria Math" w:eastAsia="Cambria Math"/>
          <w:w w:val="115"/>
          <w:sz w:val="24"/>
        </w:rPr>
        <w:t>𝐶 </w:t>
      </w:r>
      <w:r>
        <w:rPr>
          <w:rFonts w:ascii="Cambria Math" w:hAnsi="Cambria Math" w:eastAsia="Cambria Math"/>
          <w:spacing w:val="2"/>
          <w:w w:val="115"/>
          <w:sz w:val="24"/>
        </w:rPr>
        <w:t> </w:t>
      </w:r>
      <w:r>
        <w:rPr>
          <w:rFonts w:ascii="Cambria Math" w:hAnsi="Cambria Math" w:eastAsia="Cambria Math"/>
          <w:w w:val="115"/>
          <w:sz w:val="24"/>
        </w:rPr>
        <w:t>+</w:t>
      </w:r>
      <w:r>
        <w:rPr>
          <w:rFonts w:ascii="Cambria Math" w:hAnsi="Cambria Math" w:eastAsia="Cambria Math"/>
          <w:spacing w:val="-9"/>
          <w:w w:val="115"/>
          <w:sz w:val="24"/>
        </w:rPr>
        <w:t> </w:t>
      </w:r>
      <w:r>
        <w:rPr>
          <w:rFonts w:ascii="Cambria Math" w:hAnsi="Cambria Math" w:eastAsia="Cambria Math"/>
          <w:w w:val="115"/>
          <w:sz w:val="24"/>
        </w:rPr>
        <w:t>𝛼</w:t>
      </w:r>
      <w:r>
        <w:rPr>
          <w:rFonts w:ascii="Cambria Math" w:hAnsi="Cambria Math" w:eastAsia="Cambria Math"/>
          <w:spacing w:val="-14"/>
          <w:w w:val="115"/>
          <w:sz w:val="24"/>
        </w:rPr>
        <w:t> </w:t>
      </w:r>
      <w:r>
        <w:rPr>
          <w:rFonts w:ascii="Cambria Math" w:hAnsi="Cambria Math" w:eastAsia="Cambria Math"/>
          <w:w w:val="115"/>
          <w:sz w:val="24"/>
        </w:rPr>
        <w:t>∫ </w:t>
      </w:r>
      <w:r>
        <w:rPr>
          <w:rFonts w:ascii="Cambria Math" w:hAnsi="Cambria Math" w:eastAsia="Cambria Math"/>
          <w:spacing w:val="13"/>
          <w:w w:val="115"/>
          <w:sz w:val="24"/>
        </w:rPr>
        <w:t> </w:t>
      </w:r>
      <w:r>
        <w:rPr>
          <w:rFonts w:ascii="Cambria Math" w:hAnsi="Cambria Math" w:eastAsia="Cambria Math"/>
          <w:w w:val="115"/>
          <w:sz w:val="24"/>
        </w:rPr>
        <w:t>(</w:t>
      </w:r>
      <w:r>
        <w:rPr>
          <w:w w:val="115"/>
          <w:position w:val="13"/>
          <w:sz w:val="24"/>
          <w:u w:val="single"/>
        </w:rPr>
        <w:tab/>
      </w:r>
      <w:r>
        <w:rPr>
          <w:rFonts w:ascii="Cambria Math" w:hAnsi="Cambria Math" w:eastAsia="Cambria Math"/>
          <w:w w:val="115"/>
          <w:position w:val="13"/>
          <w:sz w:val="17"/>
          <w:u w:val="single"/>
        </w:rPr>
        <w:t>𝐷,𝑡  </w:t>
      </w:r>
      <w:r>
        <w:rPr>
          <w:rFonts w:ascii="Cambria Math" w:hAnsi="Cambria Math" w:eastAsia="Cambria Math"/>
          <w:spacing w:val="13"/>
          <w:w w:val="115"/>
          <w:position w:val="13"/>
          <w:sz w:val="17"/>
          <w:u w:val="single"/>
        </w:rPr>
        <w:t> </w:t>
      </w:r>
      <w:r>
        <w:rPr>
          <w:rFonts w:ascii="Cambria Math" w:hAnsi="Cambria Math" w:eastAsia="Cambria Math"/>
          <w:w w:val="115"/>
          <w:sz w:val="24"/>
        </w:rPr>
        <w:t>)</w:t>
      </w:r>
    </w:p>
    <w:p>
      <w:pPr>
        <w:spacing w:line="125" w:lineRule="exact" w:before="0"/>
        <w:ind w:left="222" w:right="0" w:firstLine="0"/>
        <w:jc w:val="center"/>
        <w:rPr>
          <w:rFonts w:ascii="Cambria Math" w:eastAsia="Cambria Math"/>
          <w:sz w:val="17"/>
        </w:rPr>
      </w:pPr>
      <w:r>
        <w:rPr/>
        <w:br w:type="column"/>
      </w:r>
      <w:r>
        <w:rPr>
          <w:w w:val="100"/>
          <w:sz w:val="17"/>
          <w:u w:val="single"/>
        </w:rPr>
        <w:t> </w:t>
      </w:r>
      <w:r>
        <w:rPr>
          <w:sz w:val="17"/>
          <w:u w:val="single"/>
        </w:rPr>
        <w:t> </w:t>
      </w:r>
      <w:r>
        <w:rPr>
          <w:spacing w:val="-6"/>
          <w:sz w:val="17"/>
          <w:u w:val="single"/>
        </w:rPr>
        <w:t> </w:t>
      </w:r>
      <w:r>
        <w:rPr>
          <w:rFonts w:ascii="Cambria Math" w:eastAsia="Cambria Math"/>
          <w:w w:val="105"/>
          <w:sz w:val="17"/>
          <w:u w:val="single"/>
        </w:rPr>
        <w:t>𝐹,𝑡</w:t>
      </w:r>
    </w:p>
    <w:p>
      <w:pPr>
        <w:pStyle w:val="BodyText"/>
        <w:tabs>
          <w:tab w:pos="734" w:val="left" w:leader="none"/>
        </w:tabs>
        <w:spacing w:line="76" w:lineRule="exact"/>
        <w:ind w:left="237"/>
        <w:jc w:val="center"/>
        <w:rPr>
          <w:rFonts w:ascii="Cambria Math"/>
        </w:rPr>
      </w:pPr>
      <w:r>
        <w:rPr/>
        <w:pict>
          <v:shape style="position:absolute;margin-left:304.369995pt;margin-top:7.711254pt;width:7.45pt;height:12.05pt;mso-position-horizontal-relative:page;mso-position-vertical-relative:paragraph;z-index:-21386240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</w:rPr>
                    <w:t>𝑃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w w:val="140"/>
        </w:rPr>
        <w:t>(</w:t>
        <w:tab/>
      </w:r>
      <w:r>
        <w:rPr>
          <w:rFonts w:ascii="Cambria Math"/>
          <w:spacing w:val="-8"/>
          <w:w w:val="140"/>
        </w:rPr>
        <w:t>)</w:t>
      </w:r>
    </w:p>
    <w:p>
      <w:pPr>
        <w:pStyle w:val="BodyText"/>
        <w:spacing w:line="143" w:lineRule="exact" w:before="58"/>
        <w:ind w:left="240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𝐶</w:t>
      </w:r>
      <w:r>
        <w:rPr>
          <w:rFonts w:ascii="Cambria Math" w:eastAsia="Cambria Math"/>
          <w:vertAlign w:val="superscript"/>
        </w:rPr>
        <w:t>𝑖</w:t>
      </w:r>
      <w:r>
        <w:rPr>
          <w:rFonts w:ascii="Cambria Math" w:eastAsia="Cambria Math"/>
          <w:spacing w:val="12"/>
          <w:vertAlign w:val="baseline"/>
        </w:rPr>
        <w:t> </w:t>
      </w:r>
      <w:r>
        <w:rPr>
          <w:rFonts w:ascii="Cambria Math" w:eastAsia="Cambria Math"/>
          <w:vertAlign w:val="baseline"/>
        </w:rPr>
        <w:t>𝑑𝑖</w:t>
      </w:r>
      <w:r>
        <w:rPr>
          <w:rFonts w:ascii="Cambria Math" w:eastAsia="Cambria Math"/>
          <w:spacing w:val="14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7"/>
          <w:vertAlign w:val="baseline"/>
        </w:rPr>
        <w:t> </w:t>
      </w:r>
      <w:r>
        <w:rPr>
          <w:rFonts w:ascii="Cambria Math" w:eastAsia="Cambria Math"/>
          <w:vertAlign w:val="baseline"/>
        </w:rPr>
        <w:t>𝐺</w:t>
      </w:r>
    </w:p>
    <w:p>
      <w:pPr>
        <w:spacing w:after="0" w:line="143" w:lineRule="exact"/>
        <w:rPr>
          <w:rFonts w:ascii="Cambria Math" w:eastAsia="Cambria Math"/>
        </w:rPr>
        <w:sectPr>
          <w:type w:val="continuous"/>
          <w:pgSz w:w="12240" w:h="15840"/>
          <w:pgMar w:top="1500" w:bottom="1120" w:left="940" w:right="940"/>
          <w:cols w:num="4" w:equalWidth="0">
            <w:col w:w="2429" w:space="40"/>
            <w:col w:w="2200" w:space="39"/>
            <w:col w:w="873" w:space="40"/>
            <w:col w:w="4739"/>
          </w:cols>
        </w:sectPr>
      </w:pPr>
    </w:p>
    <w:p>
      <w:pPr>
        <w:tabs>
          <w:tab w:pos="2014" w:val="left" w:leader="none"/>
        </w:tabs>
        <w:spacing w:line="139" w:lineRule="auto" w:before="6"/>
        <w:ind w:left="606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</w:t>
        <w:tab/>
      </w:r>
      <w:r>
        <w:rPr>
          <w:rFonts w:ascii="Cambria Math" w:eastAsia="Cambria Math"/>
          <w:spacing w:val="-87"/>
          <w:w w:val="110"/>
          <w:position w:val="-10"/>
          <w:sz w:val="24"/>
        </w:rPr>
        <w:t>𝑃</w:t>
      </w:r>
      <w:r>
        <w:rPr>
          <w:rFonts w:ascii="Cambria Math" w:eastAsia="Cambria Math"/>
          <w:spacing w:val="-87"/>
          <w:w w:val="110"/>
          <w:position w:val="-15"/>
          <w:sz w:val="17"/>
        </w:rPr>
        <w:t>𝑡</w:t>
      </w:r>
    </w:p>
    <w:p>
      <w:pPr>
        <w:tabs>
          <w:tab w:pos="1623" w:val="left" w:leader="none"/>
        </w:tabs>
        <w:spacing w:before="15"/>
        <w:ind w:left="585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24"/>
          <w:vertAlign w:val="superscript"/>
        </w:rPr>
        <w:t>𝑡</w:t>
      </w:r>
      <w:r>
        <w:rPr>
          <w:rFonts w:ascii="Cambria Math" w:eastAsia="Cambria Math"/>
          <w:w w:val="110"/>
          <w:sz w:val="24"/>
          <w:vertAlign w:val="baseline"/>
        </w:rPr>
        <w:tab/>
      </w:r>
      <w:r>
        <w:rPr>
          <w:rFonts w:ascii="Cambria Math" w:eastAsia="Cambria Math"/>
          <w:w w:val="105"/>
          <w:position w:val="5"/>
          <w:sz w:val="24"/>
          <w:vertAlign w:val="baseline"/>
        </w:rPr>
        <w:t>𝜀</w:t>
      </w:r>
      <w:r>
        <w:rPr>
          <w:rFonts w:ascii="Cambria Math" w:eastAsia="Cambria Math"/>
          <w:w w:val="105"/>
          <w:sz w:val="17"/>
          <w:vertAlign w:val="baseline"/>
        </w:rPr>
        <w:t>𝑖,𝑡</w:t>
      </w:r>
      <w:r>
        <w:rPr>
          <w:rFonts w:ascii="Cambria Math" w:eastAsia="Cambria Math"/>
          <w:w w:val="105"/>
          <w:position w:val="5"/>
          <w:sz w:val="24"/>
          <w:vertAlign w:val="baseline"/>
        </w:rPr>
        <w:t>𝑃</w:t>
      </w:r>
      <w:r>
        <w:rPr>
          <w:rFonts w:ascii="Cambria Math" w:eastAsia="Cambria Math"/>
          <w:w w:val="105"/>
          <w:sz w:val="17"/>
          <w:vertAlign w:val="baseline"/>
        </w:rPr>
        <w:t>𝐹,𝑡</w:t>
      </w:r>
    </w:p>
    <w:p>
      <w:pPr>
        <w:tabs>
          <w:tab w:pos="1347" w:val="left" w:leader="none"/>
          <w:tab w:pos="2144" w:val="left" w:leader="none"/>
        </w:tabs>
        <w:spacing w:line="188" w:lineRule="exact" w:before="0"/>
        <w:ind w:left="658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position w:val="-3"/>
          <w:sz w:val="17"/>
        </w:rPr>
        <w:t>𝑖</w:t>
        <w:tab/>
      </w:r>
      <w:r>
        <w:rPr>
          <w:rFonts w:ascii="Cambria Math" w:eastAsia="Cambria Math"/>
          <w:w w:val="110"/>
          <w:sz w:val="17"/>
        </w:rPr>
        <w:t>𝑡</w:t>
        <w:tab/>
        <w:t>𝑡</w:t>
      </w:r>
    </w:p>
    <w:p>
      <w:pPr>
        <w:spacing w:line="174" w:lineRule="exact" w:before="0"/>
        <w:ind w:left="606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</w:t>
      </w:r>
    </w:p>
    <w:p>
      <w:pPr>
        <w:spacing w:after="0" w:line="174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3" w:equalWidth="0">
            <w:col w:w="2213" w:space="40"/>
            <w:col w:w="2303" w:space="86"/>
            <w:col w:w="5718"/>
          </w:cols>
        </w:sectPr>
      </w:pPr>
    </w:p>
    <w:p>
      <w:pPr>
        <w:pStyle w:val="BodyText"/>
        <w:spacing w:before="2"/>
        <w:rPr>
          <w:rFonts w:ascii="Cambria Math"/>
          <w:sz w:val="16"/>
        </w:rPr>
      </w:pPr>
    </w:p>
    <w:p>
      <w:pPr>
        <w:spacing w:after="0"/>
        <w:rPr>
          <w:rFonts w:ascii="Cambria Math"/>
          <w:sz w:val="16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7"/>
        <w:rPr>
          <w:rFonts w:ascii="Cambria Math"/>
          <w:sz w:val="15"/>
        </w:rPr>
      </w:pPr>
    </w:p>
    <w:p>
      <w:pPr>
        <w:spacing w:line="88" w:lineRule="exact" w:before="0"/>
        <w:ind w:left="0" w:right="0" w:firstLine="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3"/>
          <w:sz w:val="17"/>
          <w:u w:val="single"/>
        </w:rPr>
        <w:t>𝑃</w:t>
      </w:r>
      <w:r>
        <w:rPr>
          <w:rFonts w:ascii="Cambria Math" w:eastAsia="Cambria Math"/>
          <w:w w:val="110"/>
          <w:sz w:val="14"/>
          <w:u w:val="single"/>
        </w:rPr>
        <w:t>𝐷,𝑡</w:t>
      </w:r>
    </w:p>
    <w:p>
      <w:pPr>
        <w:spacing w:line="161" w:lineRule="exact" w:before="110"/>
        <w:ind w:left="86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−𝑦</w:t>
      </w:r>
    </w:p>
    <w:p>
      <w:pPr>
        <w:spacing w:line="96" w:lineRule="exact" w:before="176"/>
        <w:ind w:left="865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w w:val="110"/>
          <w:position w:val="4"/>
          <w:sz w:val="17"/>
        </w:rPr>
        <w:t>1</w:t>
      </w:r>
      <w:r>
        <w:rPr>
          <w:rFonts w:ascii="Cambria Math" w:eastAsia="Cambria Math"/>
          <w:spacing w:val="1"/>
          <w:w w:val="110"/>
          <w:position w:val="4"/>
          <w:sz w:val="17"/>
        </w:rPr>
        <w:t> </w:t>
      </w:r>
      <w:r>
        <w:rPr>
          <w:rFonts w:ascii="Cambria Math" w:eastAsia="Cambria Math"/>
          <w:spacing w:val="-3"/>
          <w:w w:val="110"/>
          <w:position w:val="4"/>
          <w:sz w:val="17"/>
          <w:u w:val="single"/>
        </w:rPr>
        <w:t>𝗌</w:t>
      </w:r>
      <w:r>
        <w:rPr>
          <w:rFonts w:ascii="Cambria Math" w:eastAsia="Cambria Math"/>
          <w:spacing w:val="-3"/>
          <w:w w:val="110"/>
          <w:sz w:val="14"/>
          <w:u w:val="single"/>
        </w:rPr>
        <w:t>𝑖,𝑡</w:t>
      </w:r>
      <w:r>
        <w:rPr>
          <w:rFonts w:ascii="Cambria Math" w:eastAsia="Cambria Math"/>
          <w:spacing w:val="-3"/>
          <w:w w:val="110"/>
          <w:position w:val="4"/>
          <w:sz w:val="17"/>
          <w:u w:val="single"/>
        </w:rPr>
        <w:t>𝑃</w:t>
      </w:r>
      <w:r>
        <w:rPr>
          <w:rFonts w:ascii="Cambria Math" w:eastAsia="Cambria Math"/>
          <w:spacing w:val="-3"/>
          <w:w w:val="110"/>
          <w:sz w:val="14"/>
          <w:u w:val="single"/>
        </w:rPr>
        <w:t>𝐹,𝑡</w:t>
      </w:r>
    </w:p>
    <w:p>
      <w:pPr>
        <w:spacing w:line="163" w:lineRule="exact" w:before="72"/>
        <w:ind w:left="83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𝛾−𝑦</w:t>
      </w:r>
    </w:p>
    <w:p>
      <w:pPr>
        <w:tabs>
          <w:tab w:pos="974" w:val="left" w:leader="none"/>
        </w:tabs>
        <w:spacing w:line="36" w:lineRule="exact" w:before="0"/>
        <w:ind w:left="633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𝑦</w:t>
        <w:tab/>
      </w:r>
      <w:r>
        <w:rPr>
          <w:rFonts w:ascii="Cambria Math" w:eastAsia="Cambria Math"/>
          <w:w w:val="110"/>
          <w:position w:val="-2"/>
          <w:sz w:val="17"/>
        </w:rPr>
        <w:t>𝑖</w:t>
      </w:r>
    </w:p>
    <w:p>
      <w:pPr>
        <w:spacing w:after="0" w:line="36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4" w:equalWidth="0">
            <w:col w:w="1181" w:space="40"/>
            <w:col w:w="354" w:space="845"/>
            <w:col w:w="1664" w:space="39"/>
            <w:col w:w="6237"/>
          </w:cols>
        </w:sectPr>
      </w:pPr>
    </w:p>
    <w:p>
      <w:pPr>
        <w:pStyle w:val="BodyText"/>
        <w:tabs>
          <w:tab w:pos="1189" w:val="left" w:leader="none"/>
        </w:tabs>
        <w:spacing w:line="220" w:lineRule="exact"/>
        <w:ind w:left="500"/>
        <w:rPr>
          <w:rFonts w:ascii="Cambria Math"/>
        </w:rPr>
      </w:pPr>
      <w:r>
        <w:rPr>
          <w:rFonts w:ascii="Cambria Math"/>
          <w:w w:val="110"/>
        </w:rPr>
        <w:t>=</w:t>
      </w:r>
      <w:r>
        <w:rPr>
          <w:rFonts w:ascii="Cambria Math"/>
          <w:spacing w:val="3"/>
          <w:w w:val="110"/>
        </w:rPr>
        <w:t> </w:t>
      </w:r>
      <w:r>
        <w:rPr>
          <w:rFonts w:ascii="Cambria Math"/>
          <w:w w:val="110"/>
        </w:rPr>
        <w:t>(</w:t>
        <w:tab/>
        <w:t>)</w:t>
      </w:r>
    </w:p>
    <w:p>
      <w:pPr>
        <w:spacing w:line="175" w:lineRule="exact" w:before="0"/>
        <w:ind w:left="0" w:right="200" w:firstLine="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7"/>
        </w:rPr>
        <w:t>𝑃</w:t>
      </w:r>
      <w:r>
        <w:rPr>
          <w:rFonts w:ascii="Cambria Math" w:eastAsia="Cambria Math"/>
          <w:w w:val="110"/>
          <w:position w:val="-2"/>
          <w:sz w:val="14"/>
        </w:rPr>
        <w:t>𝑡</w:t>
      </w:r>
    </w:p>
    <w:p>
      <w:pPr>
        <w:pStyle w:val="BodyText"/>
        <w:ind w:left="238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spacing w:val="-9"/>
          <w:w w:val="105"/>
          <w:position w:val="1"/>
        </w:rPr>
        <w:t>[</w:t>
      </w:r>
      <w:r>
        <w:rPr>
          <w:rFonts w:ascii="Cambria Math" w:hAnsi="Cambria Math" w:eastAsia="Cambria Math"/>
          <w:spacing w:val="-9"/>
          <w:w w:val="105"/>
          <w:position w:val="2"/>
        </w:rPr>
        <w:t>(</w:t>
      </w:r>
      <w:r>
        <w:rPr>
          <w:rFonts w:ascii="Cambria Math" w:hAnsi="Cambria Math" w:eastAsia="Cambria Math"/>
          <w:spacing w:val="-9"/>
          <w:w w:val="105"/>
          <w:position w:val="1"/>
        </w:rPr>
        <w:t>1</w:t>
      </w:r>
      <w:r>
        <w:rPr>
          <w:rFonts w:ascii="Cambria Math" w:hAnsi="Cambria Math" w:eastAsia="Cambria Math"/>
          <w:spacing w:val="-4"/>
          <w:w w:val="105"/>
          <w:position w:val="1"/>
        </w:rPr>
        <w:t> </w:t>
      </w:r>
      <w:r>
        <w:rPr>
          <w:rFonts w:ascii="Cambria Math" w:hAnsi="Cambria Math" w:eastAsia="Cambria Math"/>
          <w:spacing w:val="-8"/>
          <w:w w:val="105"/>
          <w:position w:val="1"/>
        </w:rPr>
        <w:t>−</w:t>
      </w:r>
      <w:r>
        <w:rPr>
          <w:rFonts w:ascii="Cambria Math" w:hAnsi="Cambria Math" w:eastAsia="Cambria Math"/>
          <w:spacing w:val="-3"/>
          <w:w w:val="105"/>
          <w:position w:val="1"/>
        </w:rPr>
        <w:t> </w:t>
      </w:r>
      <w:r>
        <w:rPr>
          <w:rFonts w:ascii="Cambria Math" w:hAnsi="Cambria Math" w:eastAsia="Cambria Math"/>
          <w:spacing w:val="-8"/>
          <w:w w:val="105"/>
          <w:position w:val="1"/>
        </w:rPr>
        <w:t>𝛼</w:t>
      </w:r>
      <w:r>
        <w:rPr>
          <w:rFonts w:ascii="Cambria Math" w:hAnsi="Cambria Math" w:eastAsia="Cambria Math"/>
          <w:spacing w:val="-8"/>
          <w:w w:val="105"/>
          <w:position w:val="2"/>
        </w:rPr>
        <w:t>)</w:t>
      </w:r>
      <w:r>
        <w:rPr>
          <w:rFonts w:ascii="Cambria Math" w:hAnsi="Cambria Math" w:eastAsia="Cambria Math"/>
          <w:spacing w:val="-8"/>
          <w:w w:val="105"/>
          <w:position w:val="1"/>
        </w:rPr>
        <w:t>𝐶</w:t>
      </w:r>
      <w:r>
        <w:rPr>
          <w:rFonts w:ascii="Cambria Math" w:hAnsi="Cambria Math" w:eastAsia="Cambria Math"/>
          <w:spacing w:val="-8"/>
          <w:w w:val="105"/>
          <w:position w:val="1"/>
          <w:vertAlign w:val="subscript"/>
        </w:rPr>
        <w:t>𝑡</w:t>
      </w:r>
      <w:r>
        <w:rPr>
          <w:rFonts w:ascii="Cambria Math" w:hAnsi="Cambria Math" w:eastAsia="Cambria Math"/>
          <w:spacing w:val="11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spacing w:val="-8"/>
          <w:w w:val="105"/>
          <w:position w:val="1"/>
          <w:vertAlign w:val="baseline"/>
        </w:rPr>
        <w:t>+</w:t>
      </w:r>
      <w:r>
        <w:rPr>
          <w:rFonts w:ascii="Cambria Math" w:hAnsi="Cambria Math" w:eastAsia="Cambria Math"/>
          <w:spacing w:val="-1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spacing w:val="-8"/>
          <w:w w:val="105"/>
          <w:position w:val="1"/>
          <w:vertAlign w:val="baseline"/>
        </w:rPr>
        <w:t>𝛼 </w:t>
      </w:r>
      <w:r>
        <w:rPr>
          <w:rFonts w:ascii="Cambria Math" w:hAnsi="Cambria Math" w:eastAsia="Cambria Math"/>
          <w:spacing w:val="-8"/>
          <w:w w:val="105"/>
          <w:vertAlign w:val="baseline"/>
        </w:rPr>
        <w:t>∫</w:t>
      </w:r>
      <w:r>
        <w:rPr>
          <w:rFonts w:ascii="Cambria Math" w:hAnsi="Cambria Math" w:eastAsia="Cambria Math"/>
          <w:spacing w:val="-8"/>
          <w:w w:val="105"/>
          <w:position w:val="-8"/>
          <w:sz w:val="17"/>
          <w:vertAlign w:val="baseline"/>
        </w:rPr>
        <w:t>0</w:t>
      </w:r>
      <w:r>
        <w:rPr>
          <w:rFonts w:ascii="Cambria Math" w:hAnsi="Cambria Math" w:eastAsia="Cambria Math"/>
          <w:spacing w:val="47"/>
          <w:w w:val="105"/>
          <w:position w:val="-8"/>
          <w:sz w:val="17"/>
          <w:vertAlign w:val="baseline"/>
        </w:rPr>
        <w:t> </w:t>
      </w:r>
      <w:r>
        <w:rPr>
          <w:rFonts w:ascii="Cambria Math" w:hAnsi="Cambria Math" w:eastAsia="Cambria Math"/>
          <w:spacing w:val="-8"/>
          <w:w w:val="105"/>
          <w:position w:val="1"/>
          <w:vertAlign w:val="baseline"/>
        </w:rPr>
        <w:t>(</w:t>
      </w:r>
    </w:p>
    <w:p>
      <w:pPr>
        <w:spacing w:line="221" w:lineRule="exact" w:before="0"/>
        <w:ind w:left="0" w:right="0" w:firstLine="0"/>
        <w:jc w:val="right"/>
        <w:rPr>
          <w:rFonts w:ascii="Cambria Math"/>
          <w:sz w:val="24"/>
        </w:rPr>
      </w:pPr>
      <w:r>
        <w:rPr/>
        <w:br w:type="column"/>
      </w:r>
      <w:r>
        <w:rPr>
          <w:rFonts w:ascii="Cambria Math"/>
          <w:w w:val="120"/>
          <w:sz w:val="24"/>
        </w:rPr>
        <w:t>)</w:t>
      </w:r>
    </w:p>
    <w:p>
      <w:pPr>
        <w:spacing w:line="177" w:lineRule="exact" w:before="0"/>
        <w:ind w:left="71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3"/>
          <w:sz w:val="17"/>
        </w:rPr>
        <w:t>𝑃</w:t>
      </w:r>
      <w:r>
        <w:rPr>
          <w:rFonts w:ascii="Cambria Math" w:eastAsia="Cambria Math"/>
          <w:w w:val="110"/>
          <w:sz w:val="14"/>
        </w:rPr>
        <w:t>𝐷,𝑡</w:t>
      </w:r>
    </w:p>
    <w:p>
      <w:pPr>
        <w:tabs>
          <w:tab w:pos="4534" w:val="left" w:leader="none"/>
        </w:tabs>
        <w:spacing w:line="322" w:lineRule="exact" w:before="0"/>
        <w:ind w:left="345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 w:eastAsia="Cambria Math"/>
          <w:sz w:val="24"/>
        </w:rPr>
        <w:t>𝒬</w:t>
      </w:r>
      <w:r>
        <w:rPr>
          <w:rFonts w:ascii="Cambria Math" w:eastAsia="Cambria Math"/>
          <w:position w:val="-6"/>
          <w:sz w:val="17"/>
        </w:rPr>
        <w:t>𝑖,𝑡</w:t>
      </w:r>
      <w:r>
        <w:rPr>
          <w:rFonts w:ascii="Cambria Math" w:eastAsia="Cambria Math"/>
          <w:sz w:val="24"/>
        </w:rPr>
        <w:t>𝐶</w:t>
      </w:r>
      <w:r>
        <w:rPr>
          <w:rFonts w:ascii="Cambria Math" w:eastAsia="Cambria Math"/>
          <w:position w:val="-4"/>
          <w:sz w:val="17"/>
        </w:rPr>
        <w:t>𝑡</w:t>
      </w:r>
      <w:r>
        <w:rPr>
          <w:rFonts w:ascii="Cambria Math" w:eastAsia="Cambria Math"/>
          <w:spacing w:val="53"/>
          <w:position w:val="-4"/>
          <w:sz w:val="17"/>
        </w:rPr>
        <w:t> </w:t>
      </w:r>
      <w:r>
        <w:rPr>
          <w:rFonts w:ascii="Cambria Math" w:eastAsia="Cambria Math"/>
          <w:sz w:val="24"/>
        </w:rPr>
        <w:t>𝑑𝑖]</w:t>
      </w:r>
      <w:r>
        <w:rPr>
          <w:rFonts w:ascii="Cambria Math" w:eastAsia="Cambria Math"/>
          <w:spacing w:val="4"/>
          <w:sz w:val="24"/>
        </w:rPr>
        <w:t> </w:t>
      </w:r>
      <w:r>
        <w:rPr>
          <w:rFonts w:ascii="Cambria Math" w:eastAsia="Cambria Math"/>
          <w:sz w:val="24"/>
        </w:rPr>
        <w:t>+</w:t>
      </w:r>
      <w:r>
        <w:rPr>
          <w:rFonts w:ascii="Cambria Math" w:eastAsia="Cambria Math"/>
          <w:spacing w:val="7"/>
          <w:sz w:val="24"/>
        </w:rPr>
        <w:t> </w:t>
      </w:r>
      <w:r>
        <w:rPr>
          <w:rFonts w:ascii="Cambria Math" w:eastAsia="Cambria Math"/>
          <w:sz w:val="24"/>
        </w:rPr>
        <w:t>𝐺</w:t>
      </w:r>
      <w:r>
        <w:rPr>
          <w:rFonts w:ascii="Cambria Math" w:eastAsia="Cambria Math"/>
          <w:sz w:val="24"/>
          <w:vertAlign w:val="subscript"/>
        </w:rPr>
        <w:t>𝑡</w:t>
      </w:r>
      <w:r>
        <w:rPr>
          <w:rFonts w:ascii="Cambria Math" w:eastAsia="Cambria Math"/>
          <w:sz w:val="24"/>
          <w:vertAlign w:val="baseline"/>
        </w:rPr>
        <w:tab/>
      </w:r>
      <w:r>
        <w:rPr>
          <w:sz w:val="24"/>
          <w:vertAlign w:val="baseline"/>
        </w:rPr>
        <w:t>(4.111)</w:t>
      </w:r>
    </w:p>
    <w:p>
      <w:pPr>
        <w:spacing w:after="0" w:line="322" w:lineRule="exact"/>
        <w:jc w:val="left"/>
        <w:rPr>
          <w:sz w:val="24"/>
        </w:rPr>
        <w:sectPr>
          <w:type w:val="continuous"/>
          <w:pgSz w:w="12240" w:h="15840"/>
          <w:pgMar w:top="1500" w:bottom="1120" w:left="940" w:right="940"/>
          <w:cols w:num="4" w:equalWidth="0">
            <w:col w:w="1307" w:space="40"/>
            <w:col w:w="2194" w:space="39"/>
            <w:col w:w="628" w:space="40"/>
            <w:col w:w="6112"/>
          </w:cols>
        </w:sectPr>
      </w:pPr>
    </w:p>
    <w:p>
      <w:pPr>
        <w:pStyle w:val="BodyText"/>
        <w:spacing w:before="11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tabs>
          <w:tab w:pos="1565" w:val="left" w:leader="none"/>
        </w:tabs>
        <w:spacing w:line="141" w:lineRule="exact" w:before="109"/>
        <w:ind w:left="1124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position w:val="-6"/>
          <w:sz w:val="17"/>
        </w:rPr>
        <w:t>𝑃</w:t>
        <w:tab/>
      </w:r>
      <w:r>
        <w:rPr>
          <w:rFonts w:ascii="Cambria Math" w:hAnsi="Cambria Math" w:eastAsia="Cambria Math"/>
          <w:w w:val="105"/>
          <w:sz w:val="17"/>
        </w:rPr>
        <w:t>−𝑦</w:t>
      </w:r>
    </w:p>
    <w:p>
      <w:pPr>
        <w:pStyle w:val="BodyText"/>
        <w:spacing w:before="2"/>
        <w:rPr>
          <w:rFonts w:ascii="Cambria Math"/>
          <w:sz w:val="14"/>
        </w:rPr>
      </w:pPr>
      <w:r>
        <w:rPr/>
        <w:br w:type="column"/>
      </w:r>
      <w:r>
        <w:rPr>
          <w:rFonts w:ascii="Cambria Math"/>
          <w:sz w:val="14"/>
        </w:rPr>
      </w:r>
    </w:p>
    <w:p>
      <w:pPr>
        <w:tabs>
          <w:tab w:pos="1959" w:val="left" w:leader="none"/>
        </w:tabs>
        <w:spacing w:line="83" w:lineRule="exact" w:before="0"/>
        <w:ind w:left="1124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1</w:t>
        <w:tab/>
      </w:r>
      <w:r>
        <w:rPr>
          <w:rFonts w:ascii="Cambria Math" w:hAnsi="Cambria Math" w:eastAsia="Cambria Math"/>
          <w:spacing w:val="-54"/>
          <w:w w:val="105"/>
          <w:position w:val="1"/>
          <w:sz w:val="17"/>
        </w:rPr>
        <w:t>𝛾−𝑦</w:t>
      </w:r>
    </w:p>
    <w:p>
      <w:pPr>
        <w:spacing w:line="174" w:lineRule="exact" w:before="76"/>
        <w:ind w:left="138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𝑦−</w:t>
      </w:r>
      <w:r>
        <w:rPr>
          <w:rFonts w:ascii="Cambria Math" w:hAnsi="Cambria Math" w:eastAsia="Cambria Math"/>
          <w:w w:val="105"/>
          <w:position w:val="10"/>
          <w:sz w:val="14"/>
          <w:u w:val="single"/>
        </w:rPr>
        <w:t>1</w:t>
      </w:r>
    </w:p>
    <w:p>
      <w:pPr>
        <w:spacing w:after="0" w:line="174" w:lineRule="exact"/>
        <w:jc w:val="left"/>
        <w:rPr>
          <w:rFonts w:ascii="Cambria Math" w:hAnsi="Cambria Math" w:eastAsia="Cambria Math"/>
          <w:sz w:val="14"/>
        </w:rPr>
        <w:sectPr>
          <w:type w:val="continuous"/>
          <w:pgSz w:w="12240" w:h="15840"/>
          <w:pgMar w:top="1500" w:bottom="1120" w:left="940" w:right="940"/>
          <w:cols w:num="3" w:equalWidth="0">
            <w:col w:w="1834" w:space="588"/>
            <w:col w:w="2291" w:space="40"/>
            <w:col w:w="5607"/>
          </w:cols>
        </w:sectPr>
      </w:pPr>
    </w:p>
    <w:p>
      <w:pPr>
        <w:spacing w:line="33" w:lineRule="auto" w:before="63"/>
        <w:ind w:left="500" w:right="0" w:firstLine="0"/>
        <w:jc w:val="left"/>
        <w:rPr>
          <w:rFonts w:ascii="Cambria Math" w:eastAsia="Cambria Math"/>
          <w:sz w:val="24"/>
        </w:rPr>
      </w:pPr>
      <w:r>
        <w:rPr>
          <w:rFonts w:ascii="Cambria Math" w:eastAsia="Cambria Math"/>
          <w:w w:val="110"/>
          <w:position w:val="-10"/>
          <w:sz w:val="24"/>
        </w:rPr>
        <w:t>𝑌</w:t>
      </w:r>
      <w:r>
        <w:rPr>
          <w:rFonts w:ascii="Cambria Math" w:eastAsia="Cambria Math"/>
          <w:w w:val="110"/>
          <w:position w:val="-15"/>
          <w:sz w:val="17"/>
        </w:rPr>
        <w:t>𝑡</w:t>
      </w:r>
      <w:r>
        <w:rPr>
          <w:rFonts w:ascii="Cambria Math" w:eastAsia="Cambria Math"/>
          <w:spacing w:val="24"/>
          <w:w w:val="110"/>
          <w:position w:val="-15"/>
          <w:sz w:val="17"/>
        </w:rPr>
        <w:t> </w:t>
      </w:r>
      <w:r>
        <w:rPr>
          <w:rFonts w:ascii="Cambria Math" w:eastAsia="Cambria Math"/>
          <w:w w:val="110"/>
          <w:position w:val="-10"/>
          <w:sz w:val="24"/>
        </w:rPr>
        <w:t>=</w:t>
      </w:r>
      <w:r>
        <w:rPr>
          <w:rFonts w:ascii="Cambria Math" w:eastAsia="Cambria Math"/>
          <w:spacing w:val="-6"/>
          <w:w w:val="110"/>
          <w:position w:val="-10"/>
          <w:sz w:val="24"/>
        </w:rPr>
        <w:t> </w:t>
      </w:r>
      <w:r>
        <w:rPr>
          <w:rFonts w:ascii="Cambria Math" w:eastAsia="Cambria Math"/>
          <w:w w:val="110"/>
          <w:position w:val="-10"/>
          <w:sz w:val="24"/>
        </w:rPr>
        <w:t>(</w:t>
      </w:r>
      <w:r>
        <w:rPr>
          <w:rFonts w:ascii="Cambria Math" w:eastAsia="Cambria Math"/>
          <w:spacing w:val="30"/>
          <w:w w:val="110"/>
          <w:sz w:val="24"/>
          <w:u w:val="single"/>
        </w:rPr>
        <w:t> </w:t>
      </w:r>
      <w:r>
        <w:rPr>
          <w:rFonts w:ascii="Cambria Math" w:eastAsia="Cambria Math"/>
          <w:w w:val="110"/>
          <w:sz w:val="14"/>
          <w:u w:val="single"/>
        </w:rPr>
        <w:t>𝐷,𝑡</w:t>
      </w:r>
      <w:r>
        <w:rPr>
          <w:rFonts w:ascii="Cambria Math" w:eastAsia="Cambria Math"/>
          <w:w w:val="110"/>
          <w:position w:val="-10"/>
          <w:sz w:val="24"/>
        </w:rPr>
        <w:t>)</w:t>
      </w:r>
    </w:p>
    <w:p>
      <w:pPr>
        <w:pStyle w:val="BodyText"/>
        <w:spacing w:line="152" w:lineRule="exact"/>
        <w:ind w:left="240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1"/>
        </w:rPr>
        <w:t>[</w:t>
      </w:r>
      <w:r>
        <w:rPr>
          <w:rFonts w:ascii="Cambria Math" w:hAnsi="Cambria Math" w:eastAsia="Cambria Math"/>
          <w:w w:val="105"/>
          <w:position w:val="2"/>
        </w:rPr>
        <w:t>(</w:t>
      </w:r>
      <w:r>
        <w:rPr>
          <w:rFonts w:ascii="Cambria Math" w:hAnsi="Cambria Math" w:eastAsia="Cambria Math"/>
          <w:w w:val="105"/>
          <w:position w:val="1"/>
        </w:rPr>
        <w:t>1</w:t>
      </w:r>
      <w:r>
        <w:rPr>
          <w:rFonts w:ascii="Cambria Math" w:hAnsi="Cambria Math" w:eastAsia="Cambria Math"/>
          <w:spacing w:val="-6"/>
          <w:w w:val="105"/>
          <w:position w:val="1"/>
        </w:rPr>
        <w:t> </w:t>
      </w:r>
      <w:r>
        <w:rPr>
          <w:rFonts w:ascii="Cambria Math" w:hAnsi="Cambria Math" w:eastAsia="Cambria Math"/>
          <w:w w:val="105"/>
          <w:position w:val="1"/>
        </w:rPr>
        <w:t>−</w:t>
      </w:r>
      <w:r>
        <w:rPr>
          <w:rFonts w:ascii="Cambria Math" w:hAnsi="Cambria Math" w:eastAsia="Cambria Math"/>
          <w:spacing w:val="-4"/>
          <w:w w:val="105"/>
          <w:position w:val="1"/>
        </w:rPr>
        <w:t> </w:t>
      </w:r>
      <w:r>
        <w:rPr>
          <w:rFonts w:ascii="Cambria Math" w:hAnsi="Cambria Math" w:eastAsia="Cambria Math"/>
          <w:w w:val="105"/>
          <w:position w:val="1"/>
        </w:rPr>
        <w:t>𝛼</w:t>
      </w:r>
      <w:r>
        <w:rPr>
          <w:rFonts w:ascii="Cambria Math" w:hAnsi="Cambria Math" w:eastAsia="Cambria Math"/>
          <w:w w:val="105"/>
          <w:position w:val="2"/>
        </w:rPr>
        <w:t>)</w:t>
      </w:r>
      <w:r>
        <w:rPr>
          <w:rFonts w:ascii="Cambria Math" w:hAnsi="Cambria Math" w:eastAsia="Cambria Math"/>
          <w:w w:val="105"/>
          <w:position w:val="1"/>
        </w:rPr>
        <w:t>𝐶</w:t>
      </w:r>
      <w:r>
        <w:rPr>
          <w:rFonts w:ascii="Cambria Math" w:hAnsi="Cambria Math" w:eastAsia="Cambria Math"/>
          <w:w w:val="105"/>
          <w:position w:val="1"/>
          <w:vertAlign w:val="subscript"/>
        </w:rPr>
        <w:t>𝑡</w:t>
      </w:r>
      <w:r>
        <w:rPr>
          <w:rFonts w:ascii="Cambria Math" w:hAnsi="Cambria Math" w:eastAsia="Cambria Math"/>
          <w:spacing w:val="7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position w:val="1"/>
          <w:vertAlign w:val="baseline"/>
        </w:rPr>
        <w:t>+</w:t>
      </w:r>
      <w:r>
        <w:rPr>
          <w:rFonts w:ascii="Cambria Math" w:hAnsi="Cambria Math" w:eastAsia="Cambria Math"/>
          <w:spacing w:val="-5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position w:val="1"/>
          <w:vertAlign w:val="baseline"/>
        </w:rPr>
        <w:t>𝛼</w:t>
      </w:r>
      <w:r>
        <w:rPr>
          <w:rFonts w:ascii="Cambria Math" w:hAnsi="Cambria Math" w:eastAsia="Cambria Math"/>
          <w:spacing w:val="-9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∫</w:t>
      </w:r>
      <w:r>
        <w:rPr>
          <w:rFonts w:ascii="Cambria Math" w:hAnsi="Cambria Math" w:eastAsia="Cambria Math"/>
          <w:spacing w:val="4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position w:val="1"/>
          <w:vertAlign w:val="baseline"/>
        </w:rPr>
        <w:t>(𝑆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𝑖</w:t>
      </w:r>
      <w:r>
        <w:rPr>
          <w:rFonts w:ascii="Cambria Math" w:hAnsi="Cambria Math" w:eastAsia="Cambria Math"/>
          <w:w w:val="105"/>
          <w:position w:val="1"/>
          <w:vertAlign w:val="baseline"/>
        </w:rPr>
        <w:t>𝑆</w:t>
      </w:r>
      <w:r>
        <w:rPr>
          <w:rFonts w:ascii="Cambria Math" w:hAnsi="Cambria Math" w:eastAsia="Cambria Math"/>
          <w:w w:val="105"/>
          <w:position w:val="1"/>
          <w:vertAlign w:val="subscript"/>
        </w:rPr>
        <w:t>𝑖,𝑡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</w:p>
    <w:p>
      <w:pPr>
        <w:pStyle w:val="BodyText"/>
        <w:tabs>
          <w:tab w:pos="701" w:val="left" w:leader="none"/>
          <w:tab w:pos="4360" w:val="left" w:leader="none"/>
        </w:tabs>
        <w:spacing w:line="146" w:lineRule="exact" w:before="6"/>
        <w:ind w:left="305"/>
      </w:pPr>
      <w:r>
        <w:rPr/>
        <w:br w:type="column"/>
      </w:r>
      <w:r>
        <w:rPr>
          <w:rFonts w:ascii="Cambria Math" w:eastAsia="Cambria Math"/>
        </w:rPr>
        <w:t>𝒬</w:t>
        <w:tab/>
      </w:r>
      <w:r>
        <w:rPr>
          <w:rFonts w:ascii="Cambria Math" w:eastAsia="Cambria Math"/>
          <w:vertAlign w:val="superscript"/>
        </w:rPr>
        <w:t>𝜎</w:t>
      </w:r>
      <w:r>
        <w:rPr>
          <w:rFonts w:ascii="Cambria Math" w:eastAsia="Cambria Math"/>
          <w:spacing w:val="14"/>
          <w:vertAlign w:val="baseline"/>
        </w:rPr>
        <w:t> </w:t>
      </w:r>
      <w:r>
        <w:rPr>
          <w:rFonts w:ascii="Cambria Math" w:eastAsia="Cambria Math"/>
          <w:vertAlign w:val="baseline"/>
        </w:rPr>
        <w:t>𝑑𝑖]</w:t>
      </w:r>
      <w:r>
        <w:rPr>
          <w:rFonts w:ascii="Cambria Math" w:eastAsia="Cambria Math"/>
          <w:spacing w:val="3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3"/>
          <w:vertAlign w:val="baseline"/>
        </w:rPr>
        <w:t> </w:t>
      </w:r>
      <w:r>
        <w:rPr>
          <w:rFonts w:ascii="Cambria Math" w:eastAsia="Cambria Math"/>
          <w:vertAlign w:val="baseline"/>
        </w:rPr>
        <w:t>𝐺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vertAlign w:val="baseline"/>
        </w:rPr>
        <w:tab/>
      </w:r>
      <w:r>
        <w:rPr>
          <w:vertAlign w:val="baseline"/>
        </w:rPr>
        <w:t>(4.112)</w:t>
      </w:r>
    </w:p>
    <w:p>
      <w:pPr>
        <w:spacing w:after="0" w:line="146" w:lineRule="exact"/>
        <w:sectPr>
          <w:type w:val="continuous"/>
          <w:pgSz w:w="12240" w:h="15840"/>
          <w:pgMar w:top="1500" w:bottom="1120" w:left="940" w:right="940"/>
          <w:cols w:num="3" w:equalWidth="0">
            <w:col w:w="1567" w:space="40"/>
            <w:col w:w="2776" w:space="39"/>
            <w:col w:w="5938"/>
          </w:cols>
        </w:sectPr>
      </w:pPr>
    </w:p>
    <w:p>
      <w:pPr>
        <w:spacing w:before="40"/>
        <w:ind w:left="0" w:right="38" w:firstLine="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7"/>
        </w:rPr>
        <w:t>𝑃</w:t>
      </w:r>
      <w:r>
        <w:rPr>
          <w:rFonts w:ascii="Cambria Math" w:eastAsia="Cambria Math"/>
          <w:w w:val="110"/>
          <w:position w:val="-2"/>
          <w:sz w:val="14"/>
        </w:rPr>
        <w:t>𝑡</w:t>
      </w:r>
    </w:p>
    <w:p>
      <w:pPr>
        <w:tabs>
          <w:tab w:pos="371" w:val="left" w:leader="none"/>
        </w:tabs>
        <w:spacing w:line="196" w:lineRule="auto" w:before="0"/>
        <w:ind w:left="0" w:right="0" w:firstLine="0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position w:val="-4"/>
          <w:sz w:val="17"/>
        </w:rPr>
        <w:t>0</w:t>
        <w:tab/>
      </w:r>
      <w:r>
        <w:rPr>
          <w:rFonts w:ascii="Cambria Math" w:eastAsia="Cambria Math"/>
          <w:w w:val="110"/>
          <w:sz w:val="17"/>
        </w:rPr>
        <w:t>𝑡</w:t>
      </w:r>
    </w:p>
    <w:p>
      <w:pPr>
        <w:spacing w:before="7"/>
        <w:ind w:left="897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𝑖,𝑡</w:t>
      </w:r>
    </w:p>
    <w:p>
      <w:pPr>
        <w:spacing w:after="0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3" w:equalWidth="0">
            <w:col w:w="1403" w:space="892"/>
            <w:col w:w="1651" w:space="40"/>
            <w:col w:w="6374"/>
          </w:cols>
        </w:sectPr>
      </w:pPr>
    </w:p>
    <w:p>
      <w:pPr>
        <w:pStyle w:val="BodyText"/>
        <w:spacing w:before="74"/>
        <w:ind w:left="500"/>
      </w:pPr>
      <w:r>
        <w:rPr/>
        <w:t>Log-linearising</w:t>
      </w:r>
      <w:r>
        <w:rPr>
          <w:spacing w:val="-6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(4.112)</w:t>
      </w:r>
      <w:r>
        <w:rPr>
          <w:spacing w:val="-1"/>
        </w:rPr>
        <w:t> </w:t>
      </w:r>
      <w:r>
        <w:rPr/>
        <w:t>yields:</w:t>
      </w:r>
    </w:p>
    <w:p>
      <w:pPr>
        <w:pStyle w:val="BodyText"/>
        <w:spacing w:before="8"/>
        <w:rPr>
          <w:sz w:val="28"/>
        </w:rPr>
      </w:pPr>
    </w:p>
    <w:p>
      <w:pPr>
        <w:spacing w:after="0"/>
        <w:rPr>
          <w:sz w:val="28"/>
        </w:rPr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87"/>
        <w:ind w:left="50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𝑦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4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𝑐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+𝛼𝛾𝑠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+𝛼 (𝜂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</w:p>
    <w:p>
      <w:pPr>
        <w:pStyle w:val="BodyText"/>
        <w:tabs>
          <w:tab w:pos="6022" w:val="left" w:leader="none"/>
        </w:tabs>
        <w:spacing w:line="234" w:lineRule="exact" w:before="87"/>
        <w:ind w:left="131"/>
      </w:pPr>
      <w:r>
        <w:rPr/>
        <w:br w:type="column"/>
      </w:r>
      <w:r>
        <w:rPr>
          <w:rFonts w:ascii="Cambria Math" w:eastAsia="Cambria Math"/>
          <w:w w:val="105"/>
        </w:rPr>
        <w:t>)</w:t>
      </w:r>
      <w:r>
        <w:rPr>
          <w:rFonts w:ascii="Cambria Math" w:eastAsia="Cambria Math"/>
          <w:spacing w:val="-16"/>
          <w:w w:val="105"/>
        </w:rPr>
        <w:t> </w:t>
      </w:r>
      <w:r>
        <w:rPr>
          <w:rFonts w:ascii="Cambria Math" w:eastAsia="Cambria Math"/>
          <w:w w:val="105"/>
        </w:rPr>
        <w:t>𝑞</w:t>
        <w:tab/>
      </w:r>
      <w:r>
        <w:rPr>
          <w:w w:val="105"/>
        </w:rPr>
        <w:t>(4.113)</w:t>
      </w:r>
    </w:p>
    <w:p>
      <w:pPr>
        <w:spacing w:line="152" w:lineRule="exact" w:before="0"/>
        <w:ind w:left="13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85.660004pt;margin-top:-4.134668pt;width:5.76pt;height:.84pt;mso-position-horizontal-relative:page;mso-position-vertical-relative:paragraph;z-index:15812096" filled="true" fillcolor="#000000" stroked="false">
            <v:fill type="solid"/>
            <w10:wrap type="none"/>
          </v:rect>
        </w:pict>
      </w:r>
      <w:r>
        <w:rPr/>
        <w:pict>
          <v:shape style="position:absolute;margin-left:186.020004pt;margin-top:-14.010118pt;width:4.95pt;height:8.550pt;mso-position-horizontal-relative:page;mso-position-vertical-relative:paragraph;z-index:15816192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104"/>
                      <w:sz w:val="17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610001pt;margin-top:-4.530117pt;width:3.8pt;height:8.550pt;mso-position-horizontal-relative:page;mso-position-vertical-relative:paragraph;z-index:-21379072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10"/>
          <w:sz w:val="17"/>
        </w:rPr>
        <w:t>𝜎</w:t>
      </w:r>
    </w:p>
    <w:p>
      <w:pPr>
        <w:spacing w:after="0" w:line="152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2" w:equalWidth="0">
            <w:col w:w="2720" w:space="40"/>
            <w:col w:w="7600"/>
          </w:cols>
        </w:sectPr>
      </w:pPr>
    </w:p>
    <w:p>
      <w:pPr>
        <w:pStyle w:val="BodyText"/>
        <w:spacing w:before="5"/>
        <w:rPr>
          <w:rFonts w:ascii="Cambria Math"/>
          <w:sz w:val="18"/>
        </w:rPr>
      </w:pPr>
    </w:p>
    <w:p>
      <w:pPr>
        <w:pStyle w:val="BodyText"/>
        <w:spacing w:before="90"/>
        <w:ind w:left="500"/>
      </w:pPr>
      <w:r>
        <w:rPr/>
        <w:t>Equation</w:t>
      </w:r>
      <w:r>
        <w:rPr>
          <w:spacing w:val="-2"/>
        </w:rPr>
        <w:t> </w:t>
      </w:r>
      <w:r>
        <w:rPr/>
        <w:t>(4.113)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rewritten</w:t>
      </w:r>
      <w:r>
        <w:rPr>
          <w:spacing w:val="-1"/>
        </w:rPr>
        <w:t> </w:t>
      </w:r>
      <w:r>
        <w:rPr/>
        <w:t>as:</w:t>
      </w:r>
    </w:p>
    <w:p>
      <w:pPr>
        <w:spacing w:after="0"/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line="143" w:lineRule="exact" w:before="176"/>
        <w:ind w:left="500"/>
        <w:rPr>
          <w:rFonts w:ascii="Cambria Math" w:eastAsia="Cambria Math"/>
        </w:rPr>
      </w:pPr>
      <w:r>
        <w:rPr>
          <w:rFonts w:ascii="Cambria Math" w:eastAsia="Cambria Math"/>
        </w:rPr>
        <w:t>𝑦</w:t>
      </w:r>
      <w:r>
        <w:rPr>
          <w:rFonts w:ascii="Cambria Math" w:eastAsia="Cambria Math"/>
          <w:spacing w:val="97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  <w:spacing w:val="-185"/>
        </w:rPr>
        <w:t>𝑐</w:t>
      </w:r>
    </w:p>
    <w:p>
      <w:pPr>
        <w:spacing w:line="69" w:lineRule="auto" w:before="164"/>
        <w:ind w:left="96" w:right="0" w:firstLine="0"/>
        <w:jc w:val="lef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w w:val="105"/>
          <w:position w:val="-13"/>
          <w:sz w:val="24"/>
        </w:rPr>
        <w:t>+</w:t>
      </w:r>
      <w:r>
        <w:rPr>
          <w:rFonts w:ascii="Cambria Math" w:eastAsia="Cambria Math"/>
          <w:spacing w:val="-12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𝛼𝜔</w:t>
      </w:r>
      <w:r>
        <w:rPr>
          <w:rFonts w:ascii="Cambria Math" w:eastAsia="Cambria Math"/>
          <w:spacing w:val="-2"/>
          <w:w w:val="105"/>
          <w:sz w:val="17"/>
        </w:rPr>
        <w:t> </w:t>
      </w:r>
      <w:r>
        <w:rPr>
          <w:rFonts w:ascii="Cambria Math" w:eastAsia="Cambria Math"/>
          <w:spacing w:val="-185"/>
          <w:w w:val="105"/>
          <w:position w:val="-13"/>
          <w:sz w:val="24"/>
        </w:rPr>
        <w:t>𝑠</w:t>
      </w:r>
    </w:p>
    <w:p>
      <w:pPr>
        <w:pStyle w:val="BodyText"/>
        <w:spacing w:line="20" w:lineRule="exact"/>
        <w:ind w:left="32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2.75pt;height:.85pt;mso-position-horizontal-relative:char;mso-position-vertical-relative:line" coordorigin="0,0" coordsize="255,17">
            <v:rect style="position:absolute;left:0;top:0;width:255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143" w:lineRule="exact" w:before="176"/>
        <w:ind w:left="96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+ 𝑔</w:t>
      </w:r>
    </w:p>
    <w:p>
      <w:pPr>
        <w:pStyle w:val="BodyText"/>
        <w:spacing w:line="139" w:lineRule="exact" w:before="180"/>
        <w:ind w:left="500"/>
      </w:pPr>
      <w:r>
        <w:rPr/>
        <w:br w:type="column"/>
      </w:r>
      <w:r>
        <w:rPr/>
        <w:t>(4.114)</w:t>
      </w:r>
    </w:p>
    <w:p>
      <w:pPr>
        <w:spacing w:after="0" w:line="139" w:lineRule="exact"/>
        <w:sectPr>
          <w:type w:val="continuous"/>
          <w:pgSz w:w="12240" w:h="15840"/>
          <w:pgMar w:top="1500" w:bottom="1120" w:left="940" w:right="940"/>
          <w:cols w:num="4" w:equalWidth="0">
            <w:col w:w="1139" w:space="40"/>
            <w:col w:w="736" w:space="39"/>
            <w:col w:w="516" w:space="5811"/>
            <w:col w:w="2079"/>
          </w:cols>
        </w:sectPr>
      </w:pPr>
    </w:p>
    <w:p>
      <w:pPr>
        <w:tabs>
          <w:tab w:pos="1133" w:val="left" w:leader="none"/>
        </w:tabs>
        <w:spacing w:line="152" w:lineRule="exact" w:before="0"/>
        <w:ind w:left="627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</w:t>
        <w:tab/>
      </w:r>
      <w:r>
        <w:rPr>
          <w:rFonts w:ascii="Cambria Math" w:eastAsia="Cambria Math"/>
          <w:spacing w:val="-153"/>
          <w:w w:val="110"/>
          <w:sz w:val="17"/>
        </w:rPr>
        <w:t>𝑡</w:t>
      </w:r>
    </w:p>
    <w:p>
      <w:pPr>
        <w:tabs>
          <w:tab w:pos="660" w:val="left" w:leader="none"/>
          <w:tab w:pos="1173" w:val="left" w:leader="none"/>
        </w:tabs>
        <w:spacing w:line="168" w:lineRule="auto" w:before="0"/>
        <w:ind w:left="328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position w:val="-6"/>
          <w:sz w:val="17"/>
        </w:rPr>
        <w:t>𝜎</w:t>
        <w:tab/>
      </w:r>
      <w:r>
        <w:rPr>
          <w:rFonts w:ascii="Cambria Math" w:eastAsia="Cambria Math"/>
          <w:w w:val="110"/>
          <w:sz w:val="17"/>
        </w:rPr>
        <w:t>𝑡</w:t>
        <w:tab/>
        <w:t>𝑡</w:t>
      </w:r>
    </w:p>
    <w:p>
      <w:pPr>
        <w:spacing w:after="0" w:line="168" w:lineRule="auto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2" w:equalWidth="0">
            <w:col w:w="1210" w:space="40"/>
            <w:col w:w="9110"/>
          </w:cols>
        </w:sectPr>
      </w:pPr>
    </w:p>
    <w:p>
      <w:pPr>
        <w:pStyle w:val="BodyText"/>
        <w:spacing w:before="6"/>
        <w:rPr>
          <w:rFonts w:ascii="Cambria Math"/>
          <w:sz w:val="19"/>
        </w:rPr>
      </w:pPr>
    </w:p>
    <w:p>
      <w:pPr>
        <w:pStyle w:val="BodyText"/>
        <w:spacing w:before="86"/>
        <w:ind w:left="500"/>
      </w:pPr>
      <w:r>
        <w:rPr/>
        <w:t>Where</w:t>
      </w:r>
      <w:r>
        <w:rPr>
          <w:spacing w:val="-3"/>
        </w:rPr>
        <w:t> </w:t>
      </w:r>
      <w:r>
        <w:rPr>
          <w:rFonts w:ascii="Cambria Math" w:eastAsia="Cambria Math"/>
        </w:rPr>
        <w:t>𝜔</w:t>
      </w:r>
      <w:r>
        <w:rPr>
          <w:rFonts w:ascii="Cambria Math" w:eastAsia="Cambria Math"/>
          <w:spacing w:val="4"/>
        </w:rPr>
        <w:t> </w:t>
      </w:r>
      <w:r>
        <w:rPr/>
        <w:t>is defined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ind w:left="50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𝜔</w:t>
      </w:r>
      <w:r>
        <w:rPr>
          <w:rFonts w:ascii="Cambria Math" w:hAnsi="Cambria Math" w:eastAsia="Cambria Math"/>
          <w:spacing w:val="2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𝜎𝛾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1 −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𝛼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</w:rPr>
        <w:t>(𝜎𝜂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1)</w:t>
      </w:r>
    </w:p>
    <w:p>
      <w:pPr>
        <w:pStyle w:val="BodyText"/>
        <w:rPr>
          <w:rFonts w:ascii="Cambria Math"/>
          <w:sz w:val="29"/>
        </w:rPr>
      </w:pPr>
    </w:p>
    <w:p>
      <w:pPr>
        <w:pStyle w:val="BodyText"/>
        <w:ind w:left="500"/>
      </w:pPr>
      <w:r>
        <w:rPr/>
        <w:t>Goods</w:t>
      </w:r>
      <w:r>
        <w:rPr>
          <w:spacing w:val="-1"/>
        </w:rPr>
        <w:t> </w:t>
      </w:r>
      <w:r>
        <w:rPr/>
        <w:t>market clearing</w:t>
      </w:r>
      <w:r>
        <w:rPr>
          <w:spacing w:val="-4"/>
        </w:rPr>
        <w:t> </w:t>
      </w:r>
      <w:r>
        <w:rPr/>
        <w:t>condition 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rest of the</w:t>
      </w:r>
      <w:r>
        <w:rPr>
          <w:spacing w:val="-2"/>
        </w:rPr>
        <w:t> </w:t>
      </w:r>
      <w:r>
        <w:rPr/>
        <w:t>world is: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tabs>
          <w:tab w:pos="8781" w:val="left" w:leader="none"/>
        </w:tabs>
        <w:spacing w:line="146" w:lineRule="exact" w:before="1"/>
        <w:ind w:left="500"/>
      </w:pPr>
      <w:r>
        <w:rPr>
          <w:rFonts w:ascii="Cambria Math" w:hAnsi="Cambria Math" w:eastAsia="Cambria Math"/>
        </w:rPr>
        <w:t>𝑦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spacing w:val="3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𝑐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ab/>
      </w:r>
      <w:r>
        <w:rPr>
          <w:vertAlign w:val="baseline"/>
        </w:rPr>
        <w:t>(4.115)</w:t>
      </w:r>
    </w:p>
    <w:p>
      <w:pPr>
        <w:tabs>
          <w:tab w:pos="1155" w:val="left" w:leader="none"/>
        </w:tabs>
        <w:spacing w:line="170" w:lineRule="exact" w:before="0"/>
        <w:ind w:left="627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</w:t>
        <w:tab/>
        <w:t>𝑡</w:t>
      </w:r>
    </w:p>
    <w:p>
      <w:pPr>
        <w:pStyle w:val="BodyText"/>
        <w:spacing w:before="3"/>
        <w:rPr>
          <w:rFonts w:ascii="Cambria Math"/>
          <w:sz w:val="18"/>
        </w:rPr>
      </w:pPr>
    </w:p>
    <w:p>
      <w:pPr>
        <w:pStyle w:val="BodyText"/>
        <w:spacing w:line="146" w:lineRule="exact" w:before="93"/>
        <w:ind w:left="500"/>
      </w:pPr>
      <w:r>
        <w:rPr>
          <w:rFonts w:ascii="Cambria Math" w:hAnsi="Cambria Math" w:eastAsia="Cambria Math"/>
        </w:rPr>
        <w:t>𝑦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𝑎𝑛𝑑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𝑐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vertAlign w:val="baseline"/>
        </w:rPr>
        <w:t>are</w:t>
      </w:r>
      <w:r>
        <w:rPr>
          <w:spacing w:val="2"/>
          <w:vertAlign w:val="baseline"/>
        </w:rPr>
        <w:t> </w:t>
      </w:r>
      <w:r>
        <w:rPr>
          <w:vertAlign w:val="baseline"/>
        </w:rPr>
        <w:t>indices</w:t>
      </w:r>
      <w:r>
        <w:rPr>
          <w:spacing w:val="7"/>
          <w:vertAlign w:val="baseline"/>
        </w:rPr>
        <w:t> </w:t>
      </w:r>
      <w:r>
        <w:rPr>
          <w:vertAlign w:val="baseline"/>
        </w:rPr>
        <w:t>for</w:t>
      </w:r>
      <w:r>
        <w:rPr>
          <w:spacing w:val="2"/>
          <w:vertAlign w:val="baseline"/>
        </w:rPr>
        <w:t> </w:t>
      </w:r>
      <w:r>
        <w:rPr>
          <w:vertAlign w:val="baseline"/>
        </w:rPr>
        <w:t>world</w:t>
      </w:r>
      <w:r>
        <w:rPr>
          <w:spacing w:val="4"/>
          <w:vertAlign w:val="baseline"/>
        </w:rPr>
        <w:t> </w:t>
      </w:r>
      <w:r>
        <w:rPr>
          <w:vertAlign w:val="baseline"/>
        </w:rPr>
        <w:t>output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4"/>
          <w:vertAlign w:val="baseline"/>
        </w:rPr>
        <w:t> </w:t>
      </w:r>
      <w:r>
        <w:rPr>
          <w:vertAlign w:val="baseline"/>
        </w:rPr>
        <w:t>consumption</w:t>
      </w:r>
    </w:p>
    <w:p>
      <w:pPr>
        <w:tabs>
          <w:tab w:pos="1366" w:val="left" w:leader="none"/>
        </w:tabs>
        <w:spacing w:line="171" w:lineRule="exact" w:before="0"/>
        <w:ind w:left="627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</w:t>
        <w:tab/>
        <w:t>𝑡</w:t>
      </w:r>
    </w:p>
    <w:p>
      <w:pPr>
        <w:pStyle w:val="BodyText"/>
        <w:spacing w:before="3"/>
        <w:rPr>
          <w:rFonts w:ascii="Cambria Math"/>
          <w:sz w:val="18"/>
        </w:rPr>
      </w:pPr>
    </w:p>
    <w:p>
      <w:pPr>
        <w:pStyle w:val="BodyText"/>
        <w:spacing w:before="90"/>
        <w:ind w:left="500"/>
      </w:pPr>
      <w:r>
        <w:rPr/>
        <w:t>Where</w:t>
      </w:r>
    </w:p>
    <w:p>
      <w:pPr>
        <w:pStyle w:val="BodyText"/>
        <w:rPr>
          <w:sz w:val="26"/>
        </w:rPr>
      </w:pPr>
    </w:p>
    <w:p>
      <w:pPr>
        <w:pStyle w:val="BodyText"/>
        <w:spacing w:line="146" w:lineRule="exact" w:before="177"/>
        <w:ind w:left="50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𝑦</w:t>
      </w:r>
      <w:r>
        <w:rPr>
          <w:rFonts w:ascii="Cambria Math" w:hAnsi="Cambria Math" w:eastAsia="Cambria Math"/>
          <w:w w:val="105"/>
          <w:vertAlign w:val="superscript"/>
        </w:rPr>
        <w:t>∗</w:t>
      </w:r>
      <w:r>
        <w:rPr>
          <w:rFonts w:ascii="Cambria Math" w:hAnsi="Cambria Math" w:eastAsia="Cambria Math"/>
          <w:spacing w:val="3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∫</w:t>
      </w:r>
      <w:r>
        <w:rPr>
          <w:rFonts w:ascii="Cambria Math" w:hAnsi="Cambria Math" w:eastAsia="Cambria Math"/>
          <w:spacing w:val="-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perscript"/>
        </w:rPr>
        <w:t>𝑖</w:t>
      </w:r>
      <w:r>
        <w:rPr>
          <w:rFonts w:ascii="Cambria Math" w:hAnsi="Cambria Math" w:eastAsia="Cambria Math"/>
          <w:spacing w:val="2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𝑑𝑖</w:t>
      </w:r>
    </w:p>
    <w:p>
      <w:pPr>
        <w:tabs>
          <w:tab w:pos="1412" w:val="left" w:leader="none"/>
        </w:tabs>
        <w:spacing w:line="171" w:lineRule="exact" w:before="0"/>
        <w:ind w:left="627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</w:t>
        <w:tab/>
        <w:t>𝑡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9"/>
        <w:rPr>
          <w:rFonts w:ascii="Cambria Math"/>
          <w:sz w:val="20"/>
        </w:rPr>
      </w:pPr>
    </w:p>
    <w:p>
      <w:pPr>
        <w:pStyle w:val="BodyText"/>
        <w:spacing w:line="146" w:lineRule="exact" w:before="96"/>
        <w:ind w:left="50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𝑐</w:t>
      </w:r>
      <w:r>
        <w:rPr>
          <w:rFonts w:ascii="Cambria Math" w:hAnsi="Cambria Math" w:eastAsia="Cambria Math"/>
          <w:w w:val="105"/>
          <w:vertAlign w:val="superscript"/>
        </w:rPr>
        <w:t>∗</w:t>
      </w:r>
      <w:r>
        <w:rPr>
          <w:rFonts w:ascii="Cambria Math" w:hAnsi="Cambria Math" w:eastAsia="Cambria Math"/>
          <w:spacing w:val="3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∫</w:t>
      </w:r>
      <w:r>
        <w:rPr>
          <w:rFonts w:ascii="Cambria Math" w:hAnsi="Cambria Math" w:eastAsia="Cambria Math"/>
          <w:spacing w:val="-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𝑐</w:t>
      </w:r>
      <w:r>
        <w:rPr>
          <w:rFonts w:ascii="Cambria Math" w:hAnsi="Cambria Math" w:eastAsia="Cambria Math"/>
          <w:w w:val="105"/>
          <w:vertAlign w:val="superscript"/>
        </w:rPr>
        <w:t>𝑖</w:t>
      </w:r>
      <w:r>
        <w:rPr>
          <w:rFonts w:ascii="Cambria Math" w:hAnsi="Cambria Math" w:eastAsia="Cambria Math"/>
          <w:spacing w:val="2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𝑑𝑖</w:t>
      </w:r>
    </w:p>
    <w:p>
      <w:pPr>
        <w:tabs>
          <w:tab w:pos="1366" w:val="left" w:leader="none"/>
        </w:tabs>
        <w:spacing w:line="171" w:lineRule="exact" w:before="0"/>
        <w:ind w:left="606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</w:t>
        <w:tab/>
        <w:t>𝑡</w:t>
      </w:r>
    </w:p>
    <w:p>
      <w:pPr>
        <w:pStyle w:val="BodyText"/>
        <w:spacing w:before="9"/>
        <w:rPr>
          <w:rFonts w:ascii="Cambria Math"/>
          <w:sz w:val="29"/>
        </w:rPr>
      </w:pPr>
    </w:p>
    <w:p>
      <w:pPr>
        <w:pStyle w:val="BodyText"/>
        <w:spacing w:line="360" w:lineRule="auto" w:before="90"/>
        <w:ind w:left="500" w:right="497"/>
        <w:jc w:val="both"/>
      </w:pPr>
      <w:r>
        <w:rPr/>
        <w:t>Following Gali (2008) and Bergholt (2012), Equation (4.114) of the goods market clearing</w:t>
      </w:r>
      <w:r>
        <w:rPr>
          <w:spacing w:val="1"/>
        </w:rPr>
        <w:t> </w:t>
      </w:r>
      <w:r>
        <w:rPr/>
        <w:t>condition can be combined with the consumption Euler equation (4.29) to obtain the Open</w:t>
      </w:r>
      <w:r>
        <w:rPr>
          <w:spacing w:val="1"/>
        </w:rPr>
        <w:t> </w:t>
      </w:r>
      <w:r>
        <w:rPr/>
        <w:t>Economy</w:t>
      </w:r>
      <w:r>
        <w:rPr>
          <w:spacing w:val="-2"/>
        </w:rPr>
        <w:t> </w:t>
      </w:r>
      <w:r>
        <w:rPr/>
        <w:t>IS Curve:</w:t>
      </w:r>
    </w:p>
    <w:p>
      <w:pPr>
        <w:pStyle w:val="BodyText"/>
        <w:spacing w:before="3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rPr>
          <w:sz w:val="21"/>
        </w:rPr>
      </w:pPr>
    </w:p>
    <w:p>
      <w:pPr>
        <w:pStyle w:val="BodyText"/>
        <w:ind w:left="50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spacing w:val="-1"/>
          <w:w w:val="105"/>
        </w:rPr>
        <w:t>𝑦</w:t>
      </w:r>
      <w:r>
        <w:rPr>
          <w:rFonts w:ascii="Cambria Math" w:hAnsi="Cambria Math" w:eastAsia="Cambria Math"/>
          <w:spacing w:val="-1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-13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−</w:t>
      </w:r>
    </w:p>
    <w:p>
      <w:pPr>
        <w:pStyle w:val="BodyText"/>
        <w:spacing w:line="232" w:lineRule="exact" w:before="59"/>
        <w:ind w:left="13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𝛼𝜔</w:t>
      </w:r>
    </w:p>
    <w:p>
      <w:pPr>
        <w:pStyle w:val="BodyText"/>
        <w:spacing w:line="187" w:lineRule="auto"/>
        <w:ind w:left="102"/>
        <w:rPr>
          <w:rFonts w:ascii="Cambria Math" w:hAnsi="Cambria Math" w:eastAsia="Cambria Math"/>
        </w:rPr>
      </w:pPr>
      <w:r>
        <w:rPr/>
        <w:pict>
          <v:rect style="position:absolute;margin-left:97.103996pt;margin-top:6.813806pt;width:16.2pt;height:.84003pt;mso-position-horizontal-relative:page;mso-position-vertical-relative:paragraph;z-index:-21383168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  <w:position w:val="-15"/>
        </w:rPr>
        <w:t>𝜎 </w:t>
      </w:r>
      <w:r>
        <w:rPr>
          <w:rFonts w:ascii="Cambria Math" w:hAnsi="Cambria Math" w:eastAsia="Cambria Math"/>
          <w:spacing w:val="8"/>
          <w:w w:val="105"/>
          <w:position w:val="-15"/>
        </w:rPr>
        <w:t> </w:t>
      </w:r>
      <w:r>
        <w:rPr>
          <w:rFonts w:ascii="Cambria Math" w:hAnsi="Cambria Math" w:eastAsia="Cambria Math"/>
          <w:w w:val="105"/>
        </w:rPr>
        <w:t>𝑠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1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𝐸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w w:val="105"/>
          <w:vertAlign w:val="baseline"/>
        </w:rPr>
        <w:t>(𝑦</w:t>
      </w:r>
      <w:r>
        <w:rPr>
          <w:rFonts w:ascii="Cambria Math" w:hAnsi="Cambria Math" w:eastAsia="Cambria Math"/>
          <w:w w:val="105"/>
          <w:vertAlign w:val="subscript"/>
        </w:rPr>
        <w:t>𝑡+1</w:t>
      </w:r>
      <w:r>
        <w:rPr>
          <w:rFonts w:ascii="Cambria Math" w:hAnsi="Cambria Math" w:eastAsia="Cambria Math"/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</w:p>
    <w:p>
      <w:pPr>
        <w:pStyle w:val="BodyText"/>
        <w:spacing w:line="232" w:lineRule="exact" w:before="59"/>
        <w:ind w:left="14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𝛼𝜔</w:t>
      </w:r>
    </w:p>
    <w:p>
      <w:pPr>
        <w:pStyle w:val="BodyText"/>
        <w:spacing w:line="187" w:lineRule="auto"/>
        <w:ind w:left="102"/>
        <w:rPr>
          <w:rFonts w:ascii="Cambria Math" w:hAnsi="Cambria Math" w:eastAsia="Cambria Math"/>
        </w:rPr>
      </w:pPr>
      <w:r>
        <w:rPr/>
        <w:pict>
          <v:rect style="position:absolute;margin-left:193.25pt;margin-top:6.813806pt;width:16.2pt;height:.84003pt;mso-position-horizontal-relative:page;mso-position-vertical-relative:paragraph;z-index:-2138265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  <w:position w:val="-15"/>
        </w:rPr>
        <w:t>𝜎 </w:t>
      </w:r>
      <w:r>
        <w:rPr>
          <w:rFonts w:ascii="Cambria Math" w:hAnsi="Cambria Math" w:eastAsia="Cambria Math"/>
          <w:spacing w:val="7"/>
          <w:w w:val="105"/>
          <w:position w:val="-15"/>
        </w:rPr>
        <w:t> </w:t>
      </w:r>
      <w:r>
        <w:rPr>
          <w:rFonts w:ascii="Cambria Math" w:hAnsi="Cambria Math" w:eastAsia="Cambria Math"/>
          <w:w w:val="105"/>
        </w:rPr>
        <w:t>𝑠</w:t>
      </w:r>
      <w:r>
        <w:rPr>
          <w:rFonts w:ascii="Cambria Math" w:hAnsi="Cambria Math" w:eastAsia="Cambria Math"/>
          <w:w w:val="105"/>
          <w:vertAlign w:val="subscript"/>
        </w:rPr>
        <w:t>𝑡+1</w:t>
      </w:r>
      <w:r>
        <w:rPr>
          <w:rFonts w:ascii="Cambria Math" w:hAnsi="Cambria Math" w:eastAsia="Cambria Math"/>
          <w:w w:val="105"/>
          <w:vertAlign w:val="baseline"/>
        </w:rPr>
        <w:t>)</w:t>
      </w:r>
      <w:r>
        <w:rPr>
          <w:rFonts w:ascii="Cambria Math" w:hAnsi="Cambria Math" w:eastAsia="Cambria Math"/>
          <w:spacing w:val="-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</w:p>
    <w:p>
      <w:pPr>
        <w:pStyle w:val="BodyText"/>
        <w:spacing w:line="227" w:lineRule="exact" w:before="59"/>
        <w:ind w:left="13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− ℎ</w:t>
      </w:r>
    </w:p>
    <w:p>
      <w:pPr>
        <w:pStyle w:val="BodyText"/>
        <w:tabs>
          <w:tab w:pos="611" w:val="left" w:leader="none"/>
        </w:tabs>
        <w:spacing w:line="192" w:lineRule="auto"/>
        <w:ind w:left="217"/>
        <w:rPr>
          <w:rFonts w:ascii="Cambria Math" w:hAnsi="Cambria Math" w:eastAsia="Cambria Math"/>
        </w:rPr>
      </w:pPr>
      <w:r>
        <w:rPr/>
        <w:pict>
          <v:rect style="position:absolute;margin-left:251.449997pt;margin-top:7.381852pt;width:27.84pt;height:.84003pt;mso-position-horizontal-relative:page;mso-position-vertical-relative:paragraph;z-index:-2138214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  <w:position w:val="-15"/>
        </w:rPr>
        <w:t>𝜎</w:t>
        <w:tab/>
      </w: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𝑖</w:t>
      </w:r>
      <w:r>
        <w:rPr>
          <w:rFonts w:ascii="Cambria Math" w:hAnsi="Cambria Math" w:eastAsia="Cambria Math"/>
          <w:spacing w:val="-3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-7"/>
          <w:w w:val="105"/>
        </w:rPr>
        <w:t> </w:t>
      </w:r>
      <w:r>
        <w:rPr>
          <w:rFonts w:ascii="Cambria Math" w:hAnsi="Cambria Math" w:eastAsia="Cambria Math"/>
          <w:w w:val="105"/>
        </w:rPr>
        <w:t>𝐸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w w:val="105"/>
          <w:vertAlign w:val="baseline"/>
        </w:rPr>
        <w:t>Π</w:t>
      </w:r>
      <w:r>
        <w:rPr>
          <w:rFonts w:ascii="Cambria Math" w:hAnsi="Cambria Math" w:eastAsia="Cambria Math"/>
          <w:w w:val="105"/>
          <w:vertAlign w:val="subscript"/>
        </w:rPr>
        <w:t>𝑡+1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𝜌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</w:p>
    <w:p>
      <w:pPr>
        <w:spacing w:after="0" w:line="192" w:lineRule="auto"/>
        <w:rPr>
          <w:rFonts w:ascii="Cambria Math" w:hAnsi="Cambria Math" w:eastAsia="Cambria Math"/>
        </w:rPr>
        <w:sectPr>
          <w:type w:val="continuous"/>
          <w:pgSz w:w="12240" w:h="15840"/>
          <w:pgMar w:top="1500" w:bottom="1120" w:left="940" w:right="940"/>
          <w:cols w:num="4" w:equalWidth="0">
            <w:col w:w="949" w:space="40"/>
            <w:col w:w="1883" w:space="39"/>
            <w:col w:w="1125" w:space="39"/>
            <w:col w:w="6285"/>
          </w:cols>
        </w:sectPr>
      </w:pPr>
    </w:p>
    <w:p>
      <w:pPr>
        <w:pStyle w:val="BodyText"/>
        <w:spacing w:before="8"/>
        <w:rPr>
          <w:rFonts w:ascii="Cambria Math"/>
          <w:sz w:val="17"/>
        </w:rPr>
      </w:pPr>
    </w:p>
    <w:p>
      <w:pPr>
        <w:spacing w:after="0"/>
        <w:rPr>
          <w:rFonts w:ascii="Cambria Math"/>
          <w:sz w:val="17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7"/>
        <w:rPr>
          <w:rFonts w:ascii="Cambria Math"/>
          <w:sz w:val="20"/>
        </w:rPr>
      </w:pPr>
    </w:p>
    <w:p>
      <w:pPr>
        <w:spacing w:before="0"/>
        <w:ind w:left="500" w:right="0" w:firstLine="0"/>
        <w:jc w:val="left"/>
        <w:rPr>
          <w:rFonts w:ascii="Cambria Math" w:hAnsi="Cambria Math" w:eastAsia="Cambria Math"/>
          <w:sz w:val="24"/>
        </w:rPr>
      </w:pPr>
      <w:r>
        <w:rPr>
          <w:rFonts w:ascii="Cambria Math" w:hAnsi="Cambria Math" w:eastAsia="Cambria Math"/>
          <w:w w:val="105"/>
          <w:sz w:val="24"/>
        </w:rPr>
        <w:t>𝑦</w:t>
      </w:r>
      <w:r>
        <w:rPr>
          <w:rFonts w:ascii="Cambria Math" w:hAnsi="Cambria Math" w:eastAsia="Cambria Math"/>
          <w:w w:val="105"/>
          <w:position w:val="-4"/>
          <w:sz w:val="17"/>
        </w:rPr>
        <w:t>𝑡</w:t>
      </w:r>
      <w:r>
        <w:rPr>
          <w:rFonts w:ascii="Cambria Math" w:hAnsi="Cambria Math" w:eastAsia="Cambria Math"/>
          <w:spacing w:val="20"/>
          <w:w w:val="105"/>
          <w:position w:val="-4"/>
          <w:sz w:val="17"/>
        </w:rPr>
        <w:t> </w:t>
      </w:r>
      <w:r>
        <w:rPr>
          <w:rFonts w:ascii="Cambria Math" w:hAnsi="Cambria Math" w:eastAsia="Cambria Math"/>
          <w:w w:val="105"/>
          <w:sz w:val="24"/>
        </w:rPr>
        <w:t>=</w:t>
      </w:r>
      <w:r>
        <w:rPr>
          <w:rFonts w:ascii="Cambria Math" w:hAnsi="Cambria Math" w:eastAsia="Cambria Math"/>
          <w:spacing w:val="-7"/>
          <w:w w:val="105"/>
          <w:sz w:val="24"/>
        </w:rPr>
        <w:t> </w:t>
      </w:r>
      <w:r>
        <w:rPr>
          <w:rFonts w:ascii="Cambria Math" w:hAnsi="Cambria Math" w:eastAsia="Cambria Math"/>
          <w:w w:val="105"/>
          <w:sz w:val="24"/>
        </w:rPr>
        <w:t>𝐸</w:t>
      </w:r>
      <w:r>
        <w:rPr>
          <w:rFonts w:ascii="Cambria Math" w:hAnsi="Cambria Math" w:eastAsia="Cambria Math"/>
          <w:w w:val="105"/>
          <w:position w:val="-4"/>
          <w:sz w:val="17"/>
        </w:rPr>
        <w:t>𝑡</w:t>
      </w:r>
      <w:r>
        <w:rPr>
          <w:rFonts w:ascii="Cambria Math" w:hAnsi="Cambria Math" w:eastAsia="Cambria Math"/>
          <w:w w:val="105"/>
          <w:sz w:val="24"/>
        </w:rPr>
        <w:t>𝑦</w:t>
      </w:r>
      <w:r>
        <w:rPr>
          <w:rFonts w:ascii="Cambria Math" w:hAnsi="Cambria Math" w:eastAsia="Cambria Math"/>
          <w:w w:val="105"/>
          <w:position w:val="-4"/>
          <w:sz w:val="17"/>
        </w:rPr>
        <w:t>𝑡+1</w:t>
      </w:r>
      <w:r>
        <w:rPr>
          <w:rFonts w:ascii="Cambria Math" w:hAnsi="Cambria Math" w:eastAsia="Cambria Math"/>
          <w:spacing w:val="6"/>
          <w:w w:val="105"/>
          <w:position w:val="-4"/>
          <w:sz w:val="17"/>
        </w:rPr>
        <w:t> </w:t>
      </w:r>
      <w:r>
        <w:rPr>
          <w:rFonts w:ascii="Cambria Math" w:hAnsi="Cambria Math" w:eastAsia="Cambria Math"/>
          <w:w w:val="105"/>
          <w:sz w:val="24"/>
        </w:rPr>
        <w:t>−</w:t>
      </w:r>
    </w:p>
    <w:p>
      <w:pPr>
        <w:pStyle w:val="BodyText"/>
        <w:spacing w:line="227" w:lineRule="exact" w:before="59"/>
        <w:ind w:left="13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− ℎ</w:t>
      </w:r>
    </w:p>
    <w:p>
      <w:pPr>
        <w:pStyle w:val="BodyText"/>
        <w:tabs>
          <w:tab w:pos="608" w:val="left" w:leader="none"/>
        </w:tabs>
        <w:spacing w:line="192" w:lineRule="auto"/>
        <w:ind w:left="217"/>
        <w:rPr>
          <w:rFonts w:ascii="Cambria Math" w:hAnsi="Cambria Math" w:eastAsia="Cambria Math"/>
        </w:rPr>
      </w:pPr>
      <w:r>
        <w:rPr/>
        <w:pict>
          <v:rect style="position:absolute;margin-left:146.059998pt;margin-top:7.381845pt;width:27.84pt;height:.84003pt;mso-position-horizontal-relative:page;mso-position-vertical-relative:paragraph;z-index:-2138163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  <w:position w:val="-15"/>
        </w:rPr>
        <w:t>𝜎</w:t>
        <w:tab/>
      </w: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𝑖</w:t>
      </w:r>
      <w:r>
        <w:rPr>
          <w:rFonts w:ascii="Cambria Math" w:hAnsi="Cambria Math" w:eastAsia="Cambria Math"/>
          <w:spacing w:val="-6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-11"/>
          <w:w w:val="105"/>
        </w:rPr>
        <w:t> </w:t>
      </w:r>
      <w:r>
        <w:rPr>
          <w:rFonts w:ascii="Cambria Math" w:hAnsi="Cambria Math" w:eastAsia="Cambria Math"/>
          <w:w w:val="105"/>
        </w:rPr>
        <w:t>𝐸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w w:val="105"/>
          <w:vertAlign w:val="baseline"/>
        </w:rPr>
        <w:t>Π</w:t>
      </w:r>
      <w:r>
        <w:rPr>
          <w:rFonts w:ascii="Cambria Math" w:hAnsi="Cambria Math" w:eastAsia="Cambria Math"/>
          <w:w w:val="105"/>
          <w:vertAlign w:val="subscript"/>
        </w:rPr>
        <w:t>𝑡+1</w:t>
      </w:r>
      <w:r>
        <w:rPr>
          <w:rFonts w:ascii="Cambria Math" w:hAnsi="Cambria Math" w:eastAsia="Cambria Math"/>
          <w:spacing w:val="-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𝜌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-9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</w:p>
    <w:p>
      <w:pPr>
        <w:pStyle w:val="BodyText"/>
        <w:spacing w:line="231" w:lineRule="exact" w:before="59"/>
        <w:ind w:left="13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𝛼𝜔</w:t>
      </w:r>
    </w:p>
    <w:p>
      <w:pPr>
        <w:spacing w:line="237" w:lineRule="auto" w:before="0"/>
        <w:ind w:left="102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274.850006pt;margin-top:7.662319pt;width:16.2pt;height:.84003pt;mso-position-horizontal-relative:page;mso-position-vertical-relative:paragraph;z-index:-2138112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10"/>
          <w:sz w:val="24"/>
        </w:rPr>
        <w:t>𝜎</w:t>
      </w:r>
      <w:r>
        <w:rPr>
          <w:rFonts w:ascii="Cambria Math" w:hAnsi="Cambria Math" w:eastAsia="Cambria Math"/>
          <w:spacing w:val="37"/>
          <w:position w:val="-10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𝐸</w:t>
      </w:r>
      <w:r>
        <w:rPr>
          <w:rFonts w:ascii="Cambria Math" w:hAnsi="Cambria Math" w:eastAsia="Cambria Math"/>
          <w:sz w:val="17"/>
        </w:rPr>
        <w:t>𝑡</w:t>
      </w:r>
      <w:r>
        <w:rPr>
          <w:rFonts w:ascii="Cambria Math" w:hAnsi="Cambria Math" w:eastAsia="Cambria Math"/>
          <w:position w:val="5"/>
          <w:sz w:val="24"/>
        </w:rPr>
        <w:t>∆𝑠</w:t>
      </w:r>
      <w:r>
        <w:rPr>
          <w:rFonts w:ascii="Cambria Math" w:hAnsi="Cambria Math" w:eastAsia="Cambria Math"/>
          <w:sz w:val="17"/>
        </w:rPr>
        <w:t>𝑡+1</w:t>
      </w:r>
    </w:p>
    <w:p>
      <w:pPr>
        <w:spacing w:after="0" w:line="237" w:lineRule="auto"/>
        <w:jc w:val="left"/>
        <w:rPr>
          <w:rFonts w:ascii="Cambria Math" w:hAns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3" w:equalWidth="0">
            <w:col w:w="1928" w:space="40"/>
            <w:col w:w="2536" w:space="39"/>
            <w:col w:w="5817"/>
          </w:cols>
        </w:sectPr>
      </w:pPr>
    </w:p>
    <w:p>
      <w:pPr>
        <w:pStyle w:val="BodyText"/>
        <w:spacing w:before="2"/>
        <w:rPr>
          <w:rFonts w:ascii="Cambria Math"/>
          <w:sz w:val="13"/>
        </w:rPr>
      </w:pPr>
    </w:p>
    <w:p>
      <w:pPr>
        <w:spacing w:after="0"/>
        <w:rPr>
          <w:rFonts w:ascii="Cambria Math"/>
          <w:sz w:val="13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7"/>
        <w:rPr>
          <w:rFonts w:ascii="Cambria Math"/>
          <w:sz w:val="20"/>
        </w:rPr>
      </w:pPr>
    </w:p>
    <w:p>
      <w:pPr>
        <w:pStyle w:val="BodyText"/>
        <w:ind w:left="50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-4"/>
          <w:w w:val="105"/>
        </w:rPr>
        <w:t> </w:t>
      </w:r>
      <w:r>
        <w:rPr>
          <w:rFonts w:ascii="Cambria Math" w:hAnsi="Cambria Math" w:eastAsia="Cambria Math"/>
          <w:w w:val="105"/>
        </w:rPr>
        <w:t>𝐸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bscript"/>
        </w:rPr>
        <w:t>𝑡+1</w:t>
      </w:r>
      <w:r>
        <w:rPr>
          <w:rFonts w:ascii="Cambria Math" w:hAnsi="Cambria Math" w:eastAsia="Cambria Math"/>
          <w:spacing w:val="-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</w:p>
    <w:p>
      <w:pPr>
        <w:pStyle w:val="BodyText"/>
        <w:spacing w:line="232" w:lineRule="exact" w:before="59"/>
        <w:ind w:left="13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− ℎ</w:t>
      </w:r>
    </w:p>
    <w:p>
      <w:pPr>
        <w:pStyle w:val="BodyText"/>
        <w:tabs>
          <w:tab w:pos="608" w:val="left" w:leader="none"/>
        </w:tabs>
        <w:spacing w:line="187" w:lineRule="auto"/>
        <w:ind w:left="217"/>
        <w:rPr>
          <w:rFonts w:ascii="Cambria Math" w:hAnsi="Cambria Math" w:eastAsia="Cambria Math"/>
        </w:rPr>
      </w:pPr>
      <w:r>
        <w:rPr/>
        <w:pict>
          <v:rect style="position:absolute;margin-left:131.899994pt;margin-top:6.813859pt;width:27.84pt;height:.83997pt;mso-position-horizontal-relative:page;mso-position-vertical-relative:paragraph;z-index:-21380608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  <w:position w:val="-15"/>
        </w:rPr>
        <w:t>𝜎</w:t>
        <w:tab/>
      </w:r>
      <w:r>
        <w:rPr>
          <w:rFonts w:ascii="Cambria Math" w:hAnsi="Cambria Math" w:eastAsia="Cambria Math"/>
          <w:w w:val="105"/>
        </w:rPr>
        <w:t>(𝑖</w:t>
      </w:r>
      <w:r>
        <w:rPr>
          <w:rFonts w:ascii="Cambria Math" w:hAnsi="Cambria Math" w:eastAsia="Cambria Math"/>
          <w:spacing w:val="-1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-6"/>
          <w:w w:val="105"/>
        </w:rPr>
        <w:t> </w:t>
      </w:r>
      <w:r>
        <w:rPr>
          <w:rFonts w:ascii="Cambria Math" w:hAnsi="Cambria Math" w:eastAsia="Cambria Math"/>
          <w:w w:val="105"/>
        </w:rPr>
        <w:t>𝐸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(Π</w:t>
      </w:r>
      <w:r>
        <w:rPr>
          <w:rFonts w:ascii="Cambria Math" w:hAnsi="Cambria Math" w:eastAsia="Cambria Math"/>
          <w:w w:val="105"/>
          <w:vertAlign w:val="subscript"/>
        </w:rPr>
        <w:t>𝐷,𝑡+1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-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𝛼∆𝑠</w:t>
      </w:r>
      <w:r>
        <w:rPr>
          <w:rFonts w:ascii="Cambria Math" w:hAnsi="Cambria Math" w:eastAsia="Cambria Math"/>
          <w:w w:val="105"/>
          <w:vertAlign w:val="subscript"/>
        </w:rPr>
        <w:t>𝑡+1</w:t>
      </w:r>
      <w:r>
        <w:rPr>
          <w:rFonts w:ascii="Cambria Math" w:hAnsi="Cambria Math" w:eastAsia="Cambria Math"/>
          <w:w w:val="105"/>
          <w:vertAlign w:val="baseline"/>
        </w:rPr>
        <w:t>)</w:t>
      </w:r>
      <w:r>
        <w:rPr>
          <w:rFonts w:ascii="Cambria Math" w:hAnsi="Cambria Math" w:eastAsia="Cambria Math"/>
          <w:spacing w:val="-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𝜌)</w:t>
      </w:r>
      <w:r>
        <w:rPr>
          <w:rFonts w:ascii="Cambria Math" w:hAnsi="Cambria Math" w:eastAsia="Cambria Math"/>
          <w:spacing w:val="-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</w:p>
    <w:p>
      <w:pPr>
        <w:pStyle w:val="BodyText"/>
        <w:spacing w:line="231" w:lineRule="exact" w:before="59"/>
        <w:ind w:left="13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𝛼𝜔</w:t>
      </w:r>
    </w:p>
    <w:p>
      <w:pPr>
        <w:spacing w:line="237" w:lineRule="auto" w:before="0"/>
        <w:ind w:left="102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331.989990pt;margin-top:7.662381pt;width:16.2pt;height:.83997pt;mso-position-horizontal-relative:page;mso-position-vertical-relative:paragraph;z-index:-2138009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10"/>
          <w:sz w:val="24"/>
        </w:rPr>
        <w:t>𝜎</w:t>
      </w:r>
      <w:r>
        <w:rPr>
          <w:rFonts w:ascii="Cambria Math" w:hAnsi="Cambria Math" w:eastAsia="Cambria Math"/>
          <w:spacing w:val="37"/>
          <w:position w:val="-10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𝐸</w:t>
      </w:r>
      <w:r>
        <w:rPr>
          <w:rFonts w:ascii="Cambria Math" w:hAnsi="Cambria Math" w:eastAsia="Cambria Math"/>
          <w:sz w:val="17"/>
        </w:rPr>
        <w:t>𝑡</w:t>
      </w:r>
      <w:r>
        <w:rPr>
          <w:rFonts w:ascii="Cambria Math" w:hAnsi="Cambria Math" w:eastAsia="Cambria Math"/>
          <w:position w:val="5"/>
          <w:sz w:val="24"/>
        </w:rPr>
        <w:t>∆𝑠</w:t>
      </w:r>
      <w:r>
        <w:rPr>
          <w:rFonts w:ascii="Cambria Math" w:hAnsi="Cambria Math" w:eastAsia="Cambria Math"/>
          <w:sz w:val="17"/>
        </w:rPr>
        <w:t>𝑡+1</w:t>
      </w:r>
    </w:p>
    <w:p>
      <w:pPr>
        <w:spacing w:after="0" w:line="237" w:lineRule="auto"/>
        <w:jc w:val="left"/>
        <w:rPr>
          <w:rFonts w:ascii="Cambria Math" w:hAns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3" w:equalWidth="0">
            <w:col w:w="1645" w:space="40"/>
            <w:col w:w="3962" w:space="39"/>
            <w:col w:w="4674"/>
          </w:cols>
        </w:sectPr>
      </w:pPr>
    </w:p>
    <w:p>
      <w:pPr>
        <w:pStyle w:val="BodyText"/>
        <w:spacing w:before="1"/>
        <w:rPr>
          <w:rFonts w:ascii="Cambria Math"/>
          <w:sz w:val="14"/>
        </w:rPr>
      </w:pPr>
    </w:p>
    <w:p>
      <w:pPr>
        <w:spacing w:after="0"/>
        <w:rPr>
          <w:rFonts w:ascii="Cambria Math"/>
          <w:sz w:val="14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tabs>
          <w:tab w:pos="1465" w:val="left" w:leader="none"/>
        </w:tabs>
        <w:spacing w:line="217" w:lineRule="exact" w:before="73"/>
        <w:ind w:left="50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𝐸</w:t>
      </w:r>
      <w:r>
        <w:rPr>
          <w:rFonts w:ascii="Cambria Math" w:hAnsi="Cambria Math" w:eastAsia="Cambria Math"/>
          <w:spacing w:val="25"/>
        </w:rPr>
        <w:t> </w:t>
      </w:r>
      <w:r>
        <w:rPr>
          <w:rFonts w:ascii="Cambria Math" w:hAnsi="Cambria Math" w:eastAsia="Cambria Math"/>
        </w:rPr>
        <w:t>𝑦</w:t>
        <w:tab/>
        <w:t>−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  <w:position w:val="14"/>
          <w:sz w:val="17"/>
        </w:rPr>
        <w:t>1−ℎ</w:t>
      </w:r>
      <w:r>
        <w:rPr>
          <w:rFonts w:ascii="Cambria Math" w:hAnsi="Cambria Math" w:eastAsia="Cambria Math"/>
          <w:spacing w:val="5"/>
          <w:position w:val="14"/>
          <w:sz w:val="17"/>
        </w:rPr>
        <w:t> </w:t>
      </w:r>
      <w:r>
        <w:rPr>
          <w:rFonts w:ascii="Cambria Math" w:hAnsi="Cambria Math" w:eastAsia="Cambria Math"/>
        </w:rPr>
        <w:t>(𝑖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𝐸</w:t>
      </w:r>
      <w:r>
        <w:rPr>
          <w:rFonts w:ascii="Cambria Math" w:hAnsi="Cambria Math" w:eastAsia="Cambria Math"/>
          <w:spacing w:val="24"/>
        </w:rPr>
        <w:t> </w:t>
      </w:r>
      <w:r>
        <w:rPr>
          <w:rFonts w:ascii="Cambria Math" w:hAnsi="Cambria Math" w:eastAsia="Cambria Math"/>
        </w:rPr>
        <w:t>Π</w:t>
      </w:r>
    </w:p>
    <w:p>
      <w:pPr>
        <w:pStyle w:val="BodyText"/>
        <w:spacing w:line="20" w:lineRule="exact"/>
        <w:ind w:left="169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6.6pt;height:.85pt;mso-position-horizontal-relative:char;mso-position-vertical-relative:line" coordorigin="0,0" coordsize="332,17">
            <v:rect style="position:absolute;left:0;top:0;width:332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217" w:lineRule="exact" w:before="73"/>
        <w:ind w:left="485" w:right="0" w:firstLine="0"/>
        <w:jc w:val="left"/>
        <w:rPr>
          <w:rFonts w:ascii="Cambria Math" w:hAnsi="Cambria Math" w:eastAsia="Cambria Math"/>
          <w:sz w:val="24"/>
        </w:rPr>
      </w:pPr>
      <w:r>
        <w:rPr/>
        <w:br w:type="column"/>
      </w:r>
      <w:r>
        <w:rPr>
          <w:rFonts w:ascii="Cambria Math" w:hAnsi="Cambria Math" w:eastAsia="Cambria Math"/>
          <w:sz w:val="24"/>
        </w:rPr>
        <w:t>−</w:t>
      </w:r>
      <w:r>
        <w:rPr>
          <w:rFonts w:ascii="Cambria Math" w:hAnsi="Cambria Math" w:eastAsia="Cambria Math"/>
          <w:spacing w:val="8"/>
          <w:sz w:val="24"/>
        </w:rPr>
        <w:t> </w:t>
      </w:r>
      <w:r>
        <w:rPr>
          <w:rFonts w:ascii="Cambria Math" w:hAnsi="Cambria Math" w:eastAsia="Cambria Math"/>
          <w:sz w:val="24"/>
        </w:rPr>
        <w:t>𝜌)</w:t>
      </w:r>
      <w:r>
        <w:rPr>
          <w:rFonts w:ascii="Cambria Math" w:hAnsi="Cambria Math" w:eastAsia="Cambria Math"/>
          <w:spacing w:val="11"/>
          <w:sz w:val="24"/>
        </w:rPr>
        <w:t> </w:t>
      </w:r>
      <w:r>
        <w:rPr>
          <w:rFonts w:ascii="Cambria Math" w:hAnsi="Cambria Math" w:eastAsia="Cambria Math"/>
          <w:sz w:val="24"/>
        </w:rPr>
        <w:t>−</w:t>
      </w:r>
      <w:r>
        <w:rPr>
          <w:rFonts w:ascii="Cambria Math" w:hAnsi="Cambria Math" w:eastAsia="Cambria Math"/>
          <w:spacing w:val="9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𝛼(𝜔−1)</w:t>
      </w:r>
      <w:r>
        <w:rPr>
          <w:rFonts w:ascii="Cambria Math" w:hAnsi="Cambria Math" w:eastAsia="Cambria Math"/>
          <w:spacing w:val="5"/>
          <w:position w:val="14"/>
          <w:sz w:val="17"/>
        </w:rPr>
        <w:t> </w:t>
      </w:r>
      <w:r>
        <w:rPr>
          <w:rFonts w:ascii="Cambria Math" w:hAnsi="Cambria Math" w:eastAsia="Cambria Math"/>
          <w:sz w:val="24"/>
        </w:rPr>
        <w:t>𝐸</w:t>
      </w:r>
      <w:r>
        <w:rPr>
          <w:rFonts w:ascii="Cambria Math" w:hAnsi="Cambria Math" w:eastAsia="Cambria Math"/>
          <w:spacing w:val="38"/>
          <w:sz w:val="24"/>
        </w:rPr>
        <w:t> </w:t>
      </w:r>
      <w:r>
        <w:rPr>
          <w:rFonts w:ascii="Cambria Math" w:hAnsi="Cambria Math" w:eastAsia="Cambria Math"/>
          <w:sz w:val="24"/>
        </w:rPr>
        <w:t>∆𝑠</w:t>
      </w:r>
    </w:p>
    <w:p>
      <w:pPr>
        <w:pStyle w:val="BodyText"/>
        <w:spacing w:line="20" w:lineRule="exact"/>
        <w:ind w:left="125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1.2pt;height:.85pt;mso-position-horizontal-relative:char;mso-position-vertical-relative:line" coordorigin="0,0" coordsize="624,17">
            <v:rect style="position:absolute;left:0;top:0;width:624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139" w:lineRule="exact" w:before="151"/>
        <w:ind w:left="500"/>
      </w:pPr>
      <w:r>
        <w:rPr/>
        <w:br w:type="column"/>
      </w:r>
      <w:r>
        <w:rPr/>
        <w:t>(4.116)</w:t>
      </w:r>
    </w:p>
    <w:p>
      <w:pPr>
        <w:spacing w:after="0" w:line="139" w:lineRule="exact"/>
        <w:sectPr>
          <w:type w:val="continuous"/>
          <w:pgSz w:w="12240" w:h="15840"/>
          <w:pgMar w:top="1500" w:bottom="1120" w:left="940" w:right="940"/>
          <w:cols w:num="3" w:equalWidth="0">
            <w:col w:w="2936" w:space="40"/>
            <w:col w:w="2437" w:space="2869"/>
            <w:col w:w="2078"/>
          </w:cols>
        </w:sectPr>
      </w:pPr>
    </w:p>
    <w:p>
      <w:pPr>
        <w:tabs>
          <w:tab w:pos="1805" w:val="left" w:leader="none"/>
        </w:tabs>
        <w:spacing w:line="168" w:lineRule="auto" w:before="0"/>
        <w:ind w:left="882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</w:t>
      </w:r>
      <w:r>
        <w:rPr>
          <w:rFonts w:ascii="Cambria Math" w:eastAsia="Cambria Math"/>
          <w:spacing w:val="6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𝑡+1</w:t>
      </w:r>
      <w:r>
        <w:rPr>
          <w:rFonts w:ascii="Cambria Math" w:eastAsia="Cambria Math"/>
          <w:sz w:val="17"/>
        </w:rPr>
        <w:tab/>
      </w:r>
      <w:r>
        <w:rPr>
          <w:rFonts w:ascii="Cambria Math" w:eastAsia="Cambria Math"/>
          <w:spacing w:val="258"/>
          <w:w w:val="110"/>
          <w:sz w:val="17"/>
        </w:rPr>
        <w:t> </w:t>
      </w:r>
      <w:r>
        <w:rPr>
          <w:rFonts w:ascii="Cambria Math" w:eastAsia="Cambria Math"/>
          <w:spacing w:val="-135"/>
          <w:w w:val="110"/>
          <w:position w:val="-6"/>
          <w:sz w:val="17"/>
        </w:rPr>
        <w:t>𝜎</w:t>
      </w:r>
    </w:p>
    <w:p>
      <w:pPr>
        <w:spacing w:line="151" w:lineRule="exact" w:before="0"/>
        <w:ind w:left="727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𝑡   </w:t>
      </w:r>
      <w:r>
        <w:rPr>
          <w:rFonts w:ascii="Cambria Math" w:eastAsia="Cambria Math"/>
          <w:spacing w:val="21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𝐷,𝑡+1</w:t>
      </w:r>
    </w:p>
    <w:p>
      <w:pPr>
        <w:tabs>
          <w:tab w:pos="1426" w:val="left" w:leader="none"/>
          <w:tab w:pos="1767" w:val="left" w:leader="none"/>
        </w:tabs>
        <w:spacing w:line="168" w:lineRule="auto" w:before="0"/>
        <w:ind w:left="882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position w:val="-6"/>
          <w:sz w:val="17"/>
        </w:rPr>
        <w:t>𝜎</w:t>
        <w:tab/>
      </w:r>
      <w:r>
        <w:rPr>
          <w:rFonts w:ascii="Cambria Math" w:eastAsia="Cambria Math"/>
          <w:w w:val="110"/>
          <w:sz w:val="17"/>
        </w:rPr>
        <w:t>𝑡</w:t>
        <w:tab/>
        <w:t>𝑡+1</w:t>
      </w:r>
    </w:p>
    <w:p>
      <w:pPr>
        <w:spacing w:after="0" w:line="168" w:lineRule="auto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3" w:equalWidth="0">
            <w:col w:w="1917" w:space="40"/>
            <w:col w:w="1482" w:space="160"/>
            <w:col w:w="6761"/>
          </w:cols>
        </w:sectPr>
      </w:pPr>
    </w:p>
    <w:p>
      <w:pPr>
        <w:pStyle w:val="BodyText"/>
        <w:spacing w:before="75"/>
        <w:ind w:left="500"/>
        <w:rPr>
          <w:rFonts w:ascii="Cambria Math" w:hAnsi="Cambria Math" w:eastAsia="Cambria Math"/>
        </w:rPr>
      </w:pPr>
      <w:r>
        <w:rPr/>
        <w:t>Where</w:t>
      </w:r>
      <w:r>
        <w:rPr>
          <w:spacing w:val="-2"/>
        </w:rPr>
        <w:t> </w:t>
      </w:r>
      <w:r>
        <w:rPr>
          <w:rFonts w:ascii="Cambria Math" w:hAnsi="Cambria Math" w:eastAsia="Cambria Math"/>
        </w:rPr>
        <w:t>Θ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(𝜔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-2"/>
        </w:rPr>
        <w:t> </w:t>
      </w:r>
      <w:r>
        <w:rPr>
          <w:rFonts w:ascii="Cambria Math" w:hAnsi="Cambria Math" w:eastAsia="Cambria Math"/>
        </w:rPr>
        <w:t>1)</w:t>
      </w:r>
    </w:p>
    <w:p>
      <w:pPr>
        <w:pStyle w:val="BodyText"/>
        <w:spacing w:before="5"/>
        <w:rPr>
          <w:rFonts w:ascii="Cambria Math"/>
          <w:sz w:val="21"/>
        </w:rPr>
      </w:pPr>
    </w:p>
    <w:p>
      <w:pPr>
        <w:spacing w:after="0"/>
        <w:rPr>
          <w:rFonts w:ascii="Cambria Math"/>
          <w:sz w:val="21"/>
        </w:rPr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line="217" w:lineRule="exact" w:before="73"/>
        <w:ind w:left="500"/>
        <w:rPr>
          <w:rFonts w:ascii="Cambria Math" w:hAnsi="Cambria Math" w:eastAsia="Cambria Math"/>
        </w:rPr>
      </w:pPr>
      <w:r>
        <w:rPr/>
        <w:t>Insert</w:t>
      </w:r>
      <w:r>
        <w:rPr>
          <w:spacing w:val="4"/>
        </w:rPr>
        <w:t> </w:t>
      </w:r>
      <w:r>
        <w:rPr>
          <w:rFonts w:ascii="Cambria Math" w:hAnsi="Cambria Math" w:eastAsia="Cambria Math"/>
        </w:rPr>
        <w:t>𝑦</w:t>
      </w:r>
      <w:r>
        <w:rPr>
          <w:rFonts w:ascii="Cambria Math" w:hAnsi="Cambria Math" w:eastAsia="Cambria Math"/>
          <w:spacing w:val="10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𝑦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4"/>
          <w:vertAlign w:val="baseline"/>
        </w:rPr>
        <w:t> </w:t>
      </w:r>
      <w:r>
        <w:rPr>
          <w:rFonts w:ascii="Cambria Math" w:hAnsi="Cambria Math" w:eastAsia="Cambria Math"/>
          <w:position w:val="14"/>
          <w:sz w:val="17"/>
          <w:vertAlign w:val="baseline"/>
        </w:rPr>
        <w:t>1</w:t>
      </w:r>
      <w:r>
        <w:rPr>
          <w:rFonts w:ascii="Cambria Math" w:hAnsi="Cambria Math" w:eastAsia="Cambria Math"/>
          <w:spacing w:val="61"/>
          <w:position w:val="14"/>
          <w:sz w:val="17"/>
          <w:vertAlign w:val="baseline"/>
        </w:rPr>
        <w:t> </w:t>
      </w:r>
      <w:r>
        <w:rPr>
          <w:rFonts w:ascii="Cambria Math" w:hAnsi="Cambria Math" w:eastAsia="Cambria Math"/>
          <w:spacing w:val="-183"/>
          <w:vertAlign w:val="baseline"/>
        </w:rPr>
        <w:t>𝑠</w:t>
      </w:r>
    </w:p>
    <w:p>
      <w:pPr>
        <w:pStyle w:val="BodyText"/>
        <w:spacing w:line="20" w:lineRule="exact"/>
        <w:ind w:left="215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0.35pt;height:.85pt;mso-position-horizontal-relative:char;mso-position-vertical-relative:line" coordorigin="0,0" coordsize="207,17">
            <v:rect style="position:absolute;left:0;top:0;width:207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139" w:lineRule="exact" w:before="151"/>
        <w:ind w:left="105"/>
      </w:pPr>
      <w:r>
        <w:rPr/>
        <w:br w:type="column"/>
      </w:r>
      <w:r>
        <w:rPr/>
        <w:t>into</w:t>
      </w:r>
      <w:r>
        <w:rPr>
          <w:spacing w:val="-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(4.116)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get the</w:t>
      </w:r>
      <w:r>
        <w:rPr>
          <w:spacing w:val="-2"/>
        </w:rPr>
        <w:t> </w:t>
      </w:r>
      <w:r>
        <w:rPr/>
        <w:t>open economy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curve</w:t>
      </w:r>
    </w:p>
    <w:p>
      <w:pPr>
        <w:spacing w:after="0" w:line="139" w:lineRule="exact"/>
        <w:sectPr>
          <w:type w:val="continuous"/>
          <w:pgSz w:w="12240" w:h="15840"/>
          <w:pgMar w:top="1500" w:bottom="1120" w:left="940" w:right="940"/>
          <w:cols w:num="2" w:equalWidth="0">
            <w:col w:w="2517" w:space="40"/>
            <w:col w:w="7803"/>
          </w:cols>
        </w:sectPr>
      </w:pPr>
    </w:p>
    <w:p>
      <w:pPr>
        <w:tabs>
          <w:tab w:pos="527" w:val="left" w:leader="none"/>
        </w:tabs>
        <w:spacing w:line="154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</w:t>
        <w:tab/>
        <w:t>𝑡</w:t>
      </w:r>
    </w:p>
    <w:p>
      <w:pPr>
        <w:spacing w:line="168" w:lineRule="auto" w:before="0"/>
        <w:ind w:left="280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pacing w:val="-6"/>
          <w:w w:val="115"/>
          <w:position w:val="-6"/>
          <w:sz w:val="17"/>
        </w:rPr>
        <w:t>𝜎</w:t>
      </w:r>
      <w:r>
        <w:rPr>
          <w:rFonts w:ascii="Cambria Math" w:eastAsia="Cambria Math"/>
          <w:spacing w:val="-6"/>
          <w:w w:val="115"/>
          <w:position w:val="-10"/>
          <w:sz w:val="14"/>
        </w:rPr>
        <w:t>𝛼</w:t>
      </w:r>
      <w:r>
        <w:rPr>
          <w:rFonts w:ascii="Cambria Math" w:eastAsia="Cambria Math"/>
          <w:spacing w:val="40"/>
          <w:w w:val="115"/>
          <w:position w:val="-10"/>
          <w:sz w:val="14"/>
        </w:rPr>
        <w:t> </w:t>
      </w:r>
      <w:r>
        <w:rPr>
          <w:rFonts w:ascii="Cambria Math" w:eastAsia="Cambria Math"/>
          <w:spacing w:val="40"/>
          <w:w w:val="115"/>
          <w:position w:val="-10"/>
          <w:sz w:val="14"/>
        </w:rPr>
        <w:t> </w:t>
      </w:r>
      <w:r>
        <w:rPr>
          <w:rFonts w:ascii="Cambria Math" w:eastAsia="Cambria Math"/>
          <w:w w:val="115"/>
          <w:sz w:val="17"/>
        </w:rPr>
        <w:t>𝑡</w:t>
      </w:r>
    </w:p>
    <w:p>
      <w:pPr>
        <w:spacing w:after="0" w:line="168" w:lineRule="auto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2" w:equalWidth="0">
            <w:col w:w="1838" w:space="40"/>
            <w:col w:w="8482"/>
          </w:cols>
        </w:sectPr>
      </w:pPr>
    </w:p>
    <w:p>
      <w:pPr>
        <w:pStyle w:val="BodyText"/>
        <w:spacing w:before="10"/>
        <w:rPr>
          <w:rFonts w:ascii="Cambria Math"/>
          <w:sz w:val="19"/>
        </w:rPr>
      </w:pPr>
    </w:p>
    <w:p>
      <w:pPr>
        <w:spacing w:after="0"/>
        <w:rPr>
          <w:rFonts w:ascii="Cambria Math"/>
          <w:sz w:val="19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line="143" w:lineRule="exact" w:before="146"/>
        <w:ind w:left="500"/>
        <w:rPr>
          <w:rFonts w:ascii="Cambria Math" w:eastAsia="Cambria Math"/>
        </w:rPr>
      </w:pPr>
      <w:r>
        <w:rPr>
          <w:rFonts w:ascii="Cambria Math" w:eastAsia="Cambria Math"/>
        </w:rPr>
        <w:t>𝑦</w:t>
      </w:r>
      <w:r>
        <w:rPr>
          <w:rFonts w:ascii="Cambria Math" w:eastAsia="Cambria Math"/>
          <w:spacing w:val="96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3"/>
        </w:rPr>
        <w:t> </w:t>
      </w:r>
      <w:r>
        <w:rPr>
          <w:rFonts w:ascii="Cambria Math" w:eastAsia="Cambria Math"/>
        </w:rPr>
        <w:t>𝐸</w:t>
      </w:r>
      <w:r>
        <w:rPr>
          <w:rFonts w:ascii="Cambria Math" w:eastAsia="Cambria Math"/>
          <w:spacing w:val="25"/>
        </w:rPr>
        <w:t> </w:t>
      </w:r>
      <w:r>
        <w:rPr>
          <w:rFonts w:ascii="Cambria Math" w:eastAsia="Cambria Math"/>
          <w:spacing w:val="-173"/>
        </w:rPr>
        <w:t>𝑦</w:t>
      </w:r>
    </w:p>
    <w:p>
      <w:pPr>
        <w:spacing w:line="217" w:lineRule="exact" w:before="73"/>
        <w:ind w:left="317" w:right="0" w:firstLine="0"/>
        <w:jc w:val="left"/>
        <w:rPr>
          <w:rFonts w:ascii="Cambria Math" w:hAnsi="Cambria Math" w:eastAsia="Cambria Math"/>
          <w:sz w:val="24"/>
        </w:rPr>
      </w:pPr>
      <w:r>
        <w:rPr/>
        <w:br w:type="column"/>
      </w:r>
      <w:r>
        <w:rPr>
          <w:rFonts w:ascii="Cambria Math" w:hAnsi="Cambria Math" w:eastAsia="Cambria Math"/>
          <w:sz w:val="24"/>
        </w:rPr>
        <w:t>−</w:t>
      </w:r>
      <w:r>
        <w:rPr>
          <w:rFonts w:ascii="Cambria Math" w:hAnsi="Cambria Math" w:eastAsia="Cambria Math"/>
          <w:spacing w:val="1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1−ℎ</w:t>
      </w:r>
      <w:r>
        <w:rPr>
          <w:rFonts w:ascii="Cambria Math" w:hAnsi="Cambria Math" w:eastAsia="Cambria Math"/>
          <w:spacing w:val="5"/>
          <w:position w:val="14"/>
          <w:sz w:val="17"/>
        </w:rPr>
        <w:t> </w:t>
      </w:r>
      <w:r>
        <w:rPr>
          <w:rFonts w:ascii="Cambria Math" w:hAnsi="Cambria Math" w:eastAsia="Cambria Math"/>
          <w:sz w:val="24"/>
        </w:rPr>
        <w:t>(𝑖</w:t>
      </w:r>
      <w:r>
        <w:rPr>
          <w:rFonts w:ascii="Cambria Math" w:hAnsi="Cambria Math" w:eastAsia="Cambria Math"/>
          <w:spacing w:val="9"/>
          <w:sz w:val="24"/>
        </w:rPr>
        <w:t> </w:t>
      </w:r>
      <w:r>
        <w:rPr>
          <w:rFonts w:ascii="Cambria Math" w:hAnsi="Cambria Math" w:eastAsia="Cambria Math"/>
          <w:sz w:val="24"/>
        </w:rPr>
        <w:t>−</w:t>
      </w:r>
      <w:r>
        <w:rPr>
          <w:rFonts w:ascii="Cambria Math" w:hAnsi="Cambria Math" w:eastAsia="Cambria Math"/>
          <w:spacing w:val="1"/>
          <w:sz w:val="24"/>
        </w:rPr>
        <w:t> </w:t>
      </w:r>
      <w:r>
        <w:rPr>
          <w:rFonts w:ascii="Cambria Math" w:hAnsi="Cambria Math" w:eastAsia="Cambria Math"/>
          <w:sz w:val="24"/>
        </w:rPr>
        <w:t>𝐸</w:t>
      </w:r>
      <w:r>
        <w:rPr>
          <w:rFonts w:ascii="Cambria Math" w:hAnsi="Cambria Math" w:eastAsia="Cambria Math"/>
          <w:spacing w:val="24"/>
          <w:sz w:val="24"/>
        </w:rPr>
        <w:t> </w:t>
      </w:r>
      <w:r>
        <w:rPr>
          <w:rFonts w:ascii="Cambria Math" w:hAnsi="Cambria Math" w:eastAsia="Cambria Math"/>
          <w:sz w:val="24"/>
        </w:rPr>
        <w:t>Π</w:t>
      </w:r>
    </w:p>
    <w:p>
      <w:pPr>
        <w:pStyle w:val="BodyText"/>
        <w:spacing w:line="20" w:lineRule="exact"/>
        <w:ind w:left="55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6.6pt;height:.85pt;mso-position-horizontal-relative:char;mso-position-vertical-relative:line" coordorigin="0,0" coordsize="332,17">
            <v:rect style="position:absolute;left:0;top:0;width:332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143" w:lineRule="exact" w:before="146"/>
        <w:ind w:left="484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𝜌)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𝛼Θ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  <w:spacing w:val="-165"/>
        </w:rPr>
        <w:t>𝐸</w:t>
      </w:r>
    </w:p>
    <w:p>
      <w:pPr>
        <w:pStyle w:val="BodyText"/>
        <w:tabs>
          <w:tab w:pos="772" w:val="left" w:leader="none"/>
          <w:tab w:pos="3730" w:val="left" w:leader="none"/>
        </w:tabs>
        <w:spacing w:line="143" w:lineRule="exact" w:before="146"/>
        <w:ind w:left="90"/>
      </w:pPr>
      <w:r>
        <w:rPr/>
        <w:br w:type="column"/>
      </w:r>
      <w:r>
        <w:rPr>
          <w:rFonts w:ascii="Cambria Math" w:hAnsi="Cambria Math" w:eastAsia="Cambria Math"/>
        </w:rPr>
        <w:t>(∆𝑦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ab/>
        <w:t>)</w:t>
        <w:tab/>
      </w:r>
      <w:r>
        <w:rPr>
          <w:vertAlign w:val="baseline"/>
        </w:rPr>
        <w:t>(4.117)</w:t>
      </w:r>
    </w:p>
    <w:p>
      <w:pPr>
        <w:spacing w:after="0" w:line="143" w:lineRule="exact"/>
        <w:sectPr>
          <w:type w:val="continuous"/>
          <w:pgSz w:w="12240" w:h="15840"/>
          <w:pgMar w:top="1500" w:bottom="1120" w:left="940" w:right="940"/>
          <w:cols w:num="4" w:equalWidth="0">
            <w:col w:w="1391" w:space="40"/>
            <w:col w:w="1789" w:space="39"/>
            <w:col w:w="1753" w:space="39"/>
            <w:col w:w="5309"/>
          </w:cols>
        </w:sectPr>
      </w:pPr>
    </w:p>
    <w:p>
      <w:pPr>
        <w:tabs>
          <w:tab w:pos="1165" w:val="left" w:leader="none"/>
        </w:tabs>
        <w:spacing w:line="151" w:lineRule="exact" w:before="0"/>
        <w:ind w:left="627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</w:t>
        <w:tab/>
      </w:r>
      <w:r>
        <w:rPr>
          <w:rFonts w:ascii="Cambria Math" w:eastAsia="Cambria Math"/>
          <w:spacing w:val="-153"/>
          <w:w w:val="110"/>
          <w:sz w:val="17"/>
        </w:rPr>
        <w:t>𝑡</w:t>
      </w:r>
    </w:p>
    <w:p>
      <w:pPr>
        <w:spacing w:line="151" w:lineRule="exact" w:before="0"/>
        <w:ind w:left="103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z w:val="17"/>
        </w:rPr>
        <w:t>𝑡+1</w:t>
      </w:r>
    </w:p>
    <w:p>
      <w:pPr>
        <w:spacing w:before="23"/>
        <w:ind w:left="317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w w:val="115"/>
          <w:sz w:val="17"/>
        </w:rPr>
        <w:t>𝜎</w:t>
      </w:r>
      <w:r>
        <w:rPr>
          <w:rFonts w:ascii="Cambria Math" w:eastAsia="Cambria Math"/>
          <w:w w:val="115"/>
          <w:position w:val="-2"/>
          <w:sz w:val="14"/>
        </w:rPr>
        <w:t>𝛼</w:t>
      </w:r>
    </w:p>
    <w:p>
      <w:pPr>
        <w:spacing w:line="151" w:lineRule="exact" w:before="0"/>
        <w:ind w:left="627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𝑡   </w:t>
      </w:r>
      <w:r>
        <w:rPr>
          <w:rFonts w:ascii="Cambria Math" w:eastAsia="Cambria Math"/>
          <w:spacing w:val="21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𝐷,𝑡+1</w:t>
      </w:r>
    </w:p>
    <w:p>
      <w:pPr>
        <w:tabs>
          <w:tab w:pos="1143" w:val="left" w:leader="none"/>
        </w:tabs>
        <w:spacing w:line="155" w:lineRule="exact" w:before="0"/>
        <w:ind w:left="627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𝑡</w:t>
        <w:tab/>
        <w:t>𝑡+1</w:t>
      </w:r>
    </w:p>
    <w:p>
      <w:pPr>
        <w:spacing w:after="0" w:line="155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5" w:equalWidth="0">
            <w:col w:w="1241" w:space="40"/>
            <w:col w:w="406" w:space="39"/>
            <w:col w:w="558" w:space="57"/>
            <w:col w:w="1381" w:space="649"/>
            <w:col w:w="5989"/>
          </w:cols>
        </w:sectPr>
      </w:pPr>
    </w:p>
    <w:p>
      <w:pPr>
        <w:pStyle w:val="BodyText"/>
        <w:spacing w:before="2"/>
        <w:rPr>
          <w:rFonts w:ascii="Cambria Math"/>
          <w:sz w:val="19"/>
        </w:rPr>
      </w:pPr>
    </w:p>
    <w:p>
      <w:pPr>
        <w:pStyle w:val="BodyText"/>
        <w:spacing w:before="90"/>
        <w:ind w:left="500"/>
      </w:pPr>
      <w:r>
        <w:rPr/>
        <w:t>Under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assumption</w:t>
      </w:r>
      <w:r>
        <w:rPr>
          <w:spacing w:val="-1"/>
        </w:rPr>
        <w:t> </w:t>
      </w:r>
      <w:r>
        <w:rPr/>
        <w:t>of flexible</w:t>
      </w:r>
      <w:r>
        <w:rPr>
          <w:spacing w:val="-2"/>
        </w:rPr>
        <w:t> </w:t>
      </w:r>
      <w:r>
        <w:rPr/>
        <w:t>prices, equation</w:t>
      </w:r>
      <w:r>
        <w:rPr>
          <w:spacing w:val="-1"/>
        </w:rPr>
        <w:t> </w:t>
      </w:r>
      <w:r>
        <w:rPr/>
        <w:t>(4.117)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written</w:t>
      </w:r>
      <w:r>
        <w:rPr>
          <w:spacing w:val="-1"/>
        </w:rPr>
        <w:t> </w:t>
      </w:r>
      <w:r>
        <w:rPr/>
        <w:t>as</w:t>
      </w:r>
    </w:p>
    <w:p>
      <w:pPr>
        <w:pStyle w:val="BodyText"/>
        <w:spacing w:before="2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line="143" w:lineRule="exact" w:before="147"/>
        <w:ind w:left="500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𝑦</w:t>
      </w:r>
      <w:r>
        <w:rPr>
          <w:rFonts w:ascii="Cambria Math" w:eastAsia="Cambria Math"/>
          <w:spacing w:val="17"/>
          <w:w w:val="105"/>
        </w:rPr>
        <w:t> </w:t>
      </w:r>
      <w:r>
        <w:rPr>
          <w:rFonts w:ascii="Cambria Math" w:eastAsia="Cambria Math"/>
          <w:w w:val="105"/>
          <w:vertAlign w:val="superscript"/>
        </w:rPr>
        <w:t>𝑛</w:t>
      </w:r>
      <w:r>
        <w:rPr>
          <w:rFonts w:ascii="Cambria Math" w:eastAsia="Cambria Math"/>
          <w:spacing w:val="15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4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𝐸</w:t>
      </w:r>
      <w:r>
        <w:rPr>
          <w:rFonts w:ascii="Cambria Math" w:eastAsia="Cambria Math"/>
          <w:spacing w:val="12"/>
          <w:w w:val="105"/>
          <w:vertAlign w:val="baseline"/>
        </w:rPr>
        <w:t> </w:t>
      </w:r>
      <w:r>
        <w:rPr>
          <w:rFonts w:ascii="Cambria Math" w:eastAsia="Cambria Math"/>
          <w:spacing w:val="-172"/>
          <w:w w:val="105"/>
          <w:vertAlign w:val="baseline"/>
        </w:rPr>
        <w:t>𝑦</w:t>
      </w:r>
    </w:p>
    <w:p>
      <w:pPr>
        <w:spacing w:line="217" w:lineRule="exact" w:before="73"/>
        <w:ind w:left="264" w:right="0" w:firstLine="0"/>
        <w:jc w:val="left"/>
        <w:rPr>
          <w:rFonts w:ascii="Cambria Math" w:hAnsi="Cambria Math" w:eastAsia="Cambria Math"/>
          <w:sz w:val="24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9"/>
          <w:sz w:val="17"/>
        </w:rPr>
        <w:t>𝑛</w:t>
      </w:r>
      <w:r>
        <w:rPr>
          <w:rFonts w:ascii="Cambria Math" w:hAnsi="Cambria Math" w:eastAsia="Cambria Math"/>
          <w:spacing w:val="16"/>
          <w:w w:val="105"/>
          <w:position w:val="9"/>
          <w:sz w:val="17"/>
        </w:rPr>
        <w:t> </w:t>
      </w:r>
      <w:r>
        <w:rPr>
          <w:rFonts w:ascii="Cambria Math" w:hAnsi="Cambria Math" w:eastAsia="Cambria Math"/>
          <w:w w:val="105"/>
          <w:sz w:val="24"/>
        </w:rPr>
        <w:t>−</w:t>
      </w:r>
      <w:r>
        <w:rPr>
          <w:rFonts w:ascii="Cambria Math" w:hAnsi="Cambria Math" w:eastAsia="Cambria Math"/>
          <w:spacing w:val="-10"/>
          <w:w w:val="105"/>
          <w:sz w:val="24"/>
        </w:rPr>
        <w:t> </w:t>
      </w:r>
      <w:r>
        <w:rPr>
          <w:rFonts w:ascii="Cambria Math" w:hAnsi="Cambria Math" w:eastAsia="Cambria Math"/>
          <w:w w:val="105"/>
          <w:position w:val="14"/>
          <w:sz w:val="17"/>
        </w:rPr>
        <w:t>1−ℎ</w:t>
      </w:r>
      <w:r>
        <w:rPr>
          <w:rFonts w:ascii="Cambria Math" w:hAnsi="Cambria Math" w:eastAsia="Cambria Math"/>
          <w:spacing w:val="-2"/>
          <w:w w:val="105"/>
          <w:position w:val="14"/>
          <w:sz w:val="17"/>
        </w:rPr>
        <w:t> </w:t>
      </w:r>
      <w:r>
        <w:rPr>
          <w:rFonts w:ascii="Cambria Math" w:hAnsi="Cambria Math" w:eastAsia="Cambria Math"/>
          <w:w w:val="105"/>
          <w:position w:val="1"/>
          <w:sz w:val="24"/>
        </w:rPr>
        <w:t>(</w:t>
      </w:r>
      <w:r>
        <w:rPr>
          <w:rFonts w:ascii="Cambria Math" w:hAnsi="Cambria Math" w:eastAsia="Cambria Math"/>
          <w:w w:val="105"/>
          <w:sz w:val="24"/>
        </w:rPr>
        <w:t>𝑟</w:t>
      </w:r>
      <w:r>
        <w:rPr>
          <w:rFonts w:ascii="Cambria Math" w:hAnsi="Cambria Math" w:eastAsia="Cambria Math"/>
          <w:spacing w:val="-1"/>
          <w:w w:val="105"/>
          <w:sz w:val="24"/>
        </w:rPr>
        <w:t> </w:t>
      </w:r>
      <w:r>
        <w:rPr>
          <w:rFonts w:ascii="Cambria Math" w:hAnsi="Cambria Math" w:eastAsia="Cambria Math"/>
          <w:w w:val="105"/>
          <w:sz w:val="24"/>
          <w:vertAlign w:val="superscript"/>
        </w:rPr>
        <w:t>𝑛</w:t>
      </w:r>
      <w:r>
        <w:rPr>
          <w:rFonts w:ascii="Cambria Math" w:hAnsi="Cambria Math" w:eastAsia="Cambria Math"/>
          <w:spacing w:val="1"/>
          <w:w w:val="105"/>
          <w:sz w:val="24"/>
          <w:vertAlign w:val="baseline"/>
        </w:rPr>
        <w:t> </w:t>
      </w:r>
      <w:r>
        <w:rPr>
          <w:rFonts w:ascii="Cambria Math" w:hAnsi="Cambria Math" w:eastAsia="Cambria Math"/>
          <w:w w:val="105"/>
          <w:sz w:val="24"/>
          <w:vertAlign w:val="baseline"/>
        </w:rPr>
        <w:t>−</w:t>
      </w:r>
      <w:r>
        <w:rPr>
          <w:rFonts w:ascii="Cambria Math" w:hAnsi="Cambria Math" w:eastAsia="Cambria Math"/>
          <w:spacing w:val="-10"/>
          <w:w w:val="105"/>
          <w:sz w:val="24"/>
          <w:vertAlign w:val="baseline"/>
        </w:rPr>
        <w:t> </w:t>
      </w:r>
      <w:r>
        <w:rPr>
          <w:rFonts w:ascii="Cambria Math" w:hAnsi="Cambria Math" w:eastAsia="Cambria Math"/>
          <w:w w:val="105"/>
          <w:sz w:val="24"/>
          <w:vertAlign w:val="baseline"/>
        </w:rPr>
        <w:t>𝜌</w:t>
      </w:r>
      <w:r>
        <w:rPr>
          <w:rFonts w:ascii="Cambria Math" w:hAnsi="Cambria Math" w:eastAsia="Cambria Math"/>
          <w:w w:val="105"/>
          <w:position w:val="1"/>
          <w:sz w:val="24"/>
          <w:vertAlign w:val="baseline"/>
        </w:rPr>
        <w:t>)</w:t>
      </w:r>
      <w:r>
        <w:rPr>
          <w:rFonts w:ascii="Cambria Math" w:hAnsi="Cambria Math" w:eastAsia="Cambria Math"/>
          <w:spacing w:val="-7"/>
          <w:w w:val="105"/>
          <w:position w:val="1"/>
          <w:sz w:val="24"/>
          <w:vertAlign w:val="baseline"/>
        </w:rPr>
        <w:t> </w:t>
      </w:r>
      <w:r>
        <w:rPr>
          <w:rFonts w:ascii="Cambria Math" w:hAnsi="Cambria Math" w:eastAsia="Cambria Math"/>
          <w:w w:val="105"/>
          <w:sz w:val="24"/>
          <w:vertAlign w:val="baseline"/>
        </w:rPr>
        <w:t>−</w:t>
      </w:r>
      <w:r>
        <w:rPr>
          <w:rFonts w:ascii="Cambria Math" w:hAnsi="Cambria Math" w:eastAsia="Cambria Math"/>
          <w:spacing w:val="-10"/>
          <w:w w:val="105"/>
          <w:sz w:val="24"/>
          <w:vertAlign w:val="baseline"/>
        </w:rPr>
        <w:t> </w:t>
      </w:r>
      <w:r>
        <w:rPr>
          <w:rFonts w:ascii="Cambria Math" w:hAnsi="Cambria Math" w:eastAsia="Cambria Math"/>
          <w:w w:val="105"/>
          <w:sz w:val="24"/>
          <w:vertAlign w:val="baseline"/>
        </w:rPr>
        <w:t>𝛼Θ</w:t>
      </w:r>
      <w:r>
        <w:rPr>
          <w:rFonts w:ascii="Cambria Math" w:hAnsi="Cambria Math" w:eastAsia="Cambria Math"/>
          <w:spacing w:val="-10"/>
          <w:w w:val="105"/>
          <w:sz w:val="24"/>
          <w:vertAlign w:val="baseline"/>
        </w:rPr>
        <w:t> </w:t>
      </w:r>
      <w:r>
        <w:rPr>
          <w:rFonts w:ascii="Cambria Math" w:hAnsi="Cambria Math" w:eastAsia="Cambria Math"/>
          <w:spacing w:val="-162"/>
          <w:w w:val="105"/>
          <w:sz w:val="24"/>
          <w:vertAlign w:val="baseline"/>
        </w:rPr>
        <w:t>𝐸</w:t>
      </w:r>
    </w:p>
    <w:p>
      <w:pPr>
        <w:pStyle w:val="BodyText"/>
        <w:spacing w:line="20" w:lineRule="exact"/>
        <w:ind w:left="6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6.6pt;height:.85pt;mso-position-horizontal-relative:char;mso-position-vertical-relative:line" coordorigin="0,0" coordsize="332,17">
            <v:rect style="position:absolute;left:0;top:0;width:332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tabs>
          <w:tab w:pos="770" w:val="left" w:leader="none"/>
          <w:tab w:pos="4428" w:val="left" w:leader="none"/>
        </w:tabs>
        <w:spacing w:line="143" w:lineRule="exact" w:before="147"/>
        <w:ind w:left="88"/>
      </w:pPr>
      <w:r>
        <w:rPr/>
        <w:br w:type="column"/>
      </w:r>
      <w:r>
        <w:rPr>
          <w:rFonts w:ascii="Cambria Math" w:hAnsi="Cambria Math" w:eastAsia="Cambria Math"/>
        </w:rPr>
        <w:t>(∆𝑦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ab/>
        <w:t>)</w:t>
        <w:tab/>
      </w:r>
      <w:r>
        <w:rPr>
          <w:vertAlign w:val="baseline"/>
        </w:rPr>
        <w:t>(4.118)</w:t>
      </w:r>
    </w:p>
    <w:p>
      <w:pPr>
        <w:spacing w:after="0" w:line="143" w:lineRule="exact"/>
        <w:sectPr>
          <w:type w:val="continuous"/>
          <w:pgSz w:w="12240" w:h="15840"/>
          <w:pgMar w:top="1500" w:bottom="1120" w:left="940" w:right="940"/>
          <w:cols w:num="3" w:equalWidth="0">
            <w:col w:w="1514" w:space="40"/>
            <w:col w:w="2761" w:space="39"/>
            <w:col w:w="6006"/>
          </w:cols>
        </w:sectPr>
      </w:pPr>
    </w:p>
    <w:p>
      <w:pPr>
        <w:tabs>
          <w:tab w:pos="1289" w:val="left" w:leader="none"/>
        </w:tabs>
        <w:spacing w:line="151" w:lineRule="exact" w:before="0"/>
        <w:ind w:left="627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</w:t>
        <w:tab/>
      </w:r>
      <w:r>
        <w:rPr>
          <w:rFonts w:ascii="Cambria Math" w:eastAsia="Cambria Math"/>
          <w:spacing w:val="-153"/>
          <w:w w:val="110"/>
          <w:sz w:val="17"/>
        </w:rPr>
        <w:t>𝑡</w:t>
      </w:r>
    </w:p>
    <w:p>
      <w:pPr>
        <w:spacing w:line="151" w:lineRule="exact" w:before="0"/>
        <w:ind w:left="100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z w:val="17"/>
        </w:rPr>
        <w:t>𝑡+1</w:t>
      </w:r>
    </w:p>
    <w:p>
      <w:pPr>
        <w:tabs>
          <w:tab w:pos="938" w:val="left" w:leader="none"/>
        </w:tabs>
        <w:spacing w:line="168" w:lineRule="auto" w:before="0"/>
        <w:ind w:left="439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5"/>
          <w:position w:val="-6"/>
          <w:sz w:val="17"/>
        </w:rPr>
        <w:t>𝜎</w:t>
      </w:r>
      <w:r>
        <w:rPr>
          <w:rFonts w:ascii="Cambria Math" w:eastAsia="Cambria Math"/>
          <w:w w:val="115"/>
          <w:position w:val="-10"/>
          <w:sz w:val="14"/>
        </w:rPr>
        <w:t>𝛼</w:t>
        <w:tab/>
      </w:r>
      <w:r>
        <w:rPr>
          <w:rFonts w:ascii="Cambria Math" w:eastAsia="Cambria Math"/>
          <w:w w:val="115"/>
          <w:sz w:val="17"/>
        </w:rPr>
        <w:t>𝑡</w:t>
      </w:r>
    </w:p>
    <w:p>
      <w:pPr>
        <w:tabs>
          <w:tab w:pos="1141" w:val="left" w:leader="none"/>
        </w:tabs>
        <w:spacing w:line="156" w:lineRule="exact" w:before="0"/>
        <w:ind w:left="627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𝑡</w:t>
        <w:tab/>
        <w:t>𝑡+1</w:t>
      </w:r>
    </w:p>
    <w:p>
      <w:pPr>
        <w:spacing w:after="0" w:line="156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4" w:equalWidth="0">
            <w:col w:w="1366" w:space="40"/>
            <w:col w:w="404" w:space="39"/>
            <w:col w:w="1055" w:space="769"/>
            <w:col w:w="6687"/>
          </w:cols>
        </w:sectPr>
      </w:pPr>
    </w:p>
    <w:p>
      <w:pPr>
        <w:pStyle w:val="BodyText"/>
        <w:spacing w:before="6"/>
        <w:rPr>
          <w:rFonts w:ascii="Cambria Math"/>
          <w:sz w:val="19"/>
        </w:rPr>
      </w:pPr>
    </w:p>
    <w:p>
      <w:pPr>
        <w:pStyle w:val="BodyText"/>
        <w:spacing w:before="90"/>
        <w:ind w:left="500"/>
      </w:pPr>
      <w:r>
        <w:rPr/>
        <w:t>Subtract</w:t>
      </w:r>
      <w:r>
        <w:rPr>
          <w:spacing w:val="-2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(4.118) from</w:t>
      </w:r>
      <w:r>
        <w:rPr>
          <w:spacing w:val="-1"/>
        </w:rPr>
        <w:t> </w:t>
      </w:r>
      <w:r>
        <w:rPr/>
        <w:t>(4.117)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obtain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dynamic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curve:</w:t>
      </w:r>
    </w:p>
    <w:p>
      <w:pPr>
        <w:pStyle w:val="BodyText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line="143" w:lineRule="exact" w:before="146"/>
        <w:ind w:left="50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spacing w:val="-94"/>
        </w:rPr>
        <w:t>𝑦</w:t>
      </w:r>
      <w:r>
        <w:rPr>
          <w:rFonts w:ascii="Cambria Math" w:hAnsi="Cambria Math" w:eastAsia="Cambria Math"/>
        </w:rPr>
        <w:t>̃  =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𝐸</w:t>
      </w:r>
      <w:r>
        <w:rPr>
          <w:rFonts w:ascii="Cambria Math" w:hAnsi="Cambria Math" w:eastAsia="Cambria Math"/>
          <w:spacing w:val="25"/>
        </w:rPr>
        <w:t> </w:t>
      </w:r>
      <w:r>
        <w:rPr>
          <w:rFonts w:ascii="Cambria Math" w:hAnsi="Cambria Math" w:eastAsia="Cambria Math"/>
          <w:spacing w:val="-101"/>
        </w:rPr>
        <w:t>𝑦</w:t>
      </w:r>
      <w:r>
        <w:rPr>
          <w:rFonts w:ascii="Cambria Math" w:hAnsi="Cambria Math" w:eastAsia="Cambria Math"/>
        </w:rPr>
        <w:t>̃</w:t>
      </w:r>
    </w:p>
    <w:p>
      <w:pPr>
        <w:spacing w:line="217" w:lineRule="exact" w:before="73"/>
        <w:ind w:left="324" w:right="0" w:firstLine="0"/>
        <w:jc w:val="left"/>
        <w:rPr>
          <w:rFonts w:ascii="Cambria Math" w:hAnsi="Cambria Math" w:eastAsia="Cambria Math"/>
          <w:sz w:val="24"/>
        </w:rPr>
      </w:pPr>
      <w:r>
        <w:rPr/>
        <w:br w:type="column"/>
      </w:r>
      <w:r>
        <w:rPr>
          <w:rFonts w:ascii="Cambria Math" w:hAnsi="Cambria Math" w:eastAsia="Cambria Math"/>
          <w:sz w:val="24"/>
        </w:rPr>
        <w:t>−</w:t>
      </w:r>
      <w:r>
        <w:rPr>
          <w:rFonts w:ascii="Cambria Math" w:hAnsi="Cambria Math" w:eastAsia="Cambria Math"/>
          <w:spacing w:val="1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1−ℎ</w:t>
      </w:r>
      <w:r>
        <w:rPr>
          <w:rFonts w:ascii="Cambria Math" w:hAnsi="Cambria Math" w:eastAsia="Cambria Math"/>
          <w:spacing w:val="5"/>
          <w:position w:val="14"/>
          <w:sz w:val="17"/>
        </w:rPr>
        <w:t> </w:t>
      </w:r>
      <w:r>
        <w:rPr>
          <w:rFonts w:ascii="Cambria Math" w:hAnsi="Cambria Math" w:eastAsia="Cambria Math"/>
          <w:sz w:val="24"/>
        </w:rPr>
        <w:t>(𝑖</w:t>
      </w:r>
      <w:r>
        <w:rPr>
          <w:rFonts w:ascii="Cambria Math" w:hAnsi="Cambria Math" w:eastAsia="Cambria Math"/>
          <w:spacing w:val="9"/>
          <w:sz w:val="24"/>
        </w:rPr>
        <w:t> </w:t>
      </w:r>
      <w:r>
        <w:rPr>
          <w:rFonts w:ascii="Cambria Math" w:hAnsi="Cambria Math" w:eastAsia="Cambria Math"/>
          <w:sz w:val="24"/>
        </w:rPr>
        <w:t>−</w:t>
      </w:r>
      <w:r>
        <w:rPr>
          <w:rFonts w:ascii="Cambria Math" w:hAnsi="Cambria Math" w:eastAsia="Cambria Math"/>
          <w:spacing w:val="1"/>
          <w:sz w:val="24"/>
        </w:rPr>
        <w:t> </w:t>
      </w:r>
      <w:r>
        <w:rPr>
          <w:rFonts w:ascii="Cambria Math" w:hAnsi="Cambria Math" w:eastAsia="Cambria Math"/>
          <w:sz w:val="24"/>
        </w:rPr>
        <w:t>𝐸</w:t>
      </w:r>
      <w:r>
        <w:rPr>
          <w:rFonts w:ascii="Cambria Math" w:hAnsi="Cambria Math" w:eastAsia="Cambria Math"/>
          <w:spacing w:val="24"/>
          <w:sz w:val="24"/>
        </w:rPr>
        <w:t> </w:t>
      </w:r>
      <w:r>
        <w:rPr>
          <w:rFonts w:ascii="Cambria Math" w:hAnsi="Cambria Math" w:eastAsia="Cambria Math"/>
          <w:sz w:val="24"/>
        </w:rPr>
        <w:t>Π</w:t>
      </w:r>
    </w:p>
    <w:p>
      <w:pPr>
        <w:pStyle w:val="BodyText"/>
        <w:spacing w:line="20" w:lineRule="exact"/>
        <w:ind w:left="557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6.6pt;height:.85pt;mso-position-horizontal-relative:char;mso-position-vertical-relative:line" coordorigin="0,0" coordsize="332,17">
            <v:rect style="position:absolute;left:0;top:0;width:332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tabs>
          <w:tab w:pos="5523" w:val="left" w:leader="none"/>
        </w:tabs>
        <w:spacing w:line="143" w:lineRule="exact" w:before="146"/>
        <w:ind w:left="484"/>
      </w:pPr>
      <w:r>
        <w:rPr/>
        <w:br w:type="column"/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</w:rPr>
        <w:t>𝑟</w:t>
      </w:r>
      <w:r>
        <w:rPr>
          <w:rFonts w:ascii="Cambria Math" w:hAnsi="Cambria Math" w:eastAsia="Cambria Math"/>
          <w:spacing w:val="18"/>
        </w:rPr>
        <w:t> </w:t>
      </w:r>
      <w:r>
        <w:rPr>
          <w:rFonts w:ascii="Cambria Math" w:hAnsi="Cambria Math" w:eastAsia="Cambria Math"/>
          <w:vertAlign w:val="superscript"/>
        </w:rPr>
        <w:t>𝑛</w:t>
      </w:r>
      <w:r>
        <w:rPr>
          <w:rFonts w:ascii="Cambria Math" w:hAnsi="Cambria Math" w:eastAsia="Cambria Math"/>
          <w:vertAlign w:val="baseline"/>
        </w:rPr>
        <w:t>)</w:t>
        <w:tab/>
      </w:r>
      <w:r>
        <w:rPr>
          <w:vertAlign w:val="baseline"/>
        </w:rPr>
        <w:t>(4.119)</w:t>
      </w:r>
    </w:p>
    <w:p>
      <w:pPr>
        <w:spacing w:after="0" w:line="143" w:lineRule="exact"/>
        <w:sectPr>
          <w:type w:val="continuous"/>
          <w:pgSz w:w="12240" w:h="15840"/>
          <w:pgMar w:top="1500" w:bottom="1120" w:left="940" w:right="940"/>
          <w:cols w:num="3" w:equalWidth="0">
            <w:col w:w="1384" w:space="40"/>
            <w:col w:w="1795" w:space="39"/>
            <w:col w:w="7102"/>
          </w:cols>
        </w:sectPr>
      </w:pPr>
    </w:p>
    <w:p>
      <w:pPr>
        <w:tabs>
          <w:tab w:pos="1165" w:val="left" w:leader="none"/>
        </w:tabs>
        <w:spacing w:line="150" w:lineRule="exact" w:before="0"/>
        <w:ind w:left="627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</w:t>
        <w:tab/>
      </w:r>
      <w:r>
        <w:rPr>
          <w:rFonts w:ascii="Cambria Math" w:eastAsia="Cambria Math"/>
          <w:spacing w:val="-153"/>
          <w:w w:val="110"/>
          <w:sz w:val="17"/>
        </w:rPr>
        <w:t>𝑡</w:t>
      </w:r>
    </w:p>
    <w:p>
      <w:pPr>
        <w:spacing w:line="150" w:lineRule="exact" w:before="0"/>
        <w:ind w:left="103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z w:val="17"/>
        </w:rPr>
        <w:t>𝑡+1</w:t>
      </w:r>
    </w:p>
    <w:p>
      <w:pPr>
        <w:spacing w:before="23"/>
        <w:ind w:left="317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w w:val="115"/>
          <w:sz w:val="17"/>
        </w:rPr>
        <w:t>𝜎</w:t>
      </w:r>
      <w:r>
        <w:rPr>
          <w:rFonts w:ascii="Cambria Math" w:eastAsia="Cambria Math"/>
          <w:w w:val="115"/>
          <w:position w:val="-2"/>
          <w:sz w:val="14"/>
        </w:rPr>
        <w:t>𝛼</w:t>
      </w:r>
    </w:p>
    <w:p>
      <w:pPr>
        <w:tabs>
          <w:tab w:pos="1724" w:val="left" w:leader="none"/>
        </w:tabs>
        <w:spacing w:line="150" w:lineRule="exact" w:before="0"/>
        <w:ind w:left="627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𝑡   </w:t>
      </w:r>
      <w:r>
        <w:rPr>
          <w:rFonts w:ascii="Cambria Math" w:eastAsia="Cambria Math"/>
          <w:spacing w:val="21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𝐷,𝑡+1</w:t>
        <w:tab/>
        <w:t>𝑡</w:t>
      </w:r>
    </w:p>
    <w:p>
      <w:pPr>
        <w:spacing w:after="0" w:line="150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4" w:equalWidth="0">
            <w:col w:w="1241" w:space="40"/>
            <w:col w:w="406" w:space="39"/>
            <w:col w:w="558" w:space="57"/>
            <w:col w:w="8019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Heading1"/>
        <w:numPr>
          <w:ilvl w:val="0"/>
          <w:numId w:val="25"/>
        </w:numPr>
        <w:tabs>
          <w:tab w:pos="1221" w:val="left" w:leader="none"/>
        </w:tabs>
        <w:spacing w:line="362" w:lineRule="auto" w:before="231" w:after="0"/>
        <w:ind w:left="1220" w:right="814" w:hanging="360"/>
        <w:jc w:val="left"/>
      </w:pPr>
      <w:r>
        <w:rPr/>
        <w:t>Aggregate</w:t>
      </w:r>
      <w:r>
        <w:rPr>
          <w:spacing w:val="-2"/>
        </w:rPr>
        <w:t> </w:t>
      </w:r>
      <w:r>
        <w:rPr/>
        <w:t>Supply</w:t>
      </w:r>
      <w:r>
        <w:rPr>
          <w:spacing w:val="-1"/>
        </w:rPr>
        <w:t> </w:t>
      </w:r>
      <w:r>
        <w:rPr/>
        <w:t>Side:</w:t>
      </w:r>
      <w:r>
        <w:rPr>
          <w:spacing w:val="-4"/>
        </w:rPr>
        <w:t> </w:t>
      </w:r>
      <w:r>
        <w:rPr/>
        <w:t>Marginal</w:t>
      </w:r>
      <w:r>
        <w:rPr>
          <w:spacing w:val="-3"/>
        </w:rPr>
        <w:t> </w:t>
      </w:r>
      <w:r>
        <w:rPr/>
        <w:t>Cost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Open</w:t>
      </w:r>
      <w:r>
        <w:rPr>
          <w:spacing w:val="-4"/>
        </w:rPr>
        <w:t> </w:t>
      </w:r>
      <w:r>
        <w:rPr/>
        <w:t>Economy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Keynesian</w:t>
      </w:r>
      <w:r>
        <w:rPr>
          <w:spacing w:val="-62"/>
        </w:rPr>
        <w:t> </w:t>
      </w:r>
      <w:r>
        <w:rPr/>
        <w:t>Philips</w:t>
      </w:r>
      <w:r>
        <w:rPr>
          <w:spacing w:val="-2"/>
        </w:rPr>
        <w:t> </w:t>
      </w:r>
      <w:r>
        <w:rPr/>
        <w:t>Curve</w:t>
      </w:r>
    </w:p>
    <w:p>
      <w:pPr>
        <w:pStyle w:val="BodyText"/>
        <w:spacing w:before="189"/>
        <w:ind w:left="500"/>
      </w:pPr>
      <w:r>
        <w:rPr/>
        <w:t>Recall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optimal price</w:t>
      </w:r>
      <w:r>
        <w:rPr>
          <w:spacing w:val="-2"/>
        </w:rPr>
        <w:t> </w:t>
      </w:r>
      <w:r>
        <w:rPr/>
        <w:t>setting</w:t>
      </w:r>
      <w:r>
        <w:rPr>
          <w:spacing w:val="-1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firm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equation (4.56) is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156" w:lineRule="exact" w:before="93"/>
        <w:ind w:left="50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𝑝</w:t>
      </w:r>
      <w:r>
        <w:rPr>
          <w:rFonts w:ascii="Cambria Math" w:hAnsi="Cambria Math" w:eastAsia="Cambria Math"/>
          <w:w w:val="105"/>
          <w:vertAlign w:val="superscript"/>
        </w:rPr>
        <w:t>∗</w:t>
      </w:r>
      <w:r>
        <w:rPr>
          <w:rFonts w:ascii="Cambria Math" w:hAnsi="Cambria Math" w:eastAsia="Cambria Math"/>
          <w:spacing w:val="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𝑝</w:t>
      </w:r>
      <w:r>
        <w:rPr>
          <w:rFonts w:ascii="Cambria Math" w:hAnsi="Cambria Math" w:eastAsia="Cambria Math"/>
          <w:w w:val="105"/>
          <w:vertAlign w:val="subscript"/>
        </w:rPr>
        <w:t>𝑡−1</w:t>
      </w:r>
      <w:r>
        <w:rPr>
          <w:rFonts w:ascii="Cambria Math" w:hAnsi="Cambria Math" w:eastAsia="Cambria Math"/>
          <w:spacing w:val="1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</w:t>
      </w:r>
      <w:r>
        <w:rPr>
          <w:rFonts w:ascii="Cambria Math" w:hAnsi="Cambria Math" w:eastAsia="Cambria Math"/>
          <w:spacing w:val="-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βθ</w:t>
      </w:r>
      <w:r>
        <w:rPr>
          <w:rFonts w:ascii="Cambria Math" w:hAnsi="Cambria Math" w:eastAsia="Cambria Math"/>
          <w:spacing w:val="2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position w:val="1"/>
          <w:vertAlign w:val="baseline"/>
        </w:rPr>
        <w:t>∑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∞</w:t>
      </w:r>
      <w:r>
        <w:rPr>
          <w:rFonts w:ascii="Cambria Math" w:hAnsi="Cambria Math" w:eastAsia="Cambria Math"/>
          <w:spacing w:val="42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w w:val="105"/>
          <w:vertAlign w:val="baseline"/>
        </w:rPr>
        <w:t>βθ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k</w:t>
      </w:r>
      <w:r>
        <w:rPr>
          <w:rFonts w:ascii="Cambria Math" w:hAnsi="Cambria Math" w:eastAsia="Cambria Math"/>
          <w:spacing w:val="-14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E</w:t>
      </w:r>
      <w:r>
        <w:rPr>
          <w:rFonts w:ascii="Cambria Math" w:hAnsi="Cambria Math" w:eastAsia="Cambria Math"/>
          <w:w w:val="105"/>
          <w:vertAlign w:val="subscript"/>
        </w:rPr>
        <w:t>t</w:t>
      </w:r>
      <w:r>
        <w:rPr>
          <w:rFonts w:ascii="Cambria Math" w:hAnsi="Cambria Math" w:eastAsia="Cambria Math"/>
          <w:spacing w:val="2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[m̂c</w:t>
      </w:r>
      <w:r>
        <w:rPr>
          <w:rFonts w:ascii="Cambria Math" w:hAnsi="Cambria Math" w:eastAsia="Cambria Math"/>
          <w:w w:val="105"/>
          <w:vertAlign w:val="subscript"/>
        </w:rPr>
        <w:t>t+k|t</w:t>
      </w:r>
      <w:r>
        <w:rPr>
          <w:rFonts w:ascii="Cambria Math" w:hAnsi="Cambria Math" w:eastAsia="Cambria Math"/>
          <w:w w:val="105"/>
          <w:vertAlign w:val="baseline"/>
        </w:rPr>
        <w:t> +</w:t>
      </w:r>
      <w:r>
        <w:rPr>
          <w:rFonts w:ascii="Cambria Math" w:hAnsi="Cambria Math" w:eastAsia="Cambria Math"/>
          <w:spacing w:val="-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𝑝</w:t>
      </w:r>
      <w:r>
        <w:rPr>
          <w:rFonts w:ascii="Cambria Math" w:hAnsi="Cambria Math" w:eastAsia="Cambria Math"/>
          <w:w w:val="105"/>
          <w:vertAlign w:val="subscript"/>
        </w:rPr>
        <w:t>𝑡+𝑘</w:t>
      </w:r>
      <w:r>
        <w:rPr>
          <w:rFonts w:ascii="Cambria Math" w:hAnsi="Cambria Math" w:eastAsia="Cambria Math"/>
          <w:spacing w:val="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𝑝</w:t>
      </w:r>
      <w:r>
        <w:rPr>
          <w:rFonts w:ascii="Cambria Math" w:hAnsi="Cambria Math" w:eastAsia="Cambria Math"/>
          <w:w w:val="105"/>
          <w:vertAlign w:val="subscript"/>
        </w:rPr>
        <w:t>𝑡−1</w:t>
      </w:r>
      <w:r>
        <w:rPr>
          <w:rFonts w:ascii="Cambria Math" w:hAnsi="Cambria Math" w:eastAsia="Cambria Math"/>
          <w:w w:val="105"/>
          <w:vertAlign w:val="baseline"/>
        </w:rPr>
        <w:t>]</w:t>
      </w:r>
    </w:p>
    <w:p>
      <w:pPr>
        <w:tabs>
          <w:tab w:pos="2715" w:val="left" w:leader="none"/>
        </w:tabs>
        <w:spacing w:line="178" w:lineRule="exact" w:before="0"/>
        <w:ind w:left="627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1"/>
          <w:sz w:val="17"/>
        </w:rPr>
        <w:t>𝑡</w:t>
        <w:tab/>
      </w:r>
      <w:r>
        <w:rPr>
          <w:rFonts w:ascii="Cambria Math" w:eastAsia="Cambria Math"/>
          <w:w w:val="110"/>
          <w:sz w:val="17"/>
        </w:rPr>
        <w:t>k=0</w:t>
      </w:r>
    </w:p>
    <w:p>
      <w:pPr>
        <w:pStyle w:val="BodyText"/>
        <w:spacing w:before="3"/>
        <w:rPr>
          <w:rFonts w:ascii="Cambria Math"/>
          <w:sz w:val="23"/>
        </w:rPr>
      </w:pPr>
    </w:p>
    <w:p>
      <w:pPr>
        <w:spacing w:before="57"/>
        <w:ind w:left="500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pacing w:val="-4"/>
          <w:w w:val="105"/>
          <w:position w:val="5"/>
          <w:sz w:val="24"/>
        </w:rPr>
        <w:t>m̂c</w:t>
      </w:r>
      <w:r>
        <w:rPr>
          <w:rFonts w:ascii="Cambria Math" w:hAnsi="Cambria Math" w:eastAsia="Cambria Math"/>
          <w:spacing w:val="-4"/>
          <w:w w:val="105"/>
          <w:sz w:val="17"/>
        </w:rPr>
        <w:t>t+k|t</w:t>
      </w:r>
      <w:r>
        <w:rPr>
          <w:rFonts w:ascii="Cambria Math" w:hAnsi="Cambria Math" w:eastAsia="Cambria Math"/>
          <w:spacing w:val="26"/>
          <w:w w:val="105"/>
          <w:sz w:val="17"/>
        </w:rPr>
        <w:t> </w:t>
      </w:r>
      <w:r>
        <w:rPr>
          <w:rFonts w:ascii="Cambria Math" w:hAnsi="Cambria Math" w:eastAsia="Cambria Math"/>
          <w:spacing w:val="-3"/>
          <w:w w:val="105"/>
          <w:position w:val="5"/>
          <w:sz w:val="24"/>
        </w:rPr>
        <w:t>=</w:t>
      </w:r>
      <w:r>
        <w:rPr>
          <w:rFonts w:ascii="Cambria Math" w:hAnsi="Cambria Math" w:eastAsia="Cambria Math"/>
          <w:spacing w:val="4"/>
          <w:w w:val="105"/>
          <w:position w:val="5"/>
          <w:sz w:val="24"/>
        </w:rPr>
        <w:t> </w:t>
      </w:r>
      <w:r>
        <w:rPr>
          <w:rFonts w:ascii="Cambria Math" w:hAnsi="Cambria Math" w:eastAsia="Cambria Math"/>
          <w:spacing w:val="-3"/>
          <w:w w:val="105"/>
          <w:position w:val="5"/>
          <w:sz w:val="24"/>
        </w:rPr>
        <w:t>𝑚𝑐</w:t>
      </w:r>
      <w:r>
        <w:rPr>
          <w:rFonts w:ascii="Cambria Math" w:hAnsi="Cambria Math" w:eastAsia="Cambria Math"/>
          <w:spacing w:val="-3"/>
          <w:w w:val="105"/>
          <w:sz w:val="17"/>
        </w:rPr>
        <w:t>𝑡+𝑘|𝑡</w:t>
      </w:r>
      <w:r>
        <w:rPr>
          <w:rFonts w:ascii="Cambria Math" w:hAnsi="Cambria Math" w:eastAsia="Cambria Math"/>
          <w:spacing w:val="21"/>
          <w:w w:val="105"/>
          <w:sz w:val="17"/>
        </w:rPr>
        <w:t> </w:t>
      </w:r>
      <w:r>
        <w:rPr>
          <w:rFonts w:ascii="Cambria Math" w:hAnsi="Cambria Math" w:eastAsia="Cambria Math"/>
          <w:spacing w:val="-3"/>
          <w:w w:val="105"/>
          <w:position w:val="5"/>
          <w:sz w:val="24"/>
        </w:rPr>
        <w:t>−</w:t>
      </w:r>
      <w:r>
        <w:rPr>
          <w:rFonts w:ascii="Cambria Math" w:hAnsi="Cambria Math" w:eastAsia="Cambria Math"/>
          <w:spacing w:val="-10"/>
          <w:w w:val="105"/>
          <w:position w:val="5"/>
          <w:sz w:val="24"/>
        </w:rPr>
        <w:t> </w:t>
      </w:r>
      <w:r>
        <w:rPr>
          <w:rFonts w:ascii="Cambria Math" w:hAnsi="Cambria Math" w:eastAsia="Cambria Math"/>
          <w:spacing w:val="-3"/>
          <w:w w:val="105"/>
          <w:position w:val="5"/>
          <w:sz w:val="24"/>
        </w:rPr>
        <w:t>𝑚𝑐</w:t>
      </w:r>
      <w:r>
        <w:rPr>
          <w:rFonts w:ascii="Cambria Math" w:hAnsi="Cambria Math" w:eastAsia="Cambria Math"/>
          <w:spacing w:val="-3"/>
          <w:w w:val="105"/>
          <w:sz w:val="17"/>
        </w:rPr>
        <w:t>𝑡+𝑘</w:t>
      </w:r>
    </w:p>
    <w:p>
      <w:pPr>
        <w:pStyle w:val="BodyText"/>
        <w:spacing w:before="7"/>
        <w:rPr>
          <w:rFonts w:ascii="Cambria Math"/>
          <w:sz w:val="28"/>
        </w:rPr>
      </w:pPr>
    </w:p>
    <w:p>
      <w:pPr>
        <w:pStyle w:val="BodyText"/>
        <w:ind w:left="500"/>
      </w:pPr>
      <w:r>
        <w:rPr/>
        <w:t>Equation</w:t>
      </w:r>
      <w:r>
        <w:rPr>
          <w:spacing w:val="-2"/>
        </w:rPr>
        <w:t> </w:t>
      </w:r>
      <w:r>
        <w:rPr/>
        <w:t>(4.56)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simplified</w:t>
      </w:r>
      <w:r>
        <w:rPr>
          <w:spacing w:val="-2"/>
        </w:rPr>
        <w:t> </w:t>
      </w:r>
      <w:r>
        <w:rPr/>
        <w:t>further</w:t>
      </w:r>
      <w:r>
        <w:rPr>
          <w:spacing w:val="-2"/>
        </w:rPr>
        <w:t> </w:t>
      </w:r>
      <w:r>
        <w:rPr/>
        <w:t>to yield: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tabs>
          <w:tab w:pos="2912" w:val="left" w:leader="none"/>
          <w:tab w:pos="8001" w:val="left" w:leader="none"/>
        </w:tabs>
        <w:spacing w:line="156" w:lineRule="exact" w:before="1"/>
        <w:ind w:left="500"/>
      </w:pPr>
      <w:r>
        <w:rPr>
          <w:rFonts w:ascii="Cambria Math" w:hAnsi="Cambria Math" w:eastAsia="Cambria Math"/>
          <w:spacing w:val="5"/>
        </w:rPr>
        <w:t>𝑝</w:t>
      </w:r>
      <w:r>
        <w:rPr>
          <w:rFonts w:ascii="Cambria Math" w:hAnsi="Cambria Math" w:eastAsia="Cambria Math"/>
          <w:w w:val="106"/>
          <w:vertAlign w:val="superscript"/>
        </w:rPr>
        <w:t>∗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-2"/>
          <w:vertAlign w:val="baseline"/>
        </w:rPr>
        <w:t> </w:t>
      </w:r>
      <w:r>
        <w:rPr>
          <w:rFonts w:ascii="Cambria Math" w:hAnsi="Cambria Math" w:eastAsia="Cambria Math"/>
          <w:spacing w:val="-7"/>
          <w:vertAlign w:val="baseline"/>
        </w:rPr>
        <w:t>𝑝</w:t>
      </w:r>
      <w:r>
        <w:rPr>
          <w:rFonts w:ascii="Cambria Math" w:hAnsi="Cambria Math" w:eastAsia="Cambria Math"/>
          <w:spacing w:val="4"/>
          <w:w w:val="119"/>
          <w:vertAlign w:val="subscript"/>
        </w:rPr>
        <w:t>𝑡</w:t>
      </w:r>
      <w:r>
        <w:rPr>
          <w:rFonts w:ascii="Cambria Math" w:hAnsi="Cambria Math" w:eastAsia="Cambria Math"/>
          <w:w w:val="103"/>
          <w:vertAlign w:val="subscript"/>
        </w:rPr>
        <w:t>−</w:t>
      </w:r>
      <w:r>
        <w:rPr>
          <w:rFonts w:ascii="Cambria Math" w:hAnsi="Cambria Math" w:eastAsia="Cambria Math"/>
          <w:w w:val="111"/>
          <w:vertAlign w:val="subscript"/>
        </w:rPr>
        <w:t>1</w:t>
      </w:r>
      <w:r>
        <w:rPr>
          <w:rFonts w:ascii="Cambria Math" w:hAnsi="Cambria Math" w:eastAsia="Cambria Math"/>
          <w:spacing w:val="2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spacing w:val="1"/>
          <w:vertAlign w:val="baseline"/>
        </w:rPr>
        <w:t>β</w:t>
      </w:r>
      <w:r>
        <w:rPr>
          <w:rFonts w:ascii="Cambria Math" w:hAnsi="Cambria Math" w:eastAsia="Cambria Math"/>
          <w:vertAlign w:val="baseline"/>
        </w:rPr>
        <w:t>θ </w:t>
      </w:r>
      <w:r>
        <w:rPr>
          <w:rFonts w:ascii="Cambria Math" w:hAnsi="Cambria Math" w:eastAsia="Cambria Math"/>
          <w:spacing w:val="1"/>
          <w:vertAlign w:val="baseline"/>
        </w:rPr>
        <w:t>E</w:t>
      </w:r>
      <w:r>
        <w:rPr>
          <w:rFonts w:ascii="Cambria Math" w:hAnsi="Cambria Math" w:eastAsia="Cambria Math"/>
          <w:w w:val="123"/>
          <w:vertAlign w:val="subscript"/>
        </w:rPr>
        <w:t>t</w:t>
      </w:r>
      <w:r>
        <w:rPr>
          <w:rFonts w:ascii="Cambria Math" w:hAnsi="Cambria Math" w:eastAsia="Cambria Math"/>
          <w:spacing w:val="-7"/>
          <w:vertAlign w:val="baseline"/>
        </w:rPr>
        <w:t> </w:t>
      </w:r>
      <w:r>
        <w:rPr>
          <w:rFonts w:ascii="Cambria Math" w:hAnsi="Cambria Math" w:eastAsia="Cambria Math"/>
          <w:spacing w:val="-1"/>
          <w:position w:val="1"/>
          <w:vertAlign w:val="baseline"/>
        </w:rPr>
        <w:t>[</w:t>
      </w:r>
      <w:r>
        <w:rPr>
          <w:rFonts w:ascii="Cambria Math" w:hAnsi="Cambria Math" w:eastAsia="Cambria Math"/>
          <w:spacing w:val="5"/>
          <w:vertAlign w:val="baseline"/>
        </w:rPr>
        <w:t>𝑝</w:t>
      </w:r>
      <w:r>
        <w:rPr>
          <w:rFonts w:ascii="Cambria Math" w:hAnsi="Cambria Math" w:eastAsia="Cambria Math"/>
          <w:w w:val="106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ab/>
        <w:t>− </w:t>
      </w:r>
      <w:r>
        <w:rPr>
          <w:rFonts w:ascii="Cambria Math" w:hAnsi="Cambria Math" w:eastAsia="Cambria Math"/>
          <w:spacing w:val="-7"/>
          <w:vertAlign w:val="baseline"/>
        </w:rPr>
        <w:t>𝑝</w:t>
      </w:r>
      <w:r>
        <w:rPr>
          <w:rFonts w:ascii="Cambria Math" w:hAnsi="Cambria Math" w:eastAsia="Cambria Math"/>
          <w:spacing w:val="13"/>
          <w:w w:val="119"/>
          <w:vertAlign w:val="subscript"/>
        </w:rPr>
        <w:t>𝑡</w:t>
      </w:r>
      <w:r>
        <w:rPr>
          <w:rFonts w:ascii="Cambria Math" w:hAnsi="Cambria Math" w:eastAsia="Cambria Math"/>
          <w:position w:val="1"/>
          <w:vertAlign w:val="baseline"/>
        </w:rPr>
        <w:t>]</w:t>
      </w:r>
      <w:r>
        <w:rPr>
          <w:rFonts w:ascii="Cambria Math" w:hAnsi="Cambria Math" w:eastAsia="Cambria Math"/>
          <w:spacing w:val="-1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 </w:t>
      </w:r>
      <w:r>
        <w:rPr>
          <w:rFonts w:ascii="Cambria Math" w:hAnsi="Cambria Math" w:eastAsia="Cambria Math"/>
          <w:spacing w:val="1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 </w:t>
      </w:r>
      <w:r>
        <w:rPr>
          <w:rFonts w:ascii="Cambria Math" w:hAnsi="Cambria Math" w:eastAsia="Cambria Math"/>
          <w:spacing w:val="1"/>
          <w:vertAlign w:val="baseline"/>
        </w:rPr>
        <w:t>β</w:t>
      </w:r>
      <w:r>
        <w:rPr>
          <w:rFonts w:ascii="Cambria Math" w:hAnsi="Cambria Math" w:eastAsia="Cambria Math"/>
          <w:vertAlign w:val="baseline"/>
        </w:rPr>
        <w:t>θ</w:t>
      </w:r>
      <w:r>
        <w:rPr>
          <w:rFonts w:ascii="Cambria Math" w:hAnsi="Cambria Math" w:eastAsia="Cambria Math"/>
          <w:spacing w:val="1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-123"/>
          <w:vertAlign w:val="baseline"/>
        </w:rPr>
        <w:t>m</w:t>
      </w:r>
      <w:r>
        <w:rPr>
          <w:rFonts w:ascii="Cambria Math" w:hAnsi="Cambria Math" w:eastAsia="Cambria Math"/>
          <w:spacing w:val="-105"/>
          <w:vertAlign w:val="baseline"/>
        </w:rPr>
        <w:t>̂</w:t>
      </w:r>
      <w:r>
        <w:rPr>
          <w:rFonts w:ascii="Cambria Math" w:hAnsi="Cambria Math" w:eastAsia="Cambria Math"/>
          <w:spacing w:val="-1"/>
          <w:vertAlign w:val="baseline"/>
        </w:rPr>
        <w:t>c</w:t>
      </w:r>
      <w:r>
        <w:rPr>
          <w:rFonts w:ascii="Cambria Math" w:hAnsi="Cambria Math" w:eastAsia="Cambria Math"/>
          <w:w w:val="123"/>
          <w:vertAlign w:val="subscript"/>
        </w:rPr>
        <w:t>t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 </w:t>
      </w:r>
      <w:r>
        <w:rPr>
          <w:rFonts w:ascii="Cambria Math" w:hAnsi="Cambria Math" w:eastAsia="Cambria Math"/>
          <w:spacing w:val="-1"/>
          <w:vertAlign w:val="baseline"/>
        </w:rPr>
        <w:t>π</w:t>
      </w:r>
      <w:r>
        <w:rPr>
          <w:rFonts w:ascii="Cambria Math" w:hAnsi="Cambria Math" w:eastAsia="Cambria Math"/>
          <w:w w:val="123"/>
          <w:vertAlign w:val="subscript"/>
        </w:rPr>
        <w:t>t</w:t>
      </w:r>
      <w:r>
        <w:rPr>
          <w:rFonts w:ascii="Cambria Math" w:hAnsi="Cambria Math" w:eastAsia="Cambria Math"/>
          <w:vertAlign w:val="baseline"/>
        </w:rPr>
        <w:tab/>
      </w:r>
      <w:r>
        <w:rPr>
          <w:spacing w:val="-1"/>
          <w:vertAlign w:val="baseline"/>
        </w:rPr>
        <w:t>(</w:t>
      </w:r>
      <w:r>
        <w:rPr>
          <w:vertAlign w:val="baseline"/>
        </w:rPr>
        <w:t>4.120)</w:t>
      </w:r>
    </w:p>
    <w:p>
      <w:pPr>
        <w:tabs>
          <w:tab w:pos="2549" w:val="left" w:leader="none"/>
        </w:tabs>
        <w:spacing w:line="173" w:lineRule="exact" w:before="0"/>
        <w:ind w:left="627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</w:t>
        <w:tab/>
        <w:t>𝑡+1</w:t>
      </w:r>
    </w:p>
    <w:p>
      <w:pPr>
        <w:pStyle w:val="BodyText"/>
        <w:spacing w:before="1"/>
        <w:rPr>
          <w:rFonts w:ascii="Cambria Math"/>
          <w:sz w:val="18"/>
        </w:rPr>
      </w:pPr>
    </w:p>
    <w:p>
      <w:pPr>
        <w:pStyle w:val="BodyText"/>
        <w:spacing w:before="90"/>
        <w:ind w:left="500"/>
      </w:pPr>
      <w:r>
        <w:rPr>
          <w:u w:val="single"/>
        </w:rPr>
        <w:t>Dynamics</w:t>
      </w:r>
      <w:r>
        <w:rPr>
          <w:spacing w:val="-2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the</w:t>
      </w:r>
      <w:r>
        <w:rPr>
          <w:spacing w:val="-2"/>
          <w:u w:val="single"/>
        </w:rPr>
        <w:t> </w:t>
      </w:r>
      <w:r>
        <w:rPr>
          <w:u w:val="single"/>
        </w:rPr>
        <w:t>aggregate</w:t>
      </w:r>
      <w:r>
        <w:rPr>
          <w:spacing w:val="-1"/>
          <w:u w:val="single"/>
        </w:rPr>
        <w:t> </w:t>
      </w:r>
      <w:r>
        <w:rPr>
          <w:u w:val="single"/>
        </w:rPr>
        <w:t>price</w:t>
      </w:r>
      <w:r>
        <w:rPr>
          <w:spacing w:val="-3"/>
          <w:u w:val="single"/>
        </w:rPr>
        <w:t> </w:t>
      </w:r>
      <w:r>
        <w:rPr>
          <w:u w:val="single"/>
        </w:rPr>
        <w:t>index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90"/>
        <w:ind w:left="500"/>
      </w:pPr>
      <w:r>
        <w:rPr/>
        <w:t>The</w:t>
      </w:r>
      <w:r>
        <w:rPr>
          <w:spacing w:val="-3"/>
        </w:rPr>
        <w:t> </w:t>
      </w:r>
      <w:r>
        <w:rPr/>
        <w:t>law</w:t>
      </w:r>
      <w:r>
        <w:rPr>
          <w:spacing w:val="-1"/>
        </w:rPr>
        <w:t> </w:t>
      </w:r>
      <w:r>
        <w:rPr/>
        <w:t>of motion</w:t>
      </w:r>
      <w:r>
        <w:rPr>
          <w:spacing w:val="-1"/>
        </w:rPr>
        <w:t> </w:t>
      </w:r>
      <w:r>
        <w:rPr/>
        <w:t>for the aggregate</w:t>
      </w:r>
      <w:r>
        <w:rPr>
          <w:spacing w:val="-1"/>
        </w:rPr>
        <w:t> </w:t>
      </w:r>
      <w:r>
        <w:rPr/>
        <w:t>price</w:t>
      </w:r>
      <w:r>
        <w:rPr>
          <w:spacing w:val="-1"/>
        </w:rPr>
        <w:t> </w:t>
      </w:r>
      <w:r>
        <w:rPr/>
        <w:t>index</w:t>
      </w:r>
      <w:r>
        <w:rPr>
          <w:spacing w:val="1"/>
        </w:rPr>
        <w:t> </w:t>
      </w:r>
      <w:r>
        <w:rPr/>
        <w:t>is:</w:t>
      </w:r>
    </w:p>
    <w:p>
      <w:pPr>
        <w:pStyle w:val="BodyText"/>
        <w:spacing w:before="7"/>
        <w:rPr>
          <w:sz w:val="21"/>
        </w:rPr>
      </w:pPr>
    </w:p>
    <w:p>
      <w:pPr>
        <w:spacing w:line="118" w:lineRule="exact" w:before="76"/>
        <w:ind w:left="0" w:right="1900" w:firstLine="0"/>
        <w:jc w:val="center"/>
        <w:rPr>
          <w:rFonts w:ascii="Cambria Math"/>
          <w:sz w:val="14"/>
        </w:rPr>
      </w:pPr>
      <w:r>
        <w:rPr>
          <w:rFonts w:ascii="Cambria Math"/>
          <w:w w:val="106"/>
          <w:sz w:val="14"/>
        </w:rPr>
        <w:t>1</w:t>
      </w:r>
    </w:p>
    <w:p>
      <w:pPr>
        <w:pStyle w:val="BodyText"/>
        <w:tabs>
          <w:tab w:pos="8781" w:val="left" w:leader="none"/>
        </w:tabs>
        <w:spacing w:line="319" w:lineRule="exact"/>
        <w:ind w:left="500"/>
      </w:pPr>
      <w:r>
        <w:rPr/>
        <w:pict>
          <v:rect style="position:absolute;margin-left:251.929993pt;margin-top:3.053544pt;width:13.2pt;height:.60004pt;mso-position-horizontal-relative:page;mso-position-vertical-relative:paragraph;z-index:-21376512" filled="true" fillcolor="#000000" stroked="false">
            <v:fill type="solid"/>
            <w10:wrap type="none"/>
          </v:rect>
        </w:pict>
      </w:r>
      <w:r>
        <w:rPr/>
        <w:pict>
          <v:shape style="position:absolute;margin-left:220.729996pt;margin-top:7.458135pt;width:3.8pt;height:8.550pt;mso-position-horizontal-relative:page;mso-position-vertical-relative:paragraph;z-index:-21376000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pacing w:val="-109"/>
        </w:rPr>
        <w:t>𝑃</w:t>
      </w:r>
      <w:r>
        <w:rPr>
          <w:rFonts w:ascii="Cambria Math" w:hAnsi="Cambria Math" w:eastAsia="Cambria Math"/>
          <w:spacing w:val="-22"/>
          <w:position w:val="5"/>
        </w:rPr>
        <w:t>̅</w:t>
      </w:r>
      <w:r>
        <w:rPr>
          <w:rFonts w:ascii="Cambria Math" w:hAnsi="Cambria Math" w:eastAsia="Cambria Math"/>
          <w:w w:val="111"/>
          <w:position w:val="-4"/>
          <w:sz w:val="17"/>
        </w:rPr>
        <w:t>𝑡</w:t>
      </w:r>
      <w:r>
        <w:rPr>
          <w:rFonts w:ascii="Cambria Math" w:hAnsi="Cambria Math" w:eastAsia="Cambria Math"/>
          <w:position w:val="-4"/>
          <w:sz w:val="17"/>
        </w:rPr>
        <w:t> </w:t>
      </w:r>
      <w:r>
        <w:rPr>
          <w:rFonts w:ascii="Cambria Math" w:hAnsi="Cambria Math" w:eastAsia="Cambria Math"/>
          <w:spacing w:val="6"/>
          <w:position w:val="-4"/>
          <w:sz w:val="17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  <w:spacing w:val="-1"/>
          <w:position w:val="1"/>
        </w:rPr>
        <w:t>[</w:t>
      </w:r>
      <w:r>
        <w:rPr>
          <w:rFonts w:ascii="Cambria Math" w:hAnsi="Cambria Math" w:eastAsia="Cambria Math"/>
          <w:spacing w:val="6"/>
        </w:rPr>
        <w:t>𝜃</w:t>
      </w:r>
      <w:r>
        <w:rPr>
          <w:rFonts w:ascii="Cambria Math" w:hAnsi="Cambria Math" w:eastAsia="Cambria Math"/>
          <w:spacing w:val="1"/>
        </w:rPr>
        <w:t>(</w:t>
      </w:r>
      <w:r>
        <w:rPr>
          <w:rFonts w:ascii="Cambria Math" w:hAnsi="Cambria Math" w:eastAsia="Cambria Math"/>
          <w:spacing w:val="-27"/>
        </w:rPr>
        <w:t>𝑃</w:t>
      </w:r>
      <w:r>
        <w:rPr>
          <w:rFonts w:ascii="Cambria Math" w:hAnsi="Cambria Math" w:eastAsia="Cambria Math"/>
          <w:spacing w:val="4"/>
          <w:w w:val="119"/>
          <w:vertAlign w:val="subscript"/>
        </w:rPr>
        <w:t>𝑡</w:t>
      </w:r>
      <w:r>
        <w:rPr>
          <w:rFonts w:ascii="Cambria Math" w:hAnsi="Cambria Math" w:eastAsia="Cambria Math"/>
          <w:w w:val="103"/>
          <w:vertAlign w:val="subscript"/>
        </w:rPr>
        <w:t>−</w:t>
      </w:r>
      <w:r>
        <w:rPr>
          <w:rFonts w:ascii="Cambria Math" w:hAnsi="Cambria Math" w:eastAsia="Cambria Math"/>
          <w:spacing w:val="9"/>
          <w:w w:val="111"/>
          <w:vertAlign w:val="subscript"/>
        </w:rPr>
        <w:t>1</w:t>
      </w:r>
      <w:r>
        <w:rPr>
          <w:rFonts w:ascii="Cambria Math" w:hAnsi="Cambria Math" w:eastAsia="Cambria Math"/>
          <w:spacing w:val="-4"/>
          <w:vertAlign w:val="baseline"/>
        </w:rPr>
        <w:t>)</w:t>
      </w:r>
      <w:r>
        <w:rPr>
          <w:rFonts w:ascii="Cambria Math" w:hAnsi="Cambria Math" w:eastAsia="Cambria Math"/>
          <w:spacing w:val="-1"/>
          <w:w w:val="111"/>
          <w:vertAlign w:val="superscript"/>
        </w:rPr>
        <w:t>1</w:t>
      </w:r>
      <w:r>
        <w:rPr>
          <w:rFonts w:ascii="Cambria Math" w:hAnsi="Cambria Math" w:eastAsia="Cambria Math"/>
          <w:spacing w:val="-2"/>
          <w:w w:val="103"/>
          <w:vertAlign w:val="superscript"/>
        </w:rPr>
        <w:t>−</w:t>
      </w:r>
      <w:r>
        <w:rPr>
          <w:rFonts w:ascii="Cambria Math" w:hAnsi="Cambria Math" w:eastAsia="Cambria Math"/>
          <w:w w:val="131"/>
          <w:vertAlign w:val="superscript"/>
        </w:rPr>
        <w:t>𝗌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 </w:t>
      </w:r>
      <w:r>
        <w:rPr>
          <w:rFonts w:ascii="Cambria Math" w:hAnsi="Cambria Math" w:eastAsia="Cambria Math"/>
          <w:spacing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spacing w:val="6"/>
          <w:vertAlign w:val="baseline"/>
        </w:rPr>
        <w:t>𝜃</w:t>
      </w:r>
      <w:r>
        <w:rPr>
          <w:rFonts w:ascii="Cambria Math" w:hAnsi="Cambria Math" w:eastAsia="Cambria Math"/>
          <w:spacing w:val="1"/>
          <w:vertAlign w:val="baseline"/>
        </w:rPr>
        <w:t>)(</w:t>
      </w:r>
      <w:r>
        <w:rPr>
          <w:rFonts w:ascii="Cambria Math" w:hAnsi="Cambria Math" w:eastAsia="Cambria Math"/>
          <w:spacing w:val="4"/>
          <w:vertAlign w:val="baseline"/>
        </w:rPr>
        <w:t>𝑃</w:t>
      </w:r>
      <w:r>
        <w:rPr>
          <w:rFonts w:ascii="Cambria Math" w:hAnsi="Cambria Math" w:eastAsia="Cambria Math"/>
          <w:spacing w:val="8"/>
          <w:w w:val="106"/>
          <w:vertAlign w:val="superscript"/>
        </w:rPr>
        <w:t>∗</w:t>
      </w:r>
      <w:r>
        <w:rPr>
          <w:rFonts w:ascii="Cambria Math" w:hAnsi="Cambria Math" w:eastAsia="Cambria Math"/>
          <w:spacing w:val="-4"/>
          <w:vertAlign w:val="baseline"/>
        </w:rPr>
        <w:t>)</w:t>
      </w:r>
      <w:r>
        <w:rPr>
          <w:rFonts w:ascii="Cambria Math" w:hAnsi="Cambria Math" w:eastAsia="Cambria Math"/>
          <w:spacing w:val="-1"/>
          <w:w w:val="111"/>
          <w:vertAlign w:val="superscript"/>
        </w:rPr>
        <w:t>1</w:t>
      </w:r>
      <w:r>
        <w:rPr>
          <w:rFonts w:ascii="Cambria Math" w:hAnsi="Cambria Math" w:eastAsia="Cambria Math"/>
          <w:w w:val="103"/>
          <w:vertAlign w:val="superscript"/>
        </w:rPr>
        <w:t>−</w:t>
      </w:r>
      <w:r>
        <w:rPr>
          <w:rFonts w:ascii="Cambria Math" w:hAnsi="Cambria Math" w:eastAsia="Cambria Math"/>
          <w:spacing w:val="12"/>
          <w:w w:val="131"/>
          <w:vertAlign w:val="superscript"/>
        </w:rPr>
        <w:t>𝗌</w:t>
      </w:r>
      <w:r>
        <w:rPr>
          <w:rFonts w:ascii="Cambria Math" w:hAnsi="Cambria Math" w:eastAsia="Cambria Math"/>
          <w:spacing w:val="-1"/>
          <w:position w:val="1"/>
          <w:vertAlign w:val="baseline"/>
        </w:rPr>
        <w:t>]</w:t>
      </w:r>
      <w:r>
        <w:rPr>
          <w:rFonts w:ascii="Cambria Math" w:hAnsi="Cambria Math" w:eastAsia="Cambria Math"/>
          <w:spacing w:val="1"/>
          <w:w w:val="106"/>
          <w:position w:val="3"/>
          <w:sz w:val="14"/>
          <w:vertAlign w:val="baseline"/>
        </w:rPr>
        <w:t>1</w:t>
      </w:r>
      <w:r>
        <w:rPr>
          <w:rFonts w:ascii="Cambria Math" w:hAnsi="Cambria Math" w:eastAsia="Cambria Math"/>
          <w:spacing w:val="-1"/>
          <w:w w:val="99"/>
          <w:position w:val="3"/>
          <w:sz w:val="14"/>
          <w:vertAlign w:val="baseline"/>
        </w:rPr>
        <w:t>−</w:t>
      </w:r>
      <w:r>
        <w:rPr>
          <w:rFonts w:ascii="Cambria Math" w:hAnsi="Cambria Math" w:eastAsia="Cambria Math"/>
          <w:w w:val="130"/>
          <w:position w:val="3"/>
          <w:sz w:val="14"/>
          <w:vertAlign w:val="baseline"/>
        </w:rPr>
        <w:t>𝗌</w:t>
      </w:r>
      <w:r>
        <w:rPr>
          <w:rFonts w:ascii="Cambria Math" w:hAnsi="Cambria Math" w:eastAsia="Cambria Math"/>
          <w:position w:val="3"/>
          <w:sz w:val="14"/>
          <w:vertAlign w:val="baseline"/>
        </w:rPr>
        <w:tab/>
      </w:r>
      <w:r>
        <w:rPr>
          <w:vertAlign w:val="baseline"/>
        </w:rPr>
        <w:t>(4.1</w:t>
      </w:r>
      <w:r>
        <w:rPr>
          <w:spacing w:val="-1"/>
          <w:vertAlign w:val="baseline"/>
        </w:rPr>
        <w:t>2</w:t>
      </w:r>
      <w:r>
        <w:rPr>
          <w:vertAlign w:val="baseline"/>
        </w:rPr>
        <w:t>1)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500"/>
      </w:pPr>
      <w:r>
        <w:rPr/>
        <w:t>This</w:t>
      </w:r>
      <w:r>
        <w:rPr>
          <w:spacing w:val="-1"/>
        </w:rPr>
        <w:t> </w:t>
      </w:r>
      <w:r>
        <w:rPr/>
        <w:t>becomes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tabs>
          <w:tab w:pos="8781" w:val="left" w:leader="none"/>
        </w:tabs>
        <w:ind w:left="500"/>
      </w:pPr>
      <w:r>
        <w:rPr/>
        <w:pict>
          <v:shape style="position:absolute;margin-left:246.529999pt;margin-top:9.786898pt;width:3.8pt;height:8.550pt;mso-position-horizontal-relative:page;mso-position-vertical-relative:paragraph;z-index:-2137548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pacing w:val="1"/>
          <w:position w:val="1"/>
        </w:rPr>
        <w:t>(</w:t>
      </w:r>
      <w:r>
        <w:rPr>
          <w:rFonts w:ascii="Cambria Math" w:hAnsi="Cambria Math" w:eastAsia="Cambria Math"/>
          <w:spacing w:val="-109"/>
        </w:rPr>
        <w:t>𝑃</w:t>
      </w:r>
      <w:r>
        <w:rPr>
          <w:rFonts w:ascii="Cambria Math" w:hAnsi="Cambria Math" w:eastAsia="Cambria Math"/>
          <w:spacing w:val="-22"/>
          <w:position w:val="5"/>
        </w:rPr>
        <w:t>̅</w:t>
      </w:r>
      <w:r>
        <w:rPr>
          <w:rFonts w:ascii="Cambria Math" w:hAnsi="Cambria Math" w:eastAsia="Cambria Math"/>
          <w:spacing w:val="13"/>
          <w:w w:val="111"/>
          <w:position w:val="-4"/>
          <w:sz w:val="17"/>
        </w:rPr>
        <w:t>𝑡</w:t>
      </w:r>
      <w:r>
        <w:rPr>
          <w:rFonts w:ascii="Cambria Math" w:hAnsi="Cambria Math" w:eastAsia="Cambria Math"/>
          <w:spacing w:val="-4"/>
          <w:position w:val="1"/>
        </w:rPr>
        <w:t>)</w:t>
      </w:r>
      <w:r>
        <w:rPr>
          <w:rFonts w:ascii="Cambria Math" w:hAnsi="Cambria Math" w:eastAsia="Cambria Math"/>
          <w:spacing w:val="-1"/>
          <w:w w:val="111"/>
          <w:position w:val="1"/>
          <w:vertAlign w:val="superscript"/>
        </w:rPr>
        <w:t>1</w:t>
      </w:r>
      <w:r>
        <w:rPr>
          <w:rFonts w:ascii="Cambria Math" w:hAnsi="Cambria Math" w:eastAsia="Cambria Math"/>
          <w:w w:val="103"/>
          <w:position w:val="1"/>
          <w:vertAlign w:val="superscript"/>
        </w:rPr>
        <w:t>−</w:t>
      </w:r>
      <w:r>
        <w:rPr>
          <w:rFonts w:ascii="Cambria Math" w:hAnsi="Cambria Math" w:eastAsia="Cambria Math"/>
          <w:w w:val="131"/>
          <w:position w:val="1"/>
          <w:vertAlign w:val="superscript"/>
        </w:rPr>
        <w:t>𝗌</w:t>
      </w:r>
      <w:r>
        <w:rPr>
          <w:rFonts w:ascii="Cambria Math" w:hAnsi="Cambria Math" w:eastAsia="Cambria Math"/>
          <w:position w:val="1"/>
          <w:vertAlign w:val="baseline"/>
        </w:rPr>
        <w:t> </w:t>
      </w:r>
      <w:r>
        <w:rPr>
          <w:rFonts w:ascii="Cambria Math" w:hAnsi="Cambria Math" w:eastAsia="Cambria Math"/>
          <w:spacing w:val="-26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spacing w:val="-1"/>
          <w:position w:val="1"/>
          <w:vertAlign w:val="baseline"/>
        </w:rPr>
        <w:t>[</w:t>
      </w:r>
      <w:r>
        <w:rPr>
          <w:rFonts w:ascii="Cambria Math" w:hAnsi="Cambria Math" w:eastAsia="Cambria Math"/>
          <w:spacing w:val="9"/>
          <w:vertAlign w:val="baseline"/>
        </w:rPr>
        <w:t>𝜃</w:t>
      </w:r>
      <w:r>
        <w:rPr>
          <w:rFonts w:ascii="Cambria Math" w:hAnsi="Cambria Math" w:eastAsia="Cambria Math"/>
          <w:spacing w:val="1"/>
          <w:vertAlign w:val="baseline"/>
        </w:rPr>
        <w:t>(</w:t>
      </w:r>
      <w:r>
        <w:rPr>
          <w:rFonts w:ascii="Cambria Math" w:hAnsi="Cambria Math" w:eastAsia="Cambria Math"/>
          <w:spacing w:val="-27"/>
          <w:vertAlign w:val="baseline"/>
        </w:rPr>
        <w:t>𝑃</w:t>
      </w:r>
      <w:r>
        <w:rPr>
          <w:rFonts w:ascii="Cambria Math" w:hAnsi="Cambria Math" w:eastAsia="Cambria Math"/>
          <w:spacing w:val="1"/>
          <w:w w:val="119"/>
          <w:vertAlign w:val="subscript"/>
        </w:rPr>
        <w:t>𝑡</w:t>
      </w:r>
      <w:r>
        <w:rPr>
          <w:rFonts w:ascii="Cambria Math" w:hAnsi="Cambria Math" w:eastAsia="Cambria Math"/>
          <w:w w:val="103"/>
          <w:vertAlign w:val="subscript"/>
        </w:rPr>
        <w:t>−</w:t>
      </w:r>
      <w:r>
        <w:rPr>
          <w:rFonts w:ascii="Cambria Math" w:hAnsi="Cambria Math" w:eastAsia="Cambria Math"/>
          <w:spacing w:val="9"/>
          <w:w w:val="111"/>
          <w:vertAlign w:val="subscript"/>
        </w:rPr>
        <w:t>1</w:t>
      </w:r>
      <w:r>
        <w:rPr>
          <w:rFonts w:ascii="Cambria Math" w:hAnsi="Cambria Math" w:eastAsia="Cambria Math"/>
          <w:spacing w:val="-4"/>
          <w:vertAlign w:val="baseline"/>
        </w:rPr>
        <w:t>)</w:t>
      </w:r>
      <w:r>
        <w:rPr>
          <w:rFonts w:ascii="Cambria Math" w:hAnsi="Cambria Math" w:eastAsia="Cambria Math"/>
          <w:spacing w:val="-1"/>
          <w:w w:val="111"/>
          <w:vertAlign w:val="superscript"/>
        </w:rPr>
        <w:t>1</w:t>
      </w:r>
      <w:r>
        <w:rPr>
          <w:rFonts w:ascii="Cambria Math" w:hAnsi="Cambria Math" w:eastAsia="Cambria Math"/>
          <w:w w:val="103"/>
          <w:vertAlign w:val="superscript"/>
        </w:rPr>
        <w:t>−</w:t>
      </w:r>
      <w:r>
        <w:rPr>
          <w:rFonts w:ascii="Cambria Math" w:hAnsi="Cambria Math" w:eastAsia="Cambria Math"/>
          <w:w w:val="131"/>
          <w:vertAlign w:val="superscript"/>
        </w:rPr>
        <w:t>𝗌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1"/>
          <w:vertAlign w:val="baseline"/>
        </w:rPr>
        <w:t> (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 </w:t>
      </w:r>
      <w:r>
        <w:rPr>
          <w:rFonts w:ascii="Cambria Math" w:hAnsi="Cambria Math" w:eastAsia="Cambria Math"/>
          <w:spacing w:val="6"/>
          <w:vertAlign w:val="baseline"/>
        </w:rPr>
        <w:t>𝜃</w:t>
      </w:r>
      <w:r>
        <w:rPr>
          <w:rFonts w:ascii="Cambria Math" w:hAnsi="Cambria Math" w:eastAsia="Cambria Math"/>
          <w:spacing w:val="1"/>
          <w:vertAlign w:val="baseline"/>
        </w:rPr>
        <w:t>)(</w:t>
      </w:r>
      <w:r>
        <w:rPr>
          <w:rFonts w:ascii="Cambria Math" w:hAnsi="Cambria Math" w:eastAsia="Cambria Math"/>
          <w:spacing w:val="4"/>
          <w:vertAlign w:val="baseline"/>
        </w:rPr>
        <w:t>𝑃</w:t>
      </w:r>
      <w:r>
        <w:rPr>
          <w:rFonts w:ascii="Cambria Math" w:hAnsi="Cambria Math" w:eastAsia="Cambria Math"/>
          <w:spacing w:val="8"/>
          <w:w w:val="106"/>
          <w:vertAlign w:val="superscript"/>
        </w:rPr>
        <w:t>∗</w:t>
      </w:r>
      <w:r>
        <w:rPr>
          <w:rFonts w:ascii="Cambria Math" w:hAnsi="Cambria Math" w:eastAsia="Cambria Math"/>
          <w:spacing w:val="-4"/>
          <w:vertAlign w:val="baseline"/>
        </w:rPr>
        <w:t>)</w:t>
      </w:r>
      <w:r>
        <w:rPr>
          <w:rFonts w:ascii="Cambria Math" w:hAnsi="Cambria Math" w:eastAsia="Cambria Math"/>
          <w:spacing w:val="-1"/>
          <w:w w:val="111"/>
          <w:vertAlign w:val="superscript"/>
        </w:rPr>
        <w:t>1</w:t>
      </w:r>
      <w:r>
        <w:rPr>
          <w:rFonts w:ascii="Cambria Math" w:hAnsi="Cambria Math" w:eastAsia="Cambria Math"/>
          <w:w w:val="103"/>
          <w:vertAlign w:val="superscript"/>
        </w:rPr>
        <w:t>−</w:t>
      </w:r>
      <w:r>
        <w:rPr>
          <w:rFonts w:ascii="Cambria Math" w:hAnsi="Cambria Math" w:eastAsia="Cambria Math"/>
          <w:spacing w:val="14"/>
          <w:w w:val="131"/>
          <w:vertAlign w:val="superscript"/>
        </w:rPr>
        <w:t>𝗌</w:t>
      </w:r>
      <w:r>
        <w:rPr>
          <w:rFonts w:ascii="Cambria Math" w:hAnsi="Cambria Math" w:eastAsia="Cambria Math"/>
          <w:position w:val="1"/>
          <w:vertAlign w:val="baseline"/>
        </w:rPr>
        <w:t>]</w:t>
        <w:tab/>
      </w:r>
      <w:r>
        <w:rPr>
          <w:vertAlign w:val="baseline"/>
        </w:rPr>
        <w:t>(4.1</w:t>
      </w:r>
      <w:r>
        <w:rPr>
          <w:spacing w:val="-1"/>
          <w:vertAlign w:val="baseline"/>
        </w:rPr>
        <w:t>2</w:t>
      </w:r>
      <w:r>
        <w:rPr>
          <w:vertAlign w:val="baseline"/>
        </w:rPr>
        <w:t>2)</w:t>
      </w:r>
    </w:p>
    <w:p>
      <w:pPr>
        <w:spacing w:after="0"/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75"/>
        <w:ind w:left="500"/>
        <w:rPr>
          <w:rFonts w:ascii="Cambria Math" w:hAnsi="Cambria Math" w:eastAsia="Cambria Math"/>
          <w:sz w:val="17"/>
        </w:rPr>
      </w:pPr>
      <w:r>
        <w:rPr/>
        <w:t>Divide</w:t>
      </w:r>
      <w:r>
        <w:rPr>
          <w:spacing w:val="-3"/>
        </w:rPr>
        <w:t> </w:t>
      </w:r>
      <w:r>
        <w:rPr/>
        <w:t>equation</w:t>
      </w:r>
      <w:r>
        <w:rPr>
          <w:spacing w:val="-2"/>
        </w:rPr>
        <w:t> </w:t>
      </w:r>
      <w:r>
        <w:rPr/>
        <w:t>(4.122)</w:t>
      </w:r>
      <w:r>
        <w:rPr>
          <w:spacing w:val="-3"/>
        </w:rPr>
        <w:t> </w:t>
      </w:r>
      <w:r>
        <w:rPr/>
        <w:t>through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>
          <w:rFonts w:ascii="Cambria Math" w:hAnsi="Cambria Math" w:eastAsia="Cambria Math"/>
        </w:rPr>
        <w:t>𝑃</w:t>
      </w:r>
      <w:r>
        <w:rPr>
          <w:rFonts w:ascii="Cambria Math" w:hAnsi="Cambria Math" w:eastAsia="Cambria Math"/>
          <w:position w:val="-4"/>
          <w:sz w:val="17"/>
        </w:rPr>
        <w:t>𝑡−1</w:t>
      </w:r>
    </w:p>
    <w:p>
      <w:pPr>
        <w:pStyle w:val="BodyText"/>
        <w:spacing w:before="11"/>
        <w:rPr>
          <w:rFonts w:ascii="Cambria Math"/>
          <w:sz w:val="17"/>
        </w:rPr>
      </w:pPr>
    </w:p>
    <w:p>
      <w:pPr>
        <w:spacing w:after="0"/>
        <w:rPr>
          <w:rFonts w:ascii="Cambria Math"/>
          <w:sz w:val="17"/>
        </w:rPr>
        <w:sectPr>
          <w:pgSz w:w="12240" w:h="15840"/>
          <w:pgMar w:header="0" w:footer="935" w:top="1360" w:bottom="1200" w:left="940" w:right="940"/>
        </w:sectPr>
      </w:pPr>
    </w:p>
    <w:p>
      <w:pPr>
        <w:spacing w:before="83"/>
        <w:ind w:left="512" w:right="12" w:firstLine="0"/>
        <w:jc w:val="center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spacing w:val="-2"/>
          <w:w w:val="100"/>
          <w:position w:val="-4"/>
          <w:sz w:val="17"/>
        </w:rPr>
        <w:t>(</w:t>
      </w:r>
      <w:r>
        <w:rPr>
          <w:rFonts w:ascii="Cambria Math" w:hAnsi="Cambria Math" w:eastAsia="Cambria Math"/>
          <w:spacing w:val="-77"/>
          <w:w w:val="104"/>
          <w:position w:val="-5"/>
          <w:sz w:val="17"/>
        </w:rPr>
        <w:t>𝑃</w:t>
      </w:r>
      <w:r>
        <w:rPr>
          <w:rFonts w:ascii="Cambria Math" w:hAnsi="Cambria Math" w:eastAsia="Cambria Math"/>
          <w:spacing w:val="-14"/>
          <w:w w:val="100"/>
          <w:position w:val="-3"/>
          <w:sz w:val="17"/>
        </w:rPr>
        <w:t>̅</w:t>
      </w:r>
      <w:r>
        <w:rPr>
          <w:rFonts w:ascii="Cambria Math" w:hAnsi="Cambria Math" w:eastAsia="Cambria Math"/>
          <w:spacing w:val="6"/>
          <w:w w:val="119"/>
          <w:position w:val="-9"/>
          <w:sz w:val="14"/>
        </w:rPr>
        <w:t>𝑡</w:t>
      </w:r>
      <w:r>
        <w:rPr>
          <w:rFonts w:ascii="Cambria Math" w:hAnsi="Cambria Math" w:eastAsia="Cambria Math"/>
          <w:spacing w:val="-2"/>
          <w:w w:val="100"/>
          <w:position w:val="-4"/>
          <w:sz w:val="17"/>
        </w:rPr>
        <w:t>)</w:t>
      </w:r>
      <w:r>
        <w:rPr>
          <w:rFonts w:ascii="Cambria Math" w:hAnsi="Cambria Math" w:eastAsia="Cambria Math"/>
          <w:spacing w:val="1"/>
          <w:w w:val="106"/>
          <w:sz w:val="14"/>
        </w:rPr>
        <w:t>1</w:t>
      </w:r>
      <w:r>
        <w:rPr>
          <w:rFonts w:ascii="Cambria Math" w:hAnsi="Cambria Math" w:eastAsia="Cambria Math"/>
          <w:spacing w:val="1"/>
          <w:w w:val="99"/>
          <w:sz w:val="14"/>
        </w:rPr>
        <w:t>−</w:t>
      </w:r>
      <w:r>
        <w:rPr>
          <w:rFonts w:ascii="Cambria Math" w:hAnsi="Cambria Math" w:eastAsia="Cambria Math"/>
          <w:w w:val="130"/>
          <w:sz w:val="14"/>
        </w:rPr>
        <w:t>𝗌</w:t>
      </w:r>
    </w:p>
    <w:p>
      <w:pPr>
        <w:pStyle w:val="BodyText"/>
        <w:spacing w:line="20" w:lineRule="exact"/>
        <w:ind w:left="500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8.8pt;height:.85pt;mso-position-horizontal-relative:char;mso-position-vertical-relative:line" coordorigin="0,0" coordsize="576,17">
            <v:rect style="position:absolute;left:0;top:0;width:576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15"/>
        <w:ind w:left="512" w:right="12" w:firstLine="0"/>
        <w:jc w:val="center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05"/>
          <w:position w:val="3"/>
          <w:sz w:val="17"/>
        </w:rPr>
        <w:t>𝑃</w:t>
      </w:r>
      <w:r>
        <w:rPr>
          <w:rFonts w:ascii="Cambria Math" w:hAnsi="Cambria Math" w:eastAsia="Cambria Math"/>
          <w:w w:val="105"/>
          <w:sz w:val="14"/>
        </w:rPr>
        <w:t>𝑡−1</w:t>
      </w:r>
    </w:p>
    <w:p>
      <w:pPr>
        <w:spacing w:line="182" w:lineRule="auto" w:before="105"/>
        <w:ind w:left="33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-13"/>
          <w:sz w:val="24"/>
        </w:rPr>
        <w:t>=</w:t>
      </w:r>
      <w:r>
        <w:rPr>
          <w:rFonts w:ascii="Cambria Math" w:hAnsi="Cambria Math" w:eastAsia="Cambria Math"/>
          <w:spacing w:val="1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spacing w:val="-19"/>
          <w:w w:val="63"/>
          <w:sz w:val="17"/>
        </w:rPr>
        <w:t/>
      </w:r>
      <w:r>
        <w:rPr>
          <w:rFonts w:ascii="Cambria Math" w:hAnsi="Cambria Math" w:eastAsia="Cambria Math"/>
          <w:spacing w:val="-22"/>
          <w:w w:val="100"/>
          <w:sz w:val="17"/>
        </w:rPr>
        <w:t>(</w:t>
      </w:r>
      <w:r>
        <w:rPr>
          <w:rFonts w:ascii="Cambria Math" w:hAnsi="Cambria Math" w:eastAsia="Cambria Math"/>
          <w:spacing w:val="-40"/>
          <w:w w:val="104"/>
          <w:sz w:val="17"/>
        </w:rPr>
        <w:t>𝑃</w:t>
      </w:r>
      <w:r>
        <w:rPr>
          <w:rFonts w:ascii="Cambria Math" w:hAnsi="Cambria Math" w:eastAsia="Cambria Math"/>
          <w:spacing w:val="-24"/>
          <w:w w:val="119"/>
          <w:position w:val="-2"/>
          <w:sz w:val="14"/>
        </w:rPr>
        <w:t>𝑡</w:t>
      </w:r>
      <w:r>
        <w:rPr>
          <w:rFonts w:ascii="Cambria Math" w:hAnsi="Cambria Math" w:eastAsia="Cambria Math"/>
          <w:spacing w:val="-24"/>
          <w:w w:val="99"/>
          <w:position w:val="-2"/>
          <w:sz w:val="14"/>
        </w:rPr>
        <w:t>−</w:t>
      </w:r>
      <w:r>
        <w:rPr>
          <w:rFonts w:ascii="Cambria Math" w:hAnsi="Cambria Math" w:eastAsia="Cambria Math"/>
          <w:spacing w:val="-15"/>
          <w:w w:val="106"/>
          <w:position w:val="-2"/>
          <w:sz w:val="14"/>
        </w:rPr>
        <w:t>1</w:t>
      </w:r>
      <w:r>
        <w:rPr>
          <w:rFonts w:ascii="Cambria Math" w:hAnsi="Cambria Math" w:eastAsia="Cambria Math"/>
          <w:spacing w:val="-25"/>
          <w:w w:val="100"/>
          <w:sz w:val="17"/>
        </w:rPr>
        <w:t>)</w:t>
      </w:r>
      <w:r>
        <w:rPr>
          <w:rFonts w:ascii="Cambria Math" w:hAnsi="Cambria Math" w:eastAsia="Cambria Math"/>
          <w:spacing w:val="-22"/>
          <w:w w:val="106"/>
          <w:position w:val="6"/>
          <w:sz w:val="14"/>
        </w:rPr>
        <w:t>1</w:t>
      </w:r>
      <w:r>
        <w:rPr>
          <w:rFonts w:ascii="Cambria Math" w:hAnsi="Cambria Math" w:eastAsia="Cambria Math"/>
          <w:spacing w:val="-24"/>
          <w:w w:val="99"/>
          <w:position w:val="6"/>
          <w:sz w:val="14"/>
        </w:rPr>
        <w:t>−</w:t>
      </w:r>
      <w:r>
        <w:rPr>
          <w:rFonts w:ascii="Cambria Math" w:hAnsi="Cambria Math" w:eastAsia="Cambria Math"/>
          <w:spacing w:val="-23"/>
          <w:w w:val="130"/>
          <w:position w:val="6"/>
          <w:sz w:val="14"/>
        </w:rPr>
        <w:t/>
      </w:r>
      <w:r>
        <w:rPr>
          <w:rFonts w:ascii="Cambria Math" w:hAnsi="Cambria Math" w:eastAsia="Cambria Math"/>
          <w:spacing w:val="-22"/>
          <w:w w:val="130"/>
          <w:position w:val="6"/>
          <w:sz w:val="14"/>
        </w:rPr>
        <w:t/>
      </w:r>
    </w:p>
    <w:p>
      <w:pPr>
        <w:spacing w:line="177" w:lineRule="exact" w:before="0"/>
        <w:ind w:left="542" w:right="0" w:firstLine="0"/>
        <w:jc w:val="left"/>
        <w:rPr>
          <w:rFonts w:ascii="Cambria Math" w:hAnsi="Cambria Math" w:eastAsia="Cambria Math"/>
          <w:sz w:val="14"/>
        </w:rPr>
      </w:pPr>
      <w:r>
        <w:rPr/>
        <w:pict>
          <v:rect style="position:absolute;margin-left:116.419998pt;margin-top:-4.202813pt;width:43.8pt;height:.84pt;mso-position-horizontal-relative:page;mso-position-vertical-relative:paragraph;z-index:-2137446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  <w:position w:val="3"/>
          <w:sz w:val="17"/>
        </w:rPr>
        <w:t>𝑃</w:t>
      </w:r>
      <w:r>
        <w:rPr>
          <w:rFonts w:ascii="Cambria Math" w:hAnsi="Cambria Math" w:eastAsia="Cambria Math"/>
          <w:w w:val="105"/>
          <w:sz w:val="14"/>
        </w:rPr>
        <w:t>𝑡−1</w:t>
      </w:r>
    </w:p>
    <w:p>
      <w:pPr>
        <w:spacing w:line="179" w:lineRule="exact" w:before="75"/>
        <w:ind w:left="237" w:right="23" w:firstLine="0"/>
        <w:jc w:val="center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spacing w:val="-71"/>
          <w:w w:val="100"/>
          <w:sz w:val="17"/>
        </w:rPr>
        <w:t>(</w:t>
      </w:r>
      <w:r>
        <w:rPr>
          <w:w w:val="99"/>
          <w:position w:val="-3"/>
          <w:sz w:val="14"/>
          <w:u w:val="single"/>
        </w:rPr>
        <w:t> </w:t>
      </w:r>
      <w:r>
        <w:rPr>
          <w:spacing w:val="-1"/>
          <w:position w:val="-3"/>
          <w:sz w:val="14"/>
          <w:u w:val="single"/>
        </w:rPr>
        <w:t> </w:t>
      </w:r>
      <w:r>
        <w:rPr>
          <w:rFonts w:ascii="Cambria Math" w:hAnsi="Cambria Math" w:eastAsia="Cambria Math"/>
          <w:spacing w:val="-1"/>
          <w:w w:val="104"/>
          <w:sz w:val="17"/>
        </w:rPr>
        <w:t>1</w:t>
      </w:r>
      <w:r>
        <w:rPr>
          <w:rFonts w:ascii="Cambria Math" w:hAnsi="Cambria Math" w:eastAsia="Cambria Math"/>
          <w:w w:val="97"/>
          <w:sz w:val="17"/>
        </w:rPr>
        <w:t>−</w:t>
      </w:r>
      <w:r>
        <w:rPr>
          <w:rFonts w:ascii="Cambria Math" w:hAnsi="Cambria Math" w:eastAsia="Cambria Math"/>
          <w:spacing w:val="5"/>
          <w:w w:val="63"/>
          <w:sz w:val="17"/>
        </w:rPr>
        <w:t/>
      </w:r>
      <w:r>
        <w:rPr>
          <w:rFonts w:ascii="Cambria Math" w:hAnsi="Cambria Math" w:eastAsia="Cambria Math"/>
          <w:spacing w:val="-2"/>
          <w:w w:val="100"/>
          <w:sz w:val="17"/>
        </w:rPr>
        <w:t>)(</w:t>
      </w:r>
      <w:r>
        <w:rPr>
          <w:rFonts w:ascii="Cambria Math" w:hAnsi="Cambria Math" w:eastAsia="Cambria Math"/>
          <w:spacing w:val="5"/>
          <w:w w:val="104"/>
          <w:sz w:val="17"/>
        </w:rPr>
        <w:t>𝑃</w:t>
      </w:r>
      <w:r>
        <w:rPr>
          <w:rFonts w:ascii="Cambria Math" w:hAnsi="Cambria Math" w:eastAsia="Cambria Math"/>
          <w:spacing w:val="7"/>
          <w:w w:val="99"/>
          <w:position w:val="7"/>
          <w:sz w:val="14"/>
        </w:rPr>
        <w:t>∗</w:t>
      </w:r>
      <w:r>
        <w:rPr>
          <w:rFonts w:ascii="Cambria Math" w:hAnsi="Cambria Math" w:eastAsia="Cambria Math"/>
          <w:spacing w:val="-2"/>
          <w:w w:val="100"/>
          <w:sz w:val="17"/>
        </w:rPr>
        <w:t>)</w:t>
      </w:r>
      <w:r>
        <w:rPr>
          <w:rFonts w:ascii="Cambria Math" w:hAnsi="Cambria Math" w:eastAsia="Cambria Math"/>
          <w:spacing w:val="1"/>
          <w:w w:val="106"/>
          <w:position w:val="6"/>
          <w:sz w:val="14"/>
        </w:rPr>
        <w:t>1</w:t>
      </w:r>
      <w:r>
        <w:rPr>
          <w:rFonts w:ascii="Cambria Math" w:hAnsi="Cambria Math" w:eastAsia="Cambria Math"/>
          <w:spacing w:val="1"/>
          <w:w w:val="99"/>
          <w:position w:val="6"/>
          <w:sz w:val="14"/>
        </w:rPr>
        <w:t>−</w:t>
      </w:r>
      <w:r>
        <w:rPr>
          <w:rFonts w:ascii="Cambria Math" w:hAnsi="Cambria Math" w:eastAsia="Cambria Math"/>
          <w:w w:val="130"/>
          <w:position w:val="6"/>
          <w:sz w:val="14"/>
        </w:rPr>
        <w:t>𝗌</w:t>
      </w:r>
    </w:p>
    <w:p>
      <w:pPr>
        <w:pStyle w:val="BodyText"/>
        <w:spacing w:line="174" w:lineRule="exact"/>
        <w:ind w:left="21"/>
        <w:rPr>
          <w:rFonts w:ascii="Cambria Math"/>
        </w:rPr>
      </w:pPr>
      <w:r>
        <w:rPr/>
        <w:pict>
          <v:shape style="position:absolute;margin-left:206.449997pt;margin-top:-2.043539pt;width:22pt;height:7pt;mso-position-horizontal-relative:page;mso-position-vertical-relative:paragraph;z-index:-21373440" type="#_x0000_t202" filled="false" stroked="false">
            <v:textbox inset="0,0,0,0">
              <w:txbxContent>
                <w:p>
                  <w:pPr>
                    <w:tabs>
                      <w:tab w:pos="438" w:val="left" w:leader="none"/>
                    </w:tabs>
                    <w:spacing w:line="139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4"/>
                    </w:rPr>
                  </w:pPr>
                  <w:r>
                    <w:rPr>
                      <w:rFonts w:ascii="Cambria Math" w:eastAsia="Cambria Math"/>
                      <w:w w:val="120"/>
                      <w:sz w:val="14"/>
                      <w:u w:val="single"/>
                    </w:rPr>
                    <w:t>𝑡</w:t>
                  </w:r>
                  <w:r>
                    <w:rPr>
                      <w:rFonts w:ascii="Cambria Math" w:eastAsia="Cambria Math"/>
                      <w:sz w:val="14"/>
                      <w:u w:val="single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rFonts w:ascii="Cambria Math"/>
        </w:rPr>
        <w:t>+</w:t>
      </w:r>
    </w:p>
    <w:p>
      <w:pPr>
        <w:spacing w:line="177" w:lineRule="exact" w:before="0"/>
        <w:ind w:left="236" w:right="23" w:firstLine="0"/>
        <w:jc w:val="center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05"/>
          <w:position w:val="3"/>
          <w:sz w:val="17"/>
        </w:rPr>
        <w:t>𝑃</w:t>
      </w:r>
      <w:r>
        <w:rPr>
          <w:rFonts w:ascii="Cambria Math" w:hAnsi="Cambria Math" w:eastAsia="Cambria Math"/>
          <w:w w:val="105"/>
          <w:sz w:val="14"/>
        </w:rPr>
        <w:t>𝑡−1</w:t>
      </w:r>
    </w:p>
    <w:p>
      <w:pPr>
        <w:pStyle w:val="BodyText"/>
        <w:spacing w:before="196"/>
        <w:ind w:left="500"/>
      </w:pPr>
      <w:r>
        <w:rPr/>
        <w:br w:type="column"/>
      </w:r>
      <w:r>
        <w:rPr/>
        <w:t>(4.123)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4" w:equalWidth="0">
            <w:col w:w="1071" w:space="40"/>
            <w:col w:w="1148" w:space="39"/>
            <w:col w:w="1364" w:space="4619"/>
            <w:col w:w="2079"/>
          </w:cols>
        </w:sect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before="90"/>
        <w:ind w:left="500"/>
      </w:pPr>
      <w:r>
        <w:rPr/>
        <w:t>to</w:t>
      </w:r>
      <w:r>
        <w:rPr>
          <w:spacing w:val="-1"/>
        </w:rPr>
        <w:t> </w:t>
      </w:r>
      <w:r>
        <w:rPr/>
        <w:t>give</w:t>
      </w:r>
    </w:p>
    <w:p>
      <w:pPr>
        <w:pStyle w:val="BodyText"/>
        <w:spacing w:before="5"/>
        <w:rPr>
          <w:sz w:val="21"/>
        </w:rPr>
      </w:pPr>
    </w:p>
    <w:p>
      <w:pPr>
        <w:tabs>
          <w:tab w:pos="2924" w:val="left" w:leader="none"/>
        </w:tabs>
        <w:spacing w:line="159" w:lineRule="exact" w:before="75"/>
        <w:ind w:left="2535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position w:val="-6"/>
          <w:sz w:val="17"/>
        </w:rPr>
        <w:t>𝑝</w:t>
      </w:r>
      <w:r>
        <w:rPr>
          <w:rFonts w:ascii="Cambria Math" w:hAnsi="Cambria Math" w:eastAsia="Cambria Math"/>
          <w:w w:val="105"/>
          <w:sz w:val="14"/>
        </w:rPr>
        <w:t>∗</w:t>
        <w:tab/>
      </w:r>
      <w:r>
        <w:rPr>
          <w:rFonts w:ascii="Cambria Math" w:hAnsi="Cambria Math" w:eastAsia="Cambria Math"/>
          <w:w w:val="105"/>
          <w:position w:val="1"/>
          <w:sz w:val="17"/>
        </w:rPr>
        <w:t>1−𝗌</w:t>
      </w:r>
    </w:p>
    <w:p>
      <w:pPr>
        <w:pStyle w:val="BodyText"/>
        <w:tabs>
          <w:tab w:pos="8781" w:val="left" w:leader="none"/>
        </w:tabs>
        <w:spacing w:line="142" w:lineRule="exact"/>
        <w:ind w:left="500"/>
      </w:pPr>
      <w:r>
        <w:rPr>
          <w:rFonts w:ascii="Cambria Math" w:hAnsi="Cambria Math" w:eastAsia="Cambria Math"/>
          <w:w w:val="105"/>
        </w:rPr>
        <w:t>Π</w:t>
      </w:r>
      <w:r>
        <w:rPr>
          <w:rFonts w:ascii="Cambria Math" w:hAnsi="Cambria Math" w:eastAsia="Cambria Math"/>
          <w:w w:val="105"/>
          <w:vertAlign w:val="superscript"/>
        </w:rPr>
        <w:t>1−𝗌</w:t>
      </w:r>
      <w:r>
        <w:rPr>
          <w:rFonts w:ascii="Cambria Math" w:hAnsi="Cambria Math" w:eastAsia="Cambria Math"/>
          <w:spacing w:val="2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𝜃</w:t>
      </w:r>
      <w:r>
        <w:rPr>
          <w:rFonts w:ascii="Cambria Math" w:hAnsi="Cambria Math" w:eastAsia="Cambria Math"/>
          <w:spacing w:val="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-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</w:t>
      </w:r>
      <w:r>
        <w:rPr>
          <w:rFonts w:ascii="Cambria Math" w:hAnsi="Cambria Math" w:eastAsia="Cambria Math"/>
          <w:spacing w:val="-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𝜃</w:t>
      </w:r>
      <w:r>
        <w:rPr>
          <w:rFonts w:ascii="Cambria Math" w:hAnsi="Cambria Math" w:eastAsia="Cambria Math"/>
          <w:spacing w:val="-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(</w:t>
      </w:r>
      <w:r>
        <w:rPr>
          <w:rFonts w:ascii="Cambria Math" w:hAnsi="Cambria Math" w:eastAsia="Cambria Math"/>
          <w:w w:val="105"/>
          <w:u w:val="single"/>
          <w:vertAlign w:val="baseline"/>
        </w:rPr>
        <w:t>  </w:t>
      </w:r>
      <w:r>
        <w:rPr>
          <w:rFonts w:ascii="Cambria Math" w:hAnsi="Cambria Math" w:eastAsia="Cambria Math"/>
          <w:spacing w:val="24"/>
          <w:w w:val="105"/>
          <w:u w:val="single"/>
          <w:vertAlign w:val="baseline"/>
        </w:rPr>
        <w:t> </w:t>
      </w:r>
      <w:r>
        <w:rPr>
          <w:rFonts w:ascii="Cambria Math" w:hAnsi="Cambria Math" w:eastAsia="Cambria Math"/>
          <w:w w:val="105"/>
          <w:u w:val="single"/>
          <w:vertAlign w:val="superscript"/>
        </w:rPr>
        <w:t>𝑡</w:t>
      </w:r>
      <w:r>
        <w:rPr>
          <w:rFonts w:ascii="Cambria Math" w:hAnsi="Cambria Math" w:eastAsia="Cambria Math"/>
          <w:spacing w:val="47"/>
          <w:w w:val="105"/>
          <w:u w:val="single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)</w:t>
        <w:tab/>
      </w:r>
      <w:r>
        <w:rPr>
          <w:w w:val="105"/>
          <w:vertAlign w:val="baseline"/>
        </w:rPr>
        <w:t>(4.124)</w:t>
      </w:r>
    </w:p>
    <w:p>
      <w:pPr>
        <w:tabs>
          <w:tab w:pos="2446" w:val="left" w:leader="none"/>
        </w:tabs>
        <w:spacing w:line="267" w:lineRule="exact" w:before="0"/>
        <w:ind w:left="661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0"/>
          <w:position w:val="10"/>
          <w:sz w:val="17"/>
        </w:rPr>
        <w:t>𝑡</w:t>
        <w:tab/>
      </w:r>
      <w:r>
        <w:rPr>
          <w:rFonts w:ascii="Cambria Math" w:hAnsi="Cambria Math" w:eastAsia="Cambria Math"/>
          <w:w w:val="110"/>
          <w:position w:val="3"/>
          <w:sz w:val="17"/>
        </w:rPr>
        <w:t>𝑝</w:t>
      </w:r>
      <w:r>
        <w:rPr>
          <w:rFonts w:ascii="Cambria Math" w:hAnsi="Cambria Math" w:eastAsia="Cambria Math"/>
          <w:w w:val="110"/>
          <w:sz w:val="14"/>
        </w:rPr>
        <w:t>𝑡−1</w:t>
      </w:r>
    </w:p>
    <w:p>
      <w:pPr>
        <w:pStyle w:val="BodyText"/>
        <w:spacing w:before="10"/>
        <w:rPr>
          <w:rFonts w:ascii="Cambria Math"/>
          <w:sz w:val="18"/>
        </w:rPr>
      </w:pPr>
    </w:p>
    <w:p>
      <w:pPr>
        <w:pStyle w:val="BodyText"/>
        <w:spacing w:before="90"/>
        <w:ind w:left="500"/>
      </w:pPr>
      <w:r>
        <w:rPr/>
        <w:t>Log-linearise</w:t>
      </w:r>
      <w:r>
        <w:rPr>
          <w:spacing w:val="-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(4.124)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obtain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tabs>
          <w:tab w:pos="8781" w:val="left" w:leader="none"/>
        </w:tabs>
        <w:ind w:left="500"/>
      </w:pPr>
      <w:r>
        <w:rPr/>
        <w:pict>
          <v:shape style="position:absolute;margin-left:148.699997pt;margin-top:7.786919pt;width:3.8pt;height:8.550pt;mso-position-horizontal-relative:page;mso-position-vertical-relative:paragraph;z-index:-2137292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</w:rPr>
        <w:t>𝜋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3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3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𝜃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vertAlign w:val="baseline"/>
        </w:rPr>
        <w:t>(𝑝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𝑝</w:t>
      </w:r>
      <w:r>
        <w:rPr>
          <w:rFonts w:ascii="Cambria Math" w:hAnsi="Cambria Math" w:eastAsia="Cambria Math"/>
          <w:vertAlign w:val="subscript"/>
        </w:rPr>
        <w:t>𝑡−1</w:t>
      </w:r>
      <w:r>
        <w:rPr>
          <w:rFonts w:ascii="Cambria Math" w:hAnsi="Cambria Math" w:eastAsia="Cambria Math"/>
          <w:vertAlign w:val="baseline"/>
        </w:rPr>
        <w:t>)</w:t>
        <w:tab/>
      </w:r>
      <w:r>
        <w:rPr>
          <w:vertAlign w:val="baseline"/>
        </w:rPr>
        <w:t>(4.125)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360" w:lineRule="auto"/>
        <w:ind w:left="500" w:right="500"/>
      </w:pPr>
      <w:r>
        <w:rPr/>
        <w:t>Equation</w:t>
      </w:r>
      <w:r>
        <w:rPr>
          <w:spacing w:val="14"/>
        </w:rPr>
        <w:t> </w:t>
      </w:r>
      <w:r>
        <w:rPr/>
        <w:t>(4.125)</w:t>
      </w:r>
      <w:r>
        <w:rPr>
          <w:spacing w:val="13"/>
        </w:rPr>
        <w:t> </w:t>
      </w:r>
      <w:r>
        <w:rPr/>
        <w:t>shows</w:t>
      </w:r>
      <w:r>
        <w:rPr>
          <w:spacing w:val="17"/>
        </w:rPr>
        <w:t> </w:t>
      </w:r>
      <w:r>
        <w:rPr/>
        <w:t>that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re-optimising</w:t>
      </w:r>
      <w:r>
        <w:rPr>
          <w:spacing w:val="12"/>
        </w:rPr>
        <w:t> </w:t>
      </w:r>
      <w:r>
        <w:rPr/>
        <w:t>firms</w:t>
      </w:r>
      <w:r>
        <w:rPr>
          <w:spacing w:val="14"/>
        </w:rPr>
        <w:t> </w:t>
      </w:r>
      <w:r>
        <w:rPr/>
        <w:t>usually</w:t>
      </w:r>
      <w:r>
        <w:rPr>
          <w:spacing w:val="10"/>
        </w:rPr>
        <w:t> </w:t>
      </w:r>
      <w:r>
        <w:rPr/>
        <w:t>choose</w:t>
      </w:r>
      <w:r>
        <w:rPr>
          <w:spacing w:val="13"/>
        </w:rPr>
        <w:t> </w:t>
      </w:r>
      <w:r>
        <w:rPr/>
        <w:t>a</w:t>
      </w:r>
      <w:r>
        <w:rPr>
          <w:spacing w:val="15"/>
        </w:rPr>
        <w:t> </w:t>
      </w:r>
      <w:r>
        <w:rPr/>
        <w:t>price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/>
        <w:t>differs</w:t>
      </w:r>
      <w:r>
        <w:rPr>
          <w:spacing w:val="13"/>
        </w:rPr>
        <w:t> </w:t>
      </w:r>
      <w:r>
        <w:rPr/>
        <w:t>from</w:t>
      </w:r>
      <w:r>
        <w:rPr>
          <w:spacing w:val="13"/>
        </w:rPr>
        <w:t> </w:t>
      </w:r>
      <w:r>
        <w:rPr/>
        <w:t>the</w:t>
      </w:r>
      <w:r>
        <w:rPr>
          <w:spacing w:val="-57"/>
        </w:rPr>
        <w:t> </w:t>
      </w:r>
      <w:r>
        <w:rPr/>
        <w:t>average</w:t>
      </w:r>
      <w:r>
        <w:rPr>
          <w:spacing w:val="-1"/>
        </w:rPr>
        <w:t> </w:t>
      </w:r>
      <w:r>
        <w:rPr/>
        <w:t>price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economy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previous period</w:t>
      </w:r>
    </w:p>
    <w:p>
      <w:pPr>
        <w:pStyle w:val="BodyText"/>
        <w:spacing w:line="360" w:lineRule="auto" w:before="199"/>
        <w:ind w:left="500" w:right="499"/>
      </w:pPr>
      <w:r>
        <w:rPr/>
        <w:t>The</w:t>
      </w:r>
      <w:r>
        <w:rPr>
          <w:spacing w:val="29"/>
        </w:rPr>
        <w:t> </w:t>
      </w:r>
      <w:r>
        <w:rPr/>
        <w:t>optimal</w:t>
      </w:r>
      <w:r>
        <w:rPr>
          <w:spacing w:val="30"/>
        </w:rPr>
        <w:t> </w:t>
      </w:r>
      <w:r>
        <w:rPr/>
        <w:t>price</w:t>
      </w:r>
      <w:r>
        <w:rPr>
          <w:spacing w:val="29"/>
        </w:rPr>
        <w:t> </w:t>
      </w:r>
      <w:r>
        <w:rPr/>
        <w:t>setting</w:t>
      </w:r>
      <w:r>
        <w:rPr>
          <w:spacing w:val="28"/>
        </w:rPr>
        <w:t> </w:t>
      </w:r>
      <w:r>
        <w:rPr/>
        <w:t>condition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equation</w:t>
      </w:r>
      <w:r>
        <w:rPr>
          <w:spacing w:val="33"/>
        </w:rPr>
        <w:t> </w:t>
      </w:r>
      <w:r>
        <w:rPr/>
        <w:t>(4.120)</w:t>
      </w:r>
      <w:r>
        <w:rPr>
          <w:spacing w:val="29"/>
        </w:rPr>
        <w:t> </w:t>
      </w:r>
      <w:r>
        <w:rPr/>
        <w:t>is</w:t>
      </w:r>
      <w:r>
        <w:rPr>
          <w:spacing w:val="30"/>
        </w:rPr>
        <w:t> </w:t>
      </w:r>
      <w:r>
        <w:rPr/>
        <w:t>combined</w:t>
      </w:r>
      <w:r>
        <w:rPr>
          <w:spacing w:val="29"/>
        </w:rPr>
        <w:t> </w:t>
      </w:r>
      <w:r>
        <w:rPr/>
        <w:t>with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dynamics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-57"/>
        </w:rPr>
        <w:t> </w:t>
      </w:r>
      <w:r>
        <w:rPr/>
        <w:t>aggregate</w:t>
      </w:r>
      <w:r>
        <w:rPr>
          <w:spacing w:val="-2"/>
        </w:rPr>
        <w:t> </w:t>
      </w:r>
      <w:r>
        <w:rPr/>
        <w:t>price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in equation (4.125)</w:t>
      </w:r>
      <w:r>
        <w:rPr>
          <w:spacing w:val="-2"/>
        </w:rPr>
        <w:t> </w:t>
      </w:r>
      <w:r>
        <w:rPr/>
        <w:t>to obtain the</w:t>
      </w:r>
      <w:r>
        <w:rPr>
          <w:spacing w:val="-2"/>
        </w:rPr>
        <w:t> </w:t>
      </w:r>
      <w:r>
        <w:rPr/>
        <w:t>NK</w:t>
      </w:r>
      <w:r>
        <w:rPr>
          <w:spacing w:val="-1"/>
        </w:rPr>
        <w:t> </w:t>
      </w:r>
      <w:r>
        <w:rPr/>
        <w:t>Philips curve</w:t>
      </w:r>
      <w:r>
        <w:rPr>
          <w:spacing w:val="-2"/>
        </w:rPr>
        <w:t> </w:t>
      </w:r>
      <w:r>
        <w:rPr/>
        <w:t>in equation (4.126):</w:t>
      </w:r>
    </w:p>
    <w:p>
      <w:pPr>
        <w:pStyle w:val="BodyText"/>
        <w:rPr>
          <w:sz w:val="12"/>
        </w:rPr>
      </w:pPr>
    </w:p>
    <w:p>
      <w:pPr>
        <w:pStyle w:val="BodyText"/>
        <w:tabs>
          <w:tab w:pos="8781" w:val="left" w:leader="none"/>
        </w:tabs>
        <w:spacing w:before="86"/>
        <w:ind w:left="500"/>
      </w:pPr>
      <w:r>
        <w:rPr>
          <w:rFonts w:ascii="Cambria Math" w:hAnsi="Cambria Math" w:eastAsia="Cambria Math"/>
          <w:spacing w:val="-1"/>
        </w:rPr>
        <w:t>𝜋</w:t>
      </w:r>
      <w:r>
        <w:rPr>
          <w:rFonts w:ascii="Cambria Math" w:hAnsi="Cambria Math" w:eastAsia="Cambria Math"/>
          <w:spacing w:val="5"/>
          <w:w w:val="110"/>
          <w:vertAlign w:val="subscript"/>
        </w:rPr>
        <w:t>𝐷</w:t>
      </w:r>
      <w:r>
        <w:rPr>
          <w:rFonts w:ascii="Cambria Math" w:hAnsi="Cambria Math" w:eastAsia="Cambria Math"/>
          <w:spacing w:val="1"/>
          <w:w w:val="106"/>
          <w:vertAlign w:val="subscript"/>
        </w:rPr>
        <w:t>,</w:t>
      </w:r>
      <w:r>
        <w:rPr>
          <w:rFonts w:ascii="Cambria Math" w:hAnsi="Cambria Math" w:eastAsia="Cambria Math"/>
          <w:w w:val="119"/>
          <w:vertAlign w:val="subscript"/>
        </w:rPr>
        <w:t>𝑡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spacing w:val="1"/>
          <w:vertAlign w:val="baseline"/>
        </w:rPr>
        <w:t>βE</w:t>
      </w:r>
      <w:r>
        <w:rPr>
          <w:rFonts w:ascii="Cambria Math" w:hAnsi="Cambria Math" w:eastAsia="Cambria Math"/>
          <w:w w:val="123"/>
          <w:vertAlign w:val="subscript"/>
        </w:rPr>
        <w:t>t</w:t>
      </w:r>
      <w:r>
        <w:rPr>
          <w:rFonts w:ascii="Cambria Math" w:hAnsi="Cambria Math" w:eastAsia="Cambria Math"/>
          <w:spacing w:val="-7"/>
          <w:vertAlign w:val="baseline"/>
        </w:rPr>
        <w:t> </w:t>
      </w:r>
      <w:r>
        <w:rPr>
          <w:rFonts w:ascii="Cambria Math" w:hAnsi="Cambria Math" w:eastAsia="Cambria Math"/>
          <w:w w:val="101"/>
          <w:vertAlign w:val="baseline"/>
        </w:rPr>
        <w:t>[</w:t>
      </w:r>
      <w:r>
        <w:rPr>
          <w:rFonts w:ascii="Cambria Math" w:hAnsi="Cambria Math" w:eastAsia="Cambria Math"/>
          <w:spacing w:val="-1"/>
          <w:vertAlign w:val="baseline"/>
        </w:rPr>
        <w:t>𝜋</w:t>
      </w:r>
      <w:r>
        <w:rPr>
          <w:rFonts w:ascii="Cambria Math" w:hAnsi="Cambria Math" w:eastAsia="Cambria Math"/>
          <w:spacing w:val="2"/>
          <w:w w:val="110"/>
          <w:vertAlign w:val="subscript"/>
        </w:rPr>
        <w:t>𝐷</w:t>
      </w:r>
      <w:r>
        <w:rPr>
          <w:rFonts w:ascii="Cambria Math" w:hAnsi="Cambria Math" w:eastAsia="Cambria Math"/>
          <w:spacing w:val="1"/>
          <w:w w:val="106"/>
          <w:vertAlign w:val="subscript"/>
        </w:rPr>
        <w:t>,</w:t>
      </w:r>
      <w:r>
        <w:rPr>
          <w:rFonts w:ascii="Cambria Math" w:hAnsi="Cambria Math" w:eastAsia="Cambria Math"/>
          <w:spacing w:val="1"/>
          <w:w w:val="119"/>
          <w:vertAlign w:val="subscript"/>
        </w:rPr>
        <w:t>𝑡</w:t>
      </w:r>
      <w:r>
        <w:rPr>
          <w:rFonts w:ascii="Cambria Math" w:hAnsi="Cambria Math" w:eastAsia="Cambria Math"/>
          <w:w w:val="103"/>
          <w:vertAlign w:val="subscript"/>
        </w:rPr>
        <w:t>+</w:t>
      </w:r>
      <w:r>
        <w:rPr>
          <w:rFonts w:ascii="Cambria Math" w:hAnsi="Cambria Math" w:eastAsia="Cambria Math"/>
          <w:spacing w:val="9"/>
          <w:w w:val="111"/>
          <w:vertAlign w:val="subscript"/>
        </w:rPr>
        <w:t>1</w:t>
      </w:r>
      <w:r>
        <w:rPr>
          <w:rFonts w:ascii="Cambria Math" w:hAnsi="Cambria Math" w:eastAsia="Cambria Math"/>
          <w:w w:val="101"/>
          <w:vertAlign w:val="baseline"/>
        </w:rPr>
        <w:t>]</w:t>
      </w:r>
      <w:r>
        <w:rPr>
          <w:rFonts w:ascii="Cambria Math" w:hAnsi="Cambria Math" w:eastAsia="Cambria Math"/>
          <w:vertAlign w:val="baseline"/>
        </w:rPr>
        <w:t> + λ</w:t>
      </w:r>
      <w:r>
        <w:rPr>
          <w:rFonts w:ascii="Cambria Math" w:hAnsi="Cambria Math" w:eastAsia="Cambria Math"/>
          <w:spacing w:val="-123"/>
          <w:vertAlign w:val="baseline"/>
        </w:rPr>
        <w:t>m</w:t>
      </w:r>
      <w:r>
        <w:rPr>
          <w:rFonts w:ascii="Cambria Math" w:hAnsi="Cambria Math" w:eastAsia="Cambria Math"/>
          <w:spacing w:val="-105"/>
          <w:vertAlign w:val="baseline"/>
        </w:rPr>
        <w:t>̂</w:t>
      </w:r>
      <w:r>
        <w:rPr>
          <w:rFonts w:ascii="Cambria Math" w:hAnsi="Cambria Math" w:eastAsia="Cambria Math"/>
          <w:vertAlign w:val="baseline"/>
        </w:rPr>
        <w:t>c</w:t>
      </w:r>
      <w:r>
        <w:rPr>
          <w:rFonts w:ascii="Cambria Math" w:hAnsi="Cambria Math" w:eastAsia="Cambria Math"/>
          <w:w w:val="123"/>
          <w:vertAlign w:val="subscript"/>
        </w:rPr>
        <w:t>t</w:t>
      </w:r>
      <w:r>
        <w:rPr>
          <w:rFonts w:ascii="Cambria Math" w:hAnsi="Cambria Math" w:eastAsia="Cambria Math"/>
          <w:vertAlign w:val="baseline"/>
        </w:rPr>
        <w:tab/>
      </w:r>
      <w:r>
        <w:rPr>
          <w:spacing w:val="-1"/>
          <w:vertAlign w:val="baseline"/>
        </w:rPr>
        <w:t>(</w:t>
      </w:r>
      <w:r>
        <w:rPr>
          <w:vertAlign w:val="baseline"/>
        </w:rPr>
        <w:t>4.126)</w:t>
      </w:r>
    </w:p>
    <w:p>
      <w:pPr>
        <w:pStyle w:val="BodyText"/>
        <w:spacing w:before="9"/>
      </w:pPr>
    </w:p>
    <w:p>
      <w:pPr>
        <w:spacing w:line="180" w:lineRule="auto" w:before="93"/>
        <w:ind w:left="500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28.419998pt;margin-top:15.366071pt;width:52.08pt;height:.84pt;mso-position-horizontal-relative:page;mso-position-vertical-relative:paragraph;z-index:-2137395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Where</w:t>
      </w:r>
      <w:r>
        <w:rPr>
          <w:spacing w:val="5"/>
          <w:position w:val="-13"/>
          <w:sz w:val="24"/>
        </w:rPr>
        <w:t> </w:t>
      </w:r>
      <w:r>
        <w:rPr>
          <w:rFonts w:ascii="Cambria Math" w:hAnsi="Cambria Math"/>
          <w:position w:val="-13"/>
          <w:sz w:val="24"/>
        </w:rPr>
        <w:t>λ</w:t>
      </w:r>
      <w:r>
        <w:rPr>
          <w:rFonts w:ascii="Cambria Math" w:hAnsi="Cambria Math"/>
          <w:spacing w:val="22"/>
          <w:position w:val="-13"/>
          <w:sz w:val="24"/>
        </w:rPr>
        <w:t> </w:t>
      </w:r>
      <w:r>
        <w:rPr>
          <w:rFonts w:ascii="Cambria Math" w:hAnsi="Cambria Math"/>
          <w:position w:val="-13"/>
          <w:sz w:val="24"/>
        </w:rPr>
        <w:t>=</w:t>
      </w:r>
      <w:r>
        <w:rPr>
          <w:rFonts w:ascii="Cambria Math" w:hAnsi="Cambria Math"/>
          <w:spacing w:val="20"/>
          <w:position w:val="-13"/>
          <w:sz w:val="24"/>
        </w:rPr>
        <w:t> </w:t>
      </w:r>
      <w:r>
        <w:rPr>
          <w:rFonts w:ascii="Cambria Math" w:hAnsi="Cambria Math"/>
          <w:position w:val="1"/>
          <w:sz w:val="17"/>
        </w:rPr>
        <w:t>(</w:t>
      </w:r>
      <w:r>
        <w:rPr>
          <w:rFonts w:ascii="Cambria Math" w:hAnsi="Cambria Math"/>
          <w:sz w:val="17"/>
        </w:rPr>
        <w:t>1−θ</w:t>
      </w:r>
      <w:r>
        <w:rPr>
          <w:rFonts w:ascii="Cambria Math" w:hAnsi="Cambria Math"/>
          <w:position w:val="1"/>
          <w:sz w:val="17"/>
        </w:rPr>
        <w:t>)</w:t>
      </w:r>
      <w:r>
        <w:rPr>
          <w:rFonts w:ascii="Cambria Math" w:hAnsi="Cambria Math"/>
          <w:sz w:val="17"/>
        </w:rPr>
        <w:t>(1−βθ)</w:t>
      </w:r>
    </w:p>
    <w:p>
      <w:pPr>
        <w:spacing w:line="154" w:lineRule="exact" w:before="0"/>
        <w:ind w:left="2096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12"/>
          <w:sz w:val="17"/>
        </w:rPr>
        <w:t>θ</w:t>
      </w:r>
    </w:p>
    <w:p>
      <w:pPr>
        <w:pStyle w:val="BodyText"/>
        <w:spacing w:before="11"/>
        <w:rPr>
          <w:rFonts w:ascii="Cambria Math"/>
          <w:sz w:val="17"/>
        </w:rPr>
      </w:pPr>
    </w:p>
    <w:p>
      <w:pPr>
        <w:pStyle w:val="BodyText"/>
        <w:spacing w:line="360" w:lineRule="auto" w:before="90"/>
        <w:ind w:left="500" w:right="500"/>
      </w:pPr>
      <w:r>
        <w:rPr/>
        <w:t>Equation</w:t>
      </w:r>
      <w:r>
        <w:rPr>
          <w:spacing w:val="-12"/>
        </w:rPr>
        <w:t> </w:t>
      </w:r>
      <w:r>
        <w:rPr/>
        <w:t>(4.126)</w:t>
      </w:r>
      <w:r>
        <w:rPr>
          <w:spacing w:val="-12"/>
        </w:rPr>
        <w:t> </w:t>
      </w:r>
      <w:r>
        <w:rPr/>
        <w:t>shows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domestic</w:t>
      </w:r>
      <w:r>
        <w:rPr>
          <w:spacing w:val="-12"/>
        </w:rPr>
        <w:t> </w:t>
      </w:r>
      <w:r>
        <w:rPr/>
        <w:t>inflation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proportional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deviation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marginal</w:t>
      </w:r>
      <w:r>
        <w:rPr>
          <w:spacing w:val="-11"/>
        </w:rPr>
        <w:t> </w:t>
      </w:r>
      <w:r>
        <w:rPr/>
        <w:t>cost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its steady</w:t>
      </w:r>
      <w:r>
        <w:rPr>
          <w:spacing w:val="-5"/>
        </w:rPr>
        <w:t> </w:t>
      </w:r>
      <w:r>
        <w:rPr/>
        <w:t>state.</w:t>
      </w:r>
    </w:p>
    <w:p>
      <w:pPr>
        <w:pStyle w:val="Heading3"/>
        <w:spacing w:before="204"/>
      </w:pPr>
      <w:r>
        <w:rPr/>
        <w:t>Marginal</w:t>
      </w:r>
      <w:r>
        <w:rPr>
          <w:spacing w:val="-1"/>
        </w:rPr>
        <w:t> </w:t>
      </w:r>
      <w:r>
        <w:rPr/>
        <w:t>Cost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500" w:right="496"/>
      </w:pP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open-economy</w:t>
      </w:r>
      <w:r>
        <w:rPr>
          <w:spacing w:val="-6"/>
        </w:rPr>
        <w:t> </w:t>
      </w:r>
      <w:r>
        <w:rPr/>
        <w:t>case,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marginal</w:t>
      </w:r>
      <w:r>
        <w:rPr>
          <w:spacing w:val="-4"/>
        </w:rPr>
        <w:t> </w:t>
      </w:r>
      <w:r>
        <w:rPr/>
        <w:t>cost</w:t>
      </w:r>
      <w:r>
        <w:rPr>
          <w:spacing w:val="-3"/>
        </w:rPr>
        <w:t> </w:t>
      </w:r>
      <w:r>
        <w:rPr/>
        <w:t>differs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one</w:t>
      </w:r>
      <w:r>
        <w:rPr>
          <w:spacing w:val="-5"/>
        </w:rPr>
        <w:t> </w:t>
      </w:r>
      <w:r>
        <w:rPr/>
        <w:t>derived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closed</w:t>
      </w:r>
      <w:r>
        <w:rPr>
          <w:spacing w:val="-4"/>
        </w:rPr>
        <w:t> </w:t>
      </w:r>
      <w:r>
        <w:rPr/>
        <w:t>economy.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equation (4.50),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real marginal cost 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closed economy</w:t>
      </w:r>
      <w:r>
        <w:rPr>
          <w:spacing w:val="-6"/>
        </w:rPr>
        <w:t> </w:t>
      </w:r>
      <w:r>
        <w:rPr/>
        <w:t>is specified as:</w:t>
      </w:r>
    </w:p>
    <w:p>
      <w:pPr>
        <w:pStyle w:val="BodyText"/>
        <w:spacing w:before="206"/>
        <w:ind w:left="50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𝑚𝑐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1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𝑤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𝑝</w:t>
      </w:r>
      <w:r>
        <w:rPr>
          <w:rFonts w:ascii="Cambria Math" w:hAnsi="Cambria Math" w:eastAsia="Cambria Math"/>
          <w:w w:val="105"/>
          <w:vertAlign w:val="subscript"/>
        </w:rPr>
        <w:t>𝐷𝑡</w:t>
      </w:r>
      <w:r>
        <w:rPr>
          <w:rFonts w:ascii="Cambria Math" w:hAnsi="Cambria Math" w:eastAsia="Cambria Math"/>
          <w:spacing w:val="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𝑎</w:t>
      </w:r>
      <w:r>
        <w:rPr>
          <w:rFonts w:ascii="Cambria Math" w:hAnsi="Cambria Math" w:eastAsia="Cambria Math"/>
          <w:w w:val="105"/>
          <w:vertAlign w:val="subscript"/>
        </w:rPr>
        <w:t>𝑡</w:t>
      </w:r>
    </w:p>
    <w:p>
      <w:pPr>
        <w:pStyle w:val="BodyText"/>
        <w:spacing w:before="8"/>
        <w:rPr>
          <w:rFonts w:ascii="Cambria Math"/>
          <w:sz w:val="28"/>
        </w:rPr>
      </w:pPr>
    </w:p>
    <w:p>
      <w:pPr>
        <w:pStyle w:val="BodyText"/>
        <w:ind w:left="500"/>
      </w:pPr>
      <w:r>
        <w:rPr/>
        <w:t>Equation</w:t>
      </w:r>
      <w:r>
        <w:rPr>
          <w:spacing w:val="-2"/>
        </w:rPr>
        <w:t> </w:t>
      </w:r>
      <w:r>
        <w:rPr/>
        <w:t>(4.50)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rewritten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8781" w:val="left" w:leader="none"/>
        </w:tabs>
        <w:ind w:left="500"/>
      </w:pPr>
      <w:r>
        <w:rPr>
          <w:rFonts w:ascii="Cambria Math" w:hAnsi="Cambria Math" w:eastAsia="Cambria Math"/>
          <w:w w:val="105"/>
        </w:rPr>
        <w:t>𝑚𝑐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1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(𝑤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𝑝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w w:val="105"/>
          <w:vertAlign w:val="baseline"/>
        </w:rPr>
        <w:t>)+(𝑝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𝑝</w:t>
      </w:r>
      <w:r>
        <w:rPr>
          <w:rFonts w:ascii="Cambria Math" w:hAnsi="Cambria Math" w:eastAsia="Cambria Math"/>
          <w:w w:val="105"/>
          <w:vertAlign w:val="subscript"/>
        </w:rPr>
        <w:t>𝐷𝑡</w:t>
      </w:r>
      <w:r>
        <w:rPr>
          <w:rFonts w:ascii="Cambria Math" w:hAnsi="Cambria Math" w:eastAsia="Cambria Math"/>
          <w:w w:val="105"/>
          <w:vertAlign w:val="baseline"/>
        </w:rPr>
        <w:t>)</w:t>
      </w:r>
      <w:r>
        <w:rPr>
          <w:rFonts w:ascii="Cambria Math" w:hAnsi="Cambria Math" w:eastAsia="Cambria Math"/>
          <w:spacing w:val="-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𝑎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w w:val="105"/>
          <w:vertAlign w:val="baseline"/>
        </w:rPr>
        <w:tab/>
      </w:r>
      <w:r>
        <w:rPr>
          <w:w w:val="105"/>
          <w:vertAlign w:val="baseline"/>
        </w:rPr>
        <w:t>(4.127)</w:t>
      </w:r>
    </w:p>
    <w:p>
      <w:pPr>
        <w:spacing w:after="0"/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line="367" w:lineRule="auto" w:before="74"/>
        <w:ind w:left="500" w:right="498"/>
        <w:jc w:val="both"/>
      </w:pPr>
      <w:r>
        <w:rPr/>
        <w:t>Equation (4.67) which shows that the difference between the aggregate price and domestic price</w:t>
      </w:r>
      <w:r>
        <w:rPr>
          <w:spacing w:val="1"/>
        </w:rPr>
        <w:t> </w:t>
      </w:r>
      <w:r>
        <w:rPr/>
        <w:t>is proportional to the terms of trade: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𝑝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 = 𝑝</w:t>
      </w:r>
      <w:r>
        <w:rPr>
          <w:rFonts w:ascii="Cambria Math" w:hAnsi="Cambria Math" w:eastAsia="Cambria Math"/>
          <w:vertAlign w:val="subscript"/>
        </w:rPr>
        <w:t>𝐷,𝑡</w:t>
      </w:r>
      <w:r>
        <w:rPr>
          <w:rFonts w:ascii="Cambria Math" w:hAnsi="Cambria Math" w:eastAsia="Cambria Math"/>
          <w:vertAlign w:val="baseline"/>
        </w:rPr>
        <w:t> − 𝛼𝑠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and the labour supply schedule in equation</w:t>
      </w:r>
      <w:r>
        <w:rPr>
          <w:spacing w:val="1"/>
          <w:vertAlign w:val="baseline"/>
        </w:rPr>
        <w:t> </w:t>
      </w:r>
      <w:r>
        <w:rPr>
          <w:vertAlign w:val="baseline"/>
        </w:rPr>
        <w:t>(4.32):</w:t>
      </w:r>
      <w:r>
        <w:rPr>
          <w:spacing w:val="-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𝑤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𝑝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2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𝜎𝑐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 𝑛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vertAlign w:val="baseline"/>
        </w:rPr>
        <w:t>is inserted</w:t>
      </w:r>
      <w:r>
        <w:rPr>
          <w:spacing w:val="-1"/>
          <w:vertAlign w:val="baseline"/>
        </w:rPr>
        <w:t> </w:t>
      </w:r>
      <w:r>
        <w:rPr>
          <w:vertAlign w:val="baseline"/>
        </w:rPr>
        <w:t>into</w:t>
      </w:r>
      <w:r>
        <w:rPr>
          <w:spacing w:val="-1"/>
          <w:vertAlign w:val="baseline"/>
        </w:rPr>
        <w:t> </w:t>
      </w:r>
      <w:r>
        <w:rPr>
          <w:vertAlign w:val="baseline"/>
        </w:rPr>
        <w:t>equation (4.127)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get:</w:t>
      </w:r>
    </w:p>
    <w:p>
      <w:pPr>
        <w:pStyle w:val="BodyText"/>
        <w:tabs>
          <w:tab w:pos="8061" w:val="left" w:leader="none"/>
        </w:tabs>
        <w:spacing w:before="194"/>
        <w:ind w:left="500"/>
        <w:jc w:val="both"/>
      </w:pPr>
      <w:r>
        <w:rPr>
          <w:rFonts w:ascii="Cambria Math" w:hAnsi="Cambria Math" w:eastAsia="Cambria Math"/>
        </w:rPr>
        <w:t>𝑚𝑐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2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𝜎𝑐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𝑛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𝛼𝑠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𝑎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ab/>
      </w:r>
      <w:r>
        <w:rPr>
          <w:vertAlign w:val="baseline"/>
        </w:rPr>
        <w:t>(4.128)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360" w:lineRule="auto"/>
        <w:ind w:left="500" w:right="1175"/>
      </w:pPr>
      <w:r>
        <w:rPr/>
        <w:t>The next step is to insert the international risk sharing condition in equation (4.83) and the</w:t>
      </w:r>
      <w:r>
        <w:rPr>
          <w:spacing w:val="-58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relation in equation (4.54)</w:t>
      </w:r>
      <w:r>
        <w:rPr>
          <w:spacing w:val="-1"/>
        </w:rPr>
        <w:t> </w:t>
      </w:r>
      <w:r>
        <w:rPr/>
        <w:t>into equation (4.128).</w:t>
      </w:r>
      <w:r>
        <w:rPr>
          <w:spacing w:val="-1"/>
        </w:rPr>
        <w:t> </w:t>
      </w:r>
      <w:r>
        <w:rPr/>
        <w:t>This will</w:t>
      </w:r>
      <w:r>
        <w:rPr>
          <w:spacing w:val="1"/>
        </w:rPr>
        <w:t> </w:t>
      </w:r>
      <w:r>
        <w:rPr/>
        <w:t>yield:</w:t>
      </w:r>
    </w:p>
    <w:p>
      <w:pPr>
        <w:pStyle w:val="BodyText"/>
        <w:spacing w:before="4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line="143" w:lineRule="exact" w:before="146"/>
        <w:ind w:left="500"/>
        <w:rPr>
          <w:rFonts w:ascii="Cambria Math" w:eastAsia="Cambria Math"/>
        </w:rPr>
      </w:pPr>
      <w:r>
        <w:rPr>
          <w:rFonts w:ascii="Cambria Math" w:eastAsia="Cambria Math"/>
        </w:rPr>
        <w:t>𝑚𝑐</w:t>
      </w:r>
    </w:p>
    <w:p>
      <w:pPr>
        <w:pStyle w:val="BodyText"/>
        <w:spacing w:line="217" w:lineRule="exact" w:before="73"/>
        <w:ind w:left="108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= 𝜎 [𝑐</w:t>
      </w:r>
      <w:r>
        <w:rPr>
          <w:rFonts w:ascii="Cambria Math" w:hAnsi="Cambria Math" w:eastAsia="Cambria Math"/>
          <w:spacing w:val="52"/>
        </w:rPr>
        <w:t> 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 + </w:t>
      </w:r>
      <w:r>
        <w:rPr>
          <w:rFonts w:ascii="Cambria Math" w:hAnsi="Cambria Math" w:eastAsia="Cambria Math"/>
          <w:position w:val="14"/>
          <w:sz w:val="17"/>
          <w:vertAlign w:val="baseline"/>
        </w:rPr>
        <w:t>1−𝛼 </w:t>
      </w:r>
      <w:r>
        <w:rPr>
          <w:rFonts w:ascii="Cambria Math" w:hAnsi="Cambria Math" w:eastAsia="Cambria Math"/>
          <w:vertAlign w:val="baseline"/>
        </w:rPr>
        <w:t>𝑠</w:t>
      </w:r>
      <w:r>
        <w:rPr>
          <w:rFonts w:ascii="Cambria Math" w:hAnsi="Cambria Math" w:eastAsia="Cambria Math"/>
          <w:spacing w:val="5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] +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spacing w:val="-84"/>
          <w:vertAlign w:val="baseline"/>
        </w:rPr>
        <w:t/>
      </w:r>
      <w:r>
        <w:rPr>
          <w:rFonts w:ascii="Cambria Math" w:hAnsi="Cambria Math" w:eastAsia="Cambria Math"/>
          <w:spacing w:val="-84"/>
          <w:position w:val="1"/>
          <w:vertAlign w:val="baseline"/>
        </w:rPr>
        <w:t>[</w:t>
      </w:r>
      <w:r>
        <w:rPr>
          <w:rFonts w:ascii="Cambria Math" w:hAnsi="Cambria Math" w:eastAsia="Cambria Math"/>
          <w:spacing w:val="-84"/>
          <w:vertAlign w:val="baseline"/>
        </w:rPr>
        <w:t>𝑦</w:t>
      </w:r>
    </w:p>
    <w:p>
      <w:pPr>
        <w:pStyle w:val="BodyText"/>
        <w:spacing w:line="20" w:lineRule="exact"/>
        <w:ind w:left="120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7.05pt;height:.85pt;mso-position-horizontal-relative:char;mso-position-vertical-relative:line" coordorigin="0,0" coordsize="341,17">
            <v:rect style="position:absolute;left:0;top:0;width:341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153" w:lineRule="exact" w:before="136"/>
        <w:ind w:left="96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− 𝑎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  <w:position w:val="1"/>
        </w:rPr>
        <w:t>]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  <w:spacing w:val="-90"/>
        </w:rPr>
        <w:t>𝛼𝑠</w:t>
      </w:r>
    </w:p>
    <w:p>
      <w:pPr>
        <w:pStyle w:val="BodyText"/>
        <w:spacing w:line="143" w:lineRule="exact" w:before="146"/>
        <w:ind w:left="96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− 𝑎</w:t>
      </w:r>
    </w:p>
    <w:p>
      <w:pPr>
        <w:pStyle w:val="BodyText"/>
        <w:spacing w:line="139" w:lineRule="exact" w:before="150"/>
        <w:ind w:left="500"/>
      </w:pPr>
      <w:r>
        <w:rPr/>
        <w:br w:type="column"/>
      </w:r>
      <w:r>
        <w:rPr/>
        <w:t>(4.129)</w:t>
      </w:r>
    </w:p>
    <w:p>
      <w:pPr>
        <w:spacing w:after="0" w:line="139" w:lineRule="exact"/>
        <w:sectPr>
          <w:type w:val="continuous"/>
          <w:pgSz w:w="12240" w:h="15840"/>
          <w:pgMar w:top="1500" w:bottom="1120" w:left="940" w:right="940"/>
          <w:cols w:num="5" w:equalWidth="0">
            <w:col w:w="813" w:space="40"/>
            <w:col w:w="2536" w:space="39"/>
            <w:col w:w="1185" w:space="40"/>
            <w:col w:w="503" w:space="3125"/>
            <w:col w:w="2079"/>
          </w:cols>
        </w:sectPr>
      </w:pPr>
    </w:p>
    <w:p>
      <w:pPr>
        <w:tabs>
          <w:tab w:pos="1589" w:val="left" w:leader="none"/>
        </w:tabs>
        <w:spacing w:line="151" w:lineRule="exact" w:before="0"/>
        <w:ind w:left="807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</w:t>
        <w:tab/>
      </w:r>
      <w:r>
        <w:rPr>
          <w:rFonts w:ascii="Cambria Math" w:eastAsia="Cambria Math"/>
          <w:spacing w:val="-153"/>
          <w:w w:val="110"/>
          <w:sz w:val="17"/>
        </w:rPr>
        <w:t>𝑡</w:t>
      </w:r>
    </w:p>
    <w:p>
      <w:pPr>
        <w:tabs>
          <w:tab w:pos="835" w:val="left" w:leader="none"/>
        </w:tabs>
        <w:spacing w:line="165" w:lineRule="auto" w:before="0"/>
        <w:ind w:left="460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position w:val="-6"/>
          <w:sz w:val="17"/>
        </w:rPr>
        <w:t>𝜎</w:t>
        <w:tab/>
      </w:r>
      <w:r>
        <w:rPr>
          <w:rFonts w:ascii="Cambria Math" w:eastAsia="Cambria Math"/>
          <w:spacing w:val="-153"/>
          <w:w w:val="110"/>
          <w:sz w:val="17"/>
        </w:rPr>
        <w:t>𝑡</w:t>
      </w:r>
    </w:p>
    <w:p>
      <w:pPr>
        <w:tabs>
          <w:tab w:pos="1236" w:val="left" w:leader="none"/>
        </w:tabs>
        <w:spacing w:line="151" w:lineRule="exact" w:before="0"/>
        <w:ind w:left="725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𝑡</w:t>
        <w:tab/>
      </w:r>
      <w:r>
        <w:rPr>
          <w:rFonts w:ascii="Cambria Math" w:eastAsia="Cambria Math"/>
          <w:spacing w:val="-153"/>
          <w:w w:val="110"/>
          <w:sz w:val="17"/>
        </w:rPr>
        <w:t>𝑡</w:t>
      </w:r>
    </w:p>
    <w:p>
      <w:pPr>
        <w:tabs>
          <w:tab w:pos="1108" w:val="left" w:leader="none"/>
        </w:tabs>
        <w:spacing w:line="151" w:lineRule="exact" w:before="0"/>
        <w:ind w:left="600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𝑡</w:t>
        <w:tab/>
        <w:t>𝑡</w:t>
      </w:r>
    </w:p>
    <w:p>
      <w:pPr>
        <w:spacing w:after="0" w:line="151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4" w:equalWidth="0">
            <w:col w:w="1666" w:space="40"/>
            <w:col w:w="911" w:space="39"/>
            <w:col w:w="1312" w:space="39"/>
            <w:col w:w="6353"/>
          </w:cols>
        </w:sectPr>
      </w:pPr>
    </w:p>
    <w:p>
      <w:pPr>
        <w:pStyle w:val="BodyText"/>
        <w:spacing w:before="5"/>
        <w:rPr>
          <w:rFonts w:ascii="Cambria Math"/>
          <w:sz w:val="19"/>
        </w:rPr>
      </w:pPr>
    </w:p>
    <w:p>
      <w:pPr>
        <w:pStyle w:val="BodyText"/>
        <w:spacing w:before="93"/>
        <w:ind w:left="500"/>
      </w:pPr>
      <w:r>
        <w:rPr/>
        <w:t>With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world</w:t>
      </w:r>
      <w:r>
        <w:rPr>
          <w:spacing w:val="3"/>
        </w:rPr>
        <w:t> </w:t>
      </w:r>
      <w:r>
        <w:rPr/>
        <w:t>market</w:t>
      </w:r>
      <w:r>
        <w:rPr>
          <w:spacing w:val="3"/>
        </w:rPr>
        <w:t> </w:t>
      </w:r>
      <w:r>
        <w:rPr/>
        <w:t>clearing condition</w:t>
      </w:r>
      <w:r>
        <w:rPr>
          <w:spacing w:val="7"/>
        </w:rPr>
        <w:t> </w:t>
      </w:r>
      <w:r>
        <w:rPr>
          <w:rFonts w:ascii="Cambria Math" w:hAnsi="Cambria Math" w:eastAsia="Cambria Math"/>
        </w:rPr>
        <w:t>𝑦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spacing w:val="2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𝑐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vertAlign w:val="baseline"/>
        </w:rPr>
        <w:t>,</w:t>
      </w:r>
      <w:r>
        <w:rPr>
          <w:spacing w:val="3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3"/>
          <w:vertAlign w:val="baseline"/>
        </w:rPr>
        <w:t> </w:t>
      </w:r>
      <w:r>
        <w:rPr>
          <w:vertAlign w:val="baseline"/>
        </w:rPr>
        <w:t>(4.129)</w:t>
      </w:r>
      <w:r>
        <w:rPr>
          <w:spacing w:val="2"/>
          <w:vertAlign w:val="baseline"/>
        </w:rPr>
        <w:t> </w:t>
      </w:r>
      <w:r>
        <w:rPr>
          <w:vertAlign w:val="baseline"/>
        </w:rPr>
        <w:t>can</w:t>
      </w:r>
      <w:r>
        <w:rPr>
          <w:spacing w:val="3"/>
          <w:vertAlign w:val="baseline"/>
        </w:rPr>
        <w:t> </w:t>
      </w:r>
      <w:r>
        <w:rPr>
          <w:vertAlign w:val="baseline"/>
        </w:rPr>
        <w:t>be</w:t>
      </w:r>
      <w:r>
        <w:rPr>
          <w:spacing w:val="2"/>
          <w:vertAlign w:val="baseline"/>
        </w:rPr>
        <w:t> </w:t>
      </w:r>
      <w:r>
        <w:rPr>
          <w:vertAlign w:val="baseline"/>
        </w:rPr>
        <w:t>rewritten</w:t>
      </w:r>
      <w:r>
        <w:rPr>
          <w:spacing w:val="3"/>
          <w:vertAlign w:val="baseline"/>
        </w:rPr>
        <w:t> </w:t>
      </w:r>
      <w:r>
        <w:rPr>
          <w:vertAlign w:val="baseline"/>
        </w:rPr>
        <w:t>as: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tabs>
          <w:tab w:pos="8781" w:val="left" w:leader="none"/>
        </w:tabs>
        <w:spacing w:before="1"/>
        <w:ind w:left="500"/>
      </w:pPr>
      <w:r>
        <w:rPr>
          <w:rFonts w:ascii="Cambria Math" w:hAnsi="Cambria Math" w:eastAsia="Cambria Math"/>
        </w:rPr>
        <w:t>𝑚𝑐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𝜎𝑦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𝑦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𝑠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-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(1</w:t>
      </w:r>
      <w:r>
        <w:rPr>
          <w:rFonts w:ascii="Cambria Math" w:hAnsi="Cambria Math" w:eastAsia="Cambria Math"/>
          <w:spacing w:val="-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)𝑎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ab/>
      </w:r>
      <w:r>
        <w:rPr>
          <w:vertAlign w:val="baseline"/>
        </w:rPr>
        <w:t>(4.130)</w:t>
      </w:r>
    </w:p>
    <w:p>
      <w:pPr>
        <w:pStyle w:val="BodyText"/>
        <w:spacing w:before="10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line="217" w:lineRule="exact" w:before="73"/>
        <w:ind w:left="50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𝑦</w:t>
      </w:r>
      <w:r>
        <w:rPr>
          <w:rFonts w:ascii="Cambria Math" w:hAnsi="Cambria Math" w:eastAsia="Cambria Math"/>
          <w:spacing w:val="98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𝑦</w:t>
      </w:r>
      <w:r>
        <w:rPr>
          <w:rFonts w:ascii="Cambria Math" w:hAnsi="Cambria Math" w:eastAsia="Cambria Math"/>
          <w:spacing w:val="32"/>
        </w:rPr>
        <w:t> 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4"/>
          <w:vertAlign w:val="baseline"/>
        </w:rPr>
        <w:t> </w:t>
      </w:r>
      <w:r>
        <w:rPr>
          <w:rFonts w:ascii="Cambria Math" w:hAnsi="Cambria Math" w:eastAsia="Cambria Math"/>
          <w:position w:val="14"/>
          <w:sz w:val="17"/>
          <w:vertAlign w:val="baseline"/>
        </w:rPr>
        <w:t>1</w:t>
      </w:r>
      <w:r>
        <w:rPr>
          <w:rFonts w:ascii="Cambria Math" w:hAnsi="Cambria Math" w:eastAsia="Cambria Math"/>
          <w:spacing w:val="60"/>
          <w:position w:val="14"/>
          <w:sz w:val="17"/>
          <w:vertAlign w:val="baseline"/>
        </w:rPr>
        <w:t> </w:t>
      </w:r>
      <w:r>
        <w:rPr>
          <w:rFonts w:ascii="Cambria Math" w:hAnsi="Cambria Math" w:eastAsia="Cambria Math"/>
          <w:spacing w:val="-183"/>
          <w:vertAlign w:val="baseline"/>
        </w:rPr>
        <w:t>𝑠</w:t>
      </w:r>
    </w:p>
    <w:p>
      <w:pPr>
        <w:pStyle w:val="BodyText"/>
        <w:spacing w:line="20" w:lineRule="exact"/>
        <w:ind w:left="1623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0.35pt;height:.85pt;mso-position-horizontal-relative:char;mso-position-vertical-relative:line" coordorigin="0,0" coordsize="207,17">
            <v:rect style="position:absolute;left:0;top:0;width:207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139" w:lineRule="exact" w:before="150"/>
        <w:ind w:left="103"/>
      </w:pPr>
      <w:r>
        <w:rPr/>
        <w:br w:type="column"/>
      </w:r>
      <w:r>
        <w:rPr/>
        <w:t>is</w:t>
      </w:r>
      <w:r>
        <w:rPr>
          <w:spacing w:val="-2"/>
        </w:rPr>
        <w:t> </w:t>
      </w:r>
      <w:r>
        <w:rPr/>
        <w:t>inserted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(4.130).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becomes:</w:t>
      </w:r>
    </w:p>
    <w:p>
      <w:pPr>
        <w:spacing w:after="0" w:line="139" w:lineRule="exact"/>
        <w:sectPr>
          <w:type w:val="continuous"/>
          <w:pgSz w:w="12240" w:h="15840"/>
          <w:pgMar w:top="1500" w:bottom="1120" w:left="940" w:right="940"/>
          <w:cols w:num="2" w:equalWidth="0">
            <w:col w:w="1982" w:space="40"/>
            <w:col w:w="8338"/>
          </w:cols>
        </w:sectPr>
      </w:pPr>
    </w:p>
    <w:p>
      <w:pPr>
        <w:tabs>
          <w:tab w:pos="1155" w:val="left" w:leader="none"/>
          <w:tab w:pos="1623" w:val="left" w:leader="none"/>
        </w:tabs>
        <w:spacing w:line="165" w:lineRule="auto" w:before="0"/>
        <w:ind w:left="627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t>𝑡</w:t>
        <w:tab/>
        <w:t>𝑡</w:t>
        <w:tab/>
      </w:r>
      <w:r>
        <w:rPr>
          <w:rFonts w:ascii="Cambria Math" w:eastAsia="Cambria Math"/>
          <w:spacing w:val="-6"/>
          <w:w w:val="115"/>
          <w:position w:val="-6"/>
          <w:sz w:val="17"/>
        </w:rPr>
        <w:t>𝜎</w:t>
      </w:r>
      <w:r>
        <w:rPr>
          <w:rFonts w:ascii="Cambria Math" w:eastAsia="Cambria Math"/>
          <w:spacing w:val="-6"/>
          <w:w w:val="115"/>
          <w:position w:val="-10"/>
          <w:sz w:val="14"/>
        </w:rPr>
        <w:t>𝛼</w:t>
      </w:r>
      <w:r>
        <w:rPr>
          <w:rFonts w:ascii="Cambria Math" w:eastAsia="Cambria Math"/>
          <w:spacing w:val="40"/>
          <w:w w:val="115"/>
          <w:position w:val="-10"/>
          <w:sz w:val="14"/>
        </w:rPr>
        <w:t> </w:t>
      </w:r>
      <w:r>
        <w:rPr>
          <w:rFonts w:ascii="Cambria Math" w:eastAsia="Cambria Math"/>
          <w:spacing w:val="40"/>
          <w:w w:val="115"/>
          <w:position w:val="-10"/>
          <w:sz w:val="14"/>
        </w:rPr>
        <w:t> </w:t>
      </w:r>
      <w:r>
        <w:rPr>
          <w:rFonts w:ascii="Cambria Math" w:eastAsia="Cambria Math"/>
          <w:w w:val="115"/>
          <w:sz w:val="17"/>
        </w:rPr>
        <w:t>𝑡</w:t>
      </w:r>
    </w:p>
    <w:p>
      <w:pPr>
        <w:pStyle w:val="BodyText"/>
        <w:spacing w:before="11"/>
        <w:rPr>
          <w:rFonts w:ascii="Cambria Math"/>
          <w:sz w:val="18"/>
        </w:rPr>
      </w:pPr>
    </w:p>
    <w:p>
      <w:pPr>
        <w:pStyle w:val="BodyText"/>
        <w:tabs>
          <w:tab w:pos="8781" w:val="left" w:leader="none"/>
        </w:tabs>
        <w:spacing w:line="530" w:lineRule="auto" w:before="84"/>
        <w:ind w:left="500" w:right="876"/>
      </w:pPr>
      <w:r>
        <w:rPr>
          <w:rFonts w:ascii="Cambria Math" w:hAnsi="Cambria Math" w:eastAsia="Cambria Math"/>
        </w:rPr>
        <w:t>𝑚𝑐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𝜎</w:t>
      </w:r>
      <w:r>
        <w:rPr>
          <w:rFonts w:ascii="Cambria Math" w:hAnsi="Cambria Math" w:eastAsia="Cambria Math"/>
          <w:vertAlign w:val="subscript"/>
        </w:rPr>
        <w:t>𝛼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/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vertAlign w:val="baseline"/>
        </w:rPr>
        <w:t>𝑦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5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𝜎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-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𝜎</w:t>
      </w:r>
      <w:r>
        <w:rPr>
          <w:rFonts w:ascii="Cambria Math" w:hAnsi="Cambria Math" w:eastAsia="Cambria Math"/>
          <w:vertAlign w:val="subscript"/>
        </w:rPr>
        <w:t>𝛼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vertAlign w:val="baseline"/>
        </w:rPr>
        <w:t>𝑦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-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(1</w:t>
      </w:r>
      <w:r>
        <w:rPr>
          <w:rFonts w:ascii="Cambria Math" w:hAnsi="Cambria Math" w:eastAsia="Cambria Math"/>
          <w:spacing w:val="-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)𝑎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ab/>
      </w:r>
      <w:r>
        <w:rPr>
          <w:spacing w:val="-1"/>
          <w:vertAlign w:val="baseline"/>
        </w:rPr>
        <w:t>(4.131)</w:t>
      </w:r>
      <w:r>
        <w:rPr>
          <w:spacing w:val="-57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(4.131)</w:t>
      </w:r>
      <w:r>
        <w:rPr>
          <w:spacing w:val="-1"/>
          <w:vertAlign w:val="baseline"/>
        </w:rPr>
        <w:t> </w:t>
      </w:r>
      <w:r>
        <w:rPr>
          <w:vertAlign w:val="baseline"/>
        </w:rPr>
        <w:t>is rewritten 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flexible</w:t>
      </w:r>
      <w:r>
        <w:rPr>
          <w:spacing w:val="-1"/>
          <w:vertAlign w:val="baseline"/>
        </w:rPr>
        <w:t> </w:t>
      </w:r>
      <w:r>
        <w:rPr>
          <w:vertAlign w:val="baseline"/>
        </w:rPr>
        <w:t>price</w:t>
      </w:r>
      <w:r>
        <w:rPr>
          <w:spacing w:val="-1"/>
          <w:vertAlign w:val="baseline"/>
        </w:rPr>
        <w:t> </w:t>
      </w:r>
      <w:r>
        <w:rPr>
          <w:vertAlign w:val="baseline"/>
        </w:rPr>
        <w:t>version</w:t>
      </w:r>
      <w:r>
        <w:rPr>
          <w:spacing w:val="-1"/>
          <w:vertAlign w:val="baseline"/>
        </w:rPr>
        <w:t> </w:t>
      </w:r>
      <w:r>
        <w:rPr>
          <w:vertAlign w:val="baseline"/>
        </w:rPr>
        <w:t>as:</w:t>
      </w:r>
    </w:p>
    <w:p>
      <w:pPr>
        <w:pStyle w:val="BodyText"/>
        <w:tabs>
          <w:tab w:pos="8781" w:val="left" w:leader="none"/>
        </w:tabs>
        <w:spacing w:line="530" w:lineRule="auto"/>
        <w:ind w:left="500" w:right="876"/>
      </w:pPr>
      <w:r>
        <w:rPr>
          <w:rFonts w:ascii="Cambria Math" w:hAnsi="Cambria Math" w:eastAsia="Cambria Math"/>
        </w:rPr>
        <w:t>𝑚𝑐</w:t>
      </w:r>
      <w:r>
        <w:rPr>
          <w:rFonts w:ascii="Cambria Math" w:hAnsi="Cambria Math" w:eastAsia="Cambria Math"/>
          <w:spacing w:val="16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𝜎</w:t>
      </w:r>
      <w:r>
        <w:rPr>
          <w:rFonts w:ascii="Cambria Math" w:hAnsi="Cambria Math" w:eastAsia="Cambria Math"/>
          <w:vertAlign w:val="subscript"/>
        </w:rPr>
        <w:t>𝛼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/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vertAlign w:val="baseline"/>
        </w:rPr>
        <w:t>𝑦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superscript"/>
        </w:rPr>
        <w:t>𝑛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3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𝜎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-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𝜎</w:t>
      </w:r>
      <w:r>
        <w:rPr>
          <w:rFonts w:ascii="Cambria Math" w:hAnsi="Cambria Math" w:eastAsia="Cambria Math"/>
          <w:vertAlign w:val="subscript"/>
        </w:rPr>
        <w:t>𝛼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vertAlign w:val="baseline"/>
        </w:rPr>
        <w:t>𝑦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-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(1</w:t>
      </w:r>
      <w:r>
        <w:rPr>
          <w:rFonts w:ascii="Cambria Math" w:hAnsi="Cambria Math" w:eastAsia="Cambria Math"/>
          <w:spacing w:val="-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)𝑎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ab/>
      </w:r>
      <w:r>
        <w:rPr>
          <w:spacing w:val="-1"/>
          <w:vertAlign w:val="baseline"/>
        </w:rPr>
        <w:t>(4.132)</w:t>
      </w:r>
      <w:r>
        <w:rPr>
          <w:spacing w:val="-57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(4.132)</w:t>
      </w:r>
      <w:r>
        <w:rPr>
          <w:spacing w:val="-2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subtracted</w:t>
      </w:r>
      <w:r>
        <w:rPr>
          <w:spacing w:val="-1"/>
          <w:vertAlign w:val="baseline"/>
        </w:rPr>
        <w:t> </w:t>
      </w:r>
      <w:r>
        <w:rPr>
          <w:vertAlign w:val="baseline"/>
        </w:rPr>
        <w:t>from</w:t>
      </w:r>
      <w:r>
        <w:rPr>
          <w:spacing w:val="-1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(4.131) to</w:t>
      </w:r>
      <w:r>
        <w:rPr>
          <w:spacing w:val="-1"/>
          <w:vertAlign w:val="baseline"/>
        </w:rPr>
        <w:t> </w:t>
      </w:r>
      <w:r>
        <w:rPr>
          <w:vertAlign w:val="baseline"/>
        </w:rPr>
        <w:t>obtain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real</w:t>
      </w:r>
      <w:r>
        <w:rPr>
          <w:spacing w:val="-1"/>
          <w:vertAlign w:val="baseline"/>
        </w:rPr>
        <w:t> </w:t>
      </w:r>
      <w:r>
        <w:rPr>
          <w:vertAlign w:val="baseline"/>
        </w:rPr>
        <w:t>marginal</w:t>
      </w:r>
      <w:r>
        <w:rPr>
          <w:spacing w:val="-1"/>
          <w:vertAlign w:val="baseline"/>
        </w:rPr>
        <w:t> </w:t>
      </w:r>
      <w:r>
        <w:rPr>
          <w:vertAlign w:val="baseline"/>
        </w:rPr>
        <w:t>cost</w:t>
      </w:r>
      <w:r>
        <w:rPr>
          <w:spacing w:val="1"/>
          <w:vertAlign w:val="baseline"/>
        </w:rPr>
        <w:t> </w:t>
      </w:r>
      <w:r>
        <w:rPr>
          <w:vertAlign w:val="baseline"/>
        </w:rPr>
        <w:t>gap:</w:t>
      </w:r>
    </w:p>
    <w:p>
      <w:pPr>
        <w:pStyle w:val="BodyText"/>
        <w:tabs>
          <w:tab w:pos="8781" w:val="left" w:leader="none"/>
        </w:tabs>
        <w:spacing w:line="280" w:lineRule="exact"/>
        <w:ind w:left="500"/>
      </w:pPr>
      <w:r>
        <w:rPr>
          <w:rFonts w:ascii="Cambria Math" w:hAnsi="Cambria Math" w:eastAsia="Cambria Math"/>
          <w:spacing w:val="-159"/>
        </w:rPr>
        <w:t>𝑚</w:t>
      </w:r>
      <w:r>
        <w:rPr>
          <w:rFonts w:ascii="Cambria Math" w:hAnsi="Cambria Math" w:eastAsia="Cambria Math"/>
          <w:spacing w:val="-69"/>
        </w:rPr>
        <w:t>̂</w:t>
      </w:r>
      <w:r>
        <w:rPr>
          <w:rFonts w:ascii="Cambria Math" w:hAnsi="Cambria Math" w:eastAsia="Cambria Math"/>
        </w:rPr>
        <w:t>𝑐</w:t>
      </w:r>
      <w:r>
        <w:rPr>
          <w:rFonts w:ascii="Cambria Math" w:hAnsi="Cambria Math" w:eastAsia="Cambria Math"/>
          <w:spacing w:val="2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  <w:spacing w:val="1"/>
          <w:position w:val="1"/>
        </w:rPr>
        <w:t>(</w:t>
      </w:r>
      <w:r>
        <w:rPr>
          <w:rFonts w:ascii="Cambria Math" w:hAnsi="Cambria Math" w:eastAsia="Cambria Math"/>
          <w:spacing w:val="-16"/>
        </w:rPr>
        <w:t>𝜎</w:t>
      </w:r>
      <w:r>
        <w:rPr>
          <w:rFonts w:ascii="Cambria Math" w:hAnsi="Cambria Math" w:eastAsia="Cambria Math"/>
          <w:w w:val="118"/>
          <w:vertAlign w:val="subscript"/>
        </w:rPr>
        <w:t>𝛼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 </w:t>
      </w:r>
      <w:r>
        <w:rPr>
          <w:rFonts w:ascii="Cambria Math" w:hAnsi="Cambria Math" w:eastAsia="Cambria Math"/>
          <w:spacing w:val="5"/>
          <w:w w:val="67"/>
          <w:vertAlign w:val="baseline"/>
        </w:rPr>
        <w:t/>
      </w:r>
      <w:r>
        <w:rPr>
          <w:rFonts w:ascii="Cambria Math" w:hAnsi="Cambria Math" w:eastAsia="Cambria Math"/>
          <w:spacing w:val="1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-94"/>
          <w:vertAlign w:val="baseline"/>
        </w:rPr>
        <w:t>𝑦</w:t>
      </w:r>
      <w:r>
        <w:rPr>
          <w:rFonts w:ascii="Cambria Math" w:hAnsi="Cambria Math" w:eastAsia="Cambria Math"/>
          <w:spacing w:val="-50"/>
          <w:vertAlign w:val="baseline"/>
        </w:rPr>
        <w:t>̃</w:t>
      </w:r>
      <w:r>
        <w:rPr>
          <w:rFonts w:ascii="Cambria Math" w:hAnsi="Cambria Math" w:eastAsia="Cambria Math"/>
          <w:w w:val="119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ab/>
      </w:r>
      <w:r>
        <w:rPr>
          <w:spacing w:val="-1"/>
          <w:vertAlign w:val="baseline"/>
        </w:rPr>
        <w:t>(</w:t>
      </w:r>
      <w:r>
        <w:rPr>
          <w:vertAlign w:val="baseline"/>
        </w:rPr>
        <w:t>4.133)</w:t>
      </w:r>
    </w:p>
    <w:p>
      <w:pPr>
        <w:pStyle w:val="BodyText"/>
        <w:spacing w:before="2"/>
      </w:pPr>
    </w:p>
    <w:p>
      <w:pPr>
        <w:pStyle w:val="BodyText"/>
        <w:spacing w:before="86"/>
        <w:ind w:left="500"/>
        <w:rPr>
          <w:rFonts w:ascii="Cambria Math" w:hAnsi="Cambria Math" w:eastAsia="Cambria Math"/>
        </w:rPr>
      </w:pPr>
      <w:r>
        <w:rPr/>
        <w:t>Equ</w:t>
      </w:r>
      <w:r>
        <w:rPr>
          <w:spacing w:val="-2"/>
        </w:rPr>
        <w:t>a</w:t>
      </w:r>
      <w:r>
        <w:rPr/>
        <w:t>tion </w:t>
      </w:r>
      <w:r>
        <w:rPr>
          <w:spacing w:val="-1"/>
        </w:rPr>
        <w:t>(</w:t>
      </w:r>
      <w:r>
        <w:rPr/>
        <w:t>4.133)</w:t>
      </w:r>
      <w:r>
        <w:rPr>
          <w:spacing w:val="-1"/>
        </w:rPr>
        <w:t> </w:t>
      </w:r>
      <w:r>
        <w:rPr>
          <w:w w:val="99"/>
        </w:rPr>
        <w:t>is</w:t>
      </w:r>
      <w:r>
        <w:rPr/>
        <w:t> imput</w:t>
      </w:r>
      <w:r>
        <w:rPr>
          <w:spacing w:val="-1"/>
        </w:rPr>
        <w:t>e</w:t>
      </w:r>
      <w:r>
        <w:rPr/>
        <w:t>d into </w:t>
      </w:r>
      <w:r>
        <w:rPr>
          <w:spacing w:val="-1"/>
        </w:rPr>
        <w:t>e</w:t>
      </w:r>
      <w:r>
        <w:rPr/>
        <w:t>qu</w:t>
      </w:r>
      <w:r>
        <w:rPr>
          <w:spacing w:val="-1"/>
        </w:rPr>
        <w:t>a</w:t>
      </w:r>
      <w:r>
        <w:rPr/>
        <w:t>tion (4.126)</w:t>
      </w:r>
      <w:r>
        <w:rPr>
          <w:spacing w:val="1"/>
        </w:rPr>
        <w:t> </w:t>
      </w:r>
      <w:r>
        <w:rPr>
          <w:rFonts w:ascii="Cambria Math" w:hAnsi="Cambria Math" w:eastAsia="Cambria Math"/>
          <w:spacing w:val="-1"/>
        </w:rPr>
        <w:t>𝜋</w:t>
      </w:r>
      <w:r>
        <w:rPr>
          <w:rFonts w:ascii="Cambria Math" w:hAnsi="Cambria Math" w:eastAsia="Cambria Math"/>
          <w:spacing w:val="2"/>
          <w:w w:val="110"/>
          <w:vertAlign w:val="subscript"/>
        </w:rPr>
        <w:t>𝐷</w:t>
      </w:r>
      <w:r>
        <w:rPr>
          <w:rFonts w:ascii="Cambria Math" w:hAnsi="Cambria Math" w:eastAsia="Cambria Math"/>
          <w:spacing w:val="1"/>
          <w:w w:val="106"/>
          <w:vertAlign w:val="subscript"/>
        </w:rPr>
        <w:t>,</w:t>
      </w:r>
      <w:r>
        <w:rPr>
          <w:rFonts w:ascii="Cambria Math" w:hAnsi="Cambria Math" w:eastAsia="Cambria Math"/>
          <w:w w:val="119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 </w:t>
      </w:r>
      <w:r>
        <w:rPr>
          <w:rFonts w:ascii="Cambria Math" w:hAnsi="Cambria Math" w:eastAsia="Cambria Math"/>
          <w:spacing w:val="-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spacing w:val="1"/>
          <w:vertAlign w:val="baseline"/>
        </w:rPr>
        <w:t>βE</w:t>
      </w:r>
      <w:r>
        <w:rPr>
          <w:rFonts w:ascii="Cambria Math" w:hAnsi="Cambria Math" w:eastAsia="Cambria Math"/>
          <w:w w:val="123"/>
          <w:vertAlign w:val="subscript"/>
        </w:rPr>
        <w:t>t</w:t>
      </w:r>
      <w:r>
        <w:rPr>
          <w:rFonts w:ascii="Cambria Math" w:hAnsi="Cambria Math" w:eastAsia="Cambria Math"/>
          <w:spacing w:val="-5"/>
          <w:vertAlign w:val="baseline"/>
        </w:rPr>
        <w:t> </w:t>
      </w:r>
      <w:r>
        <w:rPr>
          <w:rFonts w:ascii="Cambria Math" w:hAnsi="Cambria Math" w:eastAsia="Cambria Math"/>
          <w:spacing w:val="-2"/>
          <w:w w:val="101"/>
          <w:vertAlign w:val="baseline"/>
        </w:rPr>
        <w:t>[</w:t>
      </w:r>
      <w:r>
        <w:rPr>
          <w:rFonts w:ascii="Cambria Math" w:hAnsi="Cambria Math" w:eastAsia="Cambria Math"/>
          <w:spacing w:val="-1"/>
          <w:vertAlign w:val="baseline"/>
        </w:rPr>
        <w:t>𝜋</w:t>
      </w:r>
      <w:r>
        <w:rPr>
          <w:rFonts w:ascii="Cambria Math" w:hAnsi="Cambria Math" w:eastAsia="Cambria Math"/>
          <w:spacing w:val="2"/>
          <w:w w:val="110"/>
          <w:vertAlign w:val="subscript"/>
        </w:rPr>
        <w:t>𝐷</w:t>
      </w:r>
      <w:r>
        <w:rPr>
          <w:rFonts w:ascii="Cambria Math" w:hAnsi="Cambria Math" w:eastAsia="Cambria Math"/>
          <w:spacing w:val="1"/>
          <w:w w:val="106"/>
          <w:vertAlign w:val="subscript"/>
        </w:rPr>
        <w:t>,</w:t>
      </w:r>
      <w:r>
        <w:rPr>
          <w:rFonts w:ascii="Cambria Math" w:hAnsi="Cambria Math" w:eastAsia="Cambria Math"/>
          <w:spacing w:val="4"/>
          <w:w w:val="119"/>
          <w:vertAlign w:val="subscript"/>
        </w:rPr>
        <w:t>𝑡</w:t>
      </w:r>
      <w:r>
        <w:rPr>
          <w:rFonts w:ascii="Cambria Math" w:hAnsi="Cambria Math" w:eastAsia="Cambria Math"/>
          <w:w w:val="103"/>
          <w:vertAlign w:val="subscript"/>
        </w:rPr>
        <w:t>+</w:t>
      </w:r>
      <w:r>
        <w:rPr>
          <w:rFonts w:ascii="Cambria Math" w:hAnsi="Cambria Math" w:eastAsia="Cambria Math"/>
          <w:spacing w:val="9"/>
          <w:w w:val="111"/>
          <w:vertAlign w:val="subscript"/>
        </w:rPr>
        <w:t>1</w:t>
      </w:r>
      <w:r>
        <w:rPr>
          <w:rFonts w:ascii="Cambria Math" w:hAnsi="Cambria Math" w:eastAsia="Cambria Math"/>
          <w:w w:val="101"/>
          <w:vertAlign w:val="baseline"/>
        </w:rPr>
        <w:t>]</w:t>
      </w:r>
      <w:r>
        <w:rPr>
          <w:rFonts w:ascii="Cambria Math" w:hAnsi="Cambria Math" w:eastAsia="Cambria Math"/>
          <w:spacing w:val="-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 λ</w:t>
      </w:r>
      <w:r>
        <w:rPr>
          <w:rFonts w:ascii="Cambria Math" w:hAnsi="Cambria Math" w:eastAsia="Cambria Math"/>
          <w:spacing w:val="-123"/>
          <w:vertAlign w:val="baseline"/>
        </w:rPr>
        <w:t>m</w:t>
      </w:r>
      <w:r>
        <w:rPr>
          <w:rFonts w:ascii="Cambria Math" w:hAnsi="Cambria Math" w:eastAsia="Cambria Math"/>
          <w:spacing w:val="-105"/>
          <w:vertAlign w:val="baseline"/>
        </w:rPr>
        <w:t>̂</w:t>
      </w:r>
      <w:r>
        <w:rPr>
          <w:rFonts w:ascii="Cambria Math" w:hAnsi="Cambria Math" w:eastAsia="Cambria Math"/>
          <w:spacing w:val="-1"/>
          <w:vertAlign w:val="baseline"/>
        </w:rPr>
        <w:t>c</w:t>
      </w:r>
      <w:r>
        <w:rPr>
          <w:rFonts w:ascii="Cambria Math" w:hAnsi="Cambria Math" w:eastAsia="Cambria Math"/>
          <w:w w:val="123"/>
          <w:vertAlign w:val="subscript"/>
        </w:rPr>
        <w:t>t</w:t>
      </w:r>
    </w:p>
    <w:p>
      <w:pPr>
        <w:pStyle w:val="BodyText"/>
        <w:spacing w:before="10"/>
        <w:rPr>
          <w:rFonts w:ascii="Cambria Math"/>
          <w:sz w:val="23"/>
        </w:rPr>
      </w:pPr>
    </w:p>
    <w:p>
      <w:pPr>
        <w:spacing w:after="0"/>
        <w:rPr>
          <w:rFonts w:ascii="Cambria Math"/>
          <w:sz w:val="23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spacing w:line="180" w:lineRule="auto" w:before="93"/>
        <w:ind w:left="500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28.419998pt;margin-top:15.366107pt;width:52.08pt;height:.83997pt;mso-position-horizontal-relative:page;mso-position-vertical-relative:paragraph;z-index:-2137139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Where</w:t>
      </w:r>
      <w:r>
        <w:rPr>
          <w:spacing w:val="4"/>
          <w:position w:val="-13"/>
          <w:sz w:val="24"/>
        </w:rPr>
        <w:t> </w:t>
      </w:r>
      <w:r>
        <w:rPr>
          <w:rFonts w:ascii="Cambria Math" w:hAnsi="Cambria Math"/>
          <w:position w:val="-13"/>
          <w:sz w:val="24"/>
        </w:rPr>
        <w:t>λ</w:t>
      </w:r>
      <w:r>
        <w:rPr>
          <w:rFonts w:ascii="Cambria Math" w:hAnsi="Cambria Math"/>
          <w:spacing w:val="21"/>
          <w:position w:val="-13"/>
          <w:sz w:val="24"/>
        </w:rPr>
        <w:t> </w:t>
      </w:r>
      <w:r>
        <w:rPr>
          <w:rFonts w:ascii="Cambria Math" w:hAnsi="Cambria Math"/>
          <w:position w:val="-13"/>
          <w:sz w:val="24"/>
        </w:rPr>
        <w:t>=</w:t>
      </w:r>
      <w:r>
        <w:rPr>
          <w:rFonts w:ascii="Cambria Math" w:hAnsi="Cambria Math"/>
          <w:spacing w:val="19"/>
          <w:position w:val="-13"/>
          <w:sz w:val="24"/>
        </w:rPr>
        <w:t> </w:t>
      </w:r>
      <w:r>
        <w:rPr>
          <w:rFonts w:ascii="Cambria Math" w:hAnsi="Cambria Math"/>
          <w:position w:val="1"/>
          <w:sz w:val="17"/>
        </w:rPr>
        <w:t>(</w:t>
      </w:r>
      <w:r>
        <w:rPr>
          <w:rFonts w:ascii="Cambria Math" w:hAnsi="Cambria Math"/>
          <w:sz w:val="17"/>
        </w:rPr>
        <w:t>1−θ</w:t>
      </w:r>
      <w:r>
        <w:rPr>
          <w:rFonts w:ascii="Cambria Math" w:hAnsi="Cambria Math"/>
          <w:position w:val="1"/>
          <w:sz w:val="17"/>
        </w:rPr>
        <w:t>)</w:t>
      </w:r>
      <w:r>
        <w:rPr>
          <w:rFonts w:ascii="Cambria Math" w:hAnsi="Cambria Math"/>
          <w:sz w:val="17"/>
        </w:rPr>
        <w:t>(1−βθ)</w:t>
      </w:r>
    </w:p>
    <w:p>
      <w:pPr>
        <w:spacing w:line="154" w:lineRule="exact" w:before="0"/>
        <w:ind w:left="0" w:right="470" w:firstLine="0"/>
        <w:jc w:val="right"/>
        <w:rPr>
          <w:rFonts w:ascii="Cambria Math" w:hAnsi="Cambria Math"/>
          <w:sz w:val="17"/>
        </w:rPr>
      </w:pPr>
      <w:r>
        <w:rPr>
          <w:rFonts w:ascii="Cambria Math" w:hAnsi="Cambria Math"/>
          <w:w w:val="112"/>
          <w:sz w:val="17"/>
        </w:rPr>
        <w:t>θ</w:t>
      </w:r>
    </w:p>
    <w:p>
      <w:pPr>
        <w:pStyle w:val="BodyText"/>
        <w:spacing w:before="161"/>
        <w:ind w:left="76"/>
      </w:pPr>
      <w:r>
        <w:rPr/>
        <w:br w:type="column"/>
      </w:r>
      <w:r>
        <w:rPr/>
        <w:t>in</w:t>
      </w:r>
      <w:r>
        <w:rPr>
          <w:spacing w:val="-1"/>
        </w:rPr>
        <w:t> </w:t>
      </w:r>
      <w:r>
        <w:rPr/>
        <w:t>order to derive</w:t>
      </w:r>
      <w:r>
        <w:rPr>
          <w:spacing w:val="-1"/>
        </w:rPr>
        <w:t> </w:t>
      </w:r>
      <w:r>
        <w:rPr/>
        <w:t>the open-economy</w:t>
      </w:r>
      <w:r>
        <w:rPr>
          <w:spacing w:val="-5"/>
        </w:rPr>
        <w:t> </w:t>
      </w:r>
      <w:r>
        <w:rPr/>
        <w:t>NK</w:t>
      </w:r>
      <w:r>
        <w:rPr>
          <w:spacing w:val="1"/>
        </w:rPr>
        <w:t> </w:t>
      </w:r>
      <w:r>
        <w:rPr/>
        <w:t>Philips curve</w:t>
      </w:r>
      <w:r>
        <w:rPr>
          <w:spacing w:val="-1"/>
        </w:rPr>
        <w:t> </w:t>
      </w:r>
      <w:r>
        <w:rPr/>
        <w:t>equation as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2" w:equalWidth="0">
            <w:col w:w="2674" w:space="40"/>
            <w:col w:w="7646"/>
          </w:cols>
        </w:sectPr>
      </w:pPr>
    </w:p>
    <w:p>
      <w:pPr>
        <w:pStyle w:val="BodyText"/>
        <w:spacing w:before="104"/>
        <w:ind w:left="500"/>
      </w:pPr>
      <w:r>
        <w:rPr/>
        <w:t>specified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(4.134)</w:t>
      </w:r>
      <w:r>
        <w:rPr>
          <w:spacing w:val="-2"/>
        </w:rPr>
        <w:t> </w:t>
      </w:r>
      <w:r>
        <w:rPr/>
        <w:t>as:</w:t>
      </w:r>
    </w:p>
    <w:p>
      <w:pPr>
        <w:pStyle w:val="BodyText"/>
        <w:spacing w:before="1"/>
      </w:pPr>
    </w:p>
    <w:p>
      <w:pPr>
        <w:pStyle w:val="BodyText"/>
        <w:tabs>
          <w:tab w:pos="8781" w:val="left" w:leader="none"/>
        </w:tabs>
        <w:spacing w:before="86"/>
        <w:ind w:left="500"/>
      </w:pPr>
      <w:r>
        <w:rPr>
          <w:rFonts w:ascii="Cambria Math" w:hAnsi="Cambria Math" w:eastAsia="Cambria Math"/>
          <w:spacing w:val="-1"/>
        </w:rPr>
        <w:t>𝜋</w:t>
      </w:r>
      <w:r>
        <w:rPr>
          <w:rFonts w:ascii="Cambria Math" w:hAnsi="Cambria Math" w:eastAsia="Cambria Math"/>
          <w:spacing w:val="5"/>
          <w:w w:val="110"/>
          <w:vertAlign w:val="subscript"/>
        </w:rPr>
        <w:t>𝐷</w:t>
      </w:r>
      <w:r>
        <w:rPr>
          <w:rFonts w:ascii="Cambria Math" w:hAnsi="Cambria Math" w:eastAsia="Cambria Math"/>
          <w:spacing w:val="1"/>
          <w:w w:val="106"/>
          <w:vertAlign w:val="subscript"/>
        </w:rPr>
        <w:t>,</w:t>
      </w:r>
      <w:r>
        <w:rPr>
          <w:rFonts w:ascii="Cambria Math" w:hAnsi="Cambria Math" w:eastAsia="Cambria Math"/>
          <w:w w:val="119"/>
          <w:vertAlign w:val="subscript"/>
        </w:rPr>
        <w:t>𝑡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spacing w:val="1"/>
          <w:vertAlign w:val="baseline"/>
        </w:rPr>
        <w:t>βE</w:t>
      </w:r>
      <w:r>
        <w:rPr>
          <w:rFonts w:ascii="Cambria Math" w:hAnsi="Cambria Math" w:eastAsia="Cambria Math"/>
          <w:w w:val="123"/>
          <w:vertAlign w:val="subscript"/>
        </w:rPr>
        <w:t>t</w:t>
      </w:r>
      <w:r>
        <w:rPr>
          <w:rFonts w:ascii="Cambria Math" w:hAnsi="Cambria Math" w:eastAsia="Cambria Math"/>
          <w:spacing w:val="-7"/>
          <w:vertAlign w:val="baseline"/>
        </w:rPr>
        <w:t> </w:t>
      </w:r>
      <w:r>
        <w:rPr>
          <w:rFonts w:ascii="Cambria Math" w:hAnsi="Cambria Math" w:eastAsia="Cambria Math"/>
          <w:w w:val="101"/>
          <w:vertAlign w:val="baseline"/>
        </w:rPr>
        <w:t>[</w:t>
      </w:r>
      <w:r>
        <w:rPr>
          <w:rFonts w:ascii="Cambria Math" w:hAnsi="Cambria Math" w:eastAsia="Cambria Math"/>
          <w:spacing w:val="-1"/>
          <w:vertAlign w:val="baseline"/>
        </w:rPr>
        <w:t>𝜋</w:t>
      </w:r>
      <w:r>
        <w:rPr>
          <w:rFonts w:ascii="Cambria Math" w:hAnsi="Cambria Math" w:eastAsia="Cambria Math"/>
          <w:spacing w:val="2"/>
          <w:w w:val="110"/>
          <w:vertAlign w:val="subscript"/>
        </w:rPr>
        <w:t>𝐷</w:t>
      </w:r>
      <w:r>
        <w:rPr>
          <w:rFonts w:ascii="Cambria Math" w:hAnsi="Cambria Math" w:eastAsia="Cambria Math"/>
          <w:spacing w:val="1"/>
          <w:w w:val="106"/>
          <w:vertAlign w:val="subscript"/>
        </w:rPr>
        <w:t>,</w:t>
      </w:r>
      <w:r>
        <w:rPr>
          <w:rFonts w:ascii="Cambria Math" w:hAnsi="Cambria Math" w:eastAsia="Cambria Math"/>
          <w:spacing w:val="1"/>
          <w:w w:val="119"/>
          <w:vertAlign w:val="subscript"/>
        </w:rPr>
        <w:t>𝑡</w:t>
      </w:r>
      <w:r>
        <w:rPr>
          <w:rFonts w:ascii="Cambria Math" w:hAnsi="Cambria Math" w:eastAsia="Cambria Math"/>
          <w:w w:val="103"/>
          <w:vertAlign w:val="subscript"/>
        </w:rPr>
        <w:t>+</w:t>
      </w:r>
      <w:r>
        <w:rPr>
          <w:rFonts w:ascii="Cambria Math" w:hAnsi="Cambria Math" w:eastAsia="Cambria Math"/>
          <w:spacing w:val="9"/>
          <w:w w:val="111"/>
          <w:vertAlign w:val="subscript"/>
        </w:rPr>
        <w:t>1</w:t>
      </w:r>
      <w:r>
        <w:rPr>
          <w:rFonts w:ascii="Cambria Math" w:hAnsi="Cambria Math" w:eastAsia="Cambria Math"/>
          <w:w w:val="101"/>
          <w:vertAlign w:val="baseline"/>
        </w:rPr>
        <w:t>]</w:t>
      </w:r>
      <w:r>
        <w:rPr>
          <w:rFonts w:ascii="Cambria Math" w:hAnsi="Cambria Math" w:eastAsia="Cambria Math"/>
          <w:vertAlign w:val="baseline"/>
        </w:rPr>
        <w:t> + </w:t>
      </w:r>
      <w:r>
        <w:rPr>
          <w:rFonts w:ascii="Cambria Math" w:hAnsi="Cambria Math" w:eastAsia="Cambria Math"/>
          <w:spacing w:val="8"/>
          <w:vertAlign w:val="baseline"/>
        </w:rPr>
        <w:t>k</w:t>
      </w:r>
      <w:r>
        <w:rPr>
          <w:rFonts w:ascii="Cambria Math" w:hAnsi="Cambria Math" w:eastAsia="Cambria Math"/>
          <w:spacing w:val="11"/>
          <w:w w:val="121"/>
          <w:vertAlign w:val="subscript"/>
        </w:rPr>
        <w:t>α</w:t>
      </w:r>
      <w:r>
        <w:rPr>
          <w:rFonts w:ascii="Cambria Math" w:hAnsi="Cambria Math" w:eastAsia="Cambria Math"/>
          <w:spacing w:val="-94"/>
          <w:vertAlign w:val="baseline"/>
        </w:rPr>
        <w:t>𝑦</w:t>
      </w:r>
      <w:r>
        <w:rPr>
          <w:rFonts w:ascii="Cambria Math" w:hAnsi="Cambria Math" w:eastAsia="Cambria Math"/>
          <w:spacing w:val="-50"/>
          <w:vertAlign w:val="baseline"/>
        </w:rPr>
        <w:t>̃</w:t>
      </w:r>
      <w:r>
        <w:rPr>
          <w:rFonts w:ascii="Cambria Math" w:hAnsi="Cambria Math" w:eastAsia="Cambria Math"/>
          <w:w w:val="119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ab/>
      </w:r>
      <w:r>
        <w:rPr>
          <w:spacing w:val="-1"/>
          <w:vertAlign w:val="baseline"/>
        </w:rPr>
        <w:t>(</w:t>
      </w:r>
      <w:r>
        <w:rPr>
          <w:vertAlign w:val="baseline"/>
        </w:rPr>
        <w:t>4.134)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90"/>
        <w:ind w:left="500"/>
      </w:pPr>
      <w:r>
        <w:rPr/>
        <w:t>Where</w:t>
      </w:r>
    </w:p>
    <w:p>
      <w:pPr>
        <w:pStyle w:val="BodyText"/>
        <w:spacing w:before="3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241"/>
        <w:ind w:left="50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k</w:t>
      </w:r>
      <w:r>
        <w:rPr>
          <w:rFonts w:ascii="Cambria Math" w:hAnsi="Cambria Math" w:eastAsia="Cambria Math"/>
          <w:vertAlign w:val="subscript"/>
        </w:rPr>
        <w:t>α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λ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𝜎</w:t>
      </w:r>
      <w:r>
        <w:rPr>
          <w:rFonts w:ascii="Cambria Math" w:hAnsi="Cambria Math" w:eastAsia="Cambria Math"/>
          <w:vertAlign w:val="subscript"/>
        </w:rPr>
        <w:t>𝛼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/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3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</w:p>
    <w:p>
      <w:pPr>
        <w:pStyle w:val="BodyText"/>
        <w:spacing w:line="237" w:lineRule="exact" w:before="59"/>
        <w:ind w:left="25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3"/>
        </w:rPr>
        <w:t> </w:t>
      </w:r>
      <w:r>
        <w:rPr>
          <w:rFonts w:ascii="Cambria Math" w:hAnsi="Cambria Math"/>
        </w:rPr>
        <w:t>θ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</w:rPr>
        <w:t>(1 −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βθ)</w:t>
      </w:r>
    </w:p>
    <w:p>
      <w:pPr>
        <w:pStyle w:val="BodyText"/>
        <w:tabs>
          <w:tab w:pos="1698" w:val="left" w:leader="none"/>
        </w:tabs>
        <w:spacing w:line="192" w:lineRule="auto"/>
        <w:ind w:left="774"/>
        <w:rPr>
          <w:rFonts w:ascii="Cambria Math" w:hAnsi="Cambria Math" w:eastAsia="Cambria Math"/>
        </w:rPr>
      </w:pPr>
      <w:r>
        <w:rPr/>
        <w:pict>
          <v:rect style="position:absolute;margin-left:167.179993pt;margin-top:7.381845pt;width:81.624pt;height:.84003pt;mso-position-horizontal-relative:page;mso-position-vertical-relative:paragraph;z-index:-2137088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15"/>
        </w:rPr>
        <w:t>θ</w:t>
        <w:tab/>
      </w:r>
      <w:r>
        <w:rPr>
          <w:rFonts w:ascii="Cambria Math" w:hAnsi="Cambria Math" w:eastAsia="Cambria Math"/>
          <w:w w:val="95"/>
          <w:position w:val="1"/>
        </w:rPr>
        <w:t>(</w:t>
      </w:r>
      <w:r>
        <w:rPr>
          <w:rFonts w:ascii="Cambria Math" w:hAnsi="Cambria Math" w:eastAsia="Cambria Math"/>
          <w:w w:val="95"/>
        </w:rPr>
        <w:t>𝜎</w:t>
      </w:r>
      <w:r>
        <w:rPr>
          <w:rFonts w:ascii="Cambria Math" w:hAnsi="Cambria Math" w:eastAsia="Cambria Math"/>
          <w:w w:val="95"/>
          <w:vertAlign w:val="subscript"/>
        </w:rPr>
        <w:t>𝛼</w:t>
      </w:r>
      <w:r>
        <w:rPr>
          <w:rFonts w:ascii="Cambria Math" w:hAnsi="Cambria Math" w:eastAsia="Cambria Math"/>
          <w:spacing w:val="6"/>
          <w:w w:val="95"/>
          <w:vertAlign w:val="baseline"/>
        </w:rPr>
        <w:t> </w:t>
      </w:r>
      <w:r>
        <w:rPr>
          <w:rFonts w:ascii="Cambria Math" w:hAnsi="Cambria Math" w:eastAsia="Cambria Math"/>
          <w:w w:val="95"/>
          <w:vertAlign w:val="baseline"/>
        </w:rPr>
        <w:t>+</w:t>
      </w:r>
      <w:r>
        <w:rPr>
          <w:rFonts w:ascii="Cambria Math" w:hAnsi="Cambria Math" w:eastAsia="Cambria Math"/>
          <w:spacing w:val="-4"/>
          <w:w w:val="95"/>
          <w:vertAlign w:val="baseline"/>
        </w:rPr>
        <w:t> </w:t>
      </w:r>
      <w:r>
        <w:rPr>
          <w:rFonts w:ascii="Cambria Math" w:hAnsi="Cambria Math" w:eastAsia="Cambria Math"/>
          <w:w w:val="95"/>
          <w:vertAlign w:val="baseline"/>
        </w:rPr>
        <w:t/>
      </w:r>
      <w:r>
        <w:rPr>
          <w:rFonts w:ascii="Cambria Math" w:hAnsi="Cambria Math" w:eastAsia="Cambria Math"/>
          <w:w w:val="95"/>
          <w:position w:val="1"/>
          <w:vertAlign w:val="baseline"/>
        </w:rPr>
        <w:t>)</w:t>
      </w:r>
    </w:p>
    <w:p>
      <w:pPr>
        <w:spacing w:after="0" w:line="192" w:lineRule="auto"/>
        <w:rPr>
          <w:rFonts w:ascii="Cambria Math" w:hAnsi="Cambria Math" w:eastAsia="Cambria Math"/>
        </w:rPr>
        <w:sectPr>
          <w:type w:val="continuous"/>
          <w:pgSz w:w="12240" w:h="15840"/>
          <w:pgMar w:top="1500" w:bottom="1120" w:left="940" w:right="940"/>
          <w:cols w:num="2" w:equalWidth="0">
            <w:col w:w="2339" w:space="40"/>
            <w:col w:w="7981"/>
          </w:cols>
        </w:sectPr>
      </w:pPr>
    </w:p>
    <w:p>
      <w:pPr>
        <w:pStyle w:val="Heading3"/>
        <w:numPr>
          <w:ilvl w:val="2"/>
          <w:numId w:val="22"/>
        </w:numPr>
        <w:tabs>
          <w:tab w:pos="1101" w:val="left" w:leader="none"/>
        </w:tabs>
        <w:spacing w:line="240" w:lineRule="auto" w:before="79" w:after="0"/>
        <w:ind w:left="1100" w:right="0" w:hanging="601"/>
        <w:jc w:val="both"/>
      </w:pPr>
      <w:bookmarkStart w:name="_TOC_250023" w:id="37"/>
      <w:r>
        <w:rPr/>
        <w:t>Solving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Estimating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Open</w:t>
      </w:r>
      <w:r>
        <w:rPr>
          <w:spacing w:val="-3"/>
        </w:rPr>
        <w:t> </w:t>
      </w:r>
      <w:r>
        <w:rPr/>
        <w:t>Economy NK</w:t>
      </w:r>
      <w:r>
        <w:rPr>
          <w:spacing w:val="-4"/>
        </w:rPr>
        <w:t> </w:t>
      </w:r>
      <w:r>
        <w:rPr/>
        <w:t>DSGE</w:t>
      </w:r>
      <w:r>
        <w:rPr>
          <w:spacing w:val="-1"/>
        </w:rPr>
        <w:t> </w:t>
      </w:r>
      <w:bookmarkEnd w:id="37"/>
      <w:r>
        <w:rPr/>
        <w:t>model</w:t>
      </w:r>
    </w:p>
    <w:p>
      <w:pPr>
        <w:pStyle w:val="BodyText"/>
        <w:spacing w:line="360" w:lineRule="auto" w:before="132"/>
        <w:ind w:left="500" w:right="493"/>
        <w:jc w:val="both"/>
      </w:pP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sub-section,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steps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solving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estimating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DSGE</w:t>
      </w:r>
      <w:r>
        <w:rPr>
          <w:spacing w:val="-3"/>
        </w:rPr>
        <w:t> </w:t>
      </w:r>
      <w:r>
        <w:rPr/>
        <w:t>model</w:t>
      </w:r>
      <w:r>
        <w:rPr>
          <w:spacing w:val="-2"/>
        </w:rPr>
        <w:t> </w:t>
      </w:r>
      <w:r>
        <w:rPr/>
        <w:t>adopted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study</w:t>
      </w:r>
      <w:r>
        <w:rPr>
          <w:spacing w:val="-8"/>
        </w:rPr>
        <w:t> </w:t>
      </w:r>
      <w:r>
        <w:rPr/>
        <w:t>are</w:t>
      </w:r>
      <w:r>
        <w:rPr>
          <w:spacing w:val="-58"/>
        </w:rPr>
        <w:t> </w:t>
      </w:r>
      <w:r>
        <w:rPr/>
        <w:t>presented. These involve three procedures that comprise the log-linearisation of the model, then</w:t>
      </w:r>
      <w:r>
        <w:rPr>
          <w:spacing w:val="1"/>
        </w:rPr>
        <w:t> </w:t>
      </w:r>
      <w:r>
        <w:rPr/>
        <w:t>solving a system of linear difference equations derived from the model and lastly, the Bayesian</w:t>
      </w:r>
      <w:r>
        <w:rPr>
          <w:spacing w:val="1"/>
        </w:rPr>
        <w:t> </w:t>
      </w:r>
      <w:r>
        <w:rPr/>
        <w:t>estimation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model.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3"/>
          <w:numId w:val="22"/>
        </w:numPr>
        <w:tabs>
          <w:tab w:pos="1221" w:val="left" w:leader="none"/>
        </w:tabs>
        <w:spacing w:line="240" w:lineRule="auto" w:before="1" w:after="0"/>
        <w:ind w:left="1220" w:right="0" w:hanging="361"/>
        <w:jc w:val="left"/>
        <w:rPr>
          <w:sz w:val="24"/>
        </w:rPr>
      </w:pPr>
      <w:r>
        <w:rPr>
          <w:sz w:val="24"/>
        </w:rPr>
        <w:t>Log-Linearise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model</w:t>
      </w:r>
    </w:p>
    <w:p>
      <w:pPr>
        <w:pStyle w:val="BodyText"/>
        <w:spacing w:line="360" w:lineRule="auto" w:before="136"/>
        <w:ind w:left="500" w:right="501"/>
        <w:jc w:val="both"/>
      </w:pPr>
      <w:r>
        <w:rPr/>
        <w:t>The set of equations of the DSGE model as specified in sub-section 4.2.1 are represented in a</w:t>
      </w:r>
      <w:r>
        <w:rPr>
          <w:spacing w:val="1"/>
        </w:rPr>
        <w:t> </w:t>
      </w:r>
      <w:r>
        <w:rPr/>
        <w:t>canonical</w:t>
      </w:r>
      <w:r>
        <w:rPr>
          <w:spacing w:val="-1"/>
        </w:rPr>
        <w:t> </w:t>
      </w:r>
      <w:r>
        <w:rPr/>
        <w:t>form as:</w:t>
      </w:r>
    </w:p>
    <w:p>
      <w:pPr>
        <w:pStyle w:val="BodyText"/>
        <w:tabs>
          <w:tab w:pos="8781" w:val="left" w:leader="none"/>
        </w:tabs>
        <w:spacing w:line="280" w:lineRule="exact"/>
        <w:ind w:left="500"/>
        <w:jc w:val="both"/>
      </w:pPr>
      <w:r>
        <w:rPr>
          <w:rFonts w:ascii="Cambria Math" w:hAnsi="Cambria Math" w:eastAsia="Cambria Math"/>
        </w:rPr>
        <w:t>𝐸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position w:val="1"/>
          <w:vertAlign w:val="baseline"/>
        </w:rPr>
        <w:t>{</w:t>
      </w:r>
      <w:r>
        <w:rPr>
          <w:rFonts w:ascii="Cambria Math" w:hAnsi="Cambria Math" w:eastAsia="Cambria Math"/>
          <w:vertAlign w:val="baseline"/>
        </w:rPr>
        <w:t>𝑓(𝑦</w:t>
      </w:r>
      <w:r>
        <w:rPr>
          <w:rFonts w:ascii="Cambria Math" w:hAnsi="Cambria Math" w:eastAsia="Cambria Math"/>
          <w:vertAlign w:val="subscript"/>
        </w:rPr>
        <w:t>𝑡+1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𝑦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𝑦</w:t>
      </w:r>
      <w:r>
        <w:rPr>
          <w:rFonts w:ascii="Cambria Math" w:hAnsi="Cambria Math" w:eastAsia="Cambria Math"/>
          <w:vertAlign w:val="subscript"/>
        </w:rPr>
        <w:t>𝑡−1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𝑒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position w:val="1"/>
          <w:vertAlign w:val="baseline"/>
        </w:rPr>
        <w:t>}</w:t>
      </w:r>
      <w:r>
        <w:rPr>
          <w:rFonts w:ascii="Cambria Math" w:hAnsi="Cambria Math" w:eastAsia="Cambria Math"/>
          <w:spacing w:val="30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3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  <w:tab/>
      </w:r>
      <w:r>
        <w:rPr>
          <w:w w:val="105"/>
          <w:vertAlign w:val="baseline"/>
        </w:rPr>
        <w:t>(4.135)</w:t>
      </w:r>
    </w:p>
    <w:p>
      <w:pPr>
        <w:pStyle w:val="BodyText"/>
        <w:spacing w:before="143"/>
        <w:ind w:left="500"/>
      </w:pPr>
      <w:r>
        <w:rPr/>
        <w:t>Where,</w:t>
      </w:r>
    </w:p>
    <w:p>
      <w:pPr>
        <w:pStyle w:val="BodyText"/>
        <w:tabs>
          <w:tab w:pos="1113" w:val="left" w:leader="none"/>
        </w:tabs>
        <w:spacing w:line="362" w:lineRule="auto" w:before="138"/>
        <w:ind w:left="500" w:right="502"/>
      </w:pPr>
      <w:r>
        <w:rPr>
          <w:rFonts w:ascii="Cambria Math" w:eastAsia="Cambria Math"/>
        </w:rPr>
        <w:t>𝑦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:</w:t>
        <w:tab/>
        <w:t>Vector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5"/>
          <w:vertAlign w:val="baseline"/>
        </w:rPr>
        <w:t> </w:t>
      </w:r>
      <w:r>
        <w:rPr>
          <w:vertAlign w:val="baseline"/>
        </w:rPr>
        <w:t>endogenous</w:t>
      </w:r>
      <w:r>
        <w:rPr>
          <w:spacing w:val="6"/>
          <w:vertAlign w:val="baseline"/>
        </w:rPr>
        <w:t> </w:t>
      </w:r>
      <w:r>
        <w:rPr>
          <w:vertAlign w:val="baseline"/>
        </w:rPr>
        <w:t>variables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model.</w:t>
      </w:r>
      <w:r>
        <w:rPr>
          <w:spacing w:val="3"/>
          <w:vertAlign w:val="baseline"/>
        </w:rPr>
        <w:t> </w:t>
      </w:r>
      <w:r>
        <w:rPr>
          <w:vertAlign w:val="baseline"/>
        </w:rPr>
        <w:t>There</w:t>
      </w:r>
      <w:r>
        <w:rPr>
          <w:spacing w:val="4"/>
          <w:vertAlign w:val="baseline"/>
        </w:rPr>
        <w:t> </w:t>
      </w:r>
      <w:r>
        <w:rPr>
          <w:vertAlign w:val="baseline"/>
        </w:rPr>
        <w:t>are</w:t>
      </w:r>
      <w:r>
        <w:rPr>
          <w:spacing w:val="5"/>
          <w:vertAlign w:val="baseline"/>
        </w:rPr>
        <w:t> </w:t>
      </w:r>
      <w:r>
        <w:rPr>
          <w:vertAlign w:val="baseline"/>
        </w:rPr>
        <w:t>current,</w:t>
      </w:r>
      <w:r>
        <w:rPr>
          <w:spacing w:val="6"/>
          <w:vertAlign w:val="baseline"/>
        </w:rPr>
        <w:t> </w:t>
      </w:r>
      <w:r>
        <w:rPr>
          <w:vertAlign w:val="baseline"/>
        </w:rPr>
        <w:t>lead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vertAlign w:val="baseline"/>
        </w:rPr>
        <w:t>lag</w:t>
      </w:r>
      <w:r>
        <w:rPr>
          <w:spacing w:val="4"/>
          <w:vertAlign w:val="baseline"/>
        </w:rPr>
        <w:t> </w:t>
      </w:r>
      <w:r>
        <w:rPr>
          <w:vertAlign w:val="baseline"/>
        </w:rPr>
        <w:t>values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endogenous</w:t>
      </w:r>
      <w:r>
        <w:rPr>
          <w:spacing w:val="-1"/>
          <w:vertAlign w:val="baseline"/>
        </w:rPr>
        <w:t> </w:t>
      </w:r>
      <w:r>
        <w:rPr>
          <w:vertAlign w:val="baseline"/>
        </w:rPr>
        <w:t>variable</w:t>
      </w:r>
    </w:p>
    <w:p>
      <w:pPr>
        <w:pStyle w:val="BodyText"/>
        <w:spacing w:line="275" w:lineRule="exact"/>
        <w:ind w:left="500"/>
      </w:pPr>
      <w:r>
        <w:rPr>
          <w:rFonts w:ascii="Cambria Math" w:hAnsi="Cambria Math"/>
        </w:rPr>
        <w:t>y</w:t>
      </w:r>
      <w:r>
        <w:rPr>
          <w:rFonts w:ascii="Cambria Math" w:hAnsi="Cambria Math"/>
          <w:vertAlign w:val="subscript"/>
        </w:rPr>
        <w:t>t−1</w:t>
      </w:r>
      <w:r>
        <w:rPr>
          <w:vertAlign w:val="baseline"/>
        </w:rPr>
        <w:t>:</w:t>
      </w:r>
      <w:r>
        <w:rPr>
          <w:spacing w:val="5"/>
          <w:vertAlign w:val="baseline"/>
        </w:rPr>
        <w:t> </w:t>
      </w:r>
      <w:r>
        <w:rPr>
          <w:vertAlign w:val="baseline"/>
        </w:rPr>
        <w:t>Vector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5"/>
          <w:vertAlign w:val="baseline"/>
        </w:rPr>
        <w:t> </w:t>
      </w:r>
      <w:r>
        <w:rPr>
          <w:vertAlign w:val="baseline"/>
        </w:rPr>
        <w:t>predetermined</w:t>
      </w:r>
      <w:r>
        <w:rPr>
          <w:spacing w:val="6"/>
          <w:vertAlign w:val="baseline"/>
        </w:rPr>
        <w:t> </w:t>
      </w:r>
      <w:r>
        <w:rPr>
          <w:vertAlign w:val="baseline"/>
        </w:rPr>
        <w:t>variables</w:t>
      </w:r>
    </w:p>
    <w:p>
      <w:pPr>
        <w:pStyle w:val="BodyText"/>
        <w:tabs>
          <w:tab w:pos="1129" w:val="left" w:leader="none"/>
        </w:tabs>
        <w:spacing w:before="145"/>
        <w:ind w:left="500"/>
        <w:rPr>
          <w:rFonts w:ascii="Cambria Math" w:eastAsia="Cambria Math"/>
        </w:rPr>
      </w:pPr>
      <w:r>
        <w:rPr/>
        <w:pict>
          <v:shape style="position:absolute;margin-left:367.869995pt;margin-top:15.396897pt;width:3pt;height:8.550pt;mso-position-horizontal-relative:page;mso-position-vertical-relative:paragraph;z-index:-2137036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𝑖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</w:rPr>
        <w:t>𝑒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:</w:t>
        <w:tab/>
        <w:t>Vector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4"/>
          <w:vertAlign w:val="baseline"/>
        </w:rPr>
        <w:t> </w:t>
      </w:r>
      <w:r>
        <w:rPr>
          <w:vertAlign w:val="baseline"/>
        </w:rPr>
        <w:t>stochastic</w:t>
      </w:r>
      <w:r>
        <w:rPr>
          <w:spacing w:val="7"/>
          <w:vertAlign w:val="baseline"/>
        </w:rPr>
        <w:t> </w:t>
      </w:r>
      <w:r>
        <w:rPr>
          <w:vertAlign w:val="baseline"/>
        </w:rPr>
        <w:t>exogenous</w:t>
      </w:r>
      <w:r>
        <w:rPr>
          <w:spacing w:val="5"/>
          <w:vertAlign w:val="baseline"/>
        </w:rPr>
        <w:t> </w:t>
      </w:r>
      <w:r>
        <w:rPr>
          <w:vertAlign w:val="baseline"/>
        </w:rPr>
        <w:t>variables,</w:t>
      </w:r>
      <w:r>
        <w:rPr>
          <w:spacing w:val="10"/>
          <w:vertAlign w:val="baseline"/>
        </w:rPr>
        <w:t> </w:t>
      </w:r>
      <w:r>
        <w:rPr>
          <w:rFonts w:ascii="Cambria Math" w:eastAsia="Cambria Math"/>
          <w:vertAlign w:val="baseline"/>
        </w:rPr>
        <w:t>𝑒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vertAlign w:val="baseline"/>
        </w:rPr>
        <w:t>~𝑖𝑖𝑁</w:t>
      </w:r>
      <w:r>
        <w:rPr>
          <w:rFonts w:ascii="Cambria Math" w:eastAsia="Cambria Math"/>
          <w:position w:val="1"/>
          <w:vertAlign w:val="baseline"/>
        </w:rPr>
        <w:t>(</w:t>
      </w:r>
      <w:r>
        <w:rPr>
          <w:rFonts w:ascii="Cambria Math" w:eastAsia="Cambria Math"/>
          <w:vertAlign w:val="baseline"/>
        </w:rPr>
        <w:t>0,</w:t>
      </w:r>
      <w:r>
        <w:rPr>
          <w:rFonts w:ascii="Cambria Math" w:eastAsia="Cambria Math"/>
          <w:spacing w:val="27"/>
          <w:vertAlign w:val="baseline"/>
        </w:rPr>
        <w:t> </w:t>
      </w:r>
      <w:r>
        <w:rPr>
          <w:rFonts w:ascii="Cambria Math" w:eastAsia="Cambria Math"/>
          <w:vertAlign w:val="baseline"/>
        </w:rPr>
        <w:t>𝜎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position w:val="1"/>
          <w:vertAlign w:val="baseline"/>
        </w:rPr>
        <w:t>)</w:t>
      </w:r>
    </w:p>
    <w:p>
      <w:pPr>
        <w:pStyle w:val="BodyText"/>
        <w:rPr>
          <w:rFonts w:ascii="Cambria Math"/>
          <w:sz w:val="30"/>
        </w:rPr>
      </w:pPr>
    </w:p>
    <w:p>
      <w:pPr>
        <w:pStyle w:val="BodyText"/>
        <w:spacing w:line="360" w:lineRule="auto" w:before="206"/>
        <w:ind w:left="500" w:right="491"/>
        <w:jc w:val="both"/>
      </w:pPr>
      <w:r>
        <w:rPr/>
        <w:t>DSGE models often lack an exact and closed form solution that can be cumbersome and messy</w:t>
      </w:r>
      <w:r>
        <w:rPr>
          <w:spacing w:val="1"/>
        </w:rPr>
        <w:t> </w:t>
      </w:r>
      <w:r>
        <w:rPr/>
        <w:t>with paper and pencil. The solution to the DSGE model in equation (4.135) is</w:t>
      </w:r>
      <w:r>
        <w:rPr>
          <w:spacing w:val="1"/>
        </w:rPr>
        <w:t> </w:t>
      </w:r>
      <w:r>
        <w:rPr/>
        <w:t>derived by</w:t>
      </w:r>
      <w:r>
        <w:rPr>
          <w:spacing w:val="1"/>
        </w:rPr>
        <w:t> </w:t>
      </w:r>
      <w:r>
        <w:rPr/>
        <w:t>approximating the non-linear set of equations. The existing approximation methods are classified</w:t>
      </w:r>
      <w:r>
        <w:rPr>
          <w:spacing w:val="-57"/>
        </w:rPr>
        <w:t> </w:t>
      </w:r>
      <w:r>
        <w:rPr>
          <w:spacing w:val="-1"/>
        </w:rPr>
        <w:t>as</w:t>
      </w:r>
      <w:r>
        <w:rPr>
          <w:spacing w:val="-15"/>
        </w:rPr>
        <w:t> </w:t>
      </w:r>
      <w:r>
        <w:rPr>
          <w:spacing w:val="-1"/>
        </w:rPr>
        <w:t>either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/>
        <w:t>Perturbation</w:t>
      </w:r>
      <w:r>
        <w:rPr>
          <w:spacing w:val="-12"/>
        </w:rPr>
        <w:t> </w:t>
      </w:r>
      <w:r>
        <w:rPr/>
        <w:t>or</w:t>
      </w:r>
      <w:r>
        <w:rPr>
          <w:spacing w:val="-16"/>
        </w:rPr>
        <w:t> </w:t>
      </w:r>
      <w:r>
        <w:rPr/>
        <w:t>Projection</w:t>
      </w:r>
      <w:r>
        <w:rPr>
          <w:spacing w:val="-15"/>
        </w:rPr>
        <w:t> </w:t>
      </w:r>
      <w:r>
        <w:rPr/>
        <w:t>Methods.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Perturbation</w:t>
      </w:r>
      <w:r>
        <w:rPr>
          <w:spacing w:val="-15"/>
        </w:rPr>
        <w:t> </w:t>
      </w:r>
      <w:r>
        <w:rPr/>
        <w:t>solutions</w:t>
      </w:r>
      <w:r>
        <w:rPr>
          <w:spacing w:val="-12"/>
        </w:rPr>
        <w:t> </w:t>
      </w:r>
      <w:r>
        <w:rPr/>
        <w:t>are</w:t>
      </w:r>
      <w:r>
        <w:rPr>
          <w:spacing w:val="-17"/>
        </w:rPr>
        <w:t> </w:t>
      </w:r>
      <w:r>
        <w:rPr/>
        <w:t>local</w:t>
      </w:r>
      <w:r>
        <w:rPr>
          <w:spacing w:val="-14"/>
        </w:rPr>
        <w:t> </w:t>
      </w:r>
      <w:r>
        <w:rPr/>
        <w:t>approximants</w:t>
      </w:r>
      <w:r>
        <w:rPr>
          <w:spacing w:val="-57"/>
        </w:rPr>
        <w:t> </w:t>
      </w:r>
      <w:r>
        <w:rPr/>
        <w:t>that usually involves a Taylor series approximation of equilibrium equations around their non-</w:t>
      </w:r>
      <w:r>
        <w:rPr>
          <w:spacing w:val="1"/>
        </w:rPr>
        <w:t> </w:t>
      </w:r>
      <w:r>
        <w:rPr/>
        <w:t>stochastic steady state. Fernandez-Villaverde, Rubio-Ramirez and Schorfheide (2016) argue that</w:t>
      </w:r>
      <w:r>
        <w:rPr>
          <w:spacing w:val="1"/>
        </w:rPr>
        <w:t> </w:t>
      </w:r>
      <w:r>
        <w:rPr/>
        <w:t>perturbation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medium-scale</w:t>
      </w:r>
      <w:r>
        <w:rPr>
          <w:spacing w:val="1"/>
        </w:rPr>
        <w:t> </w:t>
      </w:r>
      <w:r>
        <w:rPr/>
        <w:t>NK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sufficiently</w:t>
      </w:r>
      <w:r>
        <w:rPr>
          <w:spacing w:val="-9"/>
        </w:rPr>
        <w:t> </w:t>
      </w:r>
      <w:r>
        <w:rPr/>
        <w:t>well</w:t>
      </w:r>
      <w:r>
        <w:rPr>
          <w:spacing w:val="-6"/>
        </w:rPr>
        <w:t> </w:t>
      </w:r>
      <w:r>
        <w:rPr/>
        <w:t>behaved.</w:t>
      </w:r>
      <w:r>
        <w:rPr>
          <w:spacing w:val="-3"/>
        </w:rPr>
        <w:t> </w:t>
      </w:r>
      <w:r>
        <w:rPr/>
        <w:t>Linear</w:t>
      </w:r>
      <w:r>
        <w:rPr>
          <w:spacing w:val="-5"/>
        </w:rPr>
        <w:t> </w:t>
      </w:r>
      <w:r>
        <w:rPr/>
        <w:t>Quadratic</w:t>
      </w:r>
      <w:r>
        <w:rPr>
          <w:spacing w:val="-7"/>
        </w:rPr>
        <w:t> </w:t>
      </w:r>
      <w:r>
        <w:rPr/>
        <w:t>method,</w:t>
      </w:r>
      <w:r>
        <w:rPr>
          <w:spacing w:val="-5"/>
        </w:rPr>
        <w:t> </w:t>
      </w:r>
      <w:r>
        <w:rPr/>
        <w:t>linear</w:t>
      </w:r>
      <w:r>
        <w:rPr>
          <w:spacing w:val="-5"/>
        </w:rPr>
        <w:t> </w:t>
      </w:r>
      <w:r>
        <w:rPr/>
        <w:t>approximation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Second</w:t>
      </w:r>
      <w:r>
        <w:rPr>
          <w:spacing w:val="-6"/>
        </w:rPr>
        <w:t> </w:t>
      </w:r>
      <w:r>
        <w:rPr/>
        <w:t>(or</w:t>
      </w:r>
      <w:r>
        <w:rPr>
          <w:spacing w:val="-6"/>
        </w:rPr>
        <w:t> </w:t>
      </w:r>
      <w:r>
        <w:rPr/>
        <w:t>Higher)</w:t>
      </w:r>
      <w:r>
        <w:rPr>
          <w:spacing w:val="-58"/>
        </w:rPr>
        <w:t> </w:t>
      </w:r>
      <w:r>
        <w:rPr/>
        <w:t>Order</w:t>
      </w:r>
      <w:r>
        <w:rPr>
          <w:spacing w:val="-14"/>
        </w:rPr>
        <w:t> </w:t>
      </w:r>
      <w:r>
        <w:rPr/>
        <w:t>Approximation</w:t>
      </w:r>
      <w:r>
        <w:rPr>
          <w:spacing w:val="-13"/>
        </w:rPr>
        <w:t> </w:t>
      </w:r>
      <w:r>
        <w:rPr/>
        <w:t>are</w:t>
      </w:r>
      <w:r>
        <w:rPr>
          <w:spacing w:val="-15"/>
        </w:rPr>
        <w:t> </w:t>
      </w:r>
      <w:r>
        <w:rPr/>
        <w:t>some</w:t>
      </w:r>
      <w:r>
        <w:rPr>
          <w:spacing w:val="-13"/>
        </w:rPr>
        <w:t> </w:t>
      </w:r>
      <w:r>
        <w:rPr/>
        <w:t>Perturbation</w:t>
      </w:r>
      <w:r>
        <w:rPr>
          <w:spacing w:val="-13"/>
        </w:rPr>
        <w:t> </w:t>
      </w:r>
      <w:r>
        <w:rPr/>
        <w:t>methods.</w:t>
      </w:r>
      <w:r>
        <w:rPr>
          <w:spacing w:val="-13"/>
        </w:rPr>
        <w:t> </w:t>
      </w:r>
      <w:r>
        <w:rPr/>
        <w:t>Projections</w:t>
      </w:r>
      <w:r>
        <w:rPr>
          <w:spacing w:val="-13"/>
        </w:rPr>
        <w:t> </w:t>
      </w:r>
      <w:r>
        <w:rPr/>
        <w:t>methods</w:t>
      </w:r>
      <w:r>
        <w:rPr>
          <w:spacing w:val="-12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other</w:t>
      </w:r>
      <w:r>
        <w:rPr>
          <w:spacing w:val="-15"/>
        </w:rPr>
        <w:t> </w:t>
      </w:r>
      <w:r>
        <w:rPr/>
        <w:t>hand,</w:t>
      </w:r>
      <w:r>
        <w:rPr>
          <w:spacing w:val="-12"/>
        </w:rPr>
        <w:t> </w:t>
      </w:r>
      <w:r>
        <w:rPr/>
        <w:t>have</w:t>
      </w:r>
      <w:r>
        <w:rPr>
          <w:spacing w:val="-58"/>
        </w:rPr>
        <w:t> </w:t>
      </w:r>
      <w:r>
        <w:rPr/>
        <w:t>global solutions. In this study, one of the perturbation method is used, specifically, the log-linear</w:t>
      </w:r>
      <w:r>
        <w:rPr>
          <w:spacing w:val="1"/>
        </w:rPr>
        <w:t> </w:t>
      </w:r>
      <w:r>
        <w:rPr/>
        <w:t>approximation method.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500" w:right="499"/>
        <w:jc w:val="both"/>
      </w:pPr>
      <w:r>
        <w:rPr/>
        <w:t>The log-linear approximation method approximates the solution to equation (4.135) in terms of</w:t>
      </w:r>
      <w:r>
        <w:rPr>
          <w:spacing w:val="1"/>
        </w:rPr>
        <w:t> </w:t>
      </w:r>
      <w:r>
        <w:rPr/>
        <w:t>the log-deviations of the variables with respect to their steady state. In general, it is adequate for</w:t>
      </w:r>
      <w:r>
        <w:rPr>
          <w:spacing w:val="1"/>
        </w:rPr>
        <w:t> </w:t>
      </w:r>
      <w:r>
        <w:rPr/>
        <w:t>several</w:t>
      </w:r>
      <w:r>
        <w:rPr>
          <w:spacing w:val="28"/>
        </w:rPr>
        <w:t> </w:t>
      </w:r>
      <w:r>
        <w:rPr/>
        <w:t>economic</w:t>
      </w:r>
      <w:r>
        <w:rPr>
          <w:spacing w:val="24"/>
        </w:rPr>
        <w:t> </w:t>
      </w:r>
      <w:r>
        <w:rPr/>
        <w:t>analyses</w:t>
      </w:r>
      <w:r>
        <w:rPr>
          <w:spacing w:val="25"/>
        </w:rPr>
        <w:t> </w:t>
      </w:r>
      <w:r>
        <w:rPr/>
        <w:t>since</w:t>
      </w:r>
      <w:r>
        <w:rPr>
          <w:spacing w:val="23"/>
        </w:rPr>
        <w:t> </w:t>
      </w:r>
      <w:r>
        <w:rPr/>
        <w:t>it</w:t>
      </w:r>
      <w:r>
        <w:rPr>
          <w:spacing w:val="25"/>
        </w:rPr>
        <w:t> </w:t>
      </w:r>
      <w:r>
        <w:rPr/>
        <w:t>leads</w:t>
      </w:r>
      <w:r>
        <w:rPr>
          <w:spacing w:val="29"/>
        </w:rPr>
        <w:t> </w:t>
      </w:r>
      <w:r>
        <w:rPr/>
        <w:t>to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state-space</w:t>
      </w:r>
      <w:r>
        <w:rPr>
          <w:spacing w:val="24"/>
        </w:rPr>
        <w:t> </w:t>
      </w:r>
      <w:r>
        <w:rPr/>
        <w:t>representation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model,</w:t>
      </w:r>
      <w:r>
        <w:rPr>
          <w:spacing w:val="25"/>
        </w:rPr>
        <w:t> </w:t>
      </w:r>
      <w:r>
        <w:rPr/>
        <w:t>which</w:t>
      </w:r>
      <w:r>
        <w:rPr>
          <w:spacing w:val="25"/>
        </w:rPr>
        <w:t> </w:t>
      </w:r>
      <w:r>
        <w:rPr/>
        <w:t>is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line="360" w:lineRule="auto" w:before="74"/>
        <w:ind w:left="500" w:right="497"/>
        <w:jc w:val="both"/>
      </w:pPr>
      <w:r>
        <w:rPr/>
        <w:t>suitable for empirical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forecasting.</w:t>
      </w:r>
      <w:r>
        <w:rPr>
          <w:spacing w:val="1"/>
        </w:rPr>
        <w:t> </w:t>
      </w:r>
      <w:r>
        <w:rPr/>
        <w:t>Log-linear solutions are easy to</w:t>
      </w:r>
      <w:r>
        <w:rPr>
          <w:spacing w:val="1"/>
        </w:rPr>
        <w:t> </w:t>
      </w:r>
      <w:r>
        <w:rPr/>
        <w:t>read,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coefficient terms are interpreted as elasticity and, in some circumstances, they can improve the</w:t>
      </w:r>
      <w:r>
        <w:rPr>
          <w:spacing w:val="1"/>
        </w:rPr>
        <w:t> </w:t>
      </w:r>
      <w:r>
        <w:rPr/>
        <w:t>accuracy of the solution (Fernandez-Villaverde, Rubio-Ramirez and Schorfheide, 2016). The</w:t>
      </w:r>
      <w:r>
        <w:rPr>
          <w:spacing w:val="1"/>
        </w:rPr>
        <w:t> </w:t>
      </w:r>
      <w:r>
        <w:rPr/>
        <w:t>procedure of log-linearising begins with finding the steady state of the model where there are no</w:t>
      </w:r>
      <w:r>
        <w:rPr>
          <w:spacing w:val="1"/>
        </w:rPr>
        <w:t> </w:t>
      </w:r>
      <w:r>
        <w:rPr/>
        <w:t>exogenous</w:t>
      </w:r>
      <w:r>
        <w:rPr>
          <w:spacing w:val="-1"/>
        </w:rPr>
        <w:t> </w:t>
      </w:r>
      <w:r>
        <w:rPr/>
        <w:t>shocks and variables have</w:t>
      </w:r>
      <w:r>
        <w:rPr>
          <w:spacing w:val="-1"/>
        </w:rPr>
        <w:t> </w:t>
      </w:r>
      <w:r>
        <w:rPr/>
        <w:t>no time sub-scripts such that,</w:t>
      </w:r>
    </w:p>
    <w:p>
      <w:pPr>
        <w:pStyle w:val="BodyText"/>
        <w:tabs>
          <w:tab w:pos="8781" w:val="left" w:leader="none"/>
        </w:tabs>
        <w:spacing w:line="279" w:lineRule="exact"/>
        <w:ind w:left="500"/>
        <w:jc w:val="both"/>
      </w:pPr>
      <w:r>
        <w:rPr>
          <w:rFonts w:ascii="Cambria Math" w:hAnsi="Cambria Math" w:eastAsia="Cambria Math"/>
          <w:position w:val="1"/>
        </w:rPr>
        <w:t>{</w:t>
      </w:r>
      <w:r>
        <w:rPr>
          <w:rFonts w:ascii="Cambria Math" w:hAnsi="Cambria Math" w:eastAsia="Cambria Math"/>
          <w:spacing w:val="7"/>
        </w:rPr>
        <w:t>𝑓</w:t>
      </w:r>
      <w:r>
        <w:rPr>
          <w:rFonts w:ascii="Cambria Math" w:hAnsi="Cambria Math" w:eastAsia="Cambria Math"/>
          <w:spacing w:val="1"/>
        </w:rPr>
        <w:t>(</w:t>
      </w:r>
      <w:r>
        <w:rPr>
          <w:rFonts w:ascii="Cambria Math" w:hAnsi="Cambria Math" w:eastAsia="Cambria Math"/>
          <w:spacing w:val="-106"/>
        </w:rPr>
        <w:t>𝑦</w:t>
      </w:r>
      <w:r>
        <w:rPr>
          <w:rFonts w:ascii="Cambria Math" w:hAnsi="Cambria Math" w:eastAsia="Cambria Math"/>
          <w:spacing w:val="7"/>
        </w:rPr>
        <w:t>̅</w:t>
      </w:r>
      <w:r>
        <w:rPr>
          <w:rFonts w:ascii="Cambria Math" w:hAnsi="Cambria Math" w:eastAsia="Cambria Math"/>
        </w:rPr>
        <w:t>,</w:t>
      </w:r>
      <w:r>
        <w:rPr>
          <w:rFonts w:ascii="Cambria Math" w:hAnsi="Cambria Math" w:eastAsia="Cambria Math"/>
          <w:spacing w:val="-16"/>
        </w:rPr>
        <w:t> </w:t>
      </w:r>
      <w:r>
        <w:rPr>
          <w:rFonts w:ascii="Cambria Math" w:hAnsi="Cambria Math" w:eastAsia="Cambria Math"/>
          <w:spacing w:val="-106"/>
        </w:rPr>
        <w:t>𝑦</w:t>
      </w:r>
      <w:r>
        <w:rPr>
          <w:rFonts w:ascii="Cambria Math" w:hAnsi="Cambria Math" w:eastAsia="Cambria Math"/>
          <w:spacing w:val="7"/>
        </w:rPr>
        <w:t>̅</w:t>
      </w:r>
      <w:r>
        <w:rPr>
          <w:rFonts w:ascii="Cambria Math" w:hAnsi="Cambria Math" w:eastAsia="Cambria Math"/>
          <w:spacing w:val="-7"/>
        </w:rPr>
        <w:t>,</w:t>
      </w:r>
      <w:r>
        <w:rPr>
          <w:rFonts w:ascii="Cambria Math" w:hAnsi="Cambria Math" w:eastAsia="Cambria Math"/>
          <w:spacing w:val="-91"/>
        </w:rPr>
        <w:t>̅</w:t>
      </w:r>
      <w:r>
        <w:rPr>
          <w:rFonts w:ascii="Cambria Math" w:hAnsi="Cambria Math" w:eastAsia="Cambria Math"/>
          <w:spacing w:val="4"/>
        </w:rPr>
        <w:t>𝑦</w:t>
      </w:r>
      <w:r>
        <w:rPr>
          <w:rFonts w:ascii="Cambria Math" w:hAnsi="Cambria Math" w:eastAsia="Cambria Math"/>
        </w:rPr>
        <w:t>,</w:t>
      </w:r>
      <w:r>
        <w:rPr>
          <w:rFonts w:ascii="Cambria Math" w:hAnsi="Cambria Math" w:eastAsia="Cambria Math"/>
          <w:spacing w:val="-14"/>
        </w:rPr>
        <w:t> </w:t>
      </w:r>
      <w:r>
        <w:rPr>
          <w:rFonts w:ascii="Cambria Math" w:hAnsi="Cambria Math" w:eastAsia="Cambria Math"/>
          <w:spacing w:val="-1"/>
        </w:rPr>
        <w:t>0</w:t>
      </w:r>
      <w:r>
        <w:rPr>
          <w:rFonts w:ascii="Cambria Math" w:hAnsi="Cambria Math" w:eastAsia="Cambria Math"/>
          <w:position w:val="1"/>
        </w:rPr>
        <w:t>}</w:t>
      </w:r>
      <w:r>
        <w:rPr>
          <w:rFonts w:ascii="Cambria Math" w:hAnsi="Cambria Math" w:eastAsia="Cambria Math"/>
          <w:spacing w:val="15"/>
          <w:position w:val="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1</w:t>
        <w:tab/>
      </w:r>
      <w:r>
        <w:rPr>
          <w:spacing w:val="-1"/>
        </w:rPr>
        <w:t>(</w:t>
      </w:r>
      <w:r>
        <w:rPr/>
        <w:t>4.136)</w:t>
      </w:r>
    </w:p>
    <w:p>
      <w:pPr>
        <w:pStyle w:val="BodyText"/>
        <w:spacing w:line="360" w:lineRule="auto" w:before="143"/>
        <w:ind w:left="500" w:right="500"/>
        <w:jc w:val="both"/>
        <w:rPr>
          <w:sz w:val="22"/>
        </w:rPr>
      </w:pPr>
      <w:r>
        <w:rPr/>
        <w:t>Equation (4.135) is thereafter approximated by a first-order Taylor expansion of its logarithm</w:t>
      </w:r>
      <w:r>
        <w:rPr>
          <w:spacing w:val="1"/>
        </w:rPr>
        <w:t> </w:t>
      </w:r>
      <w:r>
        <w:rPr/>
        <w:t>around</w:t>
      </w:r>
      <w:r>
        <w:rPr>
          <w:spacing w:val="-2"/>
        </w:rPr>
        <w:t> </w:t>
      </w:r>
      <w:r>
        <w:rPr/>
        <w:t>the steady-state</w:t>
      </w:r>
      <w:r>
        <w:rPr>
          <w:spacing w:val="-1"/>
        </w:rPr>
        <w:t> </w:t>
      </w:r>
      <w:r>
        <w:rPr/>
        <w:t>(4.136)</w:t>
      </w:r>
      <w:r>
        <w:rPr>
          <w:spacing w:val="-1"/>
        </w:rPr>
        <w:t> </w:t>
      </w:r>
      <w:r>
        <w:rPr/>
        <w:t>such that</w:t>
      </w:r>
      <w:r>
        <w:rPr>
          <w:sz w:val="22"/>
        </w:rPr>
        <w:t>,</w:t>
      </w:r>
    </w:p>
    <w:p>
      <w:pPr>
        <w:pStyle w:val="BodyText"/>
        <w:spacing w:before="11"/>
        <w:rPr>
          <w:sz w:val="34"/>
        </w:rPr>
      </w:pPr>
    </w:p>
    <w:p>
      <w:pPr>
        <w:pStyle w:val="BodyText"/>
        <w:tabs>
          <w:tab w:pos="8781" w:val="left" w:leader="none"/>
        </w:tabs>
        <w:spacing w:line="691" w:lineRule="auto"/>
        <w:ind w:left="500" w:right="876"/>
      </w:pPr>
      <w:r>
        <w:rPr>
          <w:rFonts w:ascii="Cambria Math" w:hAnsi="Cambria Math" w:eastAsia="Cambria Math"/>
          <w:spacing w:val="-14"/>
        </w:rPr>
        <w:t>𝐸</w:t>
      </w:r>
      <w:r>
        <w:rPr>
          <w:rFonts w:ascii="Cambria Math" w:hAnsi="Cambria Math" w:eastAsia="Cambria Math"/>
          <w:spacing w:val="13"/>
          <w:w w:val="119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{</w:t>
      </w:r>
      <w:r>
        <w:rPr>
          <w:rFonts w:ascii="Cambria Math" w:hAnsi="Cambria Math" w:eastAsia="Cambria Math"/>
          <w:spacing w:val="-48"/>
          <w:vertAlign w:val="baseline"/>
        </w:rPr>
        <w:t>𝑓</w:t>
      </w:r>
      <w:r>
        <w:rPr>
          <w:rFonts w:ascii="Cambria Math" w:hAnsi="Cambria Math" w:eastAsia="Cambria Math"/>
          <w:spacing w:val="-8"/>
          <w:w w:val="120"/>
          <w:vertAlign w:val="subscript"/>
        </w:rPr>
        <w:t>𝑦</w:t>
      </w:r>
      <w:r>
        <w:rPr>
          <w:rFonts w:ascii="Cambria Math" w:hAnsi="Cambria Math" w:eastAsia="Cambria Math"/>
          <w:spacing w:val="-2"/>
          <w:w w:val="119"/>
          <w:position w:val="-7"/>
          <w:sz w:val="14"/>
          <w:vertAlign w:val="baseline"/>
        </w:rPr>
        <w:t>𝑡</w:t>
      </w:r>
      <w:r>
        <w:rPr>
          <w:rFonts w:ascii="Cambria Math" w:hAnsi="Cambria Math" w:eastAsia="Cambria Math"/>
          <w:spacing w:val="1"/>
          <w:w w:val="99"/>
          <w:position w:val="-7"/>
          <w:sz w:val="14"/>
          <w:vertAlign w:val="baseline"/>
        </w:rPr>
        <w:t>+</w:t>
      </w:r>
      <w:r>
        <w:rPr>
          <w:rFonts w:ascii="Cambria Math" w:hAnsi="Cambria Math" w:eastAsia="Cambria Math"/>
          <w:w w:val="106"/>
          <w:position w:val="-7"/>
          <w:sz w:val="14"/>
          <w:vertAlign w:val="baseline"/>
        </w:rPr>
        <w:t>1</w:t>
      </w:r>
      <w:r>
        <w:rPr>
          <w:rFonts w:ascii="Cambria Math" w:hAnsi="Cambria Math" w:eastAsia="Cambria Math"/>
          <w:position w:val="-7"/>
          <w:sz w:val="14"/>
          <w:vertAlign w:val="baseline"/>
        </w:rPr>
        <w:t> </w:t>
      </w:r>
      <w:r>
        <w:rPr>
          <w:rFonts w:ascii="Cambria Math" w:hAnsi="Cambria Math" w:eastAsia="Cambria Math"/>
          <w:spacing w:val="9"/>
          <w:position w:val="-7"/>
          <w:sz w:val="14"/>
          <w:vertAlign w:val="baseline"/>
        </w:rPr>
        <w:t> </w:t>
      </w:r>
      <w:r>
        <w:rPr>
          <w:rFonts w:ascii="Cambria Math" w:hAnsi="Cambria Math" w:eastAsia="Cambria Math"/>
          <w:spacing w:val="-104"/>
          <w:vertAlign w:val="baseline"/>
        </w:rPr>
        <w:t>𝑦</w:t>
      </w:r>
      <w:r>
        <w:rPr>
          <w:rFonts w:ascii="Cambria Math" w:hAnsi="Cambria Math" w:eastAsia="Cambria Math"/>
          <w:spacing w:val="-2"/>
          <w:vertAlign w:val="baseline"/>
        </w:rPr>
        <w:t>̂</w:t>
      </w:r>
      <w:r>
        <w:rPr>
          <w:rFonts w:ascii="Cambria Math" w:hAnsi="Cambria Math" w:eastAsia="Cambria Math"/>
          <w:spacing w:val="4"/>
          <w:w w:val="119"/>
          <w:vertAlign w:val="subscript"/>
        </w:rPr>
        <w:t>𝑡</w:t>
      </w:r>
      <w:r>
        <w:rPr>
          <w:rFonts w:ascii="Cambria Math" w:hAnsi="Cambria Math" w:eastAsia="Cambria Math"/>
          <w:w w:val="103"/>
          <w:vertAlign w:val="subscript"/>
        </w:rPr>
        <w:t>+</w:t>
      </w:r>
      <w:r>
        <w:rPr>
          <w:rFonts w:ascii="Cambria Math" w:hAnsi="Cambria Math" w:eastAsia="Cambria Math"/>
          <w:spacing w:val="9"/>
          <w:w w:val="111"/>
          <w:vertAlign w:val="subscript"/>
        </w:rPr>
        <w:t>1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4"/>
          <w:vertAlign w:val="baseline"/>
        </w:rPr>
        <w:t> </w:t>
      </w:r>
      <w:r>
        <w:rPr>
          <w:rFonts w:ascii="Cambria Math" w:hAnsi="Cambria Math" w:eastAsia="Cambria Math"/>
          <w:spacing w:val="-48"/>
          <w:vertAlign w:val="baseline"/>
        </w:rPr>
        <w:t>𝑓</w:t>
      </w:r>
      <w:r>
        <w:rPr>
          <w:rFonts w:ascii="Cambria Math" w:hAnsi="Cambria Math" w:eastAsia="Cambria Math"/>
          <w:spacing w:val="-8"/>
          <w:w w:val="120"/>
          <w:vertAlign w:val="subscript"/>
        </w:rPr>
        <w:t>𝑦</w:t>
      </w:r>
      <w:r>
        <w:rPr>
          <w:rFonts w:ascii="Cambria Math" w:hAnsi="Cambria Math" w:eastAsia="Cambria Math"/>
          <w:w w:val="119"/>
          <w:position w:val="-7"/>
          <w:sz w:val="14"/>
          <w:vertAlign w:val="baseline"/>
        </w:rPr>
        <w:t>𝑡</w:t>
      </w:r>
      <w:r>
        <w:rPr>
          <w:rFonts w:ascii="Cambria Math" w:hAnsi="Cambria Math" w:eastAsia="Cambria Math"/>
          <w:spacing w:val="-16"/>
          <w:position w:val="-7"/>
          <w:sz w:val="14"/>
          <w:vertAlign w:val="baseline"/>
        </w:rPr>
        <w:t> </w:t>
      </w:r>
      <w:r>
        <w:rPr>
          <w:rFonts w:ascii="Cambria Math" w:hAnsi="Cambria Math" w:eastAsia="Cambria Math"/>
          <w:spacing w:val="-94"/>
          <w:vertAlign w:val="baseline"/>
        </w:rPr>
        <w:t>𝑦</w:t>
      </w:r>
      <w:r>
        <w:rPr>
          <w:rFonts w:ascii="Cambria Math" w:hAnsi="Cambria Math" w:eastAsia="Cambria Math"/>
          <w:spacing w:val="-50"/>
          <w:vertAlign w:val="baseline"/>
        </w:rPr>
        <w:t>̂</w:t>
      </w:r>
      <w:r>
        <w:rPr>
          <w:rFonts w:ascii="Cambria Math" w:hAnsi="Cambria Math" w:eastAsia="Cambria Math"/>
          <w:spacing w:val="13"/>
          <w:w w:val="119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1"/>
          <w:vertAlign w:val="baseline"/>
        </w:rPr>
        <w:t> </w:t>
      </w:r>
      <w:r>
        <w:rPr>
          <w:rFonts w:ascii="Cambria Math" w:hAnsi="Cambria Math" w:eastAsia="Cambria Math"/>
          <w:spacing w:val="-48"/>
          <w:vertAlign w:val="baseline"/>
        </w:rPr>
        <w:t>𝑓</w:t>
      </w:r>
      <w:r>
        <w:rPr>
          <w:rFonts w:ascii="Cambria Math" w:hAnsi="Cambria Math" w:eastAsia="Cambria Math"/>
          <w:spacing w:val="-8"/>
          <w:w w:val="120"/>
          <w:vertAlign w:val="subscript"/>
        </w:rPr>
        <w:t>𝑦</w:t>
      </w:r>
      <w:r>
        <w:rPr>
          <w:rFonts w:ascii="Cambria Math" w:hAnsi="Cambria Math" w:eastAsia="Cambria Math"/>
          <w:spacing w:val="-1"/>
          <w:w w:val="119"/>
          <w:position w:val="-7"/>
          <w:sz w:val="14"/>
          <w:vertAlign w:val="baseline"/>
        </w:rPr>
        <w:t>𝑡</w:t>
      </w:r>
      <w:r>
        <w:rPr>
          <w:rFonts w:ascii="Cambria Math" w:hAnsi="Cambria Math" w:eastAsia="Cambria Math"/>
          <w:spacing w:val="1"/>
          <w:w w:val="99"/>
          <w:position w:val="-7"/>
          <w:sz w:val="14"/>
          <w:vertAlign w:val="baseline"/>
        </w:rPr>
        <w:t>−</w:t>
      </w:r>
      <w:r>
        <w:rPr>
          <w:rFonts w:ascii="Cambria Math" w:hAnsi="Cambria Math" w:eastAsia="Cambria Math"/>
          <w:w w:val="106"/>
          <w:position w:val="-7"/>
          <w:sz w:val="14"/>
          <w:vertAlign w:val="baseline"/>
        </w:rPr>
        <w:t>1</w:t>
      </w:r>
      <w:r>
        <w:rPr>
          <w:rFonts w:ascii="Cambria Math" w:hAnsi="Cambria Math" w:eastAsia="Cambria Math"/>
          <w:spacing w:val="-13"/>
          <w:position w:val="-7"/>
          <w:sz w:val="14"/>
          <w:vertAlign w:val="baseline"/>
        </w:rPr>
        <w:t> </w:t>
      </w:r>
      <w:r>
        <w:rPr>
          <w:rFonts w:ascii="Cambria Math" w:hAnsi="Cambria Math" w:eastAsia="Cambria Math"/>
          <w:spacing w:val="-103"/>
          <w:vertAlign w:val="baseline"/>
        </w:rPr>
        <w:t>𝑦</w:t>
      </w:r>
      <w:r>
        <w:rPr>
          <w:rFonts w:ascii="Cambria Math" w:hAnsi="Cambria Math" w:eastAsia="Cambria Math"/>
          <w:spacing w:val="-2"/>
          <w:vertAlign w:val="baseline"/>
        </w:rPr>
        <w:t>̂</w:t>
      </w:r>
      <w:r>
        <w:rPr>
          <w:rFonts w:ascii="Cambria Math" w:hAnsi="Cambria Math" w:eastAsia="Cambria Math"/>
          <w:spacing w:val="1"/>
          <w:w w:val="119"/>
          <w:vertAlign w:val="subscript"/>
        </w:rPr>
        <w:t>𝑡</w:t>
      </w:r>
      <w:r>
        <w:rPr>
          <w:rFonts w:ascii="Cambria Math" w:hAnsi="Cambria Math" w:eastAsia="Cambria Math"/>
          <w:w w:val="103"/>
          <w:vertAlign w:val="subscript"/>
        </w:rPr>
        <w:t>−</w:t>
      </w:r>
      <w:r>
        <w:rPr>
          <w:rFonts w:ascii="Cambria Math" w:hAnsi="Cambria Math" w:eastAsia="Cambria Math"/>
          <w:spacing w:val="9"/>
          <w:w w:val="111"/>
          <w:vertAlign w:val="subscript"/>
        </w:rPr>
        <w:t>1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4"/>
          <w:vertAlign w:val="baseline"/>
        </w:rPr>
        <w:t> </w:t>
      </w:r>
      <w:r>
        <w:rPr>
          <w:rFonts w:ascii="Cambria Math" w:hAnsi="Cambria Math" w:eastAsia="Cambria Math"/>
          <w:spacing w:val="-48"/>
          <w:vertAlign w:val="baseline"/>
        </w:rPr>
        <w:t>𝑓</w:t>
      </w:r>
      <w:r>
        <w:rPr>
          <w:rFonts w:ascii="Cambria Math" w:hAnsi="Cambria Math" w:eastAsia="Cambria Math"/>
          <w:spacing w:val="15"/>
          <w:w w:val="116"/>
          <w:vertAlign w:val="subscript"/>
        </w:rPr>
        <w:t>𝑒</w:t>
      </w:r>
      <w:r>
        <w:rPr>
          <w:rFonts w:ascii="Cambria Math" w:hAnsi="Cambria Math" w:eastAsia="Cambria Math"/>
          <w:spacing w:val="-7"/>
          <w:vertAlign w:val="baseline"/>
        </w:rPr>
        <w:t>𝑒</w:t>
      </w:r>
      <w:r>
        <w:rPr>
          <w:rFonts w:ascii="Cambria Math" w:hAnsi="Cambria Math" w:eastAsia="Cambria Math"/>
          <w:spacing w:val="13"/>
          <w:w w:val="119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}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  <w:tab/>
      </w:r>
      <w:r>
        <w:rPr>
          <w:spacing w:val="-4"/>
          <w:vertAlign w:val="baseline"/>
        </w:rPr>
        <w:t>(</w:t>
      </w:r>
      <w:r>
        <w:rPr>
          <w:spacing w:val="-3"/>
          <w:vertAlign w:val="baseline"/>
        </w:rPr>
        <w:t>4.137)</w:t>
      </w:r>
      <w:r>
        <w:rPr>
          <w:vertAlign w:val="baseline"/>
        </w:rPr>
        <w:t> Equation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(4.137)</w:t>
      </w:r>
      <w:r>
        <w:rPr>
          <w:spacing w:val="-1"/>
          <w:vertAlign w:val="baseline"/>
        </w:rPr>
        <w:t> </w:t>
      </w:r>
      <w:r>
        <w:rPr>
          <w:vertAlign w:val="baseline"/>
        </w:rPr>
        <w:t>is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approximated linear model.</w:t>
      </w:r>
    </w:p>
    <w:p>
      <w:pPr>
        <w:spacing w:after="0" w:line="691" w:lineRule="auto"/>
        <w:sectPr>
          <w:pgSz w:w="12240" w:h="15840"/>
          <w:pgMar w:header="0" w:footer="935" w:top="1360" w:bottom="1200" w:left="940" w:right="940"/>
        </w:sectPr>
      </w:pPr>
    </w:p>
    <w:p>
      <w:pPr>
        <w:pStyle w:val="ListParagraph"/>
        <w:numPr>
          <w:ilvl w:val="2"/>
          <w:numId w:val="22"/>
        </w:numPr>
        <w:tabs>
          <w:tab w:pos="1161" w:val="left" w:leader="none"/>
        </w:tabs>
        <w:spacing w:line="240" w:lineRule="auto" w:before="74" w:after="0"/>
        <w:ind w:left="1160" w:right="0" w:hanging="661"/>
        <w:jc w:val="left"/>
        <w:rPr>
          <w:sz w:val="24"/>
        </w:rPr>
      </w:pPr>
      <w:r>
        <w:rPr/>
        <w:pict>
          <v:rect style="position:absolute;margin-left:287.450012pt;margin-top:350.450012pt;width:20.88pt;height:.84pt;mso-position-horizontal-relative:page;mso-position-vertical-relative:page;z-index:-21368832" filled="true" fillcolor="#000000" stroked="false">
            <v:fill type="solid"/>
            <w10:wrap type="none"/>
          </v:rect>
        </w:pict>
      </w:r>
      <w:r>
        <w:rPr/>
        <w:pict>
          <v:rect style="position:absolute;margin-left:415.029999pt;margin-top:350.450012pt;width:15.72pt;height:.84pt;mso-position-horizontal-relative:page;mso-position-vertical-relative:page;z-index:-21368320" filled="true" fillcolor="#000000" stroked="false">
            <v:fill type="solid"/>
            <w10:wrap type="none"/>
          </v:rect>
        </w:pict>
      </w:r>
      <w:r>
        <w:rPr/>
        <w:pict>
          <v:rect style="position:absolute;margin-left:315.170013pt;margin-top:417.290009pt;width:29.064pt;height:.84pt;mso-position-horizontal-relative:page;mso-position-vertical-relative:page;z-index:-21367808" filled="true" fillcolor="#000000" stroked="false">
            <v:fill type="solid"/>
            <w10:wrap type="none"/>
          </v:rect>
        </w:pic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Equations 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estimated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500" w:right="760"/>
      </w:pPr>
      <w:r>
        <w:rPr/>
        <w:t>After</w:t>
      </w:r>
      <w:r>
        <w:rPr>
          <w:spacing w:val="-3"/>
        </w:rPr>
        <w:t> </w:t>
      </w:r>
      <w:r>
        <w:rPr/>
        <w:t>obtaining</w:t>
      </w:r>
      <w:r>
        <w:rPr>
          <w:spacing w:val="-4"/>
        </w:rPr>
        <w:t> </w:t>
      </w:r>
      <w:r>
        <w:rPr/>
        <w:t>the optimisation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 each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economy,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relevant</w:t>
      </w:r>
      <w:r>
        <w:rPr>
          <w:spacing w:val="-1"/>
        </w:rPr>
        <w:t> </w:t>
      </w:r>
      <w:r>
        <w:rPr/>
        <w:t>equations</w:t>
      </w:r>
      <w:r>
        <w:rPr>
          <w:spacing w:val="-1"/>
        </w:rPr>
        <w:t> </w:t>
      </w:r>
      <w:r>
        <w:rPr/>
        <w:t>to</w:t>
      </w:r>
      <w:r>
        <w:rPr>
          <w:spacing w:val="-57"/>
        </w:rPr>
        <w:t> </w:t>
      </w:r>
      <w:r>
        <w:rPr/>
        <w:t>be</w:t>
      </w:r>
      <w:r>
        <w:rPr>
          <w:spacing w:val="-2"/>
        </w:rPr>
        <w:t> </w:t>
      </w:r>
      <w:r>
        <w:rPr/>
        <w:t>estimated are</w:t>
      </w:r>
      <w:r>
        <w:rPr>
          <w:spacing w:val="-1"/>
        </w:rPr>
        <w:t> </w:t>
      </w:r>
      <w:r>
        <w:rPr/>
        <w:t>presented in Tables 4.1 and 4.2.</w:t>
      </w:r>
      <w:r>
        <w:rPr>
          <w:spacing w:val="1"/>
        </w:rPr>
        <w:t> </w:t>
      </w:r>
      <w:r>
        <w:rPr/>
        <w:t>They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as follows:</w:t>
      </w:r>
    </w:p>
    <w:p>
      <w:pPr>
        <w:pStyle w:val="Heading3"/>
        <w:spacing w:before="202" w:after="4"/>
        <w:ind w:left="3021"/>
      </w:pPr>
      <w:r>
        <w:rPr/>
        <w:pict>
          <v:rect style="position:absolute;margin-left:359.950012pt;margin-top:83.9431pt;width:29.04pt;height:.84001pt;mso-position-horizontal-relative:page;mso-position-vertical-relative:paragraph;z-index:-21369344" filled="true" fillcolor="#000000" stroked="false">
            <v:fill type="solid"/>
            <w10:wrap type="none"/>
          </v:rect>
        </w:pict>
      </w:r>
      <w:r>
        <w:rPr/>
        <w:t>Table</w:t>
      </w:r>
      <w:r>
        <w:rPr>
          <w:spacing w:val="-1"/>
        </w:rPr>
        <w:t> </w:t>
      </w:r>
      <w:r>
        <w:rPr/>
        <w:t>4.1:</w:t>
      </w:r>
      <w:r>
        <w:rPr>
          <w:spacing w:val="-3"/>
        </w:rPr>
        <w:t> </w:t>
      </w:r>
      <w:r>
        <w:rPr/>
        <w:t>Log-linear</w:t>
      </w:r>
      <w:r>
        <w:rPr>
          <w:spacing w:val="-2"/>
        </w:rPr>
        <w:t> </w:t>
      </w:r>
      <w:r>
        <w:rPr/>
        <w:t>System</w:t>
      </w:r>
      <w:r>
        <w:rPr>
          <w:spacing w:val="-4"/>
        </w:rPr>
        <w:t> </w:t>
      </w:r>
      <w:r>
        <w:rPr/>
        <w:t>of Equations</w:t>
      </w:r>
    </w:p>
    <w:tbl>
      <w:tblPr>
        <w:tblW w:w="0" w:type="auto"/>
        <w:jc w:val="left"/>
        <w:tblInd w:w="5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0"/>
        <w:gridCol w:w="2363"/>
        <w:gridCol w:w="4914"/>
        <w:gridCol w:w="1296"/>
      </w:tblGrid>
      <w:tr>
        <w:trPr>
          <w:trHeight w:val="551" w:hRule="atLeast"/>
        </w:trPr>
        <w:tc>
          <w:tcPr>
            <w:tcW w:w="99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36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507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491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Equations</w:t>
            </w:r>
          </w:p>
        </w:tc>
        <w:tc>
          <w:tcPr>
            <w:tcW w:w="129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Source</w:t>
            </w:r>
          </w:p>
          <w:p>
            <w:pPr>
              <w:pStyle w:val="TableParagraph"/>
              <w:spacing w:line="264" w:lineRule="exact"/>
              <w:ind w:left="235"/>
              <w:rPr>
                <w:sz w:val="24"/>
              </w:rPr>
            </w:pPr>
            <w:r>
              <w:rPr>
                <w:sz w:val="24"/>
              </w:rPr>
              <w:t>Equation</w:t>
            </w:r>
          </w:p>
        </w:tc>
      </w:tr>
      <w:tr>
        <w:trPr>
          <w:trHeight w:val="2103" w:hRule="atLeast"/>
        </w:trPr>
        <w:tc>
          <w:tcPr>
            <w:tcW w:w="9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2363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507" w:right="459"/>
              <w:rPr>
                <w:b/>
                <w:sz w:val="24"/>
              </w:rPr>
            </w:pPr>
            <w:r>
              <w:rPr>
                <w:b/>
                <w:sz w:val="24"/>
              </w:rPr>
              <w:t>Ricardian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Consumption</w:t>
            </w:r>
          </w:p>
        </w:tc>
        <w:tc>
          <w:tcPr>
            <w:tcW w:w="491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51"/>
              <w:jc w:val="center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position w:val="5"/>
                <w:sz w:val="24"/>
              </w:rPr>
              <w:t>𝒄</w:t>
            </w:r>
            <w:r>
              <w:rPr>
                <w:rFonts w:ascii="Cambria Math" w:hAnsi="Cambria Math" w:eastAsia="Cambria Math"/>
                <w:sz w:val="17"/>
              </w:rPr>
              <w:t>𝑹,𝒕</w:t>
            </w:r>
            <w:r>
              <w:rPr>
                <w:rFonts w:ascii="Cambria Math" w:hAnsi="Cambria Math" w:eastAsia="Cambria Math"/>
                <w:spacing w:val="24"/>
                <w:sz w:val="17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−</w:t>
            </w:r>
            <w:r>
              <w:rPr>
                <w:rFonts w:ascii="Cambria Math" w:hAnsi="Cambria Math" w:eastAsia="Cambria Math"/>
                <w:spacing w:val="1"/>
                <w:position w:val="5"/>
                <w:sz w:val="24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𝒉𝒄</w:t>
            </w:r>
            <w:r>
              <w:rPr>
                <w:rFonts w:ascii="Cambria Math" w:hAnsi="Cambria Math" w:eastAsia="Cambria Math"/>
                <w:sz w:val="17"/>
              </w:rPr>
              <w:t>𝑹,𝒕−𝟏</w:t>
            </w:r>
            <w:r>
              <w:rPr>
                <w:rFonts w:ascii="Cambria Math" w:hAnsi="Cambria Math" w:eastAsia="Cambria Math"/>
                <w:spacing w:val="1"/>
                <w:sz w:val="17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=</w:t>
            </w:r>
            <w:r>
              <w:rPr>
                <w:rFonts w:ascii="Cambria Math" w:hAnsi="Cambria Math" w:eastAsia="Cambria Math"/>
                <w:spacing w:val="17"/>
                <w:position w:val="5"/>
                <w:sz w:val="24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𝑬</w:t>
            </w:r>
            <w:r>
              <w:rPr>
                <w:rFonts w:ascii="Cambria Math" w:hAnsi="Cambria Math" w:eastAsia="Cambria Math"/>
                <w:sz w:val="17"/>
              </w:rPr>
              <w:t>𝒕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(𝒄</w:t>
            </w:r>
            <w:r>
              <w:rPr>
                <w:rFonts w:ascii="Cambria Math" w:hAnsi="Cambria Math" w:eastAsia="Cambria Math"/>
                <w:sz w:val="17"/>
              </w:rPr>
              <w:t>𝑹,𝒕+𝟏</w:t>
            </w:r>
            <w:r>
              <w:rPr>
                <w:rFonts w:ascii="Cambria Math" w:hAnsi="Cambria Math" w:eastAsia="Cambria Math"/>
                <w:spacing w:val="25"/>
                <w:sz w:val="17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−</w:t>
            </w:r>
            <w:r>
              <w:rPr>
                <w:rFonts w:ascii="Cambria Math" w:hAnsi="Cambria Math" w:eastAsia="Cambria Math"/>
                <w:spacing w:val="2"/>
                <w:position w:val="5"/>
                <w:sz w:val="24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𝒉𝒄</w:t>
            </w:r>
            <w:r>
              <w:rPr>
                <w:rFonts w:ascii="Cambria Math" w:hAnsi="Cambria Math" w:eastAsia="Cambria Math"/>
                <w:sz w:val="17"/>
              </w:rPr>
              <w:t>𝑹,𝒕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)</w:t>
            </w:r>
          </w:p>
          <w:p>
            <w:pPr>
              <w:pStyle w:val="TableParagraph"/>
              <w:spacing w:line="207" w:lineRule="exact"/>
              <w:ind w:left="478"/>
              <w:jc w:val="center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𝟏 − 𝒉</w:t>
            </w:r>
          </w:p>
          <w:p>
            <w:pPr>
              <w:pStyle w:val="TableParagraph"/>
              <w:tabs>
                <w:tab w:pos="2476" w:val="left" w:leader="none"/>
              </w:tabs>
              <w:spacing w:line="177" w:lineRule="exact"/>
              <w:ind w:left="1622"/>
              <w:jc w:val="center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−</w:t>
              <w:tab/>
            </w:r>
            <w:r>
              <w:rPr>
                <w:rFonts w:ascii="Cambria Math" w:hAnsi="Cambria Math" w:eastAsia="Cambria Math"/>
                <w:position w:val="1"/>
                <w:sz w:val="24"/>
              </w:rPr>
              <w:t>(</w:t>
            </w:r>
            <w:r>
              <w:rPr>
                <w:rFonts w:ascii="Cambria Math" w:hAnsi="Cambria Math" w:eastAsia="Cambria Math"/>
                <w:sz w:val="24"/>
              </w:rPr>
              <w:t>𝒓</w:t>
            </w:r>
            <w:r>
              <w:rPr>
                <w:rFonts w:ascii="Cambria Math" w:hAnsi="Cambria Math" w:eastAsia="Cambria Math"/>
                <w:spacing w:val="9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−</w:t>
            </w:r>
            <w:r>
              <w:rPr>
                <w:rFonts w:ascii="Cambria Math" w:hAnsi="Cambria Math" w:eastAsia="Cambria Math"/>
                <w:spacing w:val="11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𝑬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𝒕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𝚷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𝒕+𝟏</w:t>
            </w:r>
            <w:r>
              <w:rPr>
                <w:rFonts w:ascii="Cambria Math" w:hAnsi="Cambria Math" w:eastAsia="Cambria Math"/>
                <w:position w:val="1"/>
                <w:sz w:val="24"/>
                <w:vertAlign w:val="baseline"/>
              </w:rPr>
              <w:t>)</w:t>
            </w:r>
          </w:p>
          <w:p>
            <w:pPr>
              <w:pStyle w:val="TableParagraph"/>
              <w:spacing w:line="195" w:lineRule="exact"/>
              <w:ind w:left="475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𝝈</w:t>
            </w:r>
          </w:p>
          <w:p>
            <w:pPr>
              <w:pStyle w:val="TableParagraph"/>
              <w:spacing w:line="250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Where,</w:t>
            </w:r>
          </w:p>
          <w:p>
            <w:pPr>
              <w:pStyle w:val="TableParagraph"/>
              <w:spacing w:before="2"/>
              <w:ind w:left="158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position w:val="5"/>
                <w:sz w:val="24"/>
              </w:rPr>
              <w:t>𝚷</w:t>
            </w:r>
            <w:r>
              <w:rPr>
                <w:rFonts w:ascii="Cambria Math" w:hAnsi="Cambria Math" w:eastAsia="Cambria Math"/>
                <w:sz w:val="17"/>
              </w:rPr>
              <w:t>𝒕+𝟏</w:t>
            </w:r>
            <w:r>
              <w:rPr>
                <w:rFonts w:ascii="Cambria Math" w:hAnsi="Cambria Math" w:eastAsia="Cambria Math"/>
                <w:spacing w:val="36"/>
                <w:sz w:val="17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=</w:t>
            </w:r>
            <w:r>
              <w:rPr>
                <w:rFonts w:ascii="Cambria Math" w:hAnsi="Cambria Math" w:eastAsia="Cambria Math"/>
                <w:spacing w:val="10"/>
                <w:position w:val="5"/>
                <w:sz w:val="24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𝑷</w:t>
            </w:r>
            <w:r>
              <w:rPr>
                <w:rFonts w:ascii="Cambria Math" w:hAnsi="Cambria Math" w:eastAsia="Cambria Math"/>
                <w:sz w:val="17"/>
              </w:rPr>
              <w:t>𝒕+𝟏</w:t>
            </w:r>
            <w:r>
              <w:rPr>
                <w:rFonts w:ascii="Cambria Math" w:hAnsi="Cambria Math" w:eastAsia="Cambria Math"/>
                <w:spacing w:val="23"/>
                <w:sz w:val="17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− 𝑷</w:t>
            </w:r>
            <w:r>
              <w:rPr>
                <w:rFonts w:ascii="Cambria Math" w:hAnsi="Cambria Math" w:eastAsia="Cambria Math"/>
                <w:sz w:val="17"/>
              </w:rPr>
              <w:t>𝒕</w:t>
            </w:r>
          </w:p>
        </w:tc>
        <w:tc>
          <w:tcPr>
            <w:tcW w:w="12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4.29</w:t>
            </w:r>
          </w:p>
        </w:tc>
      </w:tr>
      <w:tr>
        <w:trPr>
          <w:trHeight w:val="1624" w:hRule="atLeast"/>
        </w:trPr>
        <w:tc>
          <w:tcPr>
            <w:tcW w:w="990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2363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507" w:right="257"/>
              <w:rPr>
                <w:b/>
                <w:sz w:val="24"/>
              </w:rPr>
            </w:pPr>
            <w:r>
              <w:rPr>
                <w:b/>
                <w:sz w:val="24"/>
              </w:rPr>
              <w:t>Non-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Ricardian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Consumption</w:t>
            </w:r>
          </w:p>
        </w:tc>
        <w:tc>
          <w:tcPr>
            <w:tcW w:w="4914" w:type="dxa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tabs>
                <w:tab w:pos="3507" w:val="left" w:leader="none"/>
              </w:tabs>
              <w:spacing w:line="227" w:lineRule="exact" w:before="1"/>
              <w:ind w:left="955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𝑾𝑵</w:t>
              <w:tab/>
              <w:t>𝑻𝑷</w:t>
            </w:r>
          </w:p>
          <w:p>
            <w:pPr>
              <w:pStyle w:val="TableParagraph"/>
              <w:spacing w:line="192" w:lineRule="auto"/>
              <w:ind w:left="158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𝒄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𝑵𝑹,𝒕</w:t>
            </w:r>
            <w:r>
              <w:rPr>
                <w:rFonts w:ascii="Cambria Math" w:hAnsi="Cambria Math" w:eastAsia="Cambria Math"/>
                <w:spacing w:val="3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26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position w:val="-15"/>
                <w:sz w:val="24"/>
                <w:vertAlign w:val="baseline"/>
              </w:rPr>
              <w:t>𝑷𝑪</w:t>
            </w:r>
            <w:r>
              <w:rPr>
                <w:rFonts w:ascii="Cambria Math" w:hAnsi="Cambria Math" w:eastAsia="Cambria Math"/>
                <w:spacing w:val="49"/>
                <w:position w:val="-1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(𝒘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𝒕</w:t>
            </w:r>
            <w:r>
              <w:rPr>
                <w:rFonts w:ascii="Cambria Math" w:hAnsi="Cambria Math" w:eastAsia="Cambria Math"/>
                <w:spacing w:val="18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7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𝒑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𝒕</w:t>
            </w:r>
            <w:r>
              <w:rPr>
                <w:rFonts w:ascii="Cambria Math" w:hAnsi="Cambria Math" w:eastAsia="Cambria Math"/>
                <w:spacing w:val="18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7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𝒏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𝑵𝑹,𝒕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)</w:t>
            </w:r>
            <w:r>
              <w:rPr>
                <w:rFonts w:ascii="Cambria Math" w:hAnsi="Cambria Math" w:eastAsia="Cambria Math"/>
                <w:spacing w:val="7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4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position w:val="-15"/>
                <w:sz w:val="24"/>
                <w:vertAlign w:val="baseline"/>
              </w:rPr>
              <w:t>𝑷𝑪</w:t>
            </w:r>
            <w:r>
              <w:rPr>
                <w:rFonts w:ascii="Cambria Math" w:hAnsi="Cambria Math" w:eastAsia="Cambria Math"/>
                <w:spacing w:val="-7"/>
                <w:position w:val="-1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position w:val="1"/>
                <w:sz w:val="24"/>
                <w:vertAlign w:val="baseline"/>
              </w:rPr>
              <w:t>(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𝒕𝒑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𝒕</w:t>
            </w:r>
            <w:r>
              <w:rPr>
                <w:rFonts w:ascii="Cambria Math" w:hAnsi="Cambria Math" w:eastAsia="Cambria Math"/>
                <w:position w:val="1"/>
                <w:sz w:val="24"/>
                <w:vertAlign w:val="baseline"/>
              </w:rPr>
              <w:t>)</w:t>
            </w:r>
          </w:p>
        </w:tc>
        <w:tc>
          <w:tcPr>
            <w:tcW w:w="1296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4.39</w:t>
            </w:r>
          </w:p>
        </w:tc>
      </w:tr>
      <w:tr>
        <w:trPr>
          <w:trHeight w:val="4282" w:hRule="atLeast"/>
        </w:trPr>
        <w:tc>
          <w:tcPr>
            <w:tcW w:w="990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6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0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2363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507" w:right="260"/>
              <w:rPr>
                <w:b/>
                <w:sz w:val="24"/>
              </w:rPr>
            </w:pPr>
            <w:r>
              <w:rPr>
                <w:b/>
                <w:sz w:val="24"/>
              </w:rPr>
              <w:t>Labour Supply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schedule for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Non- Ricardian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Household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30"/>
              <w:ind w:left="507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Transfer to non-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Ricardian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household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Marginal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cost</w:t>
            </w:r>
          </w:p>
        </w:tc>
        <w:tc>
          <w:tcPr>
            <w:tcW w:w="4914" w:type="dxa"/>
          </w:tcPr>
          <w:p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spacing w:line="232" w:lineRule="exact"/>
              <w:ind w:left="737" w:right="2049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𝝈</w:t>
            </w:r>
          </w:p>
          <w:p>
            <w:pPr>
              <w:pStyle w:val="TableParagraph"/>
              <w:spacing w:line="187" w:lineRule="auto"/>
              <w:ind w:left="410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𝒘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𝒕</w:t>
            </w:r>
            <w:r>
              <w:rPr>
                <w:rFonts w:ascii="Cambria Math" w:hAnsi="Cambria Math" w:eastAsia="Cambria Math"/>
                <w:spacing w:val="17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𝒑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𝒕</w:t>
            </w:r>
            <w:r>
              <w:rPr>
                <w:rFonts w:ascii="Cambria Math" w:hAnsi="Cambria Math" w:eastAsia="Cambria Math"/>
                <w:spacing w:val="34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23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position w:val="-15"/>
                <w:sz w:val="24"/>
                <w:vertAlign w:val="baseline"/>
              </w:rPr>
              <w:t>𝟏</w:t>
            </w:r>
            <w:r>
              <w:rPr>
                <w:rFonts w:ascii="Cambria Math" w:hAnsi="Cambria Math" w:eastAsia="Cambria Math"/>
                <w:spacing w:val="7"/>
                <w:position w:val="-1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position w:val="-15"/>
                <w:sz w:val="24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7"/>
                <w:position w:val="-1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position w:val="-15"/>
                <w:sz w:val="24"/>
                <w:vertAlign w:val="baseline"/>
              </w:rPr>
              <w:t>𝒉</w:t>
            </w:r>
            <w:r>
              <w:rPr>
                <w:rFonts w:ascii="Cambria Math" w:hAnsi="Cambria Math" w:eastAsia="Cambria Math"/>
                <w:spacing w:val="-11"/>
                <w:position w:val="-1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(𝒄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𝑵𝑹,𝒕</w:t>
            </w:r>
            <w:r>
              <w:rPr>
                <w:rFonts w:ascii="Cambria Math" w:hAnsi="Cambria Math" w:eastAsia="Cambria Math"/>
                <w:spacing w:val="18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7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𝒉𝒄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𝑵𝑹,𝒕−𝟏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)</w:t>
            </w:r>
            <w:r>
              <w:rPr>
                <w:rFonts w:ascii="Cambria Math" w:hAnsi="Cambria Math" w:eastAsia="Cambria Math"/>
                <w:spacing w:val="7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8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𝝋𝒏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𝒕</w:t>
            </w:r>
          </w:p>
          <w:p>
            <w:pPr>
              <w:pStyle w:val="TableParagraph"/>
              <w:ind w:left="0"/>
              <w:rPr>
                <w:b/>
                <w:sz w:val="40"/>
              </w:rPr>
            </w:pPr>
          </w:p>
          <w:p>
            <w:pPr>
              <w:pStyle w:val="TableParagraph"/>
              <w:ind w:left="0"/>
              <w:rPr>
                <w:b/>
                <w:sz w:val="40"/>
              </w:rPr>
            </w:pPr>
          </w:p>
          <w:p>
            <w:pPr>
              <w:pStyle w:val="TableParagraph"/>
              <w:ind w:left="0"/>
              <w:rPr>
                <w:b/>
                <w:sz w:val="40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line="240" w:lineRule="exact" w:before="1"/>
              <w:ind w:left="158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sz w:val="24"/>
              </w:rPr>
              <w:t>𝑻𝑷</w:t>
            </w:r>
            <w:r>
              <w:rPr>
                <w:rFonts w:ascii="Cambria Math" w:hAnsi="Cambria Math" w:eastAsia="Cambria Math"/>
                <w:position w:val="-4"/>
                <w:sz w:val="17"/>
              </w:rPr>
              <w:t>𝒕</w:t>
            </w:r>
            <w:r>
              <w:rPr>
                <w:rFonts w:ascii="Cambria Math" w:hAnsi="Cambria Math" w:eastAsia="Cambria Math"/>
                <w:spacing w:val="9"/>
                <w:position w:val="-4"/>
                <w:sz w:val="17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=</w:t>
            </w:r>
            <w:r>
              <w:rPr>
                <w:rFonts w:ascii="Cambria Math" w:hAnsi="Cambria Math" w:eastAsia="Cambria Math"/>
                <w:spacing w:val="74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𝝆</w:t>
            </w:r>
            <w:r>
              <w:rPr>
                <w:rFonts w:ascii="Cambria Math" w:hAnsi="Cambria Math" w:eastAsia="Cambria Math"/>
                <w:position w:val="-4"/>
                <w:sz w:val="17"/>
              </w:rPr>
              <w:t>𝑻𝑷</w:t>
            </w:r>
            <w:r>
              <w:rPr>
                <w:rFonts w:ascii="Cambria Math" w:hAnsi="Cambria Math" w:eastAsia="Cambria Math"/>
                <w:sz w:val="24"/>
              </w:rPr>
              <w:t>𝑻𝑷</w:t>
            </w:r>
            <w:r>
              <w:rPr>
                <w:rFonts w:ascii="Cambria Math" w:hAnsi="Cambria Math" w:eastAsia="Cambria Math"/>
                <w:position w:val="-4"/>
                <w:sz w:val="17"/>
              </w:rPr>
              <w:t>𝒕−𝟏</w:t>
            </w:r>
            <w:r>
              <w:rPr>
                <w:rFonts w:ascii="Cambria Math" w:hAnsi="Cambria Math" w:eastAsia="Cambria Math"/>
                <w:spacing w:val="28"/>
                <w:position w:val="-4"/>
                <w:sz w:val="17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+</w:t>
            </w:r>
            <w:r>
              <w:rPr>
                <w:rFonts w:ascii="Cambria Math" w:hAnsi="Cambria Math" w:eastAsia="Cambria Math"/>
                <w:spacing w:val="4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𝗌</w:t>
            </w:r>
            <w:r>
              <w:rPr>
                <w:rFonts w:ascii="Cambria Math" w:hAnsi="Cambria Math" w:eastAsia="Cambria Math"/>
                <w:position w:val="9"/>
                <w:sz w:val="17"/>
              </w:rPr>
              <w:t>𝑻𝑷</w:t>
            </w:r>
          </w:p>
          <w:p>
            <w:pPr>
              <w:pStyle w:val="TableParagraph"/>
              <w:spacing w:line="100" w:lineRule="exact"/>
              <w:ind w:left="737" w:right="910"/>
              <w:jc w:val="center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𝒕</w:t>
            </w:r>
          </w:p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before="103"/>
              <w:ind w:left="158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𝒎𝒄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𝒕</w:t>
            </w:r>
            <w:r>
              <w:rPr>
                <w:rFonts w:ascii="Cambria Math" w:hAnsi="Cambria Math" w:eastAsia="Cambria Math"/>
                <w:spacing w:val="26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14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𝒘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𝒕</w:t>
            </w:r>
            <w:r>
              <w:rPr>
                <w:rFonts w:ascii="Cambria Math" w:hAnsi="Cambria Math" w:eastAsia="Cambria Math"/>
                <w:spacing w:val="12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2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𝒑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𝒕</w:t>
            </w:r>
            <w:r>
              <w:rPr>
                <w:rFonts w:ascii="Cambria Math" w:hAnsi="Cambria Math" w:eastAsia="Cambria Math"/>
                <w:spacing w:val="12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2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𝒂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𝒕</w:t>
            </w:r>
          </w:p>
        </w:tc>
        <w:tc>
          <w:tcPr>
            <w:tcW w:w="1296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4.41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38"/>
              </w:rPr>
            </w:pPr>
          </w:p>
          <w:p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4.40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4.50</w:t>
            </w:r>
          </w:p>
        </w:tc>
      </w:tr>
      <w:tr>
        <w:trPr>
          <w:trHeight w:val="821" w:hRule="atLeast"/>
        </w:trPr>
        <w:tc>
          <w:tcPr>
            <w:tcW w:w="990" w:type="dxa"/>
          </w:tcPr>
          <w:p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2363" w:type="dxa"/>
          </w:tcPr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70" w:lineRule="atLeast"/>
              <w:ind w:left="507" w:right="459"/>
              <w:rPr>
                <w:b/>
                <w:sz w:val="24"/>
              </w:rPr>
            </w:pPr>
            <w:r>
              <w:rPr>
                <w:b/>
                <w:sz w:val="24"/>
              </w:rPr>
              <w:t>Aggregate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Consumption</w:t>
            </w:r>
          </w:p>
        </w:tc>
        <w:tc>
          <w:tcPr>
            <w:tcW w:w="4914" w:type="dxa"/>
          </w:tcPr>
          <w:p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58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w w:val="105"/>
                <w:sz w:val="24"/>
              </w:rPr>
              <w:t>𝒄</w:t>
            </w:r>
            <w:r>
              <w:rPr>
                <w:rFonts w:ascii="Cambria Math" w:hAnsi="Cambria Math" w:eastAsia="Cambria Math"/>
                <w:w w:val="105"/>
                <w:sz w:val="24"/>
                <w:vertAlign w:val="subscript"/>
              </w:rPr>
              <w:t>𝒕</w:t>
            </w:r>
            <w:r>
              <w:rPr>
                <w:rFonts w:ascii="Cambria Math" w:hAnsi="Cambria Math" w:eastAsia="Cambria Math"/>
                <w:spacing w:val="10"/>
                <w:w w:val="10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24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3"/>
                <w:w w:val="10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24"/>
                <w:vertAlign w:val="baseline"/>
              </w:rPr>
              <w:t>𝝍𝒄</w:t>
            </w:r>
            <w:r>
              <w:rPr>
                <w:rFonts w:ascii="Cambria Math" w:hAnsi="Cambria Math" w:eastAsia="Cambria Math"/>
                <w:w w:val="105"/>
                <w:sz w:val="24"/>
                <w:vertAlign w:val="subscript"/>
              </w:rPr>
              <w:t>𝑹,𝒕</w:t>
            </w:r>
            <w:r>
              <w:rPr>
                <w:rFonts w:ascii="Cambria Math" w:hAnsi="Cambria Math" w:eastAsia="Cambria Math"/>
                <w:spacing w:val="-2"/>
                <w:w w:val="10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24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-10"/>
                <w:w w:val="10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24"/>
                <w:vertAlign w:val="baseline"/>
              </w:rPr>
              <w:t>(𝟏</w:t>
            </w:r>
            <w:r>
              <w:rPr>
                <w:rFonts w:ascii="Cambria Math" w:hAnsi="Cambria Math" w:eastAsia="Cambria Math"/>
                <w:spacing w:val="-12"/>
                <w:w w:val="10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24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-10"/>
                <w:w w:val="10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24"/>
                <w:vertAlign w:val="baseline"/>
              </w:rPr>
              <w:t>𝝍)𝒄</w:t>
            </w:r>
            <w:r>
              <w:rPr>
                <w:rFonts w:ascii="Cambria Math" w:hAnsi="Cambria Math" w:eastAsia="Cambria Math"/>
                <w:spacing w:val="8"/>
                <w:w w:val="10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24"/>
                <w:vertAlign w:val="subscript"/>
              </w:rPr>
              <w:t>𝑵𝑹,𝒕</w:t>
            </w:r>
          </w:p>
        </w:tc>
        <w:tc>
          <w:tcPr>
            <w:tcW w:w="1296" w:type="dxa"/>
          </w:tcPr>
          <w:p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4.106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2"/>
        </w:rPr>
      </w:pPr>
      <w:r>
        <w:rPr/>
        <w:pict>
          <v:shape style="position:absolute;margin-left:71.304001pt;margin-top:9.350369pt;width:478.8pt;height:1pt;mso-position-horizontal-relative:page;mso-position-vertical-relative:paragraph;z-index:-15631360;mso-wrap-distance-left:0;mso-wrap-distance-right:0" coordorigin="1426,187" coordsize="9576,20" path="m4849,187l4844,187,4830,187,2835,187,2830,187,2816,187,1426,187,1426,206,2816,206,2830,206,2835,206,4830,206,4844,206,4849,206,4849,187xm9842,187l9837,187,9823,187,4849,187,4849,206,9823,206,9837,206,9842,206,9842,187xm11001,187l9842,187,9842,206,11001,206,11001,187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2"/>
        </w:rPr>
        <w:sectPr>
          <w:pgSz w:w="12240" w:h="15840"/>
          <w:pgMar w:header="0" w:footer="935" w:top="1360" w:bottom="1200" w:left="940" w:right="940"/>
        </w:sectPr>
      </w:pPr>
    </w:p>
    <w:tbl>
      <w:tblPr>
        <w:tblW w:w="0" w:type="auto"/>
        <w:jc w:val="left"/>
        <w:tblInd w:w="5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0"/>
        <w:gridCol w:w="2344"/>
        <w:gridCol w:w="5050"/>
        <w:gridCol w:w="1178"/>
      </w:tblGrid>
      <w:tr>
        <w:trPr>
          <w:trHeight w:val="827" w:hRule="atLeast"/>
        </w:trPr>
        <w:tc>
          <w:tcPr>
            <w:tcW w:w="9562" w:type="dxa"/>
            <w:gridSpan w:val="4"/>
            <w:tcBorders>
              <w:top w:val="single" w:sz="8" w:space="0" w:color="000000"/>
            </w:tcBorders>
          </w:tcPr>
          <w:p>
            <w:pPr>
              <w:pStyle w:val="TableParagraph"/>
              <w:ind w:left="108" w:right="8273"/>
              <w:rPr>
                <w:b/>
                <w:sz w:val="24"/>
              </w:rPr>
            </w:pPr>
            <w:r>
              <w:rPr>
                <w:b/>
                <w:sz w:val="24"/>
              </w:rPr>
              <w:t>Table 4.1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(Continued</w:t>
            </w:r>
          </w:p>
          <w:p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)</w:t>
            </w:r>
          </w:p>
        </w:tc>
      </w:tr>
      <w:tr>
        <w:trPr>
          <w:trHeight w:val="770" w:hRule="atLeast"/>
        </w:trPr>
        <w:tc>
          <w:tcPr>
            <w:tcW w:w="99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344" w:type="dxa"/>
          </w:tcPr>
          <w:p>
            <w:pPr>
              <w:pStyle w:val="TableParagraph"/>
              <w:spacing w:line="268" w:lineRule="exact"/>
              <w:ind w:left="507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5050" w:type="dxa"/>
          </w:tcPr>
          <w:p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Equations</w:t>
            </w:r>
          </w:p>
        </w:tc>
        <w:tc>
          <w:tcPr>
            <w:tcW w:w="1178" w:type="dxa"/>
          </w:tcPr>
          <w:p>
            <w:pPr>
              <w:pStyle w:val="TableParagraph"/>
              <w:ind w:left="118" w:right="173"/>
              <w:rPr>
                <w:sz w:val="24"/>
              </w:rPr>
            </w:pPr>
            <w:r>
              <w:rPr>
                <w:sz w:val="24"/>
              </w:rPr>
              <w:t>Equation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Number</w:t>
            </w:r>
          </w:p>
        </w:tc>
      </w:tr>
      <w:tr>
        <w:trPr>
          <w:trHeight w:val="518" w:hRule="atLeast"/>
        </w:trPr>
        <w:tc>
          <w:tcPr>
            <w:tcW w:w="990" w:type="dxa"/>
          </w:tcPr>
          <w:p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2344" w:type="dxa"/>
            <w:vMerge w:val="restart"/>
          </w:tcPr>
          <w:p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507" w:right="171"/>
              <w:rPr>
                <w:b/>
                <w:sz w:val="24"/>
              </w:rPr>
            </w:pPr>
            <w:r>
              <w:rPr>
                <w:b/>
                <w:sz w:val="24"/>
              </w:rPr>
              <w:t>Domestic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Goods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Market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clearing</w:t>
            </w:r>
          </w:p>
        </w:tc>
        <w:tc>
          <w:tcPr>
            <w:tcW w:w="5050" w:type="dxa"/>
            <w:vMerge w:val="restart"/>
          </w:tcPr>
          <w:p>
            <w:pPr>
              <w:pStyle w:val="TableParagraph"/>
              <w:spacing w:line="271" w:lineRule="exact" w:before="198"/>
              <w:ind w:left="177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𝒚</w:t>
            </w:r>
            <w:r>
              <w:rPr>
                <w:rFonts w:ascii="Cambria Math" w:eastAsia="Cambria Math"/>
                <w:spacing w:val="44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6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𝒄</w:t>
            </w:r>
            <w:r>
              <w:rPr>
                <w:rFonts w:ascii="Cambria Math" w:eastAsia="Cambria Math"/>
                <w:spacing w:val="81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1"/>
                <w:sz w:val="24"/>
              </w:rPr>
              <w:t> </w:t>
            </w:r>
            <w:r>
              <w:rPr>
                <w:rFonts w:ascii="Cambria Math" w:eastAsia="Cambria Math"/>
                <w:position w:val="14"/>
                <w:sz w:val="17"/>
              </w:rPr>
              <w:t>𝑎𝑚</w:t>
            </w:r>
            <w:r>
              <w:rPr>
                <w:rFonts w:ascii="Cambria Math" w:eastAsia="Cambria Math"/>
                <w:spacing w:val="2"/>
                <w:position w:val="14"/>
                <w:sz w:val="17"/>
              </w:rPr>
              <w:t> </w:t>
            </w:r>
            <w:r>
              <w:rPr>
                <w:rFonts w:ascii="Cambria Math" w:eastAsia="Cambria Math"/>
                <w:sz w:val="24"/>
              </w:rPr>
              <w:t>𝒔</w:t>
            </w:r>
            <w:r>
              <w:rPr>
                <w:rFonts w:ascii="Cambria Math" w:eastAsia="Cambria Math"/>
                <w:spacing w:val="85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-1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𝒈</w:t>
            </w:r>
            <w:r>
              <w:rPr>
                <w:rFonts w:ascii="Cambria Math" w:eastAsia="Cambria Math"/>
                <w:spacing w:val="84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1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𝒔</w:t>
            </w:r>
          </w:p>
          <w:p>
            <w:pPr>
              <w:pStyle w:val="TableParagraph"/>
              <w:tabs>
                <w:tab w:pos="513" w:val="left" w:leader="none"/>
                <w:tab w:pos="950" w:val="left" w:leader="none"/>
                <w:tab w:pos="1291" w:val="left" w:leader="none"/>
                <w:tab w:pos="1821" w:val="left" w:leader="none"/>
                <w:tab w:pos="2309" w:val="left" w:leader="none"/>
              </w:tabs>
              <w:spacing w:line="115" w:lineRule="auto"/>
              <w:ind w:left="0" w:right="1884"/>
              <w:jc w:val="center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𝒕</w:t>
              <w:tab/>
              <w:t>𝒕</w:t>
              <w:tab/>
            </w:r>
            <w:r>
              <w:rPr>
                <w:rFonts w:ascii="Cambria Math" w:eastAsia="Cambria Math"/>
                <w:position w:val="-6"/>
                <w:sz w:val="17"/>
              </w:rPr>
              <w:t>𝝈</w:t>
              <w:tab/>
            </w:r>
            <w:r>
              <w:rPr>
                <w:rFonts w:ascii="Cambria Math" w:eastAsia="Cambria Math"/>
                <w:sz w:val="17"/>
              </w:rPr>
              <w:t>𝒕</w:t>
              <w:tab/>
              <w:t>𝒕</w:t>
              <w:tab/>
              <w:t>𝒚,𝒕</w:t>
            </w:r>
          </w:p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71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Where</w:t>
            </w:r>
          </w:p>
          <w:p>
            <w:pPr>
              <w:pStyle w:val="TableParagraph"/>
              <w:spacing w:line="287" w:lineRule="exact"/>
              <w:ind w:left="0" w:right="1890"/>
              <w:jc w:val="center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𝑚</w:t>
            </w:r>
            <w:r>
              <w:rPr>
                <w:rFonts w:ascii="Cambria Math" w:hAnsi="Cambria Math" w:eastAsia="Cambria Math"/>
                <w:spacing w:val="4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=</w:t>
            </w:r>
            <w:r>
              <w:rPr>
                <w:rFonts w:ascii="Cambria Math" w:hAnsi="Cambria Math" w:eastAsia="Cambria Math"/>
                <w:spacing w:val="2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𝝈𝜸</w:t>
            </w:r>
            <w:r>
              <w:rPr>
                <w:rFonts w:ascii="Cambria Math" w:hAnsi="Cambria Math" w:eastAsia="Cambria Math"/>
                <w:spacing w:val="-7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+</w:t>
            </w:r>
            <w:r>
              <w:rPr>
                <w:rFonts w:ascii="Cambria Math" w:hAnsi="Cambria Math" w:eastAsia="Cambria Math"/>
                <w:spacing w:val="-7"/>
                <w:sz w:val="24"/>
              </w:rPr>
              <w:t> </w:t>
            </w:r>
            <w:r>
              <w:rPr>
                <w:rFonts w:ascii="Cambria Math" w:hAnsi="Cambria Math" w:eastAsia="Cambria Math"/>
                <w:position w:val="1"/>
                <w:sz w:val="24"/>
              </w:rPr>
              <w:t>(</w:t>
            </w:r>
            <w:r>
              <w:rPr>
                <w:rFonts w:ascii="Cambria Math" w:hAnsi="Cambria Math" w:eastAsia="Cambria Math"/>
                <w:sz w:val="24"/>
              </w:rPr>
              <w:t>𝟏</w:t>
            </w:r>
            <w:r>
              <w:rPr>
                <w:rFonts w:ascii="Cambria Math" w:hAnsi="Cambria Math" w:eastAsia="Cambria Math"/>
                <w:spacing w:val="-10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−</w:t>
            </w:r>
            <w:r>
              <w:rPr>
                <w:rFonts w:ascii="Cambria Math" w:hAnsi="Cambria Math" w:eastAsia="Cambria Math"/>
                <w:spacing w:val="-7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𝑎</w:t>
            </w:r>
            <w:r>
              <w:rPr>
                <w:rFonts w:ascii="Cambria Math" w:hAnsi="Cambria Math" w:eastAsia="Cambria Math"/>
                <w:position w:val="1"/>
                <w:sz w:val="24"/>
              </w:rPr>
              <w:t>)</w:t>
            </w:r>
            <w:r>
              <w:rPr>
                <w:rFonts w:ascii="Cambria Math" w:hAnsi="Cambria Math" w:eastAsia="Cambria Math"/>
                <w:sz w:val="24"/>
              </w:rPr>
              <w:t>(𝝈</w:t>
            </w:r>
            <w:r>
              <w:rPr>
                <w:rFonts w:ascii="Cambria Math" w:hAnsi="Cambria Math" w:eastAsia="Cambria Math"/>
                <w:spacing w:val="-8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−</w:t>
            </w:r>
            <w:r>
              <w:rPr>
                <w:rFonts w:ascii="Cambria Math" w:hAnsi="Cambria Math" w:eastAsia="Cambria Math"/>
                <w:spacing w:val="-8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𝟏)</w:t>
            </w:r>
          </w:p>
        </w:tc>
        <w:tc>
          <w:tcPr>
            <w:tcW w:w="117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1077" w:hRule="atLeast"/>
        </w:trPr>
        <w:tc>
          <w:tcPr>
            <w:tcW w:w="99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spacing w:line="27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4.114</w:t>
            </w:r>
          </w:p>
        </w:tc>
      </w:tr>
      <w:tr>
        <w:trPr>
          <w:trHeight w:val="1133" w:hRule="atLeast"/>
        </w:trPr>
        <w:tc>
          <w:tcPr>
            <w:tcW w:w="990" w:type="dxa"/>
          </w:tcPr>
          <w:p>
            <w:pPr>
              <w:pStyle w:val="TableParagraph"/>
              <w:spacing w:before="13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2344" w:type="dxa"/>
          </w:tcPr>
          <w:p>
            <w:pPr>
              <w:pStyle w:val="TableParagraph"/>
              <w:spacing w:before="132"/>
              <w:ind w:left="507" w:right="456"/>
              <w:rPr>
                <w:b/>
                <w:sz w:val="24"/>
              </w:rPr>
            </w:pPr>
            <w:r>
              <w:rPr>
                <w:b/>
                <w:sz w:val="24"/>
              </w:rPr>
              <w:t>International</w:t>
            </w:r>
            <w:r>
              <w:rPr>
                <w:b/>
                <w:w w:val="99"/>
                <w:sz w:val="24"/>
              </w:rPr>
              <w:t> </w:t>
            </w:r>
            <w:r>
              <w:rPr>
                <w:b/>
                <w:sz w:val="24"/>
              </w:rPr>
              <w:t>Risk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Sharing</w:t>
            </w:r>
          </w:p>
        </w:tc>
        <w:tc>
          <w:tcPr>
            <w:tcW w:w="5050" w:type="dxa"/>
          </w:tcPr>
          <w:p>
            <w:pPr>
              <w:pStyle w:val="TableParagraph"/>
              <w:spacing w:line="242" w:lineRule="exact" w:before="108"/>
              <w:ind w:left="3127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position w:val="1"/>
                <w:sz w:val="24"/>
              </w:rPr>
              <w:t>(</w:t>
            </w:r>
            <w:r>
              <w:rPr>
                <w:rFonts w:ascii="Cambria Math" w:hAnsi="Cambria Math" w:eastAsia="Cambria Math"/>
                <w:sz w:val="24"/>
              </w:rPr>
              <w:t>𝟏</w:t>
            </w:r>
            <w:r>
              <w:rPr>
                <w:rFonts w:ascii="Cambria Math" w:hAnsi="Cambria Math" w:eastAsia="Cambria Math"/>
                <w:spacing w:val="3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−</w:t>
            </w:r>
            <w:r>
              <w:rPr>
                <w:rFonts w:ascii="Cambria Math" w:hAnsi="Cambria Math" w:eastAsia="Cambria Math"/>
                <w:spacing w:val="5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𝒉</w:t>
            </w:r>
            <w:r>
              <w:rPr>
                <w:rFonts w:ascii="Cambria Math" w:hAnsi="Cambria Math" w:eastAsia="Cambria Math"/>
                <w:position w:val="1"/>
                <w:sz w:val="24"/>
              </w:rPr>
              <w:t>)</w:t>
            </w:r>
            <w:r>
              <w:rPr>
                <w:rFonts w:ascii="Cambria Math" w:hAnsi="Cambria Math" w:eastAsia="Cambria Math"/>
                <w:sz w:val="24"/>
              </w:rPr>
              <w:t>(𝟏</w:t>
            </w:r>
            <w:r>
              <w:rPr>
                <w:rFonts w:ascii="Cambria Math" w:hAnsi="Cambria Math" w:eastAsia="Cambria Math"/>
                <w:spacing w:val="3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−</w:t>
            </w:r>
            <w:r>
              <w:rPr>
                <w:rFonts w:ascii="Cambria Math" w:hAnsi="Cambria Math" w:eastAsia="Cambria Math"/>
                <w:spacing w:val="5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𝑎)</w:t>
            </w:r>
          </w:p>
          <w:p>
            <w:pPr>
              <w:pStyle w:val="TableParagraph"/>
              <w:tabs>
                <w:tab w:pos="4738" w:val="left" w:leader="none"/>
              </w:tabs>
              <w:spacing w:line="175" w:lineRule="exact"/>
              <w:ind w:left="192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𝒄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𝒕</w:t>
            </w:r>
            <w:r>
              <w:rPr>
                <w:rFonts w:ascii="Cambria Math" w:hAnsi="Cambria Math" w:eastAsia="Cambria Math"/>
                <w:spacing w:val="14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56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𝒉𝒄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𝒕−𝟏</w:t>
            </w:r>
            <w:r>
              <w:rPr>
                <w:rFonts w:ascii="Cambria Math" w:hAnsi="Cambria Math" w:eastAsia="Cambria Math"/>
                <w:spacing w:val="2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7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𝒚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∗</w:t>
            </w:r>
            <w:r>
              <w:rPr>
                <w:rFonts w:ascii="Cambria Math" w:hAnsi="Cambria Math" w:eastAsia="Cambria Math"/>
                <w:spacing w:val="14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57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𝒉𝒚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∗</w:t>
            </w:r>
            <w:r>
              <w:rPr>
                <w:rFonts w:ascii="Cambria Math" w:hAnsi="Cambria Math" w:eastAsia="Cambria Math"/>
                <w:spacing w:val="66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position w:val="-5"/>
                <w:sz w:val="17"/>
                <w:vertAlign w:val="baseline"/>
              </w:rPr>
              <w:t>𝟏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+</w:t>
              <w:tab/>
              <w:t>𝒔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𝒕</w:t>
            </w:r>
          </w:p>
          <w:p>
            <w:pPr>
              <w:pStyle w:val="TableParagraph"/>
              <w:tabs>
                <w:tab w:pos="2549" w:val="left" w:leader="none"/>
                <w:tab w:pos="3835" w:val="left" w:leader="none"/>
              </w:tabs>
              <w:spacing w:line="62" w:lineRule="auto"/>
              <w:ind w:left="1822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17"/>
              </w:rPr>
              <w:t>𝒕</w:t>
              <w:tab/>
              <w:t>𝒕−</w:t>
              <w:tab/>
            </w:r>
            <w:r>
              <w:rPr>
                <w:rFonts w:ascii="Cambria Math" w:hAnsi="Cambria Math" w:eastAsia="Cambria Math"/>
                <w:position w:val="-10"/>
                <w:sz w:val="24"/>
              </w:rPr>
              <w:t>𝝈</w:t>
            </w:r>
          </w:p>
        </w:tc>
        <w:tc>
          <w:tcPr>
            <w:tcW w:w="1178" w:type="dxa"/>
          </w:tcPr>
          <w:p>
            <w:pPr>
              <w:pStyle w:val="TableParagraph"/>
              <w:spacing w:before="132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4.79</w:t>
            </w:r>
          </w:p>
        </w:tc>
      </w:tr>
      <w:tr>
        <w:trPr>
          <w:trHeight w:val="2863" w:hRule="atLeast"/>
        </w:trPr>
        <w:tc>
          <w:tcPr>
            <w:tcW w:w="990" w:type="dxa"/>
          </w:tcPr>
          <w:p>
            <w:pPr>
              <w:pStyle w:val="TableParagraph"/>
              <w:spacing w:before="11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6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2344" w:type="dxa"/>
          </w:tcPr>
          <w:p>
            <w:pPr>
              <w:pStyle w:val="TableParagraph"/>
              <w:spacing w:before="11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ind w:left="507" w:right="87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Domestic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Inflation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Inflation</w:t>
            </w:r>
          </w:p>
        </w:tc>
        <w:tc>
          <w:tcPr>
            <w:tcW w:w="5050" w:type="dxa"/>
          </w:tcPr>
          <w:p>
            <w:pPr>
              <w:pStyle w:val="TableParagraph"/>
              <w:spacing w:before="8"/>
              <w:ind w:left="0"/>
              <w:rPr>
                <w:b/>
                <w:sz w:val="34"/>
              </w:rPr>
            </w:pPr>
          </w:p>
          <w:p>
            <w:pPr>
              <w:pStyle w:val="TableParagraph"/>
              <w:spacing w:before="1"/>
              <w:ind w:left="177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spacing w:val="1"/>
                <w:position w:val="5"/>
                <w:sz w:val="24"/>
              </w:rPr>
              <w:t>𝝅</w:t>
            </w:r>
            <w:r>
              <w:rPr>
                <w:rFonts w:ascii="Cambria Math" w:hAnsi="Cambria Math" w:eastAsia="Cambria Math"/>
                <w:spacing w:val="-1"/>
                <w:w w:val="100"/>
                <w:sz w:val="17"/>
              </w:rPr>
              <w:t>𝑫</w:t>
            </w:r>
            <w:r>
              <w:rPr>
                <w:rFonts w:ascii="Cambria Math" w:hAnsi="Cambria Math" w:eastAsia="Cambria Math"/>
                <w:spacing w:val="1"/>
                <w:w w:val="100"/>
                <w:sz w:val="17"/>
              </w:rPr>
              <w:t>,</w:t>
            </w:r>
            <w:r>
              <w:rPr>
                <w:rFonts w:ascii="Cambria Math" w:hAnsi="Cambria Math" w:eastAsia="Cambria Math"/>
                <w:w w:val="100"/>
                <w:sz w:val="17"/>
              </w:rPr>
              <w:t>𝒕</w:t>
            </w:r>
            <w:r>
              <w:rPr>
                <w:rFonts w:ascii="Cambria Math" w:hAnsi="Cambria Math" w:eastAsia="Cambria Math"/>
                <w:sz w:val="17"/>
              </w:rPr>
              <w:t> 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=</w:t>
            </w:r>
            <w:r>
              <w:rPr>
                <w:rFonts w:ascii="Cambria Math" w:hAnsi="Cambria Math" w:eastAsia="Cambria Math"/>
                <w:spacing w:val="12"/>
                <w:position w:val="5"/>
                <w:sz w:val="24"/>
              </w:rPr>
              <w:t> </w:t>
            </w:r>
            <w:r>
              <w:rPr>
                <w:rFonts w:ascii="Cambria Math" w:hAnsi="Cambria Math" w:eastAsia="Cambria Math"/>
                <w:spacing w:val="-1"/>
                <w:w w:val="100"/>
                <w:position w:val="5"/>
                <w:sz w:val="24"/>
              </w:rPr>
              <w:t>𝛽</w:t>
            </w:r>
            <w:r>
              <w:rPr>
                <w:rFonts w:ascii="Cambria Math" w:hAnsi="Cambria Math" w:eastAsia="Cambria Math"/>
                <w:spacing w:val="-1"/>
                <w:position w:val="5"/>
                <w:sz w:val="24"/>
              </w:rPr>
              <w:t>𝐄</w:t>
            </w:r>
            <w:r>
              <w:rPr>
                <w:rFonts w:ascii="Cambria Math" w:hAnsi="Cambria Math" w:eastAsia="Cambria Math"/>
                <w:w w:val="100"/>
                <w:sz w:val="17"/>
              </w:rPr>
              <w:t>𝐭</w:t>
            </w:r>
            <w:r>
              <w:rPr>
                <w:rFonts w:ascii="Cambria Math" w:hAnsi="Cambria Math" w:eastAsia="Cambria Math"/>
                <w:spacing w:val="13"/>
                <w:sz w:val="17"/>
              </w:rPr>
              <w:t> </w:t>
            </w:r>
            <w:r>
              <w:rPr>
                <w:rFonts w:ascii="Cambria Math" w:hAnsi="Cambria Math" w:eastAsia="Cambria Math"/>
                <w:w w:val="101"/>
                <w:position w:val="5"/>
                <w:sz w:val="24"/>
              </w:rPr>
              <w:t>[</w:t>
            </w:r>
            <w:r>
              <w:rPr>
                <w:rFonts w:ascii="Cambria Math" w:hAnsi="Cambria Math" w:eastAsia="Cambria Math"/>
                <w:spacing w:val="-2"/>
                <w:position w:val="5"/>
                <w:sz w:val="24"/>
              </w:rPr>
              <w:t>𝝅</w:t>
            </w:r>
            <w:r>
              <w:rPr>
                <w:rFonts w:ascii="Cambria Math" w:hAnsi="Cambria Math" w:eastAsia="Cambria Math"/>
                <w:spacing w:val="-1"/>
                <w:w w:val="100"/>
                <w:sz w:val="17"/>
              </w:rPr>
              <w:t>𝑫</w:t>
            </w:r>
            <w:r>
              <w:rPr>
                <w:rFonts w:ascii="Cambria Math" w:hAnsi="Cambria Math" w:eastAsia="Cambria Math"/>
                <w:spacing w:val="1"/>
                <w:w w:val="100"/>
                <w:sz w:val="17"/>
              </w:rPr>
              <w:t>,</w:t>
            </w:r>
            <w:r>
              <w:rPr>
                <w:rFonts w:ascii="Cambria Math" w:hAnsi="Cambria Math" w:eastAsia="Cambria Math"/>
                <w:w w:val="100"/>
                <w:sz w:val="17"/>
              </w:rPr>
              <w:t>𝒕</w:t>
            </w:r>
            <w:r>
              <w:rPr>
                <w:rFonts w:ascii="Cambria Math" w:hAnsi="Cambria Math" w:eastAsia="Cambria Math"/>
                <w:spacing w:val="-2"/>
                <w:w w:val="97"/>
                <w:sz w:val="17"/>
              </w:rPr>
              <w:t>+</w:t>
            </w:r>
            <w:r>
              <w:rPr>
                <w:rFonts w:ascii="Cambria Math" w:hAnsi="Cambria Math" w:eastAsia="Cambria Math"/>
                <w:spacing w:val="8"/>
                <w:w w:val="100"/>
                <w:sz w:val="17"/>
              </w:rPr>
              <w:t>𝟏</w:t>
            </w:r>
            <w:r>
              <w:rPr>
                <w:rFonts w:ascii="Cambria Math" w:hAnsi="Cambria Math" w:eastAsia="Cambria Math"/>
                <w:w w:val="101"/>
                <w:position w:val="5"/>
                <w:sz w:val="24"/>
              </w:rPr>
              <w:t>]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 + </w:t>
            </w:r>
            <w:r>
              <w:rPr>
                <w:rFonts w:ascii="Cambria Math" w:hAnsi="Cambria Math" w:eastAsia="Cambria Math"/>
                <w:spacing w:val="9"/>
                <w:position w:val="5"/>
                <w:sz w:val="24"/>
              </w:rPr>
              <w:t>𝐤</w:t>
            </w:r>
            <w:r>
              <w:rPr>
                <w:rFonts w:ascii="Cambria Math" w:hAnsi="Cambria Math" w:eastAsia="Cambria Math"/>
                <w:spacing w:val="8"/>
                <w:w w:val="114"/>
                <w:sz w:val="17"/>
              </w:rPr>
              <w:t>𝑎</w:t>
            </w:r>
            <w:r>
              <w:rPr>
                <w:rFonts w:ascii="Cambria Math" w:hAnsi="Cambria Math" w:eastAsia="Cambria Math"/>
                <w:spacing w:val="-98"/>
                <w:position w:val="5"/>
                <w:sz w:val="24"/>
              </w:rPr>
              <w:t>𝒚</w:t>
            </w:r>
            <w:r>
              <w:rPr>
                <w:rFonts w:ascii="Cambria Math" w:hAnsi="Cambria Math" w:eastAsia="Cambria Math"/>
                <w:spacing w:val="-38"/>
                <w:position w:val="5"/>
                <w:sz w:val="24"/>
              </w:rPr>
              <w:t>̃</w:t>
            </w:r>
            <w:r>
              <w:rPr>
                <w:rFonts w:ascii="Cambria Math" w:hAnsi="Cambria Math" w:eastAsia="Cambria Math"/>
                <w:w w:val="100"/>
                <w:sz w:val="17"/>
              </w:rPr>
              <w:t>𝒕</w:t>
            </w:r>
            <w:r>
              <w:rPr>
                <w:rFonts w:ascii="Cambria Math" w:hAnsi="Cambria Math" w:eastAsia="Cambria Math"/>
                <w:sz w:val="17"/>
              </w:rPr>
              <w:t> </w:t>
            </w:r>
            <w:r>
              <w:rPr>
                <w:rFonts w:ascii="Cambria Math" w:hAnsi="Cambria Math" w:eastAsia="Cambria Math"/>
                <w:spacing w:val="-12"/>
                <w:sz w:val="17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+ </w:t>
            </w:r>
            <w:r>
              <w:rPr>
                <w:rFonts w:ascii="Cambria Math" w:hAnsi="Cambria Math" w:eastAsia="Cambria Math"/>
                <w:spacing w:val="-1"/>
                <w:position w:val="5"/>
                <w:sz w:val="24"/>
              </w:rPr>
              <w:t>𝒔</w:t>
            </w:r>
            <w:r>
              <w:rPr>
                <w:rFonts w:ascii="Cambria Math" w:hAnsi="Cambria Math" w:eastAsia="Cambria Math"/>
                <w:w w:val="100"/>
                <w:sz w:val="17"/>
              </w:rPr>
              <w:t>𝝅𝑫</w:t>
            </w:r>
          </w:p>
          <w:p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Where</w:t>
            </w:r>
          </w:p>
          <w:p>
            <w:pPr>
              <w:pStyle w:val="TableParagraph"/>
              <w:spacing w:line="225" w:lineRule="exact"/>
              <w:ind w:left="2155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position w:val="1"/>
                <w:sz w:val="24"/>
              </w:rPr>
              <w:t>(</w:t>
            </w:r>
            <w:r>
              <w:rPr>
                <w:rFonts w:ascii="Cambria Math" w:hAnsi="Cambria Math" w:eastAsia="Cambria Math"/>
                <w:sz w:val="24"/>
              </w:rPr>
              <w:t>𝟏</w:t>
            </w:r>
            <w:r>
              <w:rPr>
                <w:rFonts w:ascii="Cambria Math" w:hAnsi="Cambria Math" w:eastAsia="Cambria Math"/>
                <w:spacing w:val="1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−</w:t>
            </w:r>
            <w:r>
              <w:rPr>
                <w:rFonts w:ascii="Cambria Math" w:hAnsi="Cambria Math" w:eastAsia="Cambria Math"/>
                <w:spacing w:val="4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𝜃</w:t>
            </w:r>
            <w:r>
              <w:rPr>
                <w:rFonts w:ascii="Cambria Math" w:hAnsi="Cambria Math" w:eastAsia="Cambria Math"/>
                <w:position w:val="1"/>
                <w:sz w:val="24"/>
              </w:rPr>
              <w:t>)</w:t>
            </w:r>
            <w:r>
              <w:rPr>
                <w:rFonts w:ascii="Cambria Math" w:hAnsi="Cambria Math" w:eastAsia="Cambria Math"/>
                <w:sz w:val="24"/>
              </w:rPr>
              <w:t>(𝟏</w:t>
            </w:r>
            <w:r>
              <w:rPr>
                <w:rFonts w:ascii="Cambria Math" w:hAnsi="Cambria Math" w:eastAsia="Cambria Math"/>
                <w:spacing w:val="1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−</w:t>
            </w:r>
            <w:r>
              <w:rPr>
                <w:rFonts w:ascii="Cambria Math" w:hAnsi="Cambria Math" w:eastAsia="Cambria Math"/>
                <w:spacing w:val="4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𝛽𝜃)</w:t>
            </w:r>
          </w:p>
          <w:p>
            <w:pPr>
              <w:pStyle w:val="TableParagraph"/>
              <w:tabs>
                <w:tab w:pos="2928" w:val="left" w:leader="none"/>
                <w:tab w:pos="3886" w:val="left" w:leader="none"/>
              </w:tabs>
              <w:spacing w:line="192" w:lineRule="auto"/>
              <w:ind w:left="177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𝐤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𝑎</w:t>
            </w:r>
            <w:r>
              <w:rPr>
                <w:rFonts w:ascii="Cambria Math" w:eastAsia="Cambria Math"/>
                <w:spacing w:val="19"/>
                <w:w w:val="105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w w:val="105"/>
                <w:sz w:val="24"/>
                <w:vertAlign w:val="baseline"/>
              </w:rPr>
              <w:t>=</w:t>
            </w:r>
            <w:r>
              <w:rPr>
                <w:rFonts w:ascii="Cambria Math" w:eastAsia="Cambria Math"/>
                <w:spacing w:val="8"/>
                <w:w w:val="105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w w:val="105"/>
                <w:sz w:val="24"/>
                <w:vertAlign w:val="baseline"/>
              </w:rPr>
              <w:t>𝜆</w:t>
            </w:r>
            <w:r>
              <w:rPr>
                <w:rFonts w:ascii="Cambria Math" w:eastAsia="Cambria Math"/>
                <w:w w:val="105"/>
                <w:position w:val="1"/>
                <w:sz w:val="24"/>
                <w:vertAlign w:val="baseline"/>
              </w:rPr>
              <w:t>(</w:t>
            </w:r>
            <w:r>
              <w:rPr>
                <w:rFonts w:ascii="Cambria Math" w:eastAsia="Cambria Math"/>
                <w:w w:val="105"/>
                <w:sz w:val="24"/>
                <w:vertAlign w:val="baseline"/>
              </w:rPr>
              <w:t>𝝈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𝑎</w:t>
            </w:r>
            <w:r>
              <w:rPr>
                <w:rFonts w:ascii="Cambria Math" w:eastAsia="Cambria Math"/>
                <w:spacing w:val="3"/>
                <w:w w:val="105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w w:val="105"/>
                <w:sz w:val="24"/>
                <w:vertAlign w:val="baseline"/>
              </w:rPr>
              <w:t>+</w:t>
            </w:r>
            <w:r>
              <w:rPr>
                <w:rFonts w:ascii="Cambria Math" w:eastAsia="Cambria Math"/>
                <w:spacing w:val="-3"/>
                <w:w w:val="105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w w:val="105"/>
                <w:sz w:val="24"/>
                <w:vertAlign w:val="baseline"/>
              </w:rPr>
              <w:t>𝝋</w:t>
            </w:r>
            <w:r>
              <w:rPr>
                <w:rFonts w:ascii="Cambria Math" w:eastAsia="Cambria Math"/>
                <w:w w:val="105"/>
                <w:position w:val="1"/>
                <w:sz w:val="24"/>
                <w:vertAlign w:val="baseline"/>
              </w:rPr>
              <w:t>)</w:t>
            </w:r>
            <w:r>
              <w:rPr>
                <w:rFonts w:ascii="Cambria Math" w:eastAsia="Cambria Math"/>
                <w:spacing w:val="9"/>
                <w:w w:val="105"/>
                <w:position w:val="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w w:val="105"/>
                <w:sz w:val="24"/>
                <w:vertAlign w:val="baseline"/>
              </w:rPr>
              <w:t>=</w:t>
              <w:tab/>
            </w:r>
            <w:r>
              <w:rPr>
                <w:rFonts w:ascii="Cambria Math" w:eastAsia="Cambria Math"/>
                <w:w w:val="105"/>
                <w:position w:val="-15"/>
                <w:sz w:val="24"/>
                <w:vertAlign w:val="baseline"/>
              </w:rPr>
              <w:t>𝜃</w:t>
              <w:tab/>
            </w:r>
            <w:r>
              <w:rPr>
                <w:rFonts w:ascii="Cambria Math" w:eastAsia="Cambria Math"/>
                <w:w w:val="105"/>
                <w:position w:val="1"/>
                <w:sz w:val="24"/>
                <w:vertAlign w:val="baseline"/>
              </w:rPr>
              <w:t>(</w:t>
            </w:r>
            <w:r>
              <w:rPr>
                <w:rFonts w:ascii="Cambria Math" w:eastAsia="Cambria Math"/>
                <w:w w:val="105"/>
                <w:sz w:val="24"/>
                <w:vertAlign w:val="baseline"/>
              </w:rPr>
              <w:t>𝝈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𝑎</w:t>
            </w:r>
            <w:r>
              <w:rPr>
                <w:rFonts w:ascii="Cambria Math" w:eastAsia="Cambria Math"/>
                <w:spacing w:val="1"/>
                <w:w w:val="105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w w:val="105"/>
                <w:sz w:val="24"/>
                <w:vertAlign w:val="baseline"/>
              </w:rPr>
              <w:t>+</w:t>
            </w:r>
            <w:r>
              <w:rPr>
                <w:rFonts w:ascii="Cambria Math" w:eastAsia="Cambria Math"/>
                <w:spacing w:val="-7"/>
                <w:w w:val="105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w w:val="105"/>
                <w:sz w:val="24"/>
                <w:vertAlign w:val="baseline"/>
              </w:rPr>
              <w:t>𝝋</w:t>
            </w:r>
            <w:r>
              <w:rPr>
                <w:rFonts w:ascii="Cambria Math" w:eastAsia="Cambria Math"/>
                <w:w w:val="105"/>
                <w:position w:val="1"/>
                <w:sz w:val="24"/>
                <w:vertAlign w:val="baseline"/>
              </w:rPr>
              <w:t>)</w:t>
            </w:r>
          </w:p>
          <w:p>
            <w:pPr>
              <w:pStyle w:val="TableParagraph"/>
              <w:spacing w:before="8"/>
              <w:ind w:left="0"/>
              <w:rPr>
                <w:b/>
                <w:sz w:val="43"/>
              </w:rPr>
            </w:pPr>
          </w:p>
          <w:p>
            <w:pPr>
              <w:pStyle w:val="TableParagraph"/>
              <w:ind w:left="177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position w:val="5"/>
                <w:sz w:val="24"/>
              </w:rPr>
              <w:t>𝝅</w:t>
            </w:r>
            <w:r>
              <w:rPr>
                <w:rFonts w:ascii="Cambria Math" w:eastAsia="Cambria Math"/>
                <w:sz w:val="17"/>
              </w:rPr>
              <w:t>𝒕</w:t>
            </w:r>
            <w:r>
              <w:rPr>
                <w:rFonts w:ascii="Cambria Math" w:eastAsia="Cambria Math"/>
                <w:spacing w:val="2"/>
                <w:sz w:val="17"/>
              </w:rPr>
              <w:t> </w:t>
            </w:r>
            <w:r>
              <w:rPr>
                <w:rFonts w:ascii="Cambria Math" w:eastAsia="Cambria Math"/>
                <w:position w:val="5"/>
                <w:sz w:val="24"/>
              </w:rPr>
              <w:t>=</w:t>
            </w:r>
            <w:r>
              <w:rPr>
                <w:rFonts w:ascii="Cambria Math" w:eastAsia="Cambria Math"/>
                <w:spacing w:val="15"/>
                <w:position w:val="5"/>
                <w:sz w:val="24"/>
              </w:rPr>
              <w:t> </w:t>
            </w:r>
            <w:r>
              <w:rPr>
                <w:rFonts w:ascii="Cambria Math" w:eastAsia="Cambria Math"/>
                <w:position w:val="5"/>
                <w:sz w:val="24"/>
              </w:rPr>
              <w:t>𝝅</w:t>
            </w:r>
            <w:r>
              <w:rPr>
                <w:rFonts w:ascii="Cambria Math" w:eastAsia="Cambria Math"/>
                <w:sz w:val="17"/>
              </w:rPr>
              <w:t>𝑫,𝒕</w:t>
            </w:r>
            <w:r>
              <w:rPr>
                <w:rFonts w:ascii="Cambria Math" w:eastAsia="Cambria Math"/>
                <w:spacing w:val="24"/>
                <w:sz w:val="17"/>
              </w:rPr>
              <w:t> </w:t>
            </w:r>
            <w:r>
              <w:rPr>
                <w:rFonts w:ascii="Cambria Math" w:eastAsia="Cambria Math"/>
                <w:position w:val="5"/>
                <w:sz w:val="24"/>
              </w:rPr>
              <w:t>+ 𝝅</w:t>
            </w:r>
            <w:r>
              <w:rPr>
                <w:rFonts w:ascii="Cambria Math" w:eastAsia="Cambria Math"/>
                <w:sz w:val="17"/>
              </w:rPr>
              <w:t>𝑭,𝒕</w:t>
            </w:r>
          </w:p>
        </w:tc>
        <w:tc>
          <w:tcPr>
            <w:tcW w:w="1178" w:type="dxa"/>
          </w:tcPr>
          <w:p>
            <w:pPr>
              <w:pStyle w:val="TableParagraph"/>
              <w:spacing w:before="11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4.134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>
            <w:pPr>
              <w:pStyle w:val="TableParagraph"/>
              <w:spacing w:line="256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4.108</w:t>
            </w:r>
          </w:p>
        </w:tc>
      </w:tr>
    </w:tbl>
    <w:p>
      <w:pPr>
        <w:pStyle w:val="BodyText"/>
        <w:rPr>
          <w:b/>
          <w:sz w:val="20"/>
        </w:rPr>
      </w:pPr>
      <w:r>
        <w:rPr/>
        <w:pict>
          <v:rect style="position:absolute;margin-left:298.850006pt;margin-top:174.020004pt;width:12.48pt;height:.84pt;mso-position-horizontal-relative:page;mso-position-vertical-relative:page;z-index:-21366784" filled="true" fillcolor="#000000" stroked="false">
            <v:fill type="solid"/>
            <w10:wrap type="none"/>
          </v:rect>
        </w:pict>
      </w:r>
      <w:r>
        <w:rPr/>
        <w:pict>
          <v:rect style="position:absolute;margin-left:395.109985pt;margin-top:255.290024pt;width:78.504pt;height:.83998pt;mso-position-horizontal-relative:page;mso-position-vertical-relative:page;z-index:-21366272" filled="true" fillcolor="#000000" stroked="false">
            <v:fill type="solid"/>
            <w10:wrap type="none"/>
          </v:rect>
        </w:pict>
      </w:r>
      <w:r>
        <w:rPr/>
        <w:pict>
          <v:rect style="position:absolute;margin-left:346.51001pt;margin-top:368.209991pt;width:84.48pt;height:.84pt;mso-position-horizontal-relative:page;mso-position-vertical-relative:page;z-index:-21365760" filled="true" fillcolor="#000000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3"/>
        </w:rPr>
      </w:pPr>
      <w:r>
        <w:rPr/>
        <w:pict>
          <v:shape style="position:absolute;margin-left:71.304001pt;margin-top:9.475341pt;width:478.8pt;height:1pt;mso-position-horizontal-relative:page;mso-position-vertical-relative:paragraph;z-index:-15628800;mso-wrap-distance-left:0;mso-wrap-distance-right:0" coordorigin="1426,190" coordsize="9576,20" path="m4849,190l4844,190,4830,190,2835,190,2830,190,2816,190,1426,190,1426,209,2816,209,2830,209,2835,209,4830,209,4844,209,4849,209,4849,190xm9842,190l9837,190,9823,190,4849,190,4849,209,9823,209,9837,209,9842,209,9842,190xm11001,190l9842,190,9842,209,11001,209,11001,190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3"/>
        </w:rPr>
        <w:sectPr>
          <w:pgSz w:w="12240" w:h="15840"/>
          <w:pgMar w:header="0" w:footer="935" w:top="1440" w:bottom="1120" w:left="940" w:right="940"/>
        </w:sectPr>
      </w:pPr>
    </w:p>
    <w:p>
      <w:pPr>
        <w:spacing w:before="76" w:after="4"/>
        <w:ind w:left="1335" w:right="1334" w:firstLine="0"/>
        <w:jc w:val="center"/>
        <w:rPr>
          <w:b/>
          <w:sz w:val="24"/>
        </w:rPr>
      </w:pPr>
      <w:r>
        <w:rPr/>
        <w:pict>
          <v:rect style="position:absolute;margin-left:244.970001pt;margin-top:347.809998pt;width:7.2pt;height:.84pt;mso-position-horizontal-relative:page;mso-position-vertical-relative:page;z-index:-21365248" filled="true" fillcolor="#000000" stroked="false">
            <v:fill type="solid"/>
            <w10:wrap type="none"/>
          </v:rect>
        </w:pict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Log-linear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System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 Equations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(continued)</w:t>
      </w:r>
    </w:p>
    <w:tbl>
      <w:tblPr>
        <w:tblW w:w="0" w:type="auto"/>
        <w:jc w:val="left"/>
        <w:tblInd w:w="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6"/>
        <w:gridCol w:w="2105"/>
        <w:gridCol w:w="5648"/>
        <w:gridCol w:w="1188"/>
      </w:tblGrid>
      <w:tr>
        <w:trPr>
          <w:trHeight w:val="551" w:hRule="atLeast"/>
        </w:trPr>
        <w:tc>
          <w:tcPr>
            <w:tcW w:w="6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10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37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56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78"/>
              <w:rPr>
                <w:sz w:val="24"/>
              </w:rPr>
            </w:pPr>
            <w:r>
              <w:rPr>
                <w:sz w:val="24"/>
              </w:rPr>
              <w:t>Equations</w:t>
            </w:r>
          </w:p>
        </w:tc>
        <w:tc>
          <w:tcPr>
            <w:tcW w:w="11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30"/>
              <w:rPr>
                <w:sz w:val="24"/>
              </w:rPr>
            </w:pPr>
            <w:r>
              <w:rPr>
                <w:sz w:val="24"/>
              </w:rPr>
              <w:t>Equation</w:t>
            </w:r>
          </w:p>
          <w:p>
            <w:pPr>
              <w:pStyle w:val="TableParagraph"/>
              <w:spacing w:line="264" w:lineRule="exact"/>
              <w:ind w:left="130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</w:tr>
      <w:tr>
        <w:trPr>
          <w:trHeight w:val="1564" w:hRule="atLeast"/>
        </w:trPr>
        <w:tc>
          <w:tcPr>
            <w:tcW w:w="6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21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Terms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Trade</w:t>
            </w:r>
          </w:p>
        </w:tc>
        <w:tc>
          <w:tcPr>
            <w:tcW w:w="56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308" w:lineRule="exact"/>
              <w:ind w:left="178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position w:val="5"/>
                <w:sz w:val="24"/>
              </w:rPr>
              <w:t>𝐬</w:t>
            </w:r>
            <w:r>
              <w:rPr>
                <w:rFonts w:ascii="Cambria Math" w:hAnsi="Cambria Math" w:eastAsia="Cambria Math"/>
                <w:sz w:val="17"/>
              </w:rPr>
              <w:t>𝐭</w:t>
            </w:r>
            <w:r>
              <w:rPr>
                <w:rFonts w:ascii="Cambria Math" w:hAnsi="Cambria Math" w:eastAsia="Cambria Math"/>
                <w:spacing w:val="4"/>
                <w:sz w:val="17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=</w:t>
            </w:r>
            <w:r>
              <w:rPr>
                <w:rFonts w:ascii="Cambria Math" w:hAnsi="Cambria Math" w:eastAsia="Cambria Math"/>
                <w:spacing w:val="16"/>
                <w:position w:val="5"/>
                <w:sz w:val="24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𝐩</w:t>
            </w:r>
            <w:r>
              <w:rPr>
                <w:rFonts w:ascii="Cambria Math" w:hAnsi="Cambria Math" w:eastAsia="Cambria Math"/>
                <w:sz w:val="17"/>
              </w:rPr>
              <w:t>𝐃,𝐭</w:t>
            </w:r>
            <w:r>
              <w:rPr>
                <w:rFonts w:ascii="Cambria Math" w:hAnsi="Cambria Math" w:eastAsia="Cambria Math"/>
                <w:spacing w:val="25"/>
                <w:sz w:val="17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−</w:t>
            </w:r>
            <w:r>
              <w:rPr>
                <w:rFonts w:ascii="Cambria Math" w:hAnsi="Cambria Math" w:eastAsia="Cambria Math"/>
                <w:spacing w:val="1"/>
                <w:position w:val="5"/>
                <w:sz w:val="24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𝐩</w:t>
            </w:r>
            <w:r>
              <w:rPr>
                <w:rFonts w:ascii="Cambria Math" w:hAnsi="Cambria Math" w:eastAsia="Cambria Math"/>
                <w:sz w:val="17"/>
              </w:rPr>
              <w:t>𝐅,𝐭</w:t>
            </w:r>
            <w:r>
              <w:rPr>
                <w:rFonts w:ascii="Cambria Math" w:hAnsi="Cambria Math" w:eastAsia="Cambria Math"/>
                <w:spacing w:val="26"/>
                <w:sz w:val="17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−</w:t>
            </w:r>
            <w:r>
              <w:rPr>
                <w:rFonts w:ascii="Cambria Math" w:hAnsi="Cambria Math" w:eastAsia="Cambria Math"/>
                <w:spacing w:val="1"/>
                <w:position w:val="5"/>
                <w:sz w:val="24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𝜀</w:t>
            </w:r>
            <w:r>
              <w:rPr>
                <w:rFonts w:ascii="Cambria Math" w:hAnsi="Cambria Math" w:eastAsia="Cambria Math"/>
                <w:sz w:val="17"/>
              </w:rPr>
              <w:t>𝐭</w:t>
            </w:r>
          </w:p>
          <w:p>
            <w:pPr>
              <w:pStyle w:val="TableParagraph"/>
              <w:spacing w:line="268" w:lineRule="exact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Lag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term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one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period</w:t>
            </w:r>
          </w:p>
          <w:p>
            <w:pPr>
              <w:pStyle w:val="TableParagraph"/>
              <w:spacing w:line="296" w:lineRule="exact"/>
              <w:ind w:left="178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position w:val="5"/>
                <w:sz w:val="24"/>
              </w:rPr>
              <w:t>𝐬</w:t>
            </w:r>
            <w:r>
              <w:rPr>
                <w:rFonts w:ascii="Cambria Math" w:hAnsi="Cambria Math" w:eastAsia="Cambria Math"/>
                <w:sz w:val="17"/>
              </w:rPr>
              <w:t>𝐭</w:t>
            </w:r>
            <w:r>
              <w:rPr>
                <w:rFonts w:ascii="Cambria Math" w:hAnsi="Cambria Math" w:eastAsia="Cambria Math"/>
                <w:spacing w:val="27"/>
                <w:sz w:val="17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−</w:t>
            </w:r>
            <w:r>
              <w:rPr>
                <w:rFonts w:ascii="Cambria Math" w:hAnsi="Cambria Math" w:eastAsia="Cambria Math"/>
                <w:spacing w:val="1"/>
                <w:position w:val="5"/>
                <w:sz w:val="24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𝐬</w:t>
            </w:r>
            <w:r>
              <w:rPr>
                <w:rFonts w:ascii="Cambria Math" w:hAnsi="Cambria Math" w:eastAsia="Cambria Math"/>
                <w:sz w:val="17"/>
              </w:rPr>
              <w:t>𝐭−𝟏</w:t>
            </w:r>
            <w:r>
              <w:rPr>
                <w:rFonts w:ascii="Cambria Math" w:hAnsi="Cambria Math" w:eastAsia="Cambria Math"/>
                <w:spacing w:val="1"/>
                <w:sz w:val="17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=</w:t>
            </w:r>
            <w:r>
              <w:rPr>
                <w:rFonts w:ascii="Cambria Math" w:hAnsi="Cambria Math" w:eastAsia="Cambria Math"/>
                <w:spacing w:val="12"/>
                <w:position w:val="5"/>
                <w:sz w:val="24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𝐩</w:t>
            </w:r>
            <w:r>
              <w:rPr>
                <w:rFonts w:ascii="Cambria Math" w:hAnsi="Cambria Math" w:eastAsia="Cambria Math"/>
                <w:sz w:val="17"/>
              </w:rPr>
              <w:t>𝐃,𝐭</w:t>
            </w:r>
            <w:r>
              <w:rPr>
                <w:rFonts w:ascii="Cambria Math" w:hAnsi="Cambria Math" w:eastAsia="Cambria Math"/>
                <w:spacing w:val="25"/>
                <w:sz w:val="17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−</w:t>
            </w:r>
            <w:r>
              <w:rPr>
                <w:rFonts w:ascii="Cambria Math" w:hAnsi="Cambria Math" w:eastAsia="Cambria Math"/>
                <w:spacing w:val="1"/>
                <w:position w:val="5"/>
                <w:sz w:val="24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𝐩</w:t>
            </w:r>
            <w:r>
              <w:rPr>
                <w:rFonts w:ascii="Cambria Math" w:hAnsi="Cambria Math" w:eastAsia="Cambria Math"/>
                <w:sz w:val="17"/>
              </w:rPr>
              <w:t>𝐃,𝐭−𝟏</w:t>
            </w:r>
            <w:r>
              <w:rPr>
                <w:rFonts w:ascii="Cambria Math" w:hAnsi="Cambria Math" w:eastAsia="Cambria Math"/>
                <w:spacing w:val="23"/>
                <w:sz w:val="17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−</w:t>
            </w:r>
            <w:r>
              <w:rPr>
                <w:rFonts w:ascii="Cambria Math" w:hAnsi="Cambria Math" w:eastAsia="Cambria Math"/>
                <w:spacing w:val="1"/>
                <w:position w:val="5"/>
                <w:sz w:val="24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𝐩</w:t>
            </w:r>
            <w:r>
              <w:rPr>
                <w:rFonts w:ascii="Cambria Math" w:hAnsi="Cambria Math" w:eastAsia="Cambria Math"/>
                <w:sz w:val="17"/>
              </w:rPr>
              <w:t>𝐅,𝐭</w:t>
            </w:r>
            <w:r>
              <w:rPr>
                <w:rFonts w:ascii="Cambria Math" w:hAnsi="Cambria Math" w:eastAsia="Cambria Math"/>
                <w:spacing w:val="25"/>
                <w:sz w:val="17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− 𝐩</w:t>
            </w:r>
            <w:r>
              <w:rPr>
                <w:rFonts w:ascii="Cambria Math" w:hAnsi="Cambria Math" w:eastAsia="Cambria Math"/>
                <w:sz w:val="17"/>
              </w:rPr>
              <w:t>𝐅,𝐭−𝟏</w:t>
            </w:r>
            <w:r>
              <w:rPr>
                <w:rFonts w:ascii="Cambria Math" w:hAnsi="Cambria Math" w:eastAsia="Cambria Math"/>
                <w:spacing w:val="24"/>
                <w:sz w:val="17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− 𝜀</w:t>
            </w:r>
            <w:r>
              <w:rPr>
                <w:rFonts w:ascii="Cambria Math" w:hAnsi="Cambria Math" w:eastAsia="Cambria Math"/>
                <w:sz w:val="17"/>
              </w:rPr>
              <w:t>𝐭</w:t>
            </w:r>
            <w:r>
              <w:rPr>
                <w:rFonts w:ascii="Cambria Math" w:hAnsi="Cambria Math" w:eastAsia="Cambria Math"/>
                <w:spacing w:val="25"/>
                <w:sz w:val="17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−</w:t>
            </w:r>
            <w:r>
              <w:rPr>
                <w:rFonts w:ascii="Cambria Math" w:hAnsi="Cambria Math" w:eastAsia="Cambria Math"/>
                <w:spacing w:val="2"/>
                <w:position w:val="5"/>
                <w:sz w:val="24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𝜀</w:t>
            </w:r>
            <w:r>
              <w:rPr>
                <w:rFonts w:ascii="Cambria Math" w:hAnsi="Cambria Math" w:eastAsia="Cambria Math"/>
                <w:sz w:val="17"/>
              </w:rPr>
              <w:t>𝐭−𝟏</w:t>
            </w:r>
          </w:p>
          <w:p>
            <w:pPr>
              <w:pStyle w:val="TableParagraph"/>
              <w:spacing w:line="320" w:lineRule="exact"/>
              <w:ind w:left="178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position w:val="5"/>
                <w:sz w:val="24"/>
              </w:rPr>
              <w:t>𝐬</w:t>
            </w:r>
            <w:r>
              <w:rPr>
                <w:rFonts w:ascii="Cambria Math" w:hAnsi="Cambria Math" w:eastAsia="Cambria Math"/>
                <w:sz w:val="17"/>
              </w:rPr>
              <w:t>𝐭</w:t>
            </w:r>
            <w:r>
              <w:rPr>
                <w:rFonts w:ascii="Cambria Math" w:hAnsi="Cambria Math" w:eastAsia="Cambria Math"/>
                <w:spacing w:val="7"/>
                <w:sz w:val="17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=</w:t>
            </w:r>
            <w:r>
              <w:rPr>
                <w:rFonts w:ascii="Cambria Math" w:hAnsi="Cambria Math" w:eastAsia="Cambria Math"/>
                <w:spacing w:val="18"/>
                <w:position w:val="5"/>
                <w:sz w:val="24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𝐬</w:t>
            </w:r>
            <w:r>
              <w:rPr>
                <w:rFonts w:ascii="Cambria Math" w:hAnsi="Cambria Math" w:eastAsia="Cambria Math"/>
                <w:sz w:val="17"/>
              </w:rPr>
              <w:t>𝐭−𝟏</w:t>
            </w:r>
            <w:r>
              <w:rPr>
                <w:rFonts w:ascii="Cambria Math" w:hAnsi="Cambria Math" w:eastAsia="Cambria Math"/>
                <w:spacing w:val="26"/>
                <w:sz w:val="17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+</w:t>
            </w:r>
            <w:r>
              <w:rPr>
                <w:rFonts w:ascii="Cambria Math" w:hAnsi="Cambria Math" w:eastAsia="Cambria Math"/>
                <w:spacing w:val="2"/>
                <w:position w:val="5"/>
                <w:sz w:val="24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𝚷</w:t>
            </w:r>
            <w:r>
              <w:rPr>
                <w:rFonts w:ascii="Cambria Math" w:hAnsi="Cambria Math" w:eastAsia="Cambria Math"/>
                <w:sz w:val="17"/>
              </w:rPr>
              <w:t>𝐃,𝐭</w:t>
            </w:r>
            <w:r>
              <w:rPr>
                <w:rFonts w:ascii="Cambria Math" w:hAnsi="Cambria Math" w:eastAsia="Cambria Math"/>
                <w:spacing w:val="28"/>
                <w:sz w:val="17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−</w:t>
            </w:r>
            <w:r>
              <w:rPr>
                <w:rFonts w:ascii="Cambria Math" w:hAnsi="Cambria Math" w:eastAsia="Cambria Math"/>
                <w:spacing w:val="2"/>
                <w:position w:val="5"/>
                <w:sz w:val="24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𝚷</w:t>
            </w:r>
            <w:r>
              <w:rPr>
                <w:rFonts w:ascii="Cambria Math" w:hAnsi="Cambria Math" w:eastAsia="Cambria Math"/>
                <w:position w:val="14"/>
                <w:sz w:val="17"/>
              </w:rPr>
              <w:t>∗</w:t>
            </w:r>
            <w:r>
              <w:rPr>
                <w:rFonts w:ascii="Cambria Math" w:hAnsi="Cambria Math" w:eastAsia="Cambria Math"/>
                <w:sz w:val="17"/>
              </w:rPr>
              <w:t>𝐅,𝐭</w:t>
            </w:r>
            <w:r>
              <w:rPr>
                <w:rFonts w:ascii="Cambria Math" w:hAnsi="Cambria Math" w:eastAsia="Cambria Math"/>
                <w:spacing w:val="28"/>
                <w:sz w:val="17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+ 𝜀</w:t>
            </w:r>
            <w:r>
              <w:rPr>
                <w:rFonts w:ascii="Cambria Math" w:hAnsi="Cambria Math" w:eastAsia="Cambria Math"/>
                <w:sz w:val="17"/>
              </w:rPr>
              <w:t>𝐭𝐨𝐭,𝐭</w:t>
            </w:r>
          </w:p>
        </w:tc>
        <w:tc>
          <w:tcPr>
            <w:tcW w:w="11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4.64</w:t>
            </w:r>
          </w:p>
        </w:tc>
      </w:tr>
      <w:tr>
        <w:trPr>
          <w:trHeight w:val="783" w:hRule="atLeast"/>
        </w:trPr>
        <w:tc>
          <w:tcPr>
            <w:tcW w:w="626" w:type="dxa"/>
          </w:tcPr>
          <w:p>
            <w:pPr>
              <w:pStyle w:val="TableParagraph"/>
              <w:spacing w:before="89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2105" w:type="dxa"/>
          </w:tcPr>
          <w:p>
            <w:pPr>
              <w:pStyle w:val="TableParagraph"/>
              <w:spacing w:before="89"/>
              <w:ind w:left="137" w:right="463"/>
              <w:rPr>
                <w:b/>
                <w:sz w:val="24"/>
              </w:rPr>
            </w:pPr>
            <w:r>
              <w:rPr>
                <w:b/>
                <w:sz w:val="24"/>
              </w:rPr>
              <w:t>Uncovered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Interest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Parity</w:t>
            </w:r>
          </w:p>
        </w:tc>
        <w:tc>
          <w:tcPr>
            <w:tcW w:w="5648" w:type="dxa"/>
          </w:tcPr>
          <w:p>
            <w:pPr>
              <w:pStyle w:val="TableParagraph"/>
              <w:spacing w:line="199" w:lineRule="exact" w:before="93"/>
              <w:ind w:left="178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𝒓</w:t>
            </w:r>
            <w:r>
              <w:rPr>
                <w:rFonts w:ascii="Cambria Math" w:hAnsi="Cambria Math" w:eastAsia="Cambria Math"/>
                <w:spacing w:val="5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−</w:t>
            </w:r>
            <w:r>
              <w:rPr>
                <w:rFonts w:ascii="Cambria Math" w:hAnsi="Cambria Math" w:eastAsia="Cambria Math"/>
                <w:spacing w:val="6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𝒓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∗</w:t>
            </w:r>
            <w:r>
              <w:rPr>
                <w:rFonts w:ascii="Cambria Math" w:hAnsi="Cambria Math" w:eastAsia="Cambria Math"/>
                <w:spacing w:val="3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19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𝑬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𝒕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∆𝒆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𝒕+𝟏</w:t>
            </w:r>
          </w:p>
          <w:p>
            <w:pPr>
              <w:pStyle w:val="TableParagraph"/>
              <w:spacing w:line="117" w:lineRule="exact"/>
              <w:ind w:left="723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𝒕</w:t>
            </w:r>
          </w:p>
        </w:tc>
        <w:tc>
          <w:tcPr>
            <w:tcW w:w="1188" w:type="dxa"/>
          </w:tcPr>
          <w:p>
            <w:pPr>
              <w:pStyle w:val="TableParagraph"/>
              <w:spacing w:before="89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4.82</w:t>
            </w:r>
          </w:p>
        </w:tc>
      </w:tr>
      <w:tr>
        <w:trPr>
          <w:trHeight w:val="1102" w:hRule="atLeast"/>
        </w:trPr>
        <w:tc>
          <w:tcPr>
            <w:tcW w:w="626" w:type="dxa"/>
          </w:tcPr>
          <w:p>
            <w:pPr>
              <w:pStyle w:val="TableParagraph"/>
              <w:spacing w:before="13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</w:p>
        </w:tc>
        <w:tc>
          <w:tcPr>
            <w:tcW w:w="2105" w:type="dxa"/>
          </w:tcPr>
          <w:p>
            <w:pPr>
              <w:pStyle w:val="TableParagraph"/>
              <w:spacing w:before="134"/>
              <w:ind w:left="137" w:right="173"/>
              <w:rPr>
                <w:b/>
                <w:sz w:val="24"/>
              </w:rPr>
            </w:pPr>
            <w:r>
              <w:rPr>
                <w:b/>
                <w:sz w:val="24"/>
              </w:rPr>
              <w:t>Law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One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Price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Gap</w:t>
            </w:r>
          </w:p>
        </w:tc>
        <w:tc>
          <w:tcPr>
            <w:tcW w:w="5648" w:type="dxa"/>
          </w:tcPr>
          <w:p>
            <w:pPr>
              <w:pStyle w:val="TableParagraph"/>
              <w:spacing w:line="240" w:lineRule="exact" w:before="111"/>
              <w:ind w:left="178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sz w:val="24"/>
              </w:rPr>
              <w:t>𝒑</w:t>
            </w:r>
            <w:r>
              <w:rPr>
                <w:rFonts w:ascii="Cambria Math" w:hAnsi="Cambria Math" w:eastAsia="Cambria Math"/>
                <w:position w:val="-4"/>
                <w:sz w:val="17"/>
              </w:rPr>
              <w:t>𝑭,𝒕</w:t>
            </w:r>
            <w:r>
              <w:rPr>
                <w:rFonts w:ascii="Cambria Math" w:hAnsi="Cambria Math" w:eastAsia="Cambria Math"/>
                <w:spacing w:val="37"/>
                <w:position w:val="-4"/>
                <w:sz w:val="17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=</w:t>
            </w:r>
            <w:r>
              <w:rPr>
                <w:rFonts w:ascii="Cambria Math" w:hAnsi="Cambria Math" w:eastAsia="Cambria Math"/>
                <w:spacing w:val="14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𝒆</w:t>
            </w:r>
            <w:r>
              <w:rPr>
                <w:rFonts w:ascii="Cambria Math" w:hAnsi="Cambria Math" w:eastAsia="Cambria Math"/>
                <w:position w:val="-4"/>
                <w:sz w:val="17"/>
              </w:rPr>
              <w:t>𝒕</w:t>
            </w:r>
            <w:r>
              <w:rPr>
                <w:rFonts w:ascii="Cambria Math" w:hAnsi="Cambria Math" w:eastAsia="Cambria Math"/>
                <w:spacing w:val="25"/>
                <w:position w:val="-4"/>
                <w:sz w:val="17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+ 𝒑</w:t>
            </w:r>
            <w:r>
              <w:rPr>
                <w:rFonts w:ascii="Cambria Math" w:hAnsi="Cambria Math" w:eastAsia="Cambria Math"/>
                <w:position w:val="9"/>
                <w:sz w:val="17"/>
              </w:rPr>
              <w:t>∗</w:t>
            </w:r>
          </w:p>
          <w:p>
            <w:pPr>
              <w:pStyle w:val="TableParagraph"/>
              <w:spacing w:line="92" w:lineRule="exact"/>
              <w:ind w:left="1512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𝒕</w:t>
            </w:r>
          </w:p>
          <w:p>
            <w:pPr>
              <w:pStyle w:val="TableParagraph"/>
              <w:spacing w:line="255" w:lineRule="exact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Lag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term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one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period</w:t>
            </w:r>
          </w:p>
          <w:p>
            <w:pPr>
              <w:pStyle w:val="TableParagraph"/>
              <w:spacing w:line="327" w:lineRule="exact"/>
              <w:ind w:left="178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position w:val="5"/>
                <w:sz w:val="24"/>
              </w:rPr>
              <w:t>𝐞</w:t>
            </w:r>
            <w:r>
              <w:rPr>
                <w:rFonts w:ascii="Cambria Math" w:hAnsi="Cambria Math" w:eastAsia="Cambria Math"/>
                <w:sz w:val="17"/>
              </w:rPr>
              <w:t>𝐭</w:t>
            </w:r>
            <w:r>
              <w:rPr>
                <w:rFonts w:ascii="Cambria Math" w:hAnsi="Cambria Math" w:eastAsia="Cambria Math"/>
                <w:spacing w:val="26"/>
                <w:sz w:val="17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−</w:t>
            </w:r>
            <w:r>
              <w:rPr>
                <w:rFonts w:ascii="Cambria Math" w:hAnsi="Cambria Math" w:eastAsia="Cambria Math"/>
                <w:spacing w:val="2"/>
                <w:position w:val="5"/>
                <w:sz w:val="24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𝐞</w:t>
            </w:r>
            <w:r>
              <w:rPr>
                <w:rFonts w:ascii="Cambria Math" w:hAnsi="Cambria Math" w:eastAsia="Cambria Math"/>
                <w:sz w:val="17"/>
              </w:rPr>
              <w:t>𝐭−𝟏</w:t>
            </w:r>
            <w:r>
              <w:rPr>
                <w:rFonts w:ascii="Cambria Math" w:hAnsi="Cambria Math" w:eastAsia="Cambria Math"/>
                <w:spacing w:val="2"/>
                <w:sz w:val="17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=</w:t>
            </w:r>
            <w:r>
              <w:rPr>
                <w:rFonts w:ascii="Cambria Math" w:hAnsi="Cambria Math" w:eastAsia="Cambria Math"/>
                <w:spacing w:val="18"/>
                <w:position w:val="5"/>
                <w:sz w:val="24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𝚷</w:t>
            </w:r>
            <w:r>
              <w:rPr>
                <w:rFonts w:ascii="Cambria Math" w:hAnsi="Cambria Math" w:eastAsia="Cambria Math"/>
                <w:position w:val="14"/>
                <w:sz w:val="17"/>
              </w:rPr>
              <w:t>∗</w:t>
            </w:r>
            <w:r>
              <w:rPr>
                <w:rFonts w:ascii="Cambria Math" w:hAnsi="Cambria Math" w:eastAsia="Cambria Math"/>
                <w:sz w:val="17"/>
              </w:rPr>
              <w:t>𝐭</w:t>
            </w:r>
            <w:r>
              <w:rPr>
                <w:rFonts w:ascii="Cambria Math" w:hAnsi="Cambria Math" w:eastAsia="Cambria Math"/>
                <w:spacing w:val="26"/>
                <w:sz w:val="17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−</w:t>
            </w:r>
            <w:r>
              <w:rPr>
                <w:rFonts w:ascii="Cambria Math" w:hAnsi="Cambria Math" w:eastAsia="Cambria Math"/>
                <w:spacing w:val="2"/>
                <w:position w:val="5"/>
                <w:sz w:val="24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𝚷</w:t>
            </w:r>
            <w:r>
              <w:rPr>
                <w:rFonts w:ascii="Cambria Math" w:hAnsi="Cambria Math" w:eastAsia="Cambria Math"/>
                <w:sz w:val="17"/>
              </w:rPr>
              <w:t>𝐅,𝐭</w:t>
            </w:r>
          </w:p>
        </w:tc>
        <w:tc>
          <w:tcPr>
            <w:tcW w:w="1188" w:type="dxa"/>
          </w:tcPr>
          <w:p>
            <w:pPr>
              <w:pStyle w:val="TableParagraph"/>
              <w:spacing w:before="134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4.60</w:t>
            </w:r>
          </w:p>
        </w:tc>
      </w:tr>
      <w:tr>
        <w:trPr>
          <w:trHeight w:val="761" w:hRule="atLeast"/>
        </w:trPr>
        <w:tc>
          <w:tcPr>
            <w:tcW w:w="626" w:type="dxa"/>
          </w:tcPr>
          <w:p>
            <w:pPr>
              <w:pStyle w:val="TableParagraph"/>
              <w:spacing w:before="66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</w:p>
        </w:tc>
        <w:tc>
          <w:tcPr>
            <w:tcW w:w="2105" w:type="dxa"/>
          </w:tcPr>
          <w:p>
            <w:pPr>
              <w:pStyle w:val="TableParagraph"/>
              <w:spacing w:before="66"/>
              <w:ind w:left="137" w:right="25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Monetary </w:t>
            </w:r>
            <w:r>
              <w:rPr>
                <w:b/>
                <w:sz w:val="24"/>
              </w:rPr>
              <w:t>Policy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Rule</w:t>
            </w:r>
          </w:p>
        </w:tc>
        <w:tc>
          <w:tcPr>
            <w:tcW w:w="5648" w:type="dxa"/>
          </w:tcPr>
          <w:p>
            <w:pPr>
              <w:pStyle w:val="TableParagraph"/>
              <w:spacing w:before="79"/>
              <w:ind w:left="214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𝒓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𝒕</w:t>
            </w:r>
            <w:r>
              <w:rPr>
                <w:rFonts w:ascii="Cambria Math" w:hAnsi="Cambria Math" w:eastAsia="Cambria Math"/>
                <w:spacing w:val="34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36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𝛒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𝐑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𝒓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𝒕−𝟏</w:t>
            </w:r>
            <w:r>
              <w:rPr>
                <w:rFonts w:ascii="Cambria Math" w:hAnsi="Cambria Math" w:eastAsia="Cambria Math"/>
                <w:spacing w:val="18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8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position w:val="1"/>
                <w:sz w:val="24"/>
                <w:vertAlign w:val="baseline"/>
              </w:rPr>
              <w:t>(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𝟏</w:t>
            </w:r>
            <w:r>
              <w:rPr>
                <w:rFonts w:ascii="Cambria Math" w:hAnsi="Cambria Math" w:eastAsia="Cambria Math"/>
                <w:spacing w:val="7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10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𝛒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𝐑</w:t>
            </w:r>
            <w:r>
              <w:rPr>
                <w:rFonts w:ascii="Cambria Math" w:hAnsi="Cambria Math" w:eastAsia="Cambria Math"/>
                <w:position w:val="1"/>
                <w:sz w:val="24"/>
                <w:vertAlign w:val="baseline"/>
              </w:rPr>
              <w:t>)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[𝑢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𝛑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𝛑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𝐭</w:t>
            </w:r>
            <w:r>
              <w:rPr>
                <w:rFonts w:ascii="Cambria Math" w:hAnsi="Cambria Math" w:eastAsia="Cambria Math"/>
                <w:spacing w:val="17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8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𝑢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𝐲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𝐲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𝐭</w:t>
            </w:r>
            <w:r>
              <w:rPr>
                <w:rFonts w:ascii="Cambria Math" w:hAnsi="Cambria Math" w:eastAsia="Cambria Math"/>
                <w:spacing w:val="23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6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𝑢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𝐞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∆𝐞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𝐭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]</w:t>
            </w:r>
            <w:r>
              <w:rPr>
                <w:rFonts w:ascii="Cambria Math" w:hAnsi="Cambria Math" w:eastAsia="Cambria Math"/>
                <w:spacing w:val="7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8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𝐬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𝐫,𝐭</w:t>
            </w:r>
          </w:p>
        </w:tc>
        <w:tc>
          <w:tcPr>
            <w:tcW w:w="1188" w:type="dxa"/>
          </w:tcPr>
          <w:p>
            <w:pPr>
              <w:pStyle w:val="TableParagraph"/>
              <w:spacing w:before="66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4.88</w:t>
            </w:r>
          </w:p>
        </w:tc>
      </w:tr>
      <w:tr>
        <w:trPr>
          <w:trHeight w:val="1791" w:hRule="atLeast"/>
        </w:trPr>
        <w:tc>
          <w:tcPr>
            <w:tcW w:w="6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15.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3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16.</w:t>
            </w:r>
          </w:p>
        </w:tc>
        <w:tc>
          <w:tcPr>
            <w:tcW w:w="21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37" w:right="676"/>
              <w:rPr>
                <w:b/>
                <w:sz w:val="24"/>
              </w:rPr>
            </w:pPr>
            <w:r>
              <w:rPr>
                <w:b/>
                <w:sz w:val="24"/>
              </w:rPr>
              <w:t>Fiscal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Policy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Decision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Rent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seeking</w:t>
            </w:r>
          </w:p>
        </w:tc>
        <w:tc>
          <w:tcPr>
            <w:tcW w:w="56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2" w:lineRule="exact" w:before="102"/>
              <w:ind w:left="735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𝟏</w:t>
            </w:r>
          </w:p>
          <w:p>
            <w:pPr>
              <w:pStyle w:val="TableParagraph"/>
              <w:spacing w:line="187" w:lineRule="auto"/>
              <w:ind w:left="178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pacing w:val="-2"/>
                <w:sz w:val="24"/>
              </w:rPr>
              <w:t>𝒈</w:t>
            </w:r>
            <w:r>
              <w:rPr>
                <w:rFonts w:ascii="Cambria Math" w:eastAsia="Cambria Math"/>
                <w:spacing w:val="-2"/>
                <w:sz w:val="24"/>
                <w:vertAlign w:val="subscript"/>
              </w:rPr>
              <w:t>𝒕</w:t>
            </w:r>
            <w:r>
              <w:rPr>
                <w:rFonts w:ascii="Cambria Math" w:eastAsia="Cambria Math"/>
                <w:spacing w:val="1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pacing w:val="-1"/>
                <w:sz w:val="24"/>
                <w:vertAlign w:val="baseline"/>
              </w:rPr>
              <w:t>=</w:t>
            </w:r>
            <w:r>
              <w:rPr>
                <w:rFonts w:ascii="Cambria Math" w:eastAsia="Cambria Math"/>
                <w:spacing w:val="12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pacing w:val="-1"/>
                <w:w w:val="90"/>
                <w:position w:val="-15"/>
                <w:sz w:val="24"/>
                <w:vertAlign w:val="baseline"/>
              </w:rPr>
              <w:t/>
            </w:r>
            <w:r>
              <w:rPr>
                <w:rFonts w:ascii="Cambria Math" w:eastAsia="Cambria Math"/>
                <w:spacing w:val="-6"/>
                <w:w w:val="90"/>
                <w:position w:val="-15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pacing w:val="-1"/>
                <w:sz w:val="24"/>
                <w:vertAlign w:val="baseline"/>
              </w:rPr>
              <w:t>𝒓𝒏</w:t>
            </w:r>
            <w:r>
              <w:rPr>
                <w:rFonts w:ascii="Cambria Math" w:eastAsia="Cambria Math"/>
                <w:spacing w:val="-1"/>
                <w:sz w:val="24"/>
                <w:vertAlign w:val="subscript"/>
              </w:rPr>
              <w:t>𝒕</w:t>
            </w:r>
            <w:r>
              <w:rPr>
                <w:rFonts w:ascii="Cambria Math" w:eastAsia="Cambria Math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pacing w:val="-1"/>
                <w:sz w:val="24"/>
                <w:vertAlign w:val="baseline"/>
              </w:rPr>
              <w:t>+</w:t>
            </w:r>
            <w:r>
              <w:rPr>
                <w:rFonts w:ascii="Cambria Math" w:eastAsia="Cambria Math"/>
                <w:spacing w:val="-7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pacing w:val="-1"/>
                <w:sz w:val="24"/>
                <w:vertAlign w:val="baseline"/>
              </w:rPr>
              <w:t>𝐬</w:t>
            </w:r>
            <w:r>
              <w:rPr>
                <w:rFonts w:ascii="Cambria Math" w:eastAsia="Cambria Math"/>
                <w:spacing w:val="-1"/>
                <w:sz w:val="24"/>
                <w:vertAlign w:val="subscript"/>
              </w:rPr>
              <w:t>𝐠,𝐭</w:t>
            </w:r>
          </w:p>
          <w:p>
            <w:pPr>
              <w:pStyle w:val="TableParagraph"/>
              <w:spacing w:before="9"/>
              <w:ind w:left="0"/>
              <w:rPr>
                <w:b/>
                <w:sz w:val="47"/>
              </w:rPr>
            </w:pPr>
          </w:p>
          <w:p>
            <w:pPr>
              <w:pStyle w:val="TableParagraph"/>
              <w:spacing w:before="1"/>
              <w:ind w:left="178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𝒓𝒏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𝒕</w:t>
            </w:r>
            <w:r>
              <w:rPr>
                <w:rFonts w:ascii="Cambria Math" w:hAnsi="Cambria Math" w:eastAsia="Cambria Math"/>
                <w:spacing w:val="34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37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𝝆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𝒓𝒏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𝒓𝒏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𝒕−𝟏</w:t>
            </w:r>
            <w:r>
              <w:rPr>
                <w:rFonts w:ascii="Cambria Math" w:hAnsi="Cambria Math" w:eastAsia="Cambria Math"/>
                <w:spacing w:val="19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9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position w:val="1"/>
                <w:sz w:val="24"/>
                <w:vertAlign w:val="baseline"/>
              </w:rPr>
              <w:t>(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𝟏</w:t>
            </w:r>
            <w:r>
              <w:rPr>
                <w:rFonts w:ascii="Cambria Math" w:hAnsi="Cambria Math" w:eastAsia="Cambria Math"/>
                <w:spacing w:val="6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9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𝝆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𝒓𝒏</w:t>
            </w:r>
            <w:r>
              <w:rPr>
                <w:rFonts w:ascii="Cambria Math" w:hAnsi="Cambria Math" w:eastAsia="Cambria Math"/>
                <w:position w:val="1"/>
                <w:sz w:val="24"/>
                <w:vertAlign w:val="baseline"/>
              </w:rPr>
              <w:t>)(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𝝌𝑟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𝒕</w:t>
            </w:r>
            <w:r>
              <w:rPr>
                <w:rFonts w:ascii="Cambria Math" w:hAnsi="Cambria Math" w:eastAsia="Cambria Math"/>
                <w:position w:val="1"/>
                <w:sz w:val="24"/>
                <w:vertAlign w:val="baseline"/>
              </w:rPr>
              <w:t>)</w:t>
            </w:r>
            <w:r>
              <w:rPr>
                <w:rFonts w:ascii="Cambria Math" w:hAnsi="Cambria Math" w:eastAsia="Cambria Math"/>
                <w:spacing w:val="7"/>
                <w:position w:val="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9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𝐬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𝐫𝐧,𝐭</w:t>
            </w:r>
          </w:p>
        </w:tc>
        <w:tc>
          <w:tcPr>
            <w:tcW w:w="11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4.99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30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4.90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5" w:top="1360" w:bottom="1120" w:left="940" w:right="940"/>
        </w:sectPr>
      </w:pPr>
    </w:p>
    <w:p>
      <w:pPr>
        <w:pStyle w:val="Heading3"/>
        <w:spacing w:after="4"/>
        <w:ind w:left="1332" w:right="1335"/>
        <w:jc w:val="center"/>
      </w:pPr>
      <w:r>
        <w:rPr/>
        <w:t>Table</w:t>
      </w:r>
      <w:r>
        <w:rPr>
          <w:spacing w:val="-2"/>
        </w:rPr>
        <w:t> </w:t>
      </w:r>
      <w:r>
        <w:rPr/>
        <w:t>4.2:</w:t>
      </w:r>
      <w:r>
        <w:rPr>
          <w:spacing w:val="-3"/>
        </w:rPr>
        <w:t> </w:t>
      </w:r>
      <w:r>
        <w:rPr/>
        <w:t>Foreign Economy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-3"/>
        </w:rPr>
        <w:t> </w:t>
      </w:r>
      <w:r>
        <w:rPr/>
        <w:t>Exogenous</w:t>
      </w:r>
      <w:r>
        <w:rPr>
          <w:spacing w:val="-1"/>
        </w:rPr>
        <w:t> </w:t>
      </w:r>
      <w:r>
        <w:rPr/>
        <w:t>Processes</w:t>
      </w:r>
    </w:p>
    <w:tbl>
      <w:tblPr>
        <w:tblW w:w="0" w:type="auto"/>
        <w:jc w:val="left"/>
        <w:tblInd w:w="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6"/>
        <w:gridCol w:w="2159"/>
        <w:gridCol w:w="4147"/>
        <w:gridCol w:w="2634"/>
      </w:tblGrid>
      <w:tr>
        <w:trPr>
          <w:trHeight w:val="550" w:hRule="atLeast"/>
        </w:trPr>
        <w:tc>
          <w:tcPr>
            <w:tcW w:w="6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1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37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41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Equations</w:t>
            </w:r>
          </w:p>
        </w:tc>
        <w:tc>
          <w:tcPr>
            <w:tcW w:w="263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577"/>
              <w:rPr>
                <w:sz w:val="24"/>
              </w:rPr>
            </w:pPr>
            <w:r>
              <w:rPr>
                <w:sz w:val="24"/>
              </w:rPr>
              <w:t>Equation</w:t>
            </w:r>
          </w:p>
          <w:p>
            <w:pPr>
              <w:pStyle w:val="TableParagraph"/>
              <w:spacing w:line="264" w:lineRule="exact"/>
              <w:ind w:left="1577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</w:tr>
      <w:tr>
        <w:trPr>
          <w:trHeight w:val="378" w:hRule="atLeast"/>
        </w:trPr>
        <w:tc>
          <w:tcPr>
            <w:tcW w:w="6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17.</w:t>
            </w:r>
          </w:p>
        </w:tc>
        <w:tc>
          <w:tcPr>
            <w:tcW w:w="21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81" w:lineRule="exact"/>
              <w:ind w:left="137"/>
              <w:rPr>
                <w:rFonts w:ascii="Cambria Math"/>
                <w:sz w:val="24"/>
              </w:rPr>
            </w:pPr>
            <w:r>
              <w:rPr>
                <w:b/>
                <w:sz w:val="24"/>
              </w:rPr>
              <w:t>Foreign Output</w:t>
            </w:r>
            <w:r>
              <w:rPr>
                <w:rFonts w:ascii="Cambria Math"/>
                <w:sz w:val="24"/>
              </w:rPr>
              <w:t>:</w:t>
            </w:r>
          </w:p>
        </w:tc>
        <w:tc>
          <w:tcPr>
            <w:tcW w:w="4147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387" w:val="left" w:leader="none"/>
              </w:tabs>
              <w:spacing w:line="192" w:lineRule="exact"/>
              <w:ind w:left="0" w:right="2038"/>
              <w:jc w:val="right"/>
              <w:rPr>
                <w:rFonts w:ascii="Cambria Math" w:hAnsi="Cambria Math" w:eastAsia="Cambria Math"/>
                <w:sz w:val="14"/>
              </w:rPr>
            </w:pPr>
            <w:r>
              <w:rPr>
                <w:rFonts w:ascii="Cambria Math" w:hAnsi="Cambria Math" w:eastAsia="Cambria Math"/>
                <w:sz w:val="24"/>
              </w:rPr>
              <w:t>𝒚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∗</w:t>
            </w:r>
            <w:r>
              <w:rPr>
                <w:rFonts w:ascii="Cambria Math" w:hAnsi="Cambria Math" w:eastAsia="Cambria Math"/>
                <w:spacing w:val="27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16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𝝆</w:t>
            </w:r>
            <w:r>
              <w:rPr>
                <w:rFonts w:ascii="Cambria Math" w:hAnsi="Cambria Math" w:eastAsia="Cambria Math"/>
                <w:spacing w:val="56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position w:val="2"/>
                <w:sz w:val="14"/>
                <w:vertAlign w:val="baseline"/>
              </w:rPr>
              <w:t>∗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𝒚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∗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ab/>
              <w:t>+</w:t>
            </w:r>
            <w:r>
              <w:rPr>
                <w:rFonts w:ascii="Cambria Math" w:hAnsi="Cambria Math" w:eastAsia="Cambria Math"/>
                <w:spacing w:val="6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𝜀</w:t>
            </w:r>
            <w:r>
              <w:rPr>
                <w:rFonts w:ascii="Cambria Math" w:hAnsi="Cambria Math" w:eastAsia="Cambria Math"/>
                <w:spacing w:val="30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𝒚</w:t>
            </w:r>
            <w:r>
              <w:rPr>
                <w:rFonts w:ascii="Cambria Math" w:hAnsi="Cambria Math" w:eastAsia="Cambria Math"/>
                <w:position w:val="16"/>
                <w:sz w:val="14"/>
                <w:vertAlign w:val="baseline"/>
              </w:rPr>
              <w:t>∗</w:t>
            </w:r>
          </w:p>
          <w:p>
            <w:pPr>
              <w:pStyle w:val="TableParagraph"/>
              <w:tabs>
                <w:tab w:pos="551" w:val="left" w:leader="none"/>
                <w:tab w:pos="1595" w:val="left" w:leader="none"/>
              </w:tabs>
              <w:spacing w:line="172" w:lineRule="auto"/>
              <w:ind w:left="0" w:right="2047"/>
              <w:jc w:val="right"/>
              <w:rPr>
                <w:rFonts w:ascii="Cambria Math" w:hAnsi="Cambria Math" w:eastAsia="Cambria Math"/>
                <w:sz w:val="14"/>
              </w:rPr>
            </w:pPr>
            <w:r>
              <w:rPr>
                <w:rFonts w:ascii="Cambria Math" w:hAnsi="Cambria Math" w:eastAsia="Cambria Math"/>
                <w:sz w:val="17"/>
              </w:rPr>
              <w:t>𝒕</w:t>
              <w:tab/>
            </w:r>
            <w:r>
              <w:rPr>
                <w:rFonts w:ascii="Cambria Math" w:hAnsi="Cambria Math" w:eastAsia="Cambria Math"/>
                <w:spacing w:val="-1"/>
                <w:position w:val="1"/>
                <w:sz w:val="17"/>
              </w:rPr>
              <w:t>𝒚</w:t>
            </w:r>
            <w:r>
              <w:rPr>
                <w:rFonts w:ascii="Cambria Math" w:hAnsi="Cambria Math" w:eastAsia="Cambria Math"/>
                <w:spacing w:val="-1"/>
                <w:position w:val="-2"/>
                <w:sz w:val="14"/>
              </w:rPr>
              <w:t>𝒕</w:t>
            </w:r>
            <w:r>
              <w:rPr>
                <w:rFonts w:ascii="Cambria Math" w:hAnsi="Cambria Math" w:eastAsia="Cambria Math"/>
                <w:spacing w:val="55"/>
                <w:position w:val="-2"/>
                <w:sz w:val="14"/>
              </w:rPr>
              <w:t> </w:t>
            </w:r>
            <w:r>
              <w:rPr>
                <w:rFonts w:ascii="Cambria Math" w:hAnsi="Cambria Math" w:eastAsia="Cambria Math"/>
                <w:spacing w:val="55"/>
                <w:position w:val="-2"/>
                <w:sz w:val="14"/>
              </w:rPr>
              <w:t> </w:t>
            </w:r>
            <w:r>
              <w:rPr>
                <w:rFonts w:ascii="Cambria Math" w:hAnsi="Cambria Math" w:eastAsia="Cambria Math"/>
                <w:sz w:val="17"/>
              </w:rPr>
              <w:t>𝒕−𝟏</w:t>
              <w:tab/>
            </w:r>
            <w:r>
              <w:rPr>
                <w:rFonts w:ascii="Cambria Math" w:hAnsi="Cambria Math" w:eastAsia="Cambria Math"/>
                <w:position w:val="1"/>
                <w:sz w:val="17"/>
              </w:rPr>
              <w:t>𝐭</w:t>
            </w:r>
            <w:r>
              <w:rPr>
                <w:rFonts w:ascii="Cambria Math" w:hAnsi="Cambria Math" w:eastAsia="Cambria Math"/>
                <w:spacing w:val="72"/>
                <w:position w:val="1"/>
                <w:sz w:val="17"/>
              </w:rPr>
              <w:t> </w:t>
            </w:r>
            <w:r>
              <w:rPr>
                <w:rFonts w:ascii="Cambria Math" w:hAnsi="Cambria Math" w:eastAsia="Cambria Math"/>
                <w:position w:val="10"/>
                <w:sz w:val="14"/>
              </w:rPr>
              <w:t>𝒕</w:t>
            </w:r>
          </w:p>
        </w:tc>
        <w:tc>
          <w:tcPr>
            <w:tcW w:w="26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0" w:right="6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4.84</w:t>
            </w:r>
          </w:p>
        </w:tc>
      </w:tr>
      <w:tr>
        <w:trPr>
          <w:trHeight w:val="599" w:hRule="atLeast"/>
        </w:trPr>
        <w:tc>
          <w:tcPr>
            <w:tcW w:w="626" w:type="dxa"/>
          </w:tcPr>
          <w:p>
            <w:pPr>
              <w:pStyle w:val="TableParagraph"/>
              <w:spacing w:line="23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18.</w:t>
            </w:r>
          </w:p>
        </w:tc>
        <w:tc>
          <w:tcPr>
            <w:tcW w:w="2159" w:type="dxa"/>
          </w:tcPr>
          <w:p>
            <w:pPr>
              <w:pStyle w:val="TableParagraph"/>
              <w:spacing w:line="234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Foreign Inflation</w:t>
            </w:r>
          </w:p>
        </w:tc>
        <w:tc>
          <w:tcPr>
            <w:tcW w:w="4147" w:type="dxa"/>
          </w:tcPr>
          <w:p>
            <w:pPr>
              <w:pStyle w:val="TableParagraph"/>
              <w:tabs>
                <w:tab w:pos="1523" w:val="left" w:leader="none"/>
              </w:tabs>
              <w:spacing w:line="153" w:lineRule="exact"/>
              <w:ind w:left="0" w:right="1884"/>
              <w:jc w:val="right"/>
              <w:rPr>
                <w:rFonts w:ascii="Cambria Math" w:hAnsi="Cambria Math" w:eastAsia="Cambria Math"/>
                <w:sz w:val="14"/>
              </w:rPr>
            </w:pPr>
            <w:r>
              <w:rPr>
                <w:b/>
                <w:sz w:val="24"/>
              </w:rPr>
              <w:t>:</w:t>
            </w:r>
            <w:r>
              <w:rPr>
                <w:rFonts w:ascii="Cambria Math" w:hAnsi="Cambria Math" w:eastAsia="Cambria Math"/>
                <w:sz w:val="24"/>
              </w:rPr>
              <w:t>𝝅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∗</w:t>
            </w:r>
            <w:r>
              <w:rPr>
                <w:rFonts w:ascii="Cambria Math" w:hAnsi="Cambria Math" w:eastAsia="Cambria Math"/>
                <w:spacing w:val="27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16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𝝆</w:t>
            </w:r>
            <w:r>
              <w:rPr>
                <w:rFonts w:ascii="Cambria Math" w:hAnsi="Cambria Math" w:eastAsia="Cambria Math"/>
                <w:spacing w:val="74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position w:val="2"/>
                <w:sz w:val="14"/>
                <w:vertAlign w:val="baseline"/>
              </w:rPr>
              <w:t>∗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𝝅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∗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ab/>
              <w:t>+</w:t>
            </w:r>
            <w:r>
              <w:rPr>
                <w:rFonts w:ascii="Cambria Math" w:hAnsi="Cambria Math" w:eastAsia="Cambria Math"/>
                <w:spacing w:val="8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𝜀</w:t>
            </w:r>
            <w:r>
              <w:rPr>
                <w:rFonts w:ascii="Cambria Math" w:hAnsi="Cambria Math" w:eastAsia="Cambria Math"/>
                <w:spacing w:val="32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𝝅</w:t>
            </w:r>
            <w:r>
              <w:rPr>
                <w:rFonts w:ascii="Cambria Math" w:hAnsi="Cambria Math" w:eastAsia="Cambria Math"/>
                <w:position w:val="16"/>
                <w:sz w:val="14"/>
                <w:vertAlign w:val="baseline"/>
              </w:rPr>
              <w:t>∗</w:t>
            </w:r>
          </w:p>
          <w:p>
            <w:pPr>
              <w:pStyle w:val="TableParagraph"/>
              <w:tabs>
                <w:tab w:pos="554" w:val="left" w:leader="none"/>
                <w:tab w:pos="1631" w:val="left" w:leader="none"/>
              </w:tabs>
              <w:spacing w:line="172" w:lineRule="auto"/>
              <w:ind w:left="0" w:right="1893"/>
              <w:jc w:val="right"/>
              <w:rPr>
                <w:rFonts w:ascii="Cambria Math" w:hAnsi="Cambria Math" w:eastAsia="Cambria Math"/>
                <w:sz w:val="14"/>
              </w:rPr>
            </w:pPr>
            <w:r>
              <w:rPr>
                <w:rFonts w:ascii="Cambria Math" w:hAnsi="Cambria Math" w:eastAsia="Cambria Math"/>
                <w:sz w:val="17"/>
              </w:rPr>
              <w:t>𝒕</w:t>
              <w:tab/>
            </w:r>
            <w:r>
              <w:rPr>
                <w:rFonts w:ascii="Cambria Math" w:hAnsi="Cambria Math" w:eastAsia="Cambria Math"/>
                <w:position w:val="1"/>
                <w:sz w:val="17"/>
              </w:rPr>
              <w:t>𝝅</w:t>
            </w:r>
            <w:r>
              <w:rPr>
                <w:rFonts w:ascii="Cambria Math" w:hAnsi="Cambria Math" w:eastAsia="Cambria Math"/>
                <w:position w:val="-2"/>
                <w:sz w:val="14"/>
              </w:rPr>
              <w:t>𝒕     </w:t>
            </w:r>
            <w:r>
              <w:rPr>
                <w:rFonts w:ascii="Cambria Math" w:hAnsi="Cambria Math" w:eastAsia="Cambria Math"/>
                <w:spacing w:val="5"/>
                <w:position w:val="-2"/>
                <w:sz w:val="14"/>
              </w:rPr>
              <w:t> </w:t>
            </w:r>
            <w:r>
              <w:rPr>
                <w:rFonts w:ascii="Cambria Math" w:hAnsi="Cambria Math" w:eastAsia="Cambria Math"/>
                <w:sz w:val="17"/>
              </w:rPr>
              <w:t>𝒕−𝟏</w:t>
              <w:tab/>
            </w:r>
            <w:r>
              <w:rPr>
                <w:rFonts w:ascii="Cambria Math" w:hAnsi="Cambria Math" w:eastAsia="Cambria Math"/>
                <w:position w:val="1"/>
                <w:sz w:val="17"/>
              </w:rPr>
              <w:t>𝐭  </w:t>
            </w:r>
            <w:r>
              <w:rPr>
                <w:rFonts w:ascii="Cambria Math" w:hAnsi="Cambria Math" w:eastAsia="Cambria Math"/>
                <w:spacing w:val="15"/>
                <w:position w:val="1"/>
                <w:sz w:val="17"/>
              </w:rPr>
              <w:t> </w:t>
            </w:r>
            <w:r>
              <w:rPr>
                <w:rFonts w:ascii="Cambria Math" w:hAnsi="Cambria Math" w:eastAsia="Cambria Math"/>
                <w:position w:val="10"/>
                <w:sz w:val="14"/>
              </w:rPr>
              <w:t>𝒕</w:t>
            </w:r>
          </w:p>
        </w:tc>
        <w:tc>
          <w:tcPr>
            <w:tcW w:w="2634" w:type="dxa"/>
          </w:tcPr>
          <w:p>
            <w:pPr>
              <w:pStyle w:val="TableParagraph"/>
              <w:spacing w:line="234" w:lineRule="exact"/>
              <w:ind w:left="0" w:right="6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4.85</w:t>
            </w:r>
          </w:p>
        </w:tc>
      </w:tr>
      <w:tr>
        <w:trPr>
          <w:trHeight w:val="1000" w:hRule="atLeast"/>
        </w:trPr>
        <w:tc>
          <w:tcPr>
            <w:tcW w:w="626" w:type="dxa"/>
          </w:tcPr>
          <w:p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</w:p>
        </w:tc>
        <w:tc>
          <w:tcPr>
            <w:tcW w:w="2159" w:type="dxa"/>
          </w:tcPr>
          <w:p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37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Foreign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Interest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rate</w:t>
            </w:r>
          </w:p>
        </w:tc>
        <w:tc>
          <w:tcPr>
            <w:tcW w:w="4147" w:type="dxa"/>
          </w:tcPr>
          <w:p>
            <w:pPr>
              <w:pStyle w:val="TableParagraph"/>
              <w:tabs>
                <w:tab w:pos="1614" w:val="left" w:leader="none"/>
              </w:tabs>
              <w:spacing w:line="231" w:lineRule="exact" w:before="236"/>
              <w:ind w:left="177"/>
              <w:rPr>
                <w:rFonts w:ascii="Cambria Math" w:hAnsi="Cambria Math" w:eastAsia="Cambria Math"/>
                <w:sz w:val="14"/>
              </w:rPr>
            </w:pPr>
            <w:r>
              <w:rPr>
                <w:rFonts w:ascii="Cambria Math" w:hAnsi="Cambria Math" w:eastAsia="Cambria Math"/>
                <w:w w:val="105"/>
                <w:sz w:val="24"/>
              </w:rPr>
              <w:t>𝒓</w:t>
            </w:r>
            <w:r>
              <w:rPr>
                <w:rFonts w:ascii="Cambria Math" w:hAnsi="Cambria Math" w:eastAsia="Cambria Math"/>
                <w:w w:val="105"/>
                <w:sz w:val="24"/>
                <w:vertAlign w:val="superscript"/>
              </w:rPr>
              <w:t>∗</w:t>
            </w:r>
            <w:r>
              <w:rPr>
                <w:rFonts w:ascii="Cambria Math" w:hAnsi="Cambria Math" w:eastAsia="Cambria Math"/>
                <w:spacing w:val="15"/>
                <w:w w:val="10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24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6"/>
                <w:w w:val="10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24"/>
                <w:vertAlign w:val="baseline"/>
              </w:rPr>
              <w:t>𝝆 </w:t>
            </w:r>
            <w:r>
              <w:rPr>
                <w:rFonts w:ascii="Cambria Math" w:hAnsi="Cambria Math" w:eastAsia="Cambria Math"/>
                <w:spacing w:val="10"/>
                <w:w w:val="10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position w:val="2"/>
                <w:sz w:val="14"/>
                <w:vertAlign w:val="baseline"/>
              </w:rPr>
              <w:t>∗  </w:t>
            </w:r>
            <w:r>
              <w:rPr>
                <w:rFonts w:ascii="Cambria Math" w:hAnsi="Cambria Math" w:eastAsia="Cambria Math"/>
                <w:w w:val="105"/>
                <w:sz w:val="24"/>
                <w:vertAlign w:val="baseline"/>
              </w:rPr>
              <w:t>𝒓</w:t>
            </w:r>
            <w:r>
              <w:rPr>
                <w:rFonts w:ascii="Cambria Math" w:hAnsi="Cambria Math" w:eastAsia="Cambria Math"/>
                <w:w w:val="105"/>
                <w:sz w:val="24"/>
                <w:vertAlign w:val="superscript"/>
              </w:rPr>
              <w:t>∗</w:t>
            </w:r>
            <w:r>
              <w:rPr>
                <w:rFonts w:ascii="Cambria Math" w:hAnsi="Cambria Math" w:eastAsia="Cambria Math"/>
                <w:w w:val="105"/>
                <w:sz w:val="24"/>
                <w:vertAlign w:val="baseline"/>
              </w:rPr>
              <w:tab/>
              <w:t>+</w:t>
            </w:r>
            <w:r>
              <w:rPr>
                <w:rFonts w:ascii="Cambria Math" w:hAnsi="Cambria Math" w:eastAsia="Cambria Math"/>
                <w:spacing w:val="-4"/>
                <w:w w:val="10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24"/>
                <w:vertAlign w:val="baseline"/>
              </w:rPr>
              <w:t>𝜀</w:t>
            </w:r>
            <w:r>
              <w:rPr>
                <w:rFonts w:ascii="Cambria Math" w:hAnsi="Cambria Math" w:eastAsia="Cambria Math"/>
                <w:spacing w:val="51"/>
                <w:w w:val="10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24"/>
                <w:vertAlign w:val="superscript"/>
              </w:rPr>
              <w:t>𝒓</w:t>
            </w:r>
            <w:r>
              <w:rPr>
                <w:rFonts w:ascii="Cambria Math" w:hAnsi="Cambria Math" w:eastAsia="Cambria Math"/>
                <w:w w:val="105"/>
                <w:position w:val="16"/>
                <w:sz w:val="14"/>
                <w:vertAlign w:val="baseline"/>
              </w:rPr>
              <w:t>∗</w:t>
            </w:r>
          </w:p>
          <w:p>
            <w:pPr>
              <w:pStyle w:val="TableParagraph"/>
              <w:tabs>
                <w:tab w:pos="897" w:val="left" w:leader="none"/>
                <w:tab w:pos="1254" w:val="left" w:leader="none"/>
                <w:tab w:pos="1967" w:val="left" w:leader="none"/>
              </w:tabs>
              <w:spacing w:line="172" w:lineRule="auto"/>
              <w:ind w:left="306"/>
              <w:rPr>
                <w:rFonts w:ascii="Cambria Math" w:hAnsi="Cambria Math" w:eastAsia="Cambria Math"/>
                <w:sz w:val="14"/>
              </w:rPr>
            </w:pPr>
            <w:r>
              <w:rPr>
                <w:rFonts w:ascii="Cambria Math" w:hAnsi="Cambria Math" w:eastAsia="Cambria Math"/>
                <w:sz w:val="17"/>
              </w:rPr>
              <w:t>𝒕</w:t>
              <w:tab/>
            </w:r>
            <w:r>
              <w:rPr>
                <w:rFonts w:ascii="Cambria Math" w:hAnsi="Cambria Math" w:eastAsia="Cambria Math"/>
                <w:position w:val="1"/>
                <w:sz w:val="17"/>
              </w:rPr>
              <w:t>𝒓</w:t>
            </w:r>
            <w:r>
              <w:rPr>
                <w:rFonts w:ascii="Cambria Math" w:hAnsi="Cambria Math" w:eastAsia="Cambria Math"/>
                <w:position w:val="-2"/>
                <w:sz w:val="14"/>
              </w:rPr>
              <w:t>𝒕</w:t>
              <w:tab/>
            </w:r>
            <w:r>
              <w:rPr>
                <w:rFonts w:ascii="Cambria Math" w:hAnsi="Cambria Math" w:eastAsia="Cambria Math"/>
                <w:sz w:val="17"/>
              </w:rPr>
              <w:t>𝒕−𝟏</w:t>
              <w:tab/>
            </w:r>
            <w:r>
              <w:rPr>
                <w:rFonts w:ascii="Cambria Math" w:hAnsi="Cambria Math" w:eastAsia="Cambria Math"/>
                <w:position w:val="1"/>
                <w:sz w:val="17"/>
              </w:rPr>
              <w:t>𝐭  </w:t>
            </w:r>
            <w:r>
              <w:rPr>
                <w:rFonts w:ascii="Cambria Math" w:hAnsi="Cambria Math" w:eastAsia="Cambria Math"/>
                <w:spacing w:val="26"/>
                <w:position w:val="1"/>
                <w:sz w:val="17"/>
              </w:rPr>
              <w:t> </w:t>
            </w:r>
            <w:r>
              <w:rPr>
                <w:rFonts w:ascii="Cambria Math" w:hAnsi="Cambria Math" w:eastAsia="Cambria Math"/>
                <w:position w:val="10"/>
                <w:sz w:val="14"/>
              </w:rPr>
              <w:t>𝒕</w:t>
            </w:r>
          </w:p>
        </w:tc>
        <w:tc>
          <w:tcPr>
            <w:tcW w:w="2634" w:type="dxa"/>
          </w:tcPr>
          <w:p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0" w:right="6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4.86</w:t>
            </w:r>
          </w:p>
        </w:tc>
      </w:tr>
      <w:tr>
        <w:trPr>
          <w:trHeight w:val="5253" w:hRule="atLeast"/>
        </w:trPr>
        <w:tc>
          <w:tcPr>
            <w:tcW w:w="6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7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20.</w:t>
            </w:r>
          </w:p>
          <w:p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21.</w:t>
            </w:r>
          </w:p>
          <w:p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22.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23.</w:t>
            </w:r>
          </w:p>
          <w:p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24.</w:t>
            </w:r>
          </w:p>
          <w:p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25.</w:t>
            </w:r>
          </w:p>
          <w:p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26.</w:t>
            </w:r>
          </w:p>
          <w:p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27.</w:t>
            </w:r>
          </w:p>
        </w:tc>
        <w:tc>
          <w:tcPr>
            <w:tcW w:w="21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552" w:lineRule="auto" w:before="174"/>
              <w:ind w:left="137"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Technology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Monetary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Policy</w:t>
            </w:r>
          </w:p>
          <w:p>
            <w:pPr>
              <w:pStyle w:val="TableParagraph"/>
              <w:spacing w:line="276" w:lineRule="auto"/>
              <w:ind w:left="137" w:right="71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Government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Spending</w:t>
            </w:r>
          </w:p>
          <w:p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552" w:lineRule="auto" w:before="1"/>
              <w:ind w:left="137" w:right="1255"/>
              <w:rPr>
                <w:b/>
                <w:sz w:val="24"/>
              </w:rPr>
            </w:pPr>
            <w:r>
              <w:rPr>
                <w:b/>
                <w:sz w:val="24"/>
              </w:rPr>
              <w:t>Tax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Output</w:t>
            </w:r>
          </w:p>
          <w:p>
            <w:pPr>
              <w:pStyle w:val="TableParagraph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Domestic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Inflation</w:t>
            </w:r>
          </w:p>
          <w:p>
            <w:pPr>
              <w:pStyle w:val="TableParagraph"/>
              <w:spacing w:line="630" w:lineRule="atLeast" w:before="6"/>
              <w:ind w:left="137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Rent seeking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Transfer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payment</w:t>
            </w:r>
          </w:p>
        </w:tc>
        <w:tc>
          <w:tcPr>
            <w:tcW w:w="41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exact" w:before="149"/>
              <w:ind w:left="124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sz w:val="24"/>
              </w:rPr>
              <w:t>𝒂</w:t>
            </w:r>
            <w:r>
              <w:rPr>
                <w:rFonts w:ascii="Cambria Math" w:hAnsi="Cambria Math" w:eastAsia="Cambria Math"/>
                <w:position w:val="-4"/>
                <w:sz w:val="17"/>
              </w:rPr>
              <w:t>𝒕</w:t>
            </w:r>
            <w:r>
              <w:rPr>
                <w:rFonts w:ascii="Cambria Math" w:hAnsi="Cambria Math" w:eastAsia="Cambria Math"/>
                <w:spacing w:val="46"/>
                <w:position w:val="-4"/>
                <w:sz w:val="17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=</w:t>
            </w:r>
            <w:r>
              <w:rPr>
                <w:rFonts w:ascii="Cambria Math" w:hAnsi="Cambria Math" w:eastAsia="Cambria Math"/>
                <w:spacing w:val="75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𝝆</w:t>
            </w:r>
            <w:r>
              <w:rPr>
                <w:rFonts w:ascii="Cambria Math" w:hAnsi="Cambria Math" w:eastAsia="Cambria Math"/>
                <w:position w:val="-4"/>
                <w:sz w:val="17"/>
              </w:rPr>
              <w:t>𝒂</w:t>
            </w:r>
            <w:r>
              <w:rPr>
                <w:rFonts w:ascii="Cambria Math" w:hAnsi="Cambria Math" w:eastAsia="Cambria Math"/>
                <w:sz w:val="24"/>
              </w:rPr>
              <w:t>𝒂</w:t>
            </w:r>
            <w:r>
              <w:rPr>
                <w:rFonts w:ascii="Cambria Math" w:hAnsi="Cambria Math" w:eastAsia="Cambria Math"/>
                <w:position w:val="-4"/>
                <w:sz w:val="17"/>
              </w:rPr>
              <w:t>𝒕−𝟏</w:t>
            </w:r>
            <w:r>
              <w:rPr>
                <w:rFonts w:ascii="Cambria Math" w:hAnsi="Cambria Math" w:eastAsia="Cambria Math"/>
                <w:spacing w:val="29"/>
                <w:position w:val="-4"/>
                <w:sz w:val="17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+</w:t>
            </w:r>
            <w:r>
              <w:rPr>
                <w:rFonts w:ascii="Cambria Math" w:hAnsi="Cambria Math" w:eastAsia="Cambria Math"/>
                <w:spacing w:val="62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𝗌</w:t>
            </w:r>
            <w:r>
              <w:rPr>
                <w:rFonts w:ascii="Cambria Math" w:hAnsi="Cambria Math" w:eastAsia="Cambria Math"/>
                <w:position w:val="9"/>
                <w:sz w:val="17"/>
              </w:rPr>
              <w:t>𝒂</w:t>
            </w:r>
          </w:p>
          <w:p>
            <w:pPr>
              <w:pStyle w:val="TableParagraph"/>
              <w:spacing w:line="100" w:lineRule="exact"/>
              <w:ind w:left="1421" w:right="1684"/>
              <w:jc w:val="center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𝒕</w:t>
            </w:r>
          </w:p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exact" w:before="129"/>
              <w:ind w:left="124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sz w:val="24"/>
              </w:rPr>
              <w:t>𝐬</w:t>
            </w:r>
            <w:r>
              <w:rPr>
                <w:rFonts w:ascii="Cambria Math" w:hAnsi="Cambria Math" w:eastAsia="Cambria Math"/>
                <w:position w:val="9"/>
                <w:sz w:val="17"/>
              </w:rPr>
              <w:t>𝐑</w:t>
            </w:r>
            <w:r>
              <w:rPr>
                <w:rFonts w:ascii="Cambria Math" w:hAnsi="Cambria Math" w:eastAsia="Cambria Math"/>
                <w:spacing w:val="48"/>
                <w:position w:val="9"/>
                <w:sz w:val="17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=</w:t>
            </w:r>
            <w:r>
              <w:rPr>
                <w:rFonts w:ascii="Cambria Math" w:hAnsi="Cambria Math" w:eastAsia="Cambria Math"/>
                <w:spacing w:val="77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𝝆</w:t>
            </w:r>
            <w:r>
              <w:rPr>
                <w:rFonts w:ascii="Cambria Math" w:hAnsi="Cambria Math" w:eastAsia="Cambria Math"/>
                <w:position w:val="-4"/>
                <w:sz w:val="17"/>
              </w:rPr>
              <w:t>𝒔𝒓</w:t>
            </w:r>
            <w:r>
              <w:rPr>
                <w:rFonts w:ascii="Cambria Math" w:hAnsi="Cambria Math" w:eastAsia="Cambria Math"/>
                <w:sz w:val="24"/>
              </w:rPr>
              <w:t>𝒔𝒓</w:t>
            </w:r>
            <w:r>
              <w:rPr>
                <w:rFonts w:ascii="Cambria Math" w:hAnsi="Cambria Math" w:eastAsia="Cambria Math"/>
                <w:position w:val="-4"/>
                <w:sz w:val="17"/>
              </w:rPr>
              <w:t>𝒕−𝟏</w:t>
            </w:r>
            <w:r>
              <w:rPr>
                <w:rFonts w:ascii="Cambria Math" w:hAnsi="Cambria Math" w:eastAsia="Cambria Math"/>
                <w:spacing w:val="30"/>
                <w:position w:val="-4"/>
                <w:sz w:val="17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+</w:t>
            </w:r>
            <w:r>
              <w:rPr>
                <w:rFonts w:ascii="Cambria Math" w:hAnsi="Cambria Math" w:eastAsia="Cambria Math"/>
                <w:spacing w:val="64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𝗌</w:t>
            </w:r>
            <w:r>
              <w:rPr>
                <w:rFonts w:ascii="Cambria Math" w:hAnsi="Cambria Math" w:eastAsia="Cambria Math"/>
                <w:position w:val="9"/>
                <w:sz w:val="17"/>
              </w:rPr>
              <w:t>𝒓</w:t>
            </w:r>
          </w:p>
          <w:p>
            <w:pPr>
              <w:pStyle w:val="TableParagraph"/>
              <w:tabs>
                <w:tab w:pos="2092" w:val="left" w:leader="none"/>
              </w:tabs>
              <w:spacing w:line="100" w:lineRule="exact"/>
              <w:ind w:left="237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𝐭</w:t>
              <w:tab/>
              <w:t>𝒕</w:t>
            </w:r>
          </w:p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13"/>
              </w:rPr>
            </w:pPr>
          </w:p>
          <w:p>
            <w:pPr>
              <w:pStyle w:val="TableParagraph"/>
              <w:tabs>
                <w:tab w:pos="1093" w:val="left" w:leader="none"/>
                <w:tab w:pos="1734" w:val="left" w:leader="none"/>
              </w:tabs>
              <w:spacing w:line="198" w:lineRule="exact"/>
              <w:ind w:left="124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𝐬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𝐆</w:t>
            </w:r>
            <w:r>
              <w:rPr>
                <w:rFonts w:ascii="Cambria Math" w:eastAsia="Cambria Math"/>
                <w:spacing w:val="18"/>
                <w:w w:val="105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w w:val="105"/>
                <w:sz w:val="24"/>
                <w:vertAlign w:val="baseline"/>
              </w:rPr>
              <w:t>= </w:t>
            </w:r>
            <w:r>
              <w:rPr>
                <w:rFonts w:ascii="Cambria Math" w:eastAsia="Cambria Math"/>
                <w:spacing w:val="4"/>
                <w:w w:val="105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w w:val="105"/>
                <w:sz w:val="24"/>
                <w:vertAlign w:val="baseline"/>
              </w:rPr>
              <w:t>𝝆</w:t>
              <w:tab/>
              <w:t>𝒔𝒈</w:t>
              <w:tab/>
              <w:t>+</w:t>
            </w:r>
            <w:r>
              <w:rPr>
                <w:rFonts w:ascii="Cambria Math" w:eastAsia="Cambria Math"/>
                <w:spacing w:val="4"/>
                <w:w w:val="105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w w:val="105"/>
                <w:sz w:val="24"/>
                <w:vertAlign w:val="baseline"/>
              </w:rPr>
              <w:t>𝗌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𝒈</w:t>
            </w:r>
          </w:p>
          <w:p>
            <w:pPr>
              <w:pStyle w:val="TableParagraph"/>
              <w:tabs>
                <w:tab w:pos="882" w:val="left" w:leader="none"/>
                <w:tab w:pos="1377" w:val="left" w:leader="none"/>
                <w:tab w:pos="2145" w:val="left" w:leader="none"/>
              </w:tabs>
              <w:spacing w:line="135" w:lineRule="exact"/>
              <w:ind w:left="237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position w:val="2"/>
                <w:sz w:val="17"/>
              </w:rPr>
              <w:t>𝐭</w:t>
              <w:tab/>
              <w:t>𝒔𝒈</w:t>
              <w:tab/>
              <w:t>𝒕−𝟏</w:t>
              <w:tab/>
            </w:r>
            <w:r>
              <w:rPr>
                <w:rFonts w:ascii="Cambria Math" w:hAnsi="Cambria Math" w:eastAsia="Cambria Math"/>
                <w:sz w:val="17"/>
              </w:rPr>
              <w:t>𝒕</w:t>
            </w: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line="240" w:lineRule="exact" w:before="111"/>
              <w:ind w:left="124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w w:val="105"/>
                <w:sz w:val="24"/>
              </w:rPr>
              <w:t>𝑟</w:t>
            </w:r>
            <w:r>
              <w:rPr>
                <w:rFonts w:ascii="Cambria Math" w:hAnsi="Cambria Math" w:eastAsia="Cambria Math"/>
                <w:w w:val="105"/>
                <w:position w:val="-4"/>
                <w:sz w:val="17"/>
              </w:rPr>
              <w:t>𝒕</w:t>
            </w:r>
            <w:r>
              <w:rPr>
                <w:rFonts w:ascii="Cambria Math" w:hAnsi="Cambria Math" w:eastAsia="Cambria Math"/>
                <w:spacing w:val="35"/>
                <w:w w:val="105"/>
                <w:position w:val="-4"/>
                <w:sz w:val="17"/>
              </w:rPr>
              <w:t> </w:t>
            </w:r>
            <w:r>
              <w:rPr>
                <w:rFonts w:ascii="Cambria Math" w:hAnsi="Cambria Math" w:eastAsia="Cambria Math"/>
                <w:w w:val="105"/>
                <w:sz w:val="24"/>
              </w:rPr>
              <w:t>=</w:t>
            </w:r>
            <w:r>
              <w:rPr>
                <w:rFonts w:ascii="Cambria Math" w:hAnsi="Cambria Math" w:eastAsia="Cambria Math"/>
                <w:spacing w:val="7"/>
                <w:w w:val="105"/>
                <w:sz w:val="24"/>
              </w:rPr>
              <w:t> </w:t>
            </w:r>
            <w:r>
              <w:rPr>
                <w:rFonts w:ascii="Cambria Math" w:hAnsi="Cambria Math" w:eastAsia="Cambria Math"/>
                <w:w w:val="105"/>
                <w:sz w:val="24"/>
              </w:rPr>
              <w:t>𝝆</w:t>
            </w:r>
            <w:r>
              <w:rPr>
                <w:rFonts w:ascii="Cambria Math" w:hAnsi="Cambria Math" w:eastAsia="Cambria Math"/>
                <w:w w:val="105"/>
                <w:position w:val="-4"/>
                <w:sz w:val="17"/>
              </w:rPr>
              <w:t>𝑟</w:t>
            </w:r>
            <w:r>
              <w:rPr>
                <w:rFonts w:ascii="Cambria Math" w:hAnsi="Cambria Math" w:eastAsia="Cambria Math"/>
                <w:w w:val="105"/>
                <w:sz w:val="24"/>
              </w:rPr>
              <w:t>𝑟</w:t>
            </w:r>
            <w:r>
              <w:rPr>
                <w:rFonts w:ascii="Cambria Math" w:hAnsi="Cambria Math" w:eastAsia="Cambria Math"/>
                <w:w w:val="105"/>
                <w:position w:val="-4"/>
                <w:sz w:val="17"/>
              </w:rPr>
              <w:t>𝒕−𝟏</w:t>
            </w:r>
            <w:r>
              <w:rPr>
                <w:rFonts w:ascii="Cambria Math" w:hAnsi="Cambria Math" w:eastAsia="Cambria Math"/>
                <w:spacing w:val="20"/>
                <w:w w:val="105"/>
                <w:position w:val="-4"/>
                <w:sz w:val="17"/>
              </w:rPr>
              <w:t> </w:t>
            </w:r>
            <w:r>
              <w:rPr>
                <w:rFonts w:ascii="Cambria Math" w:hAnsi="Cambria Math" w:eastAsia="Cambria Math"/>
                <w:w w:val="105"/>
                <w:sz w:val="24"/>
              </w:rPr>
              <w:t>+</w:t>
            </w:r>
            <w:r>
              <w:rPr>
                <w:rFonts w:ascii="Cambria Math" w:hAnsi="Cambria Math" w:eastAsia="Cambria Math"/>
                <w:spacing w:val="-5"/>
                <w:w w:val="105"/>
                <w:sz w:val="24"/>
              </w:rPr>
              <w:t> </w:t>
            </w:r>
            <w:r>
              <w:rPr>
                <w:rFonts w:ascii="Cambria Math" w:hAnsi="Cambria Math" w:eastAsia="Cambria Math"/>
                <w:w w:val="105"/>
                <w:sz w:val="24"/>
              </w:rPr>
              <w:t>𝗌</w:t>
            </w:r>
            <w:r>
              <w:rPr>
                <w:rFonts w:ascii="Cambria Math" w:hAnsi="Cambria Math" w:eastAsia="Cambria Math"/>
                <w:w w:val="105"/>
                <w:position w:val="9"/>
                <w:sz w:val="17"/>
              </w:rPr>
              <w:t>𝑟</w:t>
            </w:r>
          </w:p>
          <w:p>
            <w:pPr>
              <w:pStyle w:val="TableParagraph"/>
              <w:spacing w:line="100" w:lineRule="exact"/>
              <w:ind w:left="1061" w:right="1684"/>
              <w:jc w:val="center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𝒕</w:t>
            </w:r>
          </w:p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13"/>
              </w:rPr>
            </w:pPr>
          </w:p>
          <w:p>
            <w:pPr>
              <w:pStyle w:val="TableParagraph"/>
              <w:tabs>
                <w:tab w:pos="1681" w:val="left" w:leader="none"/>
              </w:tabs>
              <w:spacing w:line="198" w:lineRule="exact" w:before="1"/>
              <w:ind w:left="124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𝐬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𝐲</w:t>
            </w:r>
            <w:r>
              <w:rPr>
                <w:rFonts w:ascii="Cambria Math" w:eastAsia="Cambria Math"/>
                <w:spacing w:val="18"/>
                <w:w w:val="105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w w:val="105"/>
                <w:sz w:val="24"/>
                <w:vertAlign w:val="baseline"/>
              </w:rPr>
              <w:t>=  𝝆  </w:t>
            </w:r>
            <w:r>
              <w:rPr>
                <w:rFonts w:ascii="Cambria Math" w:eastAsia="Cambria Math"/>
                <w:spacing w:val="19"/>
                <w:w w:val="105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w w:val="105"/>
                <w:sz w:val="24"/>
                <w:vertAlign w:val="baseline"/>
              </w:rPr>
              <w:t>𝒔𝒚</w:t>
              <w:tab/>
              <w:t>+ </w:t>
            </w:r>
            <w:r>
              <w:rPr>
                <w:rFonts w:ascii="Cambria Math" w:eastAsia="Cambria Math"/>
                <w:spacing w:val="9"/>
                <w:w w:val="105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w w:val="105"/>
                <w:sz w:val="24"/>
                <w:vertAlign w:val="baseline"/>
              </w:rPr>
              <w:t>𝗌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𝒚</w:t>
            </w:r>
          </w:p>
          <w:p>
            <w:pPr>
              <w:pStyle w:val="TableParagraph"/>
              <w:tabs>
                <w:tab w:pos="861" w:val="left" w:leader="none"/>
                <w:tab w:pos="1321" w:val="left" w:leader="none"/>
                <w:tab w:pos="2092" w:val="left" w:leader="none"/>
              </w:tabs>
              <w:spacing w:line="135" w:lineRule="exact"/>
              <w:ind w:left="237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sz w:val="17"/>
              </w:rPr>
              <w:t>𝐭</w:t>
              <w:tab/>
            </w:r>
            <w:r>
              <w:rPr>
                <w:rFonts w:ascii="Cambria Math" w:hAnsi="Cambria Math" w:eastAsia="Cambria Math"/>
                <w:position w:val="2"/>
                <w:sz w:val="17"/>
              </w:rPr>
              <w:t>𝒔𝒚</w:t>
              <w:tab/>
              <w:t>𝒕−𝟏</w:t>
              <w:tab/>
            </w:r>
            <w:r>
              <w:rPr>
                <w:rFonts w:ascii="Cambria Math" w:hAnsi="Cambria Math" w:eastAsia="Cambria Math"/>
                <w:sz w:val="17"/>
              </w:rPr>
              <w:t>𝒕</w:t>
            </w: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line="240" w:lineRule="exact" w:before="123"/>
              <w:ind w:left="124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sz w:val="24"/>
              </w:rPr>
              <w:t>𝐬</w:t>
            </w:r>
            <w:r>
              <w:rPr>
                <w:rFonts w:ascii="Cambria Math" w:hAnsi="Cambria Math" w:eastAsia="Cambria Math"/>
                <w:position w:val="9"/>
                <w:sz w:val="17"/>
              </w:rPr>
              <w:t>𝛑𝐃</w:t>
            </w:r>
            <w:r>
              <w:rPr>
                <w:rFonts w:ascii="Cambria Math" w:hAnsi="Cambria Math" w:eastAsia="Cambria Math"/>
                <w:spacing w:val="9"/>
                <w:position w:val="9"/>
                <w:sz w:val="17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=</w:t>
            </w:r>
            <w:r>
              <w:rPr>
                <w:rFonts w:ascii="Cambria Math" w:hAnsi="Cambria Math" w:eastAsia="Cambria Math"/>
                <w:spacing w:val="75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𝝆</w:t>
            </w:r>
            <w:r>
              <w:rPr>
                <w:rFonts w:ascii="Cambria Math" w:hAnsi="Cambria Math" w:eastAsia="Cambria Math"/>
                <w:position w:val="-4"/>
                <w:sz w:val="17"/>
              </w:rPr>
              <w:t>𝝅𝑫</w:t>
            </w:r>
            <w:r>
              <w:rPr>
                <w:rFonts w:ascii="Cambria Math" w:hAnsi="Cambria Math" w:eastAsia="Cambria Math"/>
                <w:sz w:val="24"/>
              </w:rPr>
              <w:t>𝒔𝝅</w:t>
            </w:r>
            <w:r>
              <w:rPr>
                <w:rFonts w:ascii="Cambria Math" w:hAnsi="Cambria Math" w:eastAsia="Cambria Math"/>
                <w:position w:val="-4"/>
                <w:sz w:val="17"/>
              </w:rPr>
              <w:t>𝒕−𝟏</w:t>
            </w:r>
            <w:r>
              <w:rPr>
                <w:rFonts w:ascii="Cambria Math" w:hAnsi="Cambria Math" w:eastAsia="Cambria Math"/>
                <w:spacing w:val="28"/>
                <w:position w:val="-4"/>
                <w:sz w:val="17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+</w:t>
            </w:r>
            <w:r>
              <w:rPr>
                <w:rFonts w:ascii="Cambria Math" w:hAnsi="Cambria Math" w:eastAsia="Cambria Math"/>
                <w:spacing w:val="63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𝗌</w:t>
            </w:r>
            <w:r>
              <w:rPr>
                <w:rFonts w:ascii="Cambria Math" w:hAnsi="Cambria Math" w:eastAsia="Cambria Math"/>
                <w:position w:val="9"/>
                <w:sz w:val="17"/>
              </w:rPr>
              <w:t>𝝅𝑫</w:t>
            </w:r>
          </w:p>
          <w:p>
            <w:pPr>
              <w:pStyle w:val="TableParagraph"/>
              <w:tabs>
                <w:tab w:pos="2313" w:val="left" w:leader="none"/>
              </w:tabs>
              <w:spacing w:line="100" w:lineRule="exact"/>
              <w:ind w:left="237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𝐭</w:t>
              <w:tab/>
              <w:t>𝒕</w:t>
            </w:r>
          </w:p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exact" w:before="115"/>
              <w:ind w:left="124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sz w:val="24"/>
              </w:rPr>
              <w:t>𝒔𝒓𝒏</w:t>
            </w:r>
            <w:r>
              <w:rPr>
                <w:rFonts w:ascii="Cambria Math" w:hAnsi="Cambria Math" w:eastAsia="Cambria Math"/>
                <w:position w:val="-4"/>
                <w:sz w:val="17"/>
              </w:rPr>
              <w:t>𝒕</w:t>
            </w:r>
            <w:r>
              <w:rPr>
                <w:rFonts w:ascii="Cambria Math" w:hAnsi="Cambria Math" w:eastAsia="Cambria Math"/>
                <w:spacing w:val="8"/>
                <w:position w:val="-4"/>
                <w:sz w:val="17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=</w:t>
            </w:r>
            <w:r>
              <w:rPr>
                <w:rFonts w:ascii="Cambria Math" w:hAnsi="Cambria Math" w:eastAsia="Cambria Math"/>
                <w:spacing w:val="21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𝝆</w:t>
            </w:r>
            <w:r>
              <w:rPr>
                <w:rFonts w:ascii="Cambria Math" w:hAnsi="Cambria Math" w:eastAsia="Cambria Math"/>
                <w:position w:val="-4"/>
                <w:sz w:val="17"/>
              </w:rPr>
              <w:t>𝒔𝒓𝒏</w:t>
            </w:r>
            <w:r>
              <w:rPr>
                <w:rFonts w:ascii="Cambria Math" w:hAnsi="Cambria Math" w:eastAsia="Cambria Math"/>
                <w:sz w:val="24"/>
              </w:rPr>
              <w:t>𝒓𝒏</w:t>
            </w:r>
            <w:r>
              <w:rPr>
                <w:rFonts w:ascii="Cambria Math" w:hAnsi="Cambria Math" w:eastAsia="Cambria Math"/>
                <w:position w:val="-4"/>
                <w:sz w:val="17"/>
              </w:rPr>
              <w:t>𝒕−𝟏</w:t>
            </w:r>
            <w:r>
              <w:rPr>
                <w:rFonts w:ascii="Cambria Math" w:hAnsi="Cambria Math" w:eastAsia="Cambria Math"/>
                <w:spacing w:val="28"/>
                <w:position w:val="-4"/>
                <w:sz w:val="17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+</w:t>
            </w:r>
            <w:r>
              <w:rPr>
                <w:rFonts w:ascii="Cambria Math" w:hAnsi="Cambria Math" w:eastAsia="Cambria Math"/>
                <w:spacing w:val="6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𝗌</w:t>
            </w:r>
            <w:r>
              <w:rPr>
                <w:rFonts w:ascii="Cambria Math" w:hAnsi="Cambria Math" w:eastAsia="Cambria Math"/>
                <w:position w:val="9"/>
                <w:sz w:val="17"/>
              </w:rPr>
              <w:t>𝒓𝒏</w:t>
            </w:r>
          </w:p>
          <w:p>
            <w:pPr>
              <w:pStyle w:val="TableParagraph"/>
              <w:spacing w:line="100" w:lineRule="exact"/>
              <w:ind w:left="1706" w:right="1040"/>
              <w:jc w:val="center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𝒕</w:t>
            </w:r>
          </w:p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exact" w:before="129"/>
              <w:ind w:left="124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sz w:val="24"/>
              </w:rPr>
              <w:t>𝑻𝑷</w:t>
            </w:r>
            <w:r>
              <w:rPr>
                <w:rFonts w:ascii="Cambria Math" w:hAnsi="Cambria Math" w:eastAsia="Cambria Math"/>
                <w:position w:val="-4"/>
                <w:sz w:val="17"/>
              </w:rPr>
              <w:t>𝒕</w:t>
            </w:r>
            <w:r>
              <w:rPr>
                <w:rFonts w:ascii="Cambria Math" w:hAnsi="Cambria Math" w:eastAsia="Cambria Math"/>
                <w:spacing w:val="48"/>
                <w:position w:val="-4"/>
                <w:sz w:val="17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=</w:t>
            </w:r>
            <w:r>
              <w:rPr>
                <w:rFonts w:ascii="Cambria Math" w:hAnsi="Cambria Math" w:eastAsia="Cambria Math"/>
                <w:spacing w:val="20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𝝆</w:t>
            </w:r>
            <w:r>
              <w:rPr>
                <w:rFonts w:ascii="Cambria Math" w:hAnsi="Cambria Math" w:eastAsia="Cambria Math"/>
                <w:position w:val="-4"/>
                <w:sz w:val="17"/>
              </w:rPr>
              <w:t>𝑻𝑷</w:t>
            </w:r>
            <w:r>
              <w:rPr>
                <w:rFonts w:ascii="Cambria Math" w:hAnsi="Cambria Math" w:eastAsia="Cambria Math"/>
                <w:sz w:val="24"/>
              </w:rPr>
              <w:t>𝑻𝑷</w:t>
            </w:r>
            <w:r>
              <w:rPr>
                <w:rFonts w:ascii="Cambria Math" w:hAnsi="Cambria Math" w:eastAsia="Cambria Math"/>
                <w:position w:val="-4"/>
                <w:sz w:val="17"/>
              </w:rPr>
              <w:t>𝒕−𝟏</w:t>
            </w:r>
            <w:r>
              <w:rPr>
                <w:rFonts w:ascii="Cambria Math" w:hAnsi="Cambria Math" w:eastAsia="Cambria Math"/>
                <w:spacing w:val="31"/>
                <w:position w:val="-4"/>
                <w:sz w:val="17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+</w:t>
            </w:r>
            <w:r>
              <w:rPr>
                <w:rFonts w:ascii="Cambria Math" w:hAnsi="Cambria Math" w:eastAsia="Cambria Math"/>
                <w:spacing w:val="6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𝗌</w:t>
            </w:r>
            <w:r>
              <w:rPr>
                <w:rFonts w:ascii="Cambria Math" w:hAnsi="Cambria Math" w:eastAsia="Cambria Math"/>
                <w:position w:val="9"/>
                <w:sz w:val="17"/>
              </w:rPr>
              <w:t>𝑻𝑷</w:t>
            </w:r>
          </w:p>
          <w:p>
            <w:pPr>
              <w:pStyle w:val="TableParagraph"/>
              <w:spacing w:line="100" w:lineRule="exact"/>
              <w:ind w:left="1706" w:right="1289"/>
              <w:jc w:val="center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𝒕</w:t>
            </w:r>
          </w:p>
        </w:tc>
        <w:tc>
          <w:tcPr>
            <w:tcW w:w="263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74"/>
              <w:ind w:left="1577"/>
              <w:rPr>
                <w:b/>
                <w:sz w:val="24"/>
              </w:rPr>
            </w:pPr>
            <w:r>
              <w:rPr>
                <w:b/>
                <w:sz w:val="24"/>
              </w:rPr>
              <w:t>4.100</w:t>
            </w:r>
          </w:p>
          <w:p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577"/>
              <w:rPr>
                <w:b/>
                <w:sz w:val="24"/>
              </w:rPr>
            </w:pPr>
            <w:r>
              <w:rPr>
                <w:b/>
                <w:sz w:val="24"/>
              </w:rPr>
              <w:t>4.101</w:t>
            </w:r>
          </w:p>
          <w:p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577"/>
              <w:rPr>
                <w:b/>
                <w:sz w:val="24"/>
              </w:rPr>
            </w:pPr>
            <w:r>
              <w:rPr>
                <w:b/>
                <w:sz w:val="24"/>
              </w:rPr>
              <w:t>4.102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ind w:left="1577"/>
              <w:rPr>
                <w:b/>
                <w:sz w:val="24"/>
              </w:rPr>
            </w:pPr>
            <w:r>
              <w:rPr>
                <w:b/>
                <w:sz w:val="24"/>
              </w:rPr>
              <w:t>4.103</w:t>
            </w:r>
          </w:p>
          <w:p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577"/>
              <w:rPr>
                <w:b/>
                <w:sz w:val="24"/>
              </w:rPr>
            </w:pPr>
            <w:r>
              <w:rPr>
                <w:b/>
                <w:sz w:val="24"/>
              </w:rPr>
              <w:t>4.104</w:t>
            </w:r>
          </w:p>
          <w:p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577"/>
              <w:rPr>
                <w:b/>
                <w:sz w:val="24"/>
              </w:rPr>
            </w:pPr>
            <w:r>
              <w:rPr>
                <w:b/>
                <w:sz w:val="24"/>
              </w:rPr>
              <w:t>4.105</w:t>
            </w:r>
          </w:p>
          <w:p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577"/>
              <w:rPr>
                <w:b/>
                <w:sz w:val="24"/>
              </w:rPr>
            </w:pPr>
            <w:r>
              <w:rPr>
                <w:b/>
                <w:sz w:val="24"/>
              </w:rPr>
              <w:t>4.106</w:t>
            </w:r>
          </w:p>
          <w:p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577"/>
              <w:rPr>
                <w:b/>
                <w:sz w:val="24"/>
              </w:rPr>
            </w:pPr>
            <w:r>
              <w:rPr>
                <w:b/>
                <w:sz w:val="24"/>
              </w:rPr>
              <w:t>4.40</w:t>
            </w:r>
          </w:p>
        </w:tc>
      </w:tr>
    </w:tbl>
    <w:p>
      <w:pPr>
        <w:spacing w:line="275" w:lineRule="exact" w:before="0"/>
        <w:ind w:left="500" w:right="0" w:firstLine="0"/>
        <w:jc w:val="left"/>
        <w:rPr>
          <w:b/>
          <w:sz w:val="24"/>
        </w:rPr>
      </w:pPr>
      <w:r>
        <w:rPr>
          <w:b/>
          <w:w w:val="99"/>
          <w:sz w:val="24"/>
        </w:rPr>
        <w:t>:</w:t>
      </w:r>
    </w:p>
    <w:p>
      <w:pPr>
        <w:spacing w:after="0" w:line="275" w:lineRule="exact"/>
        <w:jc w:val="left"/>
        <w:rPr>
          <w:sz w:val="24"/>
        </w:rPr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72" w:after="8"/>
        <w:ind w:left="1335" w:right="1335"/>
        <w:jc w:val="center"/>
      </w:pPr>
      <w:r>
        <w:rPr/>
        <w:t>Table</w:t>
      </w:r>
      <w:r>
        <w:rPr>
          <w:spacing w:val="-2"/>
        </w:rPr>
        <w:t> </w:t>
      </w:r>
      <w:r>
        <w:rPr/>
        <w:t>4.3: List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estimated</w:t>
      </w: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7"/>
        <w:gridCol w:w="2388"/>
        <w:gridCol w:w="1259"/>
        <w:gridCol w:w="811"/>
        <w:gridCol w:w="988"/>
        <w:gridCol w:w="2354"/>
      </w:tblGrid>
      <w:tr>
        <w:trPr>
          <w:trHeight w:val="690" w:hRule="atLeast"/>
        </w:trPr>
        <w:tc>
          <w:tcPr>
            <w:tcW w:w="1207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Symbol</w:t>
            </w:r>
          </w:p>
        </w:tc>
        <w:tc>
          <w:tcPr>
            <w:tcW w:w="2388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Parameters</w:t>
            </w:r>
          </w:p>
        </w:tc>
        <w:tc>
          <w:tcPr>
            <w:tcW w:w="1259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Distribution</w:t>
            </w:r>
          </w:p>
        </w:tc>
        <w:tc>
          <w:tcPr>
            <w:tcW w:w="811" w:type="dxa"/>
          </w:tcPr>
          <w:p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Mean</w:t>
            </w:r>
          </w:p>
        </w:tc>
        <w:tc>
          <w:tcPr>
            <w:tcW w:w="988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Standard</w:t>
            </w:r>
          </w:p>
          <w:p>
            <w:pPr>
              <w:pStyle w:val="TableParagraph"/>
              <w:spacing w:before="115"/>
              <w:rPr>
                <w:sz w:val="20"/>
              </w:rPr>
            </w:pPr>
            <w:r>
              <w:rPr>
                <w:sz w:val="20"/>
              </w:rPr>
              <w:t>deviation</w:t>
            </w:r>
          </w:p>
        </w:tc>
        <w:tc>
          <w:tcPr>
            <w:tcW w:w="2354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Reference</w:t>
            </w:r>
          </w:p>
        </w:tc>
      </w:tr>
      <w:tr>
        <w:trPr>
          <w:trHeight w:val="429" w:hRule="atLeast"/>
        </w:trPr>
        <w:tc>
          <w:tcPr>
            <w:tcW w:w="1207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H</w:t>
            </w:r>
          </w:p>
        </w:tc>
        <w:tc>
          <w:tcPr>
            <w:tcW w:w="2388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Habit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formation</w:t>
            </w:r>
          </w:p>
        </w:tc>
        <w:tc>
          <w:tcPr>
            <w:tcW w:w="1259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Beta</w:t>
            </w:r>
          </w:p>
        </w:tc>
        <w:tc>
          <w:tcPr>
            <w:tcW w:w="81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0.70</w:t>
            </w:r>
          </w:p>
        </w:tc>
        <w:tc>
          <w:tcPr>
            <w:tcW w:w="988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354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Almeida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(2010)</w:t>
            </w:r>
          </w:p>
        </w:tc>
      </w:tr>
      <w:tr>
        <w:trPr>
          <w:trHeight w:val="659" w:hRule="atLeast"/>
        </w:trPr>
        <w:tc>
          <w:tcPr>
            <w:tcW w:w="1207" w:type="dxa"/>
          </w:tcPr>
          <w:p>
            <w:pPr>
              <w:pStyle w:val="TableParagraph"/>
              <w:spacing w:line="231" w:lineRule="exact"/>
              <w:rPr>
                <w:rFonts w:ascii="Cambria Math" w:eastAsia="Cambria Math"/>
                <w:sz w:val="20"/>
              </w:rPr>
            </w:pPr>
            <w:r>
              <w:rPr>
                <w:sz w:val="20"/>
              </w:rPr>
              <w:t>Sigma (</w:t>
            </w:r>
            <w:r>
              <w:rPr>
                <w:rFonts w:ascii="Cambria Math" w:eastAsia="Cambria Math"/>
                <w:sz w:val="20"/>
              </w:rPr>
              <w:t>𝜎)</w:t>
            </w:r>
          </w:p>
        </w:tc>
        <w:tc>
          <w:tcPr>
            <w:tcW w:w="2388" w:type="dxa"/>
          </w:tcPr>
          <w:p>
            <w:pPr>
              <w:pStyle w:val="TableParagraph"/>
              <w:spacing w:line="242" w:lineRule="auto"/>
              <w:ind w:right="690"/>
              <w:rPr>
                <w:sz w:val="20"/>
              </w:rPr>
            </w:pPr>
            <w:r>
              <w:rPr>
                <w:sz w:val="20"/>
              </w:rPr>
              <w:t>Inverse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elasticity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substitution</w:t>
            </w:r>
          </w:p>
        </w:tc>
        <w:tc>
          <w:tcPr>
            <w:tcW w:w="1259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Normal</w:t>
            </w:r>
          </w:p>
        </w:tc>
        <w:tc>
          <w:tcPr>
            <w:tcW w:w="81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988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1.00</w:t>
            </w:r>
          </w:p>
        </w:tc>
        <w:tc>
          <w:tcPr>
            <w:tcW w:w="2354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Cebi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(2011)</w:t>
            </w:r>
          </w:p>
        </w:tc>
      </w:tr>
      <w:tr>
        <w:trPr>
          <w:trHeight w:val="690" w:hRule="atLeast"/>
        </w:trPr>
        <w:tc>
          <w:tcPr>
            <w:tcW w:w="1207" w:type="dxa"/>
          </w:tcPr>
          <w:p>
            <w:pPr>
              <w:pStyle w:val="TableParagraph"/>
              <w:spacing w:line="231" w:lineRule="exact"/>
              <w:rPr>
                <w:rFonts w:ascii="Cambria Math" w:eastAsia="Cambria Math"/>
                <w:sz w:val="20"/>
              </w:rPr>
            </w:pPr>
            <w:r>
              <w:rPr>
                <w:w w:val="90"/>
                <w:sz w:val="20"/>
              </w:rPr>
              <w:t>Psi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</w:t>
            </w:r>
            <w:r>
              <w:rPr>
                <w:rFonts w:ascii="Cambria Math" w:eastAsia="Cambria Math"/>
                <w:w w:val="90"/>
                <w:sz w:val="20"/>
              </w:rPr>
              <w:t>)</w:t>
            </w:r>
          </w:p>
        </w:tc>
        <w:tc>
          <w:tcPr>
            <w:tcW w:w="2388" w:type="dxa"/>
          </w:tcPr>
          <w:p>
            <w:pPr>
              <w:pStyle w:val="TableParagraph"/>
              <w:spacing w:line="242" w:lineRule="auto"/>
              <w:ind w:right="384"/>
              <w:rPr>
                <w:sz w:val="20"/>
              </w:rPr>
            </w:pPr>
            <w:r>
              <w:rPr>
                <w:sz w:val="20"/>
              </w:rPr>
              <w:t>Share of non-Ricardian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household</w:t>
            </w:r>
          </w:p>
        </w:tc>
        <w:tc>
          <w:tcPr>
            <w:tcW w:w="1259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Beta</w:t>
            </w:r>
          </w:p>
        </w:tc>
        <w:tc>
          <w:tcPr>
            <w:tcW w:w="81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0.70</w:t>
            </w:r>
          </w:p>
        </w:tc>
        <w:tc>
          <w:tcPr>
            <w:tcW w:w="988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354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Value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informed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Iwata</w:t>
            </w:r>
          </w:p>
          <w:p>
            <w:pPr>
              <w:pStyle w:val="TableParagraph"/>
              <w:spacing w:before="115"/>
              <w:ind w:left="110"/>
              <w:rPr>
                <w:sz w:val="20"/>
              </w:rPr>
            </w:pPr>
            <w:r>
              <w:rPr>
                <w:sz w:val="20"/>
              </w:rPr>
              <w:t>(2009)</w:t>
            </w:r>
          </w:p>
        </w:tc>
      </w:tr>
      <w:tr>
        <w:trPr>
          <w:trHeight w:val="688" w:hRule="atLeast"/>
        </w:trPr>
        <w:tc>
          <w:tcPr>
            <w:tcW w:w="1207" w:type="dxa"/>
          </w:tcPr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z w:val="20"/>
              </w:rPr>
              <w:t>alpha (</w:t>
            </w:r>
            <w:r>
              <w:rPr>
                <w:rFonts w:ascii="Cambria Math" w:eastAsia="Cambria Math"/>
                <w:sz w:val="20"/>
              </w:rPr>
              <w:t>𝛼</w:t>
            </w:r>
            <w:r>
              <w:rPr>
                <w:sz w:val="20"/>
              </w:rPr>
              <w:t>)</w:t>
            </w:r>
          </w:p>
        </w:tc>
        <w:tc>
          <w:tcPr>
            <w:tcW w:w="2388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Degree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openness</w:t>
            </w:r>
          </w:p>
        </w:tc>
        <w:tc>
          <w:tcPr>
            <w:tcW w:w="1259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Beta</w:t>
            </w:r>
          </w:p>
        </w:tc>
        <w:tc>
          <w:tcPr>
            <w:tcW w:w="81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0.40</w:t>
            </w:r>
          </w:p>
        </w:tc>
        <w:tc>
          <w:tcPr>
            <w:tcW w:w="988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354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average</w:t>
            </w:r>
            <w:r>
              <w:rPr>
                <w:spacing w:val="74"/>
                <w:sz w:val="20"/>
              </w:rPr>
              <w:t> </w:t>
            </w:r>
            <w:r>
              <w:rPr>
                <w:sz w:val="20"/>
              </w:rPr>
              <w:t>value  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of  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trade</w:t>
            </w:r>
          </w:p>
          <w:p>
            <w:pPr>
              <w:pStyle w:val="TableParagraph"/>
              <w:spacing w:line="230" w:lineRule="atLeas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openness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Nigeria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(1960-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2015)</w:t>
            </w:r>
          </w:p>
        </w:tc>
      </w:tr>
      <w:tr>
        <w:trPr>
          <w:trHeight w:val="436" w:hRule="atLeast"/>
        </w:trPr>
        <w:tc>
          <w:tcPr>
            <w:tcW w:w="120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Phi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</w:t>
            </w:r>
            <w:r>
              <w:rPr>
                <w:rFonts w:ascii="Cambria Math" w:eastAsia="Cambria Math"/>
                <w:w w:val="90"/>
                <w:sz w:val="20"/>
              </w:rPr>
              <w:t/>
            </w:r>
            <w:r>
              <w:rPr>
                <w:w w:val="90"/>
                <w:sz w:val="20"/>
              </w:rPr>
              <w:t>)</w:t>
            </w:r>
          </w:p>
        </w:tc>
        <w:tc>
          <w:tcPr>
            <w:tcW w:w="2388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Inverse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elasticity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labour</w:t>
            </w:r>
          </w:p>
        </w:tc>
        <w:tc>
          <w:tcPr>
            <w:tcW w:w="1259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Normal</w:t>
            </w:r>
          </w:p>
        </w:tc>
        <w:tc>
          <w:tcPr>
            <w:tcW w:w="811" w:type="dxa"/>
          </w:tcPr>
          <w:p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4.38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2.00</w:t>
            </w:r>
          </w:p>
        </w:tc>
        <w:tc>
          <w:tcPr>
            <w:tcW w:w="2354" w:type="dxa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Adegboye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(2015)</w:t>
            </w:r>
          </w:p>
        </w:tc>
      </w:tr>
      <w:tr>
        <w:trPr>
          <w:trHeight w:val="889" w:hRule="atLeast"/>
        </w:trPr>
        <w:tc>
          <w:tcPr>
            <w:tcW w:w="1207" w:type="dxa"/>
          </w:tcPr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z w:val="20"/>
              </w:rPr>
              <w:t>eta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rFonts w:ascii="Cambria Math" w:eastAsia="Cambria Math"/>
                <w:sz w:val="20"/>
              </w:rPr>
              <w:t>𝜂</w:t>
            </w:r>
            <w:r>
              <w:rPr>
                <w:sz w:val="20"/>
              </w:rPr>
              <w:t>)</w:t>
            </w:r>
          </w:p>
        </w:tc>
        <w:tc>
          <w:tcPr>
            <w:tcW w:w="2388" w:type="dxa"/>
          </w:tcPr>
          <w:p>
            <w:pPr>
              <w:pStyle w:val="TableParagraph"/>
              <w:ind w:right="143"/>
              <w:rPr>
                <w:sz w:val="20"/>
              </w:rPr>
            </w:pPr>
            <w:r>
              <w:rPr>
                <w:sz w:val="20"/>
              </w:rPr>
              <w:t>Elasticity of substitution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between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foreign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goods</w:t>
            </w:r>
          </w:p>
        </w:tc>
        <w:tc>
          <w:tcPr>
            <w:tcW w:w="1259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Gamma</w:t>
            </w:r>
          </w:p>
        </w:tc>
        <w:tc>
          <w:tcPr>
            <w:tcW w:w="81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11.42</w:t>
            </w:r>
          </w:p>
        </w:tc>
        <w:tc>
          <w:tcPr>
            <w:tcW w:w="988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1.00</w:t>
            </w:r>
          </w:p>
        </w:tc>
        <w:tc>
          <w:tcPr>
            <w:tcW w:w="2354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Adegboye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(2015)</w:t>
            </w:r>
          </w:p>
        </w:tc>
      </w:tr>
      <w:tr>
        <w:trPr>
          <w:trHeight w:val="434" w:hRule="atLeast"/>
        </w:trPr>
        <w:tc>
          <w:tcPr>
            <w:tcW w:w="1207" w:type="dxa"/>
          </w:tcPr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z w:val="20"/>
              </w:rPr>
              <w:t>Theta (</w:t>
            </w:r>
            <w:r>
              <w:rPr>
                <w:rFonts w:ascii="Cambria Math" w:eastAsia="Cambria Math"/>
                <w:sz w:val="20"/>
              </w:rPr>
              <w:t>𝜃</w:t>
            </w:r>
            <w:r>
              <w:rPr>
                <w:sz w:val="20"/>
              </w:rPr>
              <w:t>)</w:t>
            </w:r>
          </w:p>
        </w:tc>
        <w:tc>
          <w:tcPr>
            <w:tcW w:w="2388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Calvo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Price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Stickiness</w:t>
            </w:r>
          </w:p>
        </w:tc>
        <w:tc>
          <w:tcPr>
            <w:tcW w:w="1259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Beta</w:t>
            </w:r>
          </w:p>
        </w:tc>
        <w:tc>
          <w:tcPr>
            <w:tcW w:w="81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0.50</w:t>
            </w:r>
          </w:p>
        </w:tc>
        <w:tc>
          <w:tcPr>
            <w:tcW w:w="988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354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Adegboye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(2015)</w:t>
            </w:r>
          </w:p>
        </w:tc>
      </w:tr>
      <w:tr>
        <w:trPr>
          <w:trHeight w:val="664" w:hRule="atLeast"/>
        </w:trPr>
        <w:tc>
          <w:tcPr>
            <w:tcW w:w="1207" w:type="dxa"/>
          </w:tcPr>
          <w:p>
            <w:pPr>
              <w:pStyle w:val="TableParagraph"/>
              <w:spacing w:line="244" w:lineRule="auto"/>
              <w:ind w:right="104"/>
              <w:rPr>
                <w:sz w:val="20"/>
              </w:rPr>
            </w:pPr>
            <w:r>
              <w:rPr>
                <w:spacing w:val="-1"/>
                <w:sz w:val="20"/>
              </w:rPr>
              <w:t>upssilon_pii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rFonts w:ascii="Cambria Math" w:eastAsia="Cambria Math"/>
                <w:sz w:val="20"/>
              </w:rPr>
              <w:t>𝑢</w:t>
            </w:r>
            <w:r>
              <w:rPr>
                <w:rFonts w:ascii="Cambria Math" w:eastAsia="Cambria Math"/>
                <w:position w:val="-3"/>
                <w:sz w:val="14"/>
              </w:rPr>
              <w:t>𝜋</w:t>
            </w:r>
            <w:r>
              <w:rPr>
                <w:sz w:val="20"/>
              </w:rPr>
              <w:t>)</w:t>
            </w:r>
          </w:p>
        </w:tc>
        <w:tc>
          <w:tcPr>
            <w:tcW w:w="2388" w:type="dxa"/>
          </w:tcPr>
          <w:p>
            <w:pPr>
              <w:pStyle w:val="TableParagraph"/>
              <w:spacing w:line="242" w:lineRule="auto"/>
              <w:ind w:right="714"/>
              <w:rPr>
                <w:sz w:val="20"/>
              </w:rPr>
            </w:pPr>
            <w:r>
              <w:rPr>
                <w:sz w:val="20"/>
              </w:rPr>
              <w:t>Taylor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feedback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Inflation</w:t>
            </w:r>
          </w:p>
        </w:tc>
        <w:tc>
          <w:tcPr>
            <w:tcW w:w="1259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Gamma</w:t>
            </w:r>
          </w:p>
        </w:tc>
        <w:tc>
          <w:tcPr>
            <w:tcW w:w="81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1.50</w:t>
            </w:r>
          </w:p>
        </w:tc>
        <w:tc>
          <w:tcPr>
            <w:tcW w:w="988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2354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Gali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 Monacelli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(2005)</w:t>
            </w:r>
          </w:p>
        </w:tc>
      </w:tr>
      <w:tr>
        <w:trPr>
          <w:trHeight w:val="688" w:hRule="atLeast"/>
        </w:trPr>
        <w:tc>
          <w:tcPr>
            <w:tcW w:w="1207" w:type="dxa"/>
          </w:tcPr>
          <w:p>
            <w:pPr>
              <w:pStyle w:val="TableParagraph"/>
              <w:spacing w:line="244" w:lineRule="auto"/>
              <w:ind w:right="203"/>
              <w:rPr>
                <w:sz w:val="20"/>
              </w:rPr>
            </w:pPr>
            <w:r>
              <w:rPr>
                <w:sz w:val="20"/>
              </w:rPr>
              <w:t>upssilon_y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rFonts w:ascii="Cambria Math" w:eastAsia="Cambria Math"/>
                <w:sz w:val="20"/>
              </w:rPr>
              <w:t>𝑢</w:t>
            </w:r>
            <w:r>
              <w:rPr>
                <w:rFonts w:ascii="Cambria Math" w:eastAsia="Cambria Math"/>
                <w:position w:val="-3"/>
                <w:sz w:val="14"/>
              </w:rPr>
              <w:t>𝑦</w:t>
            </w:r>
            <w:r>
              <w:rPr>
                <w:sz w:val="20"/>
              </w:rPr>
              <w:t>)</w:t>
            </w:r>
          </w:p>
        </w:tc>
        <w:tc>
          <w:tcPr>
            <w:tcW w:w="2388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Taylor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feedback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Output</w:t>
            </w:r>
          </w:p>
        </w:tc>
        <w:tc>
          <w:tcPr>
            <w:tcW w:w="1259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Gamma</w:t>
            </w:r>
          </w:p>
        </w:tc>
        <w:tc>
          <w:tcPr>
            <w:tcW w:w="81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0.50</w:t>
            </w:r>
          </w:p>
        </w:tc>
        <w:tc>
          <w:tcPr>
            <w:tcW w:w="988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354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Gali (2008)</w:t>
            </w:r>
          </w:p>
        </w:tc>
      </w:tr>
      <w:tr>
        <w:trPr>
          <w:trHeight w:val="664" w:hRule="atLeast"/>
        </w:trPr>
        <w:tc>
          <w:tcPr>
            <w:tcW w:w="1207" w:type="dxa"/>
          </w:tcPr>
          <w:p>
            <w:pPr>
              <w:pStyle w:val="TableParagraph"/>
              <w:spacing w:line="244" w:lineRule="auto"/>
              <w:ind w:right="125"/>
              <w:rPr>
                <w:sz w:val="20"/>
              </w:rPr>
            </w:pPr>
            <w:r>
              <w:rPr>
                <w:spacing w:val="-1"/>
                <w:sz w:val="20"/>
              </w:rPr>
              <w:t>upssilon_ex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rFonts w:ascii="Cambria Math" w:eastAsia="Cambria Math"/>
                <w:sz w:val="20"/>
              </w:rPr>
              <w:t>𝑢</w:t>
            </w:r>
            <w:r>
              <w:rPr>
                <w:rFonts w:ascii="Cambria Math" w:eastAsia="Cambria Math"/>
                <w:position w:val="-3"/>
                <w:sz w:val="14"/>
              </w:rPr>
              <w:t>𝑒</w:t>
            </w:r>
            <w:r>
              <w:rPr>
                <w:sz w:val="20"/>
              </w:rPr>
              <w:t>)</w:t>
            </w:r>
          </w:p>
        </w:tc>
        <w:tc>
          <w:tcPr>
            <w:tcW w:w="2388" w:type="dxa"/>
          </w:tcPr>
          <w:p>
            <w:pPr>
              <w:pStyle w:val="TableParagraph"/>
              <w:spacing w:line="242" w:lineRule="auto"/>
              <w:ind w:right="714"/>
              <w:rPr>
                <w:sz w:val="20"/>
              </w:rPr>
            </w:pPr>
            <w:r>
              <w:rPr>
                <w:sz w:val="20"/>
              </w:rPr>
              <w:t>Taylor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feedback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exchange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rate</w:t>
            </w:r>
          </w:p>
        </w:tc>
        <w:tc>
          <w:tcPr>
            <w:tcW w:w="1259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Gamma</w:t>
            </w:r>
          </w:p>
        </w:tc>
        <w:tc>
          <w:tcPr>
            <w:tcW w:w="81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0.80</w:t>
            </w:r>
          </w:p>
        </w:tc>
        <w:tc>
          <w:tcPr>
            <w:tcW w:w="988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354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Adegboye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(2015)</w:t>
            </w:r>
          </w:p>
        </w:tc>
      </w:tr>
      <w:tr>
        <w:trPr>
          <w:trHeight w:val="433" w:hRule="atLeast"/>
        </w:trPr>
        <w:tc>
          <w:tcPr>
            <w:tcW w:w="1207" w:type="dxa"/>
          </w:tcPr>
          <w:p>
            <w:pPr>
              <w:pStyle w:val="TableParagraph"/>
              <w:spacing w:line="258" w:lineRule="exact"/>
              <w:rPr>
                <w:sz w:val="20"/>
              </w:rPr>
            </w:pPr>
            <w:r>
              <w:rPr>
                <w:sz w:val="20"/>
              </w:rPr>
              <w:t>rrho_r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rFonts w:ascii="Cambria Math" w:eastAsia="Cambria Math"/>
                <w:sz w:val="20"/>
              </w:rPr>
              <w:t>𝜌</w:t>
            </w:r>
            <w:r>
              <w:rPr>
                <w:rFonts w:ascii="Cambria Math" w:eastAsia="Cambria Math"/>
                <w:position w:val="-3"/>
                <w:sz w:val="14"/>
              </w:rPr>
              <w:t>𝑟</w:t>
            </w:r>
            <w:r>
              <w:rPr>
                <w:sz w:val="20"/>
              </w:rPr>
              <w:t>)</w:t>
            </w:r>
          </w:p>
        </w:tc>
        <w:tc>
          <w:tcPr>
            <w:tcW w:w="2388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Interest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rate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smoothening</w:t>
            </w:r>
          </w:p>
        </w:tc>
        <w:tc>
          <w:tcPr>
            <w:tcW w:w="1259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Beta</w:t>
            </w:r>
          </w:p>
        </w:tc>
        <w:tc>
          <w:tcPr>
            <w:tcW w:w="81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0.70</w:t>
            </w:r>
          </w:p>
        </w:tc>
        <w:tc>
          <w:tcPr>
            <w:tcW w:w="988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354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Serbaniou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(2012)</w:t>
            </w:r>
          </w:p>
        </w:tc>
      </w:tr>
      <w:tr>
        <w:trPr>
          <w:trHeight w:val="918" w:hRule="atLeast"/>
        </w:trPr>
        <w:tc>
          <w:tcPr>
            <w:tcW w:w="1207" w:type="dxa"/>
          </w:tcPr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chi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</w:t>
            </w:r>
            <w:r>
              <w:rPr>
                <w:rFonts w:ascii="Cambria Math" w:eastAsia="Cambria Math"/>
                <w:w w:val="90"/>
                <w:sz w:val="20"/>
              </w:rPr>
              <w:t/>
            </w:r>
            <w:r>
              <w:rPr>
                <w:w w:val="90"/>
                <w:sz w:val="20"/>
              </w:rPr>
              <w:t>)</w:t>
            </w:r>
          </w:p>
        </w:tc>
        <w:tc>
          <w:tcPr>
            <w:tcW w:w="2388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Degree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rent-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seeking</w:t>
            </w:r>
          </w:p>
        </w:tc>
        <w:tc>
          <w:tcPr>
            <w:tcW w:w="1259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Beta</w:t>
            </w:r>
          </w:p>
        </w:tc>
        <w:tc>
          <w:tcPr>
            <w:tcW w:w="81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0.50</w:t>
            </w:r>
          </w:p>
        </w:tc>
        <w:tc>
          <w:tcPr>
            <w:tcW w:w="988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354" w:type="dxa"/>
          </w:tcPr>
          <w:p>
            <w:pPr>
              <w:pStyle w:val="TableParagraph"/>
              <w:ind w:left="110" w:right="407"/>
              <w:rPr>
                <w:sz w:val="20"/>
              </w:rPr>
            </w:pPr>
            <w:r>
              <w:rPr>
                <w:sz w:val="20"/>
              </w:rPr>
              <w:t>Informed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data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Corruption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perception</w:t>
            </w:r>
          </w:p>
          <w:p>
            <w:pPr>
              <w:pStyle w:val="TableParagraph"/>
              <w:spacing w:line="228" w:lineRule="exact"/>
              <w:ind w:left="110" w:right="493"/>
              <w:rPr>
                <w:sz w:val="20"/>
              </w:rPr>
            </w:pPr>
            <w:r>
              <w:rPr>
                <w:sz w:val="20"/>
              </w:rPr>
              <w:t>Index and World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Governance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Indicator</w:t>
            </w:r>
          </w:p>
        </w:tc>
      </w:tr>
      <w:tr>
        <w:trPr>
          <w:trHeight w:val="921" w:hRule="atLeast"/>
        </w:trPr>
        <w:tc>
          <w:tcPr>
            <w:tcW w:w="120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Zeta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rFonts w:ascii="Cambria Math" w:eastAsia="Cambria Math"/>
                <w:sz w:val="20"/>
              </w:rPr>
              <w:t>𝜁</w:t>
            </w:r>
            <w:r>
              <w:rPr>
                <w:sz w:val="20"/>
              </w:rPr>
              <w:t>)</w:t>
            </w:r>
          </w:p>
        </w:tc>
        <w:tc>
          <w:tcPr>
            <w:tcW w:w="2388" w:type="dxa"/>
          </w:tcPr>
          <w:p>
            <w:pPr>
              <w:pStyle w:val="TableParagraph"/>
              <w:ind w:right="747"/>
              <w:rPr>
                <w:sz w:val="20"/>
              </w:rPr>
            </w:pPr>
            <w:r>
              <w:rPr>
                <w:sz w:val="20"/>
              </w:rPr>
              <w:t>Quality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political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institutions</w:t>
            </w:r>
          </w:p>
        </w:tc>
        <w:tc>
          <w:tcPr>
            <w:tcW w:w="1259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Beta</w:t>
            </w:r>
          </w:p>
        </w:tc>
        <w:tc>
          <w:tcPr>
            <w:tcW w:w="811" w:type="dxa"/>
          </w:tcPr>
          <w:p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0.35</w:t>
            </w:r>
          </w:p>
        </w:tc>
        <w:tc>
          <w:tcPr>
            <w:tcW w:w="988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354" w:type="dxa"/>
          </w:tcPr>
          <w:p>
            <w:pPr>
              <w:pStyle w:val="TableParagraph"/>
              <w:ind w:left="110" w:right="417"/>
              <w:jc w:val="both"/>
              <w:rPr>
                <w:sz w:val="20"/>
              </w:rPr>
            </w:pPr>
            <w:r>
              <w:rPr>
                <w:sz w:val="20"/>
              </w:rPr>
              <w:t>Informed by data from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Corruption perception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Index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World</w:t>
            </w:r>
          </w:p>
          <w:p>
            <w:pPr>
              <w:pStyle w:val="TableParagraph"/>
              <w:spacing w:line="217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Governance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Indicator</w:t>
            </w:r>
          </w:p>
        </w:tc>
      </w:tr>
      <w:tr>
        <w:trPr>
          <w:trHeight w:val="919" w:hRule="atLeast"/>
        </w:trPr>
        <w:tc>
          <w:tcPr>
            <w:tcW w:w="1207" w:type="dxa"/>
          </w:tcPr>
          <w:p>
            <w:pPr>
              <w:pStyle w:val="TableParagraph"/>
              <w:spacing w:line="244" w:lineRule="auto"/>
              <w:ind w:right="258"/>
              <w:rPr>
                <w:sz w:val="20"/>
              </w:rPr>
            </w:pPr>
            <w:r>
              <w:rPr>
                <w:spacing w:val="-1"/>
                <w:sz w:val="20"/>
              </w:rPr>
              <w:t>rrho_ystar</w:t>
            </w:r>
            <w:r>
              <w:rPr>
                <w:spacing w:val="-47"/>
                <w:sz w:val="20"/>
              </w:rPr>
              <w:t> </w:t>
            </w:r>
            <w:r>
              <w:rPr>
                <w:position w:val="4"/>
                <w:sz w:val="20"/>
              </w:rPr>
              <w:t>(</w:t>
            </w:r>
            <w:r>
              <w:rPr>
                <w:rFonts w:ascii="Cambria Math" w:eastAsia="Cambria Math"/>
                <w:position w:val="4"/>
                <w:sz w:val="20"/>
              </w:rPr>
              <w:t>𝜌</w:t>
            </w:r>
            <w:r>
              <w:rPr>
                <w:rFonts w:ascii="Cambria Math" w:eastAsia="Cambria Math"/>
                <w:sz w:val="14"/>
              </w:rPr>
              <w:t>𝑦𝑠𝑡𝑎𝑟</w:t>
            </w:r>
            <w:r>
              <w:rPr>
                <w:rFonts w:ascii="Cambria Math" w:eastAsia="Cambria Math"/>
                <w:spacing w:val="-15"/>
                <w:sz w:val="14"/>
              </w:rPr>
              <w:t> </w:t>
            </w:r>
            <w:r>
              <w:rPr>
                <w:position w:val="4"/>
                <w:sz w:val="20"/>
              </w:rPr>
              <w:t>)</w:t>
            </w:r>
          </w:p>
        </w:tc>
        <w:tc>
          <w:tcPr>
            <w:tcW w:w="2388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AR(1)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foreign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output</w:t>
            </w:r>
          </w:p>
        </w:tc>
        <w:tc>
          <w:tcPr>
            <w:tcW w:w="1259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Beta</w:t>
            </w:r>
          </w:p>
        </w:tc>
        <w:tc>
          <w:tcPr>
            <w:tcW w:w="811" w:type="dxa"/>
          </w:tcPr>
          <w:p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0.70</w:t>
            </w:r>
          </w:p>
        </w:tc>
        <w:tc>
          <w:tcPr>
            <w:tcW w:w="988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354" w:type="dxa"/>
          </w:tcPr>
          <w:p>
            <w:pPr>
              <w:pStyle w:val="TableParagraph"/>
              <w:ind w:left="110" w:right="203"/>
              <w:rPr>
                <w:sz w:val="20"/>
              </w:rPr>
            </w:pPr>
            <w:r>
              <w:rPr>
                <w:sz w:val="20"/>
              </w:rPr>
              <w:t>Informed by Traum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Yang (2011) to depict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high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persistence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shock</w:t>
            </w:r>
          </w:p>
          <w:p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processes</w:t>
            </w:r>
          </w:p>
        </w:tc>
      </w:tr>
      <w:tr>
        <w:trPr>
          <w:trHeight w:val="1120" w:hRule="atLeast"/>
        </w:trPr>
        <w:tc>
          <w:tcPr>
            <w:tcW w:w="1207" w:type="dxa"/>
          </w:tcPr>
          <w:p>
            <w:pPr>
              <w:pStyle w:val="TableParagraph"/>
              <w:spacing w:line="258" w:lineRule="exact"/>
              <w:rPr>
                <w:sz w:val="20"/>
              </w:rPr>
            </w:pPr>
            <w:r>
              <w:rPr>
                <w:sz w:val="20"/>
              </w:rPr>
              <w:t>rrho_a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rFonts w:ascii="Cambria Math" w:eastAsia="Cambria Math"/>
                <w:sz w:val="20"/>
              </w:rPr>
              <w:t>𝜌</w:t>
            </w:r>
            <w:r>
              <w:rPr>
                <w:rFonts w:ascii="Cambria Math" w:eastAsia="Cambria Math"/>
                <w:position w:val="-3"/>
                <w:sz w:val="14"/>
              </w:rPr>
              <w:t>𝑎</w:t>
            </w:r>
            <w:r>
              <w:rPr>
                <w:sz w:val="20"/>
              </w:rPr>
              <w:t>)</w:t>
            </w:r>
          </w:p>
        </w:tc>
        <w:tc>
          <w:tcPr>
            <w:tcW w:w="2388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AR(1)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1259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Beta</w:t>
            </w:r>
          </w:p>
        </w:tc>
        <w:tc>
          <w:tcPr>
            <w:tcW w:w="81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0.70</w:t>
            </w:r>
          </w:p>
        </w:tc>
        <w:tc>
          <w:tcPr>
            <w:tcW w:w="988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354" w:type="dxa"/>
          </w:tcPr>
          <w:p>
            <w:pPr>
              <w:pStyle w:val="TableParagraph"/>
              <w:spacing w:line="242" w:lineRule="auto"/>
              <w:ind w:left="110" w:right="203"/>
              <w:rPr>
                <w:sz w:val="20"/>
              </w:rPr>
            </w:pPr>
            <w:r>
              <w:rPr>
                <w:sz w:val="20"/>
              </w:rPr>
              <w:t>Informed by Traum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Yang (2011) to depict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high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persistence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shock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processes</w:t>
            </w:r>
          </w:p>
        </w:tc>
      </w:tr>
    </w:tbl>
    <w:p>
      <w:pPr>
        <w:pStyle w:val="BodyText"/>
        <w:spacing w:line="270" w:lineRule="exact"/>
        <w:ind w:left="500"/>
      </w:pPr>
      <w:r>
        <w:rPr/>
        <w:t>Sources: Listed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table</w:t>
      </w:r>
      <w:r>
        <w:rPr>
          <w:spacing w:val="-2"/>
        </w:rPr>
        <w:t> </w:t>
      </w:r>
      <w:r>
        <w:rPr/>
        <w:t>4.3</w:t>
      </w:r>
    </w:p>
    <w:p>
      <w:pPr>
        <w:spacing w:after="0" w:line="270" w:lineRule="exact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72" w:after="8"/>
        <w:ind w:left="1335" w:right="1335"/>
        <w:jc w:val="center"/>
      </w:pPr>
      <w:r>
        <w:rPr/>
        <w:t>Table</w:t>
      </w:r>
      <w:r>
        <w:rPr>
          <w:spacing w:val="-2"/>
        </w:rPr>
        <w:t> </w:t>
      </w:r>
      <w:r>
        <w:rPr/>
        <w:t>4.3</w:t>
      </w:r>
      <w:r>
        <w:rPr>
          <w:spacing w:val="-2"/>
        </w:rPr>
        <w:t> </w:t>
      </w:r>
      <w:r>
        <w:rPr/>
        <w:t>(continued): List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estimated</w:t>
      </w: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4"/>
        <w:gridCol w:w="1712"/>
        <w:gridCol w:w="1440"/>
        <w:gridCol w:w="1080"/>
        <w:gridCol w:w="1351"/>
        <w:gridCol w:w="2151"/>
      </w:tblGrid>
      <w:tr>
        <w:trPr>
          <w:trHeight w:val="460" w:hRule="atLeast"/>
        </w:trPr>
        <w:tc>
          <w:tcPr>
            <w:tcW w:w="1344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Symbol</w:t>
            </w:r>
          </w:p>
        </w:tc>
        <w:tc>
          <w:tcPr>
            <w:tcW w:w="1712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Parameters</w:t>
            </w:r>
          </w:p>
        </w:tc>
        <w:tc>
          <w:tcPr>
            <w:tcW w:w="144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Distribution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Mean</w:t>
            </w:r>
          </w:p>
        </w:tc>
        <w:tc>
          <w:tcPr>
            <w:tcW w:w="1351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Standard</w:t>
            </w:r>
          </w:p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deviation</w:t>
            </w:r>
          </w:p>
        </w:tc>
        <w:tc>
          <w:tcPr>
            <w:tcW w:w="2151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Reference</w:t>
            </w:r>
          </w:p>
        </w:tc>
      </w:tr>
      <w:tr>
        <w:trPr>
          <w:trHeight w:val="918" w:hRule="atLeast"/>
        </w:trPr>
        <w:tc>
          <w:tcPr>
            <w:tcW w:w="1344" w:type="dxa"/>
          </w:tcPr>
          <w:p>
            <w:pPr>
              <w:pStyle w:val="TableParagraph"/>
              <w:spacing w:line="242" w:lineRule="auto"/>
              <w:ind w:right="418"/>
              <w:rPr>
                <w:sz w:val="20"/>
              </w:rPr>
            </w:pPr>
            <w:r>
              <w:rPr>
                <w:sz w:val="20"/>
              </w:rPr>
              <w:t>rrho_piiD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rFonts w:ascii="Cambria Math" w:eastAsia="Cambria Math"/>
                <w:sz w:val="20"/>
              </w:rPr>
              <w:t>𝜌</w:t>
            </w:r>
            <w:r>
              <w:rPr>
                <w:rFonts w:ascii="Cambria Math" w:eastAsia="Cambria Math"/>
                <w:position w:val="-3"/>
                <w:sz w:val="14"/>
              </w:rPr>
              <w:t>𝜋𝐷</w:t>
            </w:r>
            <w:r>
              <w:rPr>
                <w:rFonts w:ascii="Cambria Math" w:eastAsia="Cambria Math"/>
                <w:spacing w:val="-15"/>
                <w:position w:val="-3"/>
                <w:sz w:val="14"/>
              </w:rPr>
              <w:t> </w:t>
            </w:r>
            <w:r>
              <w:rPr>
                <w:sz w:val="20"/>
              </w:rPr>
              <w:t>)</w:t>
            </w:r>
          </w:p>
        </w:tc>
        <w:tc>
          <w:tcPr>
            <w:tcW w:w="1712" w:type="dxa"/>
          </w:tcPr>
          <w:p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AR(1)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inflation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shock</w:t>
            </w:r>
          </w:p>
        </w:tc>
        <w:tc>
          <w:tcPr>
            <w:tcW w:w="144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Beta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0.70</w:t>
            </w:r>
          </w:p>
        </w:tc>
        <w:tc>
          <w:tcPr>
            <w:tcW w:w="1351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151" w:type="dxa"/>
          </w:tcPr>
          <w:p>
            <w:pPr>
              <w:pStyle w:val="TableParagraph"/>
              <w:ind w:left="105" w:right="91"/>
              <w:rPr>
                <w:sz w:val="20"/>
              </w:rPr>
            </w:pPr>
            <w:r>
              <w:rPr>
                <w:sz w:val="20"/>
              </w:rPr>
              <w:t>Informed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(2011)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depict</w:t>
            </w:r>
          </w:p>
          <w:p>
            <w:pPr>
              <w:pStyle w:val="TableParagraph"/>
              <w:tabs>
                <w:tab w:pos="719" w:val="left" w:leader="none"/>
                <w:tab w:pos="1870" w:val="left" w:leader="none"/>
              </w:tabs>
              <w:spacing w:line="228" w:lineRule="exact"/>
              <w:ind w:left="105" w:right="101"/>
              <w:rPr>
                <w:sz w:val="20"/>
              </w:rPr>
            </w:pPr>
            <w:r>
              <w:rPr>
                <w:sz w:val="20"/>
              </w:rPr>
              <w:t>high</w:t>
              <w:tab/>
              <w:t>persistence</w:t>
              <w:tab/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shock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processes</w:t>
            </w:r>
          </w:p>
        </w:tc>
      </w:tr>
      <w:tr>
        <w:trPr>
          <w:trHeight w:val="921" w:hRule="atLeast"/>
        </w:trPr>
        <w:tc>
          <w:tcPr>
            <w:tcW w:w="1344" w:type="dxa"/>
          </w:tcPr>
          <w:p>
            <w:pPr>
              <w:pStyle w:val="TableParagraph"/>
              <w:spacing w:line="256" w:lineRule="exact"/>
              <w:rPr>
                <w:sz w:val="20"/>
              </w:rPr>
            </w:pPr>
            <w:r>
              <w:rPr>
                <w:sz w:val="20"/>
              </w:rPr>
              <w:t>rrho_sr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rFonts w:ascii="Cambria Math" w:eastAsia="Cambria Math"/>
                <w:sz w:val="20"/>
              </w:rPr>
              <w:t>𝜌</w:t>
            </w:r>
            <w:r>
              <w:rPr>
                <w:rFonts w:ascii="Cambria Math" w:eastAsia="Cambria Math"/>
                <w:position w:val="-3"/>
                <w:sz w:val="14"/>
              </w:rPr>
              <w:t>𝑠𝑟</w:t>
            </w:r>
            <w:r>
              <w:rPr>
                <w:sz w:val="20"/>
              </w:rPr>
              <w:t>)</w:t>
            </w:r>
          </w:p>
        </w:tc>
        <w:tc>
          <w:tcPr>
            <w:tcW w:w="171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AR(1)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interest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shock</w:t>
            </w:r>
          </w:p>
        </w:tc>
        <w:tc>
          <w:tcPr>
            <w:tcW w:w="144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Beta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0.70*</w:t>
            </w:r>
          </w:p>
        </w:tc>
        <w:tc>
          <w:tcPr>
            <w:tcW w:w="1351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151" w:type="dxa"/>
          </w:tcPr>
          <w:p>
            <w:pPr>
              <w:pStyle w:val="TableParagraph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Informed by Traum 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(2011)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depict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high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persistence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of</w:t>
            </w:r>
          </w:p>
          <w:p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shock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processes</w:t>
            </w:r>
          </w:p>
        </w:tc>
      </w:tr>
      <w:tr>
        <w:trPr>
          <w:trHeight w:val="918" w:hRule="atLeast"/>
        </w:trPr>
        <w:tc>
          <w:tcPr>
            <w:tcW w:w="1344" w:type="dxa"/>
          </w:tcPr>
          <w:p>
            <w:pPr>
              <w:pStyle w:val="TableParagraph"/>
              <w:spacing w:line="258" w:lineRule="exact"/>
              <w:rPr>
                <w:sz w:val="20"/>
              </w:rPr>
            </w:pPr>
            <w:r>
              <w:rPr>
                <w:sz w:val="20"/>
              </w:rPr>
              <w:t>rrho_sg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rFonts w:ascii="Cambria Math" w:eastAsia="Cambria Math"/>
                <w:sz w:val="20"/>
              </w:rPr>
              <w:t>𝜌</w:t>
            </w:r>
            <w:r>
              <w:rPr>
                <w:rFonts w:ascii="Cambria Math" w:eastAsia="Cambria Math"/>
                <w:position w:val="-3"/>
                <w:sz w:val="14"/>
              </w:rPr>
              <w:t>𝑠𝑔</w:t>
            </w:r>
            <w:r>
              <w:rPr>
                <w:sz w:val="20"/>
              </w:rPr>
              <w:t>)</w:t>
            </w:r>
          </w:p>
        </w:tc>
        <w:tc>
          <w:tcPr>
            <w:tcW w:w="1712" w:type="dxa"/>
          </w:tcPr>
          <w:p>
            <w:pPr>
              <w:pStyle w:val="TableParagraph"/>
              <w:tabs>
                <w:tab w:pos="1436" w:val="left" w:leader="none"/>
              </w:tabs>
              <w:spacing w:line="223" w:lineRule="exact"/>
              <w:rPr>
                <w:sz w:val="20"/>
              </w:rPr>
            </w:pPr>
            <w:r>
              <w:rPr>
                <w:sz w:val="20"/>
              </w:rPr>
              <w:t>AR(1)</w:t>
              <w:tab/>
              <w:t>of</w:t>
            </w:r>
          </w:p>
          <w:p>
            <w:pPr>
              <w:pStyle w:val="TableParagraph"/>
              <w:ind w:right="353"/>
              <w:rPr>
                <w:sz w:val="20"/>
              </w:rPr>
            </w:pPr>
            <w:r>
              <w:rPr>
                <w:sz w:val="20"/>
              </w:rPr>
              <w:t>government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spending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shock</w:t>
            </w:r>
          </w:p>
        </w:tc>
        <w:tc>
          <w:tcPr>
            <w:tcW w:w="144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Beta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0.70*</w:t>
            </w:r>
          </w:p>
        </w:tc>
        <w:tc>
          <w:tcPr>
            <w:tcW w:w="1351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151" w:type="dxa"/>
          </w:tcPr>
          <w:p>
            <w:pPr>
              <w:pStyle w:val="TableParagraph"/>
              <w:ind w:left="105" w:right="91"/>
              <w:rPr>
                <w:sz w:val="20"/>
              </w:rPr>
            </w:pPr>
            <w:r>
              <w:rPr>
                <w:sz w:val="20"/>
              </w:rPr>
              <w:t>Informed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(2011)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depict</w:t>
            </w:r>
          </w:p>
          <w:p>
            <w:pPr>
              <w:pStyle w:val="TableParagraph"/>
              <w:tabs>
                <w:tab w:pos="719" w:val="left" w:leader="none"/>
                <w:tab w:pos="1871" w:val="left" w:leader="none"/>
              </w:tabs>
              <w:spacing w:line="228" w:lineRule="exact"/>
              <w:ind w:left="105" w:right="100"/>
              <w:rPr>
                <w:sz w:val="20"/>
              </w:rPr>
            </w:pPr>
            <w:r>
              <w:rPr>
                <w:sz w:val="20"/>
              </w:rPr>
              <w:t>high</w:t>
              <w:tab/>
              <w:t>persistence</w:t>
              <w:tab/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shock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processes</w:t>
            </w:r>
          </w:p>
        </w:tc>
      </w:tr>
      <w:tr>
        <w:trPr>
          <w:trHeight w:val="921" w:hRule="atLeast"/>
        </w:trPr>
        <w:tc>
          <w:tcPr>
            <w:tcW w:w="1344" w:type="dxa"/>
          </w:tcPr>
          <w:p>
            <w:pPr>
              <w:pStyle w:val="TableParagraph"/>
              <w:spacing w:line="259" w:lineRule="exact"/>
              <w:rPr>
                <w:sz w:val="20"/>
              </w:rPr>
            </w:pPr>
            <w:r>
              <w:rPr>
                <w:sz w:val="20"/>
              </w:rPr>
              <w:t>rrho_sy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rFonts w:ascii="Cambria Math" w:eastAsia="Cambria Math"/>
                <w:sz w:val="20"/>
              </w:rPr>
              <w:t>𝜌</w:t>
            </w:r>
            <w:r>
              <w:rPr>
                <w:rFonts w:ascii="Cambria Math" w:eastAsia="Cambria Math"/>
                <w:position w:val="-3"/>
                <w:sz w:val="14"/>
              </w:rPr>
              <w:t>𝑠𝑦</w:t>
            </w:r>
            <w:r>
              <w:rPr>
                <w:sz w:val="20"/>
              </w:rPr>
              <w:t>)</w:t>
            </w:r>
          </w:p>
        </w:tc>
        <w:tc>
          <w:tcPr>
            <w:tcW w:w="171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AR(1)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output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shock</w:t>
            </w:r>
          </w:p>
        </w:tc>
        <w:tc>
          <w:tcPr>
            <w:tcW w:w="1440" w:type="dxa"/>
          </w:tcPr>
          <w:p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Beta</w:t>
            </w:r>
          </w:p>
        </w:tc>
        <w:tc>
          <w:tcPr>
            <w:tcW w:w="1080" w:type="dxa"/>
          </w:tcPr>
          <w:p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0.70</w:t>
            </w:r>
          </w:p>
        </w:tc>
        <w:tc>
          <w:tcPr>
            <w:tcW w:w="1351" w:type="dxa"/>
          </w:tcPr>
          <w:p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151" w:type="dxa"/>
          </w:tcPr>
          <w:p>
            <w:pPr>
              <w:pStyle w:val="TableParagraph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Informed by Traum 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(2011)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depict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high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persistence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of</w:t>
            </w:r>
          </w:p>
          <w:p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shock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processes</w:t>
            </w:r>
          </w:p>
        </w:tc>
      </w:tr>
      <w:tr>
        <w:trPr>
          <w:trHeight w:val="918" w:hRule="atLeast"/>
        </w:trPr>
        <w:tc>
          <w:tcPr>
            <w:tcW w:w="1344" w:type="dxa"/>
          </w:tcPr>
          <w:p>
            <w:pPr>
              <w:pStyle w:val="TableParagraph"/>
              <w:spacing w:line="242" w:lineRule="auto"/>
              <w:ind w:right="529"/>
              <w:rPr>
                <w:sz w:val="20"/>
              </w:rPr>
            </w:pPr>
            <w:r>
              <w:rPr>
                <w:sz w:val="20"/>
              </w:rPr>
              <w:t>rrho_srn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rFonts w:ascii="Cambria Math" w:eastAsia="Cambria Math"/>
                <w:sz w:val="20"/>
              </w:rPr>
              <w:t>𝜌</w:t>
            </w:r>
            <w:r>
              <w:rPr>
                <w:rFonts w:ascii="Cambria Math" w:eastAsia="Cambria Math"/>
                <w:position w:val="-3"/>
                <w:sz w:val="14"/>
              </w:rPr>
              <w:t>𝑠𝑟𝑛</w:t>
            </w:r>
            <w:r>
              <w:rPr>
                <w:sz w:val="20"/>
              </w:rPr>
              <w:t>)</w:t>
            </w:r>
          </w:p>
        </w:tc>
        <w:tc>
          <w:tcPr>
            <w:tcW w:w="1712" w:type="dxa"/>
          </w:tcPr>
          <w:p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AR(1)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shock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seeking</w:t>
            </w:r>
          </w:p>
        </w:tc>
        <w:tc>
          <w:tcPr>
            <w:tcW w:w="144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Beta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0.70</w:t>
            </w:r>
          </w:p>
        </w:tc>
        <w:tc>
          <w:tcPr>
            <w:tcW w:w="1351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151" w:type="dxa"/>
          </w:tcPr>
          <w:p>
            <w:pPr>
              <w:pStyle w:val="TableParagraph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Informed by Traum 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(2011)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depict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high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persistence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of</w:t>
            </w:r>
          </w:p>
          <w:p>
            <w:pPr>
              <w:pStyle w:val="TableParagraph"/>
              <w:spacing w:line="216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shock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processes</w:t>
            </w:r>
          </w:p>
        </w:tc>
      </w:tr>
      <w:tr>
        <w:trPr>
          <w:trHeight w:val="570" w:hRule="atLeast"/>
        </w:trPr>
        <w:tc>
          <w:tcPr>
            <w:tcW w:w="1344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eps_ystar</w:t>
            </w:r>
          </w:p>
          <w:p>
            <w:pPr>
              <w:pStyle w:val="TableParagraph"/>
              <w:spacing w:line="181" w:lineRule="exact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w w:val="105"/>
                <w:sz w:val="24"/>
              </w:rPr>
              <w:t>(ε</w:t>
            </w:r>
            <w:r>
              <w:rPr>
                <w:rFonts w:ascii="Cambria Math" w:hAnsi="Cambria Math" w:eastAsia="Cambria Math"/>
                <w:spacing w:val="33"/>
                <w:w w:val="105"/>
                <w:sz w:val="24"/>
              </w:rPr>
              <w:t> </w:t>
            </w:r>
            <w:r>
              <w:rPr>
                <w:rFonts w:ascii="Cambria Math" w:hAnsi="Cambria Math" w:eastAsia="Cambria Math"/>
                <w:w w:val="105"/>
                <w:sz w:val="24"/>
                <w:vertAlign w:val="superscript"/>
              </w:rPr>
              <w:t>𝑦</w:t>
            </w:r>
            <w:r>
              <w:rPr>
                <w:rFonts w:ascii="Cambria Math" w:hAnsi="Cambria Math" w:eastAsia="Cambria Math"/>
                <w:w w:val="105"/>
                <w:position w:val="19"/>
                <w:sz w:val="14"/>
                <w:vertAlign w:val="baseline"/>
              </w:rPr>
              <w:t>∗</w:t>
            </w:r>
            <w:r>
              <w:rPr>
                <w:rFonts w:ascii="Cambria Math" w:hAnsi="Cambria Math" w:eastAsia="Cambria Math"/>
                <w:w w:val="105"/>
                <w:sz w:val="24"/>
                <w:vertAlign w:val="baseline"/>
              </w:rPr>
              <w:t>)</w:t>
            </w:r>
          </w:p>
          <w:p>
            <w:pPr>
              <w:pStyle w:val="TableParagraph"/>
              <w:spacing w:line="47" w:lineRule="exact"/>
              <w:ind w:left="200" w:right="473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20"/>
                <w:sz w:val="14"/>
              </w:rPr>
              <w:t>𝑡</w:t>
            </w:r>
          </w:p>
          <w:p>
            <w:pPr>
              <w:pStyle w:val="TableParagraph"/>
              <w:spacing w:line="116" w:lineRule="exact"/>
              <w:ind w:left="314"/>
              <w:rPr>
                <w:rFonts w:ascii="Cambria Math"/>
                <w:sz w:val="17"/>
              </w:rPr>
            </w:pPr>
            <w:r>
              <w:rPr>
                <w:rFonts w:ascii="Cambria Math"/>
                <w:w w:val="115"/>
                <w:sz w:val="17"/>
              </w:rPr>
              <w:t>t</w:t>
            </w:r>
          </w:p>
        </w:tc>
        <w:tc>
          <w:tcPr>
            <w:tcW w:w="1712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Foreign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output</w:t>
            </w:r>
          </w:p>
        </w:tc>
        <w:tc>
          <w:tcPr>
            <w:tcW w:w="1440" w:type="dxa"/>
          </w:tcPr>
          <w:p>
            <w:pPr>
              <w:pStyle w:val="TableParagraph"/>
              <w:ind w:right="674"/>
              <w:rPr>
                <w:sz w:val="20"/>
              </w:rPr>
            </w:pPr>
            <w:r>
              <w:rPr>
                <w:sz w:val="20"/>
              </w:rPr>
              <w:t>Inverse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Gamma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0.25**</w:t>
            </w:r>
          </w:p>
        </w:tc>
        <w:tc>
          <w:tcPr>
            <w:tcW w:w="1351" w:type="dxa"/>
          </w:tcPr>
          <w:p>
            <w:pPr>
              <w:pStyle w:val="TableParagraph"/>
              <w:ind w:left="0" w:right="59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∞</w:t>
            </w:r>
          </w:p>
        </w:tc>
        <w:tc>
          <w:tcPr>
            <w:tcW w:w="2151" w:type="dxa"/>
          </w:tcPr>
          <w:p>
            <w:pPr>
              <w:pStyle w:val="TableParagraph"/>
              <w:tabs>
                <w:tab w:pos="1193" w:val="left" w:leader="none"/>
                <w:tab w:pos="1838" w:val="left" w:leader="none"/>
              </w:tabs>
              <w:ind w:left="105" w:right="99"/>
              <w:rPr>
                <w:sz w:val="20"/>
              </w:rPr>
            </w:pPr>
            <w:r>
              <w:rPr>
                <w:sz w:val="20"/>
              </w:rPr>
              <w:t>Arbitrarily</w:t>
              <w:tab/>
              <w:t>fixed</w:t>
              <w:tab/>
            </w:r>
            <w:r>
              <w:rPr>
                <w:spacing w:val="-2"/>
                <w:sz w:val="20"/>
              </w:rPr>
              <w:t>by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author</w:t>
            </w:r>
          </w:p>
        </w:tc>
      </w:tr>
      <w:tr>
        <w:trPr>
          <w:trHeight w:val="460" w:hRule="atLeast"/>
        </w:trPr>
        <w:tc>
          <w:tcPr>
            <w:tcW w:w="1344" w:type="dxa"/>
          </w:tcPr>
          <w:p>
            <w:pPr>
              <w:pStyle w:val="TableParagraph"/>
              <w:spacing w:line="162" w:lineRule="exact"/>
              <w:rPr>
                <w:sz w:val="20"/>
              </w:rPr>
            </w:pPr>
            <w:r>
              <w:rPr>
                <w:sz w:val="20"/>
              </w:rPr>
              <w:t>eps_a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rFonts w:ascii="Cambria Math" w:eastAsia="Cambria Math"/>
                <w:sz w:val="20"/>
              </w:rPr>
              <w:t>𝜀</w:t>
            </w:r>
            <w:r>
              <w:rPr>
                <w:rFonts w:ascii="Cambria Math" w:eastAsia="Cambria Math"/>
                <w:sz w:val="20"/>
                <w:vertAlign w:val="superscript"/>
              </w:rPr>
              <w:t>𝑎</w:t>
            </w:r>
            <w:r>
              <w:rPr>
                <w:sz w:val="20"/>
                <w:vertAlign w:val="baseline"/>
              </w:rPr>
              <w:t>)</w:t>
            </w:r>
          </w:p>
          <w:p>
            <w:pPr>
              <w:pStyle w:val="TableParagraph"/>
              <w:spacing w:line="97" w:lineRule="exact"/>
              <w:ind w:left="477" w:right="215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10"/>
                <w:sz w:val="14"/>
              </w:rPr>
              <w:t>𝑡</w:t>
            </w:r>
          </w:p>
        </w:tc>
        <w:tc>
          <w:tcPr>
            <w:tcW w:w="1712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Technology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shock</w:t>
            </w:r>
          </w:p>
        </w:tc>
        <w:tc>
          <w:tcPr>
            <w:tcW w:w="144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Inverse</w:t>
            </w:r>
          </w:p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Gamma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0.25**</w:t>
            </w:r>
          </w:p>
        </w:tc>
        <w:tc>
          <w:tcPr>
            <w:tcW w:w="1351" w:type="dxa"/>
          </w:tcPr>
          <w:p>
            <w:pPr>
              <w:pStyle w:val="TableParagraph"/>
              <w:ind w:left="0" w:right="59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∞</w:t>
            </w:r>
          </w:p>
        </w:tc>
        <w:tc>
          <w:tcPr>
            <w:tcW w:w="2151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Arbitrarily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fixed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by</w:t>
            </w:r>
          </w:p>
          <w:p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author</w:t>
            </w:r>
          </w:p>
        </w:tc>
      </w:tr>
      <w:tr>
        <w:trPr>
          <w:trHeight w:val="691" w:hRule="atLeast"/>
        </w:trPr>
        <w:tc>
          <w:tcPr>
            <w:tcW w:w="1344" w:type="dxa"/>
          </w:tcPr>
          <w:p>
            <w:pPr>
              <w:pStyle w:val="TableParagraph"/>
              <w:spacing w:line="173" w:lineRule="exact" w:before="9"/>
              <w:rPr>
                <w:sz w:val="20"/>
              </w:rPr>
            </w:pPr>
            <w:r>
              <w:rPr>
                <w:sz w:val="20"/>
              </w:rPr>
              <w:t>eps_g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rFonts w:ascii="Cambria Math" w:eastAsia="Cambria Math"/>
                <w:sz w:val="20"/>
              </w:rPr>
              <w:t>𝜀</w:t>
            </w:r>
            <w:r>
              <w:rPr>
                <w:rFonts w:ascii="Cambria Math" w:eastAsia="Cambria Math"/>
                <w:sz w:val="20"/>
                <w:vertAlign w:val="superscript"/>
              </w:rPr>
              <w:t>𝑔</w:t>
            </w:r>
            <w:r>
              <w:rPr>
                <w:sz w:val="20"/>
                <w:vertAlign w:val="baseline"/>
              </w:rPr>
              <w:t>)</w:t>
            </w:r>
          </w:p>
          <w:p>
            <w:pPr>
              <w:pStyle w:val="TableParagraph"/>
              <w:spacing w:line="103" w:lineRule="exact"/>
              <w:ind w:left="477" w:right="191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10"/>
                <w:sz w:val="14"/>
              </w:rPr>
              <w:t>𝑡</w:t>
            </w:r>
          </w:p>
        </w:tc>
        <w:tc>
          <w:tcPr>
            <w:tcW w:w="1712" w:type="dxa"/>
          </w:tcPr>
          <w:p>
            <w:pPr>
              <w:pStyle w:val="TableParagraph"/>
              <w:ind w:right="353"/>
              <w:rPr>
                <w:sz w:val="20"/>
              </w:rPr>
            </w:pPr>
            <w:r>
              <w:rPr>
                <w:sz w:val="20"/>
              </w:rPr>
              <w:t>Government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spending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shock</w:t>
            </w:r>
          </w:p>
        </w:tc>
        <w:tc>
          <w:tcPr>
            <w:tcW w:w="1440" w:type="dxa"/>
          </w:tcPr>
          <w:p>
            <w:pPr>
              <w:pStyle w:val="TableParagraph"/>
              <w:ind w:right="674"/>
              <w:rPr>
                <w:sz w:val="20"/>
              </w:rPr>
            </w:pPr>
            <w:r>
              <w:rPr>
                <w:sz w:val="20"/>
              </w:rPr>
              <w:t>Inverse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Gamma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0.25**</w:t>
            </w:r>
          </w:p>
        </w:tc>
        <w:tc>
          <w:tcPr>
            <w:tcW w:w="1351" w:type="dxa"/>
          </w:tcPr>
          <w:p>
            <w:pPr>
              <w:pStyle w:val="TableParagraph"/>
              <w:ind w:left="0" w:right="59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∞</w:t>
            </w:r>
          </w:p>
        </w:tc>
        <w:tc>
          <w:tcPr>
            <w:tcW w:w="2151" w:type="dxa"/>
          </w:tcPr>
          <w:p>
            <w:pPr>
              <w:pStyle w:val="TableParagraph"/>
              <w:ind w:left="105" w:right="449"/>
              <w:rPr>
                <w:sz w:val="20"/>
              </w:rPr>
            </w:pPr>
            <w:r>
              <w:rPr>
                <w:sz w:val="20"/>
              </w:rPr>
              <w:t>Arbitrarily fixed by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author</w:t>
            </w:r>
          </w:p>
        </w:tc>
      </w:tr>
      <w:tr>
        <w:trPr>
          <w:trHeight w:val="460" w:hRule="atLeast"/>
        </w:trPr>
        <w:tc>
          <w:tcPr>
            <w:tcW w:w="1344" w:type="dxa"/>
          </w:tcPr>
          <w:p>
            <w:pPr>
              <w:pStyle w:val="TableParagraph"/>
              <w:spacing w:line="161" w:lineRule="exact"/>
              <w:rPr>
                <w:sz w:val="20"/>
              </w:rPr>
            </w:pPr>
            <w:r>
              <w:rPr>
                <w:sz w:val="20"/>
              </w:rPr>
              <w:t>eps_r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rFonts w:ascii="Cambria Math" w:eastAsia="Cambria Math"/>
                <w:sz w:val="20"/>
              </w:rPr>
              <w:t>𝜀</w:t>
            </w:r>
            <w:r>
              <w:rPr>
                <w:rFonts w:ascii="Cambria Math" w:eastAsia="Cambria Math"/>
                <w:sz w:val="20"/>
                <w:vertAlign w:val="superscript"/>
              </w:rPr>
              <w:t>𝑟</w:t>
            </w:r>
            <w:r>
              <w:rPr>
                <w:sz w:val="20"/>
                <w:vertAlign w:val="baseline"/>
              </w:rPr>
              <w:t>)</w:t>
            </w:r>
          </w:p>
          <w:p>
            <w:pPr>
              <w:pStyle w:val="TableParagraph"/>
              <w:spacing w:line="96" w:lineRule="exact"/>
              <w:ind w:left="477" w:right="258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10"/>
                <w:sz w:val="14"/>
              </w:rPr>
              <w:t>𝑡</w:t>
            </w:r>
          </w:p>
        </w:tc>
        <w:tc>
          <w:tcPr>
            <w:tcW w:w="1712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Interest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shock</w:t>
            </w:r>
          </w:p>
        </w:tc>
        <w:tc>
          <w:tcPr>
            <w:tcW w:w="144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Inverse</w:t>
            </w:r>
          </w:p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Gamma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0.25**</w:t>
            </w:r>
          </w:p>
        </w:tc>
        <w:tc>
          <w:tcPr>
            <w:tcW w:w="1351" w:type="dxa"/>
          </w:tcPr>
          <w:p>
            <w:pPr>
              <w:pStyle w:val="TableParagraph"/>
              <w:ind w:left="0" w:right="59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∞</w:t>
            </w:r>
          </w:p>
        </w:tc>
        <w:tc>
          <w:tcPr>
            <w:tcW w:w="2151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Arbitrarily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fixed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by</w:t>
            </w:r>
          </w:p>
          <w:p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author</w:t>
            </w:r>
          </w:p>
        </w:tc>
      </w:tr>
      <w:tr>
        <w:trPr>
          <w:trHeight w:val="457" w:hRule="atLeast"/>
        </w:trPr>
        <w:tc>
          <w:tcPr>
            <w:tcW w:w="1344" w:type="dxa"/>
          </w:tcPr>
          <w:p>
            <w:pPr>
              <w:pStyle w:val="TableParagraph"/>
              <w:spacing w:line="167" w:lineRule="exact"/>
              <w:rPr>
                <w:sz w:val="20"/>
              </w:rPr>
            </w:pPr>
            <w:r>
              <w:rPr>
                <w:w w:val="105"/>
                <w:sz w:val="20"/>
              </w:rPr>
              <w:t>e_piiD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</w:t>
            </w:r>
            <w:r>
              <w:rPr>
                <w:rFonts w:ascii="Cambria Math" w:eastAsia="Cambria Math"/>
                <w:w w:val="105"/>
                <w:sz w:val="20"/>
              </w:rPr>
              <w:t>𝜀</w:t>
            </w:r>
            <w:r>
              <w:rPr>
                <w:rFonts w:ascii="Cambria Math" w:eastAsia="Cambria Math"/>
                <w:w w:val="105"/>
                <w:sz w:val="20"/>
                <w:vertAlign w:val="superscript"/>
              </w:rPr>
              <w:t>𝜋𝐷</w:t>
            </w:r>
            <w:r>
              <w:rPr>
                <w:w w:val="105"/>
                <w:sz w:val="20"/>
                <w:vertAlign w:val="baseline"/>
              </w:rPr>
              <w:t>)</w:t>
            </w:r>
          </w:p>
          <w:p>
            <w:pPr>
              <w:pStyle w:val="TableParagraph"/>
              <w:spacing w:line="97" w:lineRule="exact"/>
              <w:ind w:left="856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10"/>
                <w:sz w:val="14"/>
              </w:rPr>
              <w:t>𝑡</w:t>
            </w:r>
          </w:p>
        </w:tc>
        <w:tc>
          <w:tcPr>
            <w:tcW w:w="1712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Inflation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shock</w:t>
            </w:r>
          </w:p>
        </w:tc>
        <w:tc>
          <w:tcPr>
            <w:tcW w:w="144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Inverse</w:t>
            </w:r>
          </w:p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Gamma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0.25**</w:t>
            </w:r>
          </w:p>
        </w:tc>
        <w:tc>
          <w:tcPr>
            <w:tcW w:w="1351" w:type="dxa"/>
          </w:tcPr>
          <w:p>
            <w:pPr>
              <w:pStyle w:val="TableParagraph"/>
              <w:ind w:left="0" w:right="59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∞</w:t>
            </w:r>
          </w:p>
        </w:tc>
        <w:tc>
          <w:tcPr>
            <w:tcW w:w="2151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Arbitrarily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fixed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by</w:t>
            </w:r>
          </w:p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author</w:t>
            </w:r>
          </w:p>
        </w:tc>
      </w:tr>
      <w:tr>
        <w:trPr>
          <w:trHeight w:val="460" w:hRule="atLeast"/>
        </w:trPr>
        <w:tc>
          <w:tcPr>
            <w:tcW w:w="1344" w:type="dxa"/>
          </w:tcPr>
          <w:p>
            <w:pPr>
              <w:pStyle w:val="TableParagraph"/>
              <w:spacing w:line="173" w:lineRule="exact" w:before="9"/>
              <w:rPr>
                <w:sz w:val="20"/>
              </w:rPr>
            </w:pPr>
            <w:r>
              <w:rPr>
                <w:sz w:val="20"/>
              </w:rPr>
              <w:t>e_y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rFonts w:ascii="Cambria Math" w:eastAsia="Cambria Math"/>
                <w:sz w:val="20"/>
              </w:rPr>
              <w:t>𝜀</w:t>
            </w:r>
            <w:r>
              <w:rPr>
                <w:rFonts w:ascii="Cambria Math" w:eastAsia="Cambria Math"/>
                <w:sz w:val="20"/>
                <w:vertAlign w:val="superscript"/>
              </w:rPr>
              <w:t>𝑦</w:t>
            </w:r>
            <w:r>
              <w:rPr>
                <w:sz w:val="20"/>
                <w:vertAlign w:val="baseline"/>
              </w:rPr>
              <w:t>)</w:t>
            </w:r>
          </w:p>
          <w:p>
            <w:pPr>
              <w:pStyle w:val="TableParagraph"/>
              <w:spacing w:line="103" w:lineRule="exact"/>
              <w:ind w:left="407" w:right="473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10"/>
                <w:sz w:val="14"/>
              </w:rPr>
              <w:t>𝑡</w:t>
            </w:r>
          </w:p>
        </w:tc>
        <w:tc>
          <w:tcPr>
            <w:tcW w:w="1712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Output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shock</w:t>
            </w:r>
          </w:p>
        </w:tc>
        <w:tc>
          <w:tcPr>
            <w:tcW w:w="1440" w:type="dxa"/>
          </w:tcPr>
          <w:p>
            <w:pPr>
              <w:pStyle w:val="TableParagraph"/>
              <w:spacing w:line="228" w:lineRule="exact"/>
              <w:ind w:right="674"/>
              <w:rPr>
                <w:sz w:val="20"/>
              </w:rPr>
            </w:pPr>
            <w:r>
              <w:rPr>
                <w:sz w:val="20"/>
              </w:rPr>
              <w:t>Inverse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Gamma</w:t>
            </w:r>
          </w:p>
        </w:tc>
        <w:tc>
          <w:tcPr>
            <w:tcW w:w="1080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0.25**</w:t>
            </w:r>
          </w:p>
        </w:tc>
        <w:tc>
          <w:tcPr>
            <w:tcW w:w="1351" w:type="dxa"/>
          </w:tcPr>
          <w:p>
            <w:pPr>
              <w:pStyle w:val="TableParagraph"/>
              <w:spacing w:before="2"/>
              <w:ind w:left="0" w:right="59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∞</w:t>
            </w:r>
          </w:p>
        </w:tc>
        <w:tc>
          <w:tcPr>
            <w:tcW w:w="2151" w:type="dxa"/>
          </w:tcPr>
          <w:p>
            <w:pPr>
              <w:pStyle w:val="TableParagraph"/>
              <w:spacing w:line="228" w:lineRule="exact"/>
              <w:ind w:left="105" w:right="449"/>
              <w:rPr>
                <w:sz w:val="20"/>
              </w:rPr>
            </w:pPr>
            <w:r>
              <w:rPr>
                <w:sz w:val="20"/>
              </w:rPr>
              <w:t>Arbitrarily fixed by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author</w:t>
            </w:r>
          </w:p>
        </w:tc>
      </w:tr>
      <w:tr>
        <w:trPr>
          <w:trHeight w:val="460" w:hRule="atLeast"/>
        </w:trPr>
        <w:tc>
          <w:tcPr>
            <w:tcW w:w="1344" w:type="dxa"/>
          </w:tcPr>
          <w:p>
            <w:pPr>
              <w:pStyle w:val="TableParagraph"/>
              <w:spacing w:line="162" w:lineRule="exact"/>
              <w:rPr>
                <w:sz w:val="20"/>
              </w:rPr>
            </w:pPr>
            <w:r>
              <w:rPr>
                <w:w w:val="105"/>
                <w:sz w:val="20"/>
              </w:rPr>
              <w:t>eps_rn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</w:t>
            </w:r>
            <w:r>
              <w:rPr>
                <w:rFonts w:ascii="Cambria Math" w:eastAsia="Cambria Math"/>
                <w:w w:val="105"/>
                <w:sz w:val="20"/>
              </w:rPr>
              <w:t>𝜀</w:t>
            </w:r>
            <w:r>
              <w:rPr>
                <w:rFonts w:ascii="Cambria Math" w:eastAsia="Cambria Math"/>
                <w:w w:val="105"/>
                <w:sz w:val="20"/>
                <w:vertAlign w:val="superscript"/>
              </w:rPr>
              <w:t>𝑟𝑛</w:t>
            </w:r>
            <w:r>
              <w:rPr>
                <w:w w:val="105"/>
                <w:sz w:val="20"/>
                <w:vertAlign w:val="baseline"/>
              </w:rPr>
              <w:t>)</w:t>
            </w:r>
          </w:p>
          <w:p>
            <w:pPr>
              <w:pStyle w:val="TableParagraph"/>
              <w:spacing w:line="97" w:lineRule="exact"/>
              <w:ind w:left="846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10"/>
                <w:sz w:val="14"/>
              </w:rPr>
              <w:t>𝑡</w:t>
            </w:r>
          </w:p>
        </w:tc>
        <w:tc>
          <w:tcPr>
            <w:tcW w:w="1712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Shock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rent</w:t>
            </w:r>
          </w:p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seeking</w:t>
            </w:r>
          </w:p>
        </w:tc>
        <w:tc>
          <w:tcPr>
            <w:tcW w:w="144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Inverse</w:t>
            </w:r>
          </w:p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Gamma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0.25**</w:t>
            </w:r>
          </w:p>
        </w:tc>
        <w:tc>
          <w:tcPr>
            <w:tcW w:w="1351" w:type="dxa"/>
          </w:tcPr>
          <w:p>
            <w:pPr>
              <w:pStyle w:val="TableParagraph"/>
              <w:ind w:left="0" w:right="59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∞</w:t>
            </w:r>
          </w:p>
        </w:tc>
        <w:tc>
          <w:tcPr>
            <w:tcW w:w="2151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Arbitrarily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fixed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by</w:t>
            </w:r>
          </w:p>
          <w:p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author</w:t>
            </w:r>
          </w:p>
        </w:tc>
      </w:tr>
    </w:tbl>
    <w:p>
      <w:pPr>
        <w:pStyle w:val="BodyText"/>
        <w:ind w:left="500"/>
        <w:jc w:val="both"/>
      </w:pPr>
      <w:r>
        <w:rPr/>
        <w:t>Sources: Listed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table</w:t>
      </w:r>
      <w:r>
        <w:rPr>
          <w:spacing w:val="-2"/>
        </w:rPr>
        <w:t> </w:t>
      </w:r>
      <w:r>
        <w:rPr/>
        <w:t>4.3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67" w:lineRule="auto"/>
        <w:ind w:left="500" w:right="495"/>
        <w:jc w:val="both"/>
      </w:pPr>
      <w:r>
        <w:rPr/>
        <w:t>The</w:t>
      </w:r>
      <w:r>
        <w:rPr>
          <w:spacing w:val="1"/>
        </w:rPr>
        <w:t> </w:t>
      </w:r>
      <w:r>
        <w:rPr/>
        <w:t>endogenous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Aggregate</w:t>
      </w:r>
      <w:r>
        <w:rPr>
          <w:spacing w:val="1"/>
        </w:rPr>
        <w:t> </w:t>
      </w:r>
      <w:r>
        <w:rPr/>
        <w:t>Consumption</w:t>
      </w:r>
      <w:r>
        <w:rPr>
          <w:rFonts w:ascii="Cambria Math" w:eastAsia="Cambria Math"/>
        </w:rPr>
        <w:t>(𝐶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Ricardian</w:t>
      </w:r>
      <w:r>
        <w:rPr>
          <w:spacing w:val="1"/>
          <w:vertAlign w:val="baseline"/>
        </w:rPr>
        <w:t> </w:t>
      </w:r>
      <w:r>
        <w:rPr>
          <w:vertAlign w:val="baseline"/>
        </w:rPr>
        <w:t>Consumption </w:t>
      </w:r>
      <w:r>
        <w:rPr>
          <w:rFonts w:ascii="Cambria Math" w:eastAsia="Cambria Math"/>
          <w:vertAlign w:val="baseline"/>
        </w:rPr>
        <w:t>(𝐶</w:t>
      </w:r>
      <w:r>
        <w:rPr>
          <w:rFonts w:ascii="Cambria Math" w:eastAsia="Cambria Math"/>
          <w:vertAlign w:val="subscript"/>
        </w:rPr>
        <w:t>𝑅,𝑡</w:t>
      </w:r>
      <w:r>
        <w:rPr>
          <w:rFonts w:ascii="Cambria Math" w:eastAsia="Cambria Math"/>
          <w:vertAlign w:val="baseline"/>
        </w:rPr>
        <w:t>)</w:t>
      </w:r>
      <w:r>
        <w:rPr>
          <w:vertAlign w:val="baseline"/>
        </w:rPr>
        <w:t>, Non Ricardian Consumption </w:t>
      </w:r>
      <w:r>
        <w:rPr>
          <w:rFonts w:ascii="Cambria Math" w:eastAsia="Cambria Math"/>
          <w:vertAlign w:val="baseline"/>
        </w:rPr>
        <w:t>(𝐶</w:t>
      </w:r>
      <w:r>
        <w:rPr>
          <w:rFonts w:ascii="Cambria Math" w:eastAsia="Cambria Math"/>
          <w:vertAlign w:val="subscript"/>
        </w:rPr>
        <w:t>𝑁𝑅,𝑡</w:t>
      </w:r>
      <w:r>
        <w:rPr>
          <w:vertAlign w:val="baseline"/>
        </w:rPr>
        <w:t>), Domestic Inflation </w:t>
      </w:r>
      <w:r>
        <w:rPr>
          <w:rFonts w:ascii="Cambria Math" w:eastAsia="Cambria Math"/>
          <w:vertAlign w:val="baseline"/>
        </w:rPr>
        <w:t>(𝜋</w:t>
      </w:r>
      <w:r>
        <w:rPr>
          <w:rFonts w:ascii="Cambria Math" w:eastAsia="Cambria Math"/>
          <w:vertAlign w:val="subscript"/>
        </w:rPr>
        <w:t>𝐷,𝑡</w:t>
      </w:r>
      <w:r>
        <w:rPr>
          <w:rFonts w:ascii="Cambria Math" w:eastAsia="Cambria Math"/>
          <w:vertAlign w:val="baseline"/>
        </w:rPr>
        <w:t>)</w:t>
      </w:r>
      <w:r>
        <w:rPr>
          <w:vertAlign w:val="baseline"/>
        </w:rPr>
        <w:t>, Output</w:t>
      </w:r>
      <w:r>
        <w:rPr>
          <w:rFonts w:ascii="Cambria Math" w:eastAsia="Cambria Math"/>
          <w:vertAlign w:val="baseline"/>
        </w:rPr>
        <w:t>(𝑦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vertAlign w:val="baseline"/>
        </w:rPr>
        <w:t>)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Terms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9"/>
          <w:vertAlign w:val="baseline"/>
        </w:rPr>
        <w:t> </w:t>
      </w:r>
      <w:r>
        <w:rPr>
          <w:vertAlign w:val="baseline"/>
        </w:rPr>
        <w:t>trade</w:t>
      </w:r>
      <w:r>
        <w:rPr>
          <w:spacing w:val="14"/>
          <w:vertAlign w:val="baseline"/>
        </w:rPr>
        <w:t> </w:t>
      </w:r>
      <w:r>
        <w:rPr>
          <w:rFonts w:ascii="Cambria Math" w:eastAsia="Cambria Math"/>
          <w:vertAlign w:val="baseline"/>
        </w:rPr>
        <w:t>(𝑠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vertAlign w:val="baseline"/>
        </w:rPr>
        <w:t>)</w:t>
      </w:r>
      <w:r>
        <w:rPr>
          <w:vertAlign w:val="baseline"/>
        </w:rPr>
        <w:t>,</w:t>
      </w:r>
      <w:r>
        <w:rPr>
          <w:spacing w:val="9"/>
          <w:vertAlign w:val="baseline"/>
        </w:rPr>
        <w:t> </w:t>
      </w:r>
      <w:r>
        <w:rPr>
          <w:vertAlign w:val="baseline"/>
        </w:rPr>
        <w:t>Nominal</w:t>
      </w:r>
      <w:r>
        <w:rPr>
          <w:spacing w:val="9"/>
          <w:vertAlign w:val="baseline"/>
        </w:rPr>
        <w:t> </w:t>
      </w:r>
      <w:r>
        <w:rPr>
          <w:vertAlign w:val="baseline"/>
        </w:rPr>
        <w:t>Exchange</w:t>
      </w:r>
      <w:r>
        <w:rPr>
          <w:spacing w:val="11"/>
          <w:vertAlign w:val="baseline"/>
        </w:rPr>
        <w:t> </w:t>
      </w:r>
      <w:r>
        <w:rPr>
          <w:vertAlign w:val="baseline"/>
        </w:rPr>
        <w:t>Rate</w:t>
      </w:r>
      <w:r>
        <w:rPr>
          <w:spacing w:val="14"/>
          <w:vertAlign w:val="baseline"/>
        </w:rPr>
        <w:t> </w:t>
      </w:r>
      <w:r>
        <w:rPr>
          <w:rFonts w:ascii="Cambria Math" w:eastAsia="Cambria Math"/>
          <w:vertAlign w:val="baseline"/>
        </w:rPr>
        <w:t>(𝑒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vertAlign w:val="baseline"/>
        </w:rPr>
        <w:t>)</w:t>
      </w:r>
      <w:r>
        <w:rPr>
          <w:vertAlign w:val="baseline"/>
        </w:rPr>
        <w:t>,</w:t>
      </w:r>
      <w:r>
        <w:rPr>
          <w:spacing w:val="9"/>
          <w:vertAlign w:val="baseline"/>
        </w:rPr>
        <w:t> </w:t>
      </w:r>
      <w:r>
        <w:rPr>
          <w:vertAlign w:val="baseline"/>
        </w:rPr>
        <w:t>Nominal</w:t>
      </w:r>
      <w:r>
        <w:rPr>
          <w:spacing w:val="9"/>
          <w:vertAlign w:val="baseline"/>
        </w:rPr>
        <w:t> </w:t>
      </w:r>
      <w:r>
        <w:rPr>
          <w:vertAlign w:val="baseline"/>
        </w:rPr>
        <w:t>interest</w:t>
      </w:r>
      <w:r>
        <w:rPr>
          <w:spacing w:val="10"/>
          <w:vertAlign w:val="baseline"/>
        </w:rPr>
        <w:t> </w:t>
      </w:r>
      <w:r>
        <w:rPr>
          <w:vertAlign w:val="baseline"/>
        </w:rPr>
        <w:t>rate</w:t>
      </w:r>
      <w:r>
        <w:rPr>
          <w:spacing w:val="15"/>
          <w:vertAlign w:val="baseline"/>
        </w:rPr>
        <w:t> </w:t>
      </w:r>
      <w:r>
        <w:rPr>
          <w:rFonts w:ascii="Cambria Math" w:eastAsia="Cambria Math"/>
          <w:vertAlign w:val="baseline"/>
        </w:rPr>
        <w:t>(𝑟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),</w:t>
      </w:r>
      <w:r>
        <w:rPr>
          <w:spacing w:val="9"/>
          <w:vertAlign w:val="baseline"/>
        </w:rPr>
        <w:t> </w:t>
      </w:r>
      <w:r>
        <w:rPr>
          <w:vertAlign w:val="baseline"/>
        </w:rPr>
        <w:t>Fiscal</w:t>
      </w:r>
      <w:r>
        <w:rPr>
          <w:spacing w:val="10"/>
          <w:vertAlign w:val="baseline"/>
        </w:rPr>
        <w:t> </w:t>
      </w:r>
      <w:r>
        <w:rPr>
          <w:vertAlign w:val="baseline"/>
        </w:rPr>
        <w:t>Policy</w:t>
      </w:r>
      <w:r>
        <w:rPr>
          <w:spacing w:val="9"/>
          <w:vertAlign w:val="baseline"/>
        </w:rPr>
        <w:t> </w:t>
      </w:r>
      <w:r>
        <w:rPr>
          <w:rFonts w:ascii="Cambria Math" w:eastAsia="Cambria Math"/>
          <w:vertAlign w:val="baseline"/>
        </w:rPr>
        <w:t>(𝑔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),</w:t>
      </w:r>
    </w:p>
    <w:p>
      <w:pPr>
        <w:pStyle w:val="BodyText"/>
        <w:spacing w:line="139" w:lineRule="exact"/>
        <w:ind w:left="500"/>
        <w:jc w:val="both"/>
      </w:pPr>
      <w:r>
        <w:rPr/>
        <w:t>Real</w:t>
      </w:r>
      <w:r>
        <w:rPr>
          <w:spacing w:val="14"/>
        </w:rPr>
        <w:t> </w:t>
      </w:r>
      <w:r>
        <w:rPr/>
        <w:t>Marginal</w:t>
      </w:r>
      <w:r>
        <w:rPr>
          <w:spacing w:val="17"/>
        </w:rPr>
        <w:t> </w:t>
      </w:r>
      <w:r>
        <w:rPr/>
        <w:t>cost</w:t>
      </w:r>
      <w:r>
        <w:rPr>
          <w:spacing w:val="20"/>
        </w:rPr>
        <w:t> </w:t>
      </w:r>
      <w:r>
        <w:rPr>
          <w:rFonts w:ascii="Cambria Math" w:hAnsi="Cambria Math" w:eastAsia="Cambria Math"/>
        </w:rPr>
        <w:t>(𝑚𝑐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vertAlign w:val="baseline"/>
        </w:rPr>
        <w:t>),</w:t>
      </w:r>
      <w:r>
        <w:rPr>
          <w:spacing w:val="13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17"/>
          <w:vertAlign w:val="baseline"/>
        </w:rPr>
        <w:t> </w:t>
      </w:r>
      <w:r>
        <w:rPr>
          <w:vertAlign w:val="baseline"/>
        </w:rPr>
        <w:t>Output</w:t>
      </w:r>
      <w:r>
        <w:rPr>
          <w:spacing w:val="1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(𝑦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),</w:t>
      </w:r>
      <w:r>
        <w:rPr>
          <w:vertAlign w:val="baseline"/>
        </w:rPr>
        <w:t>Foreign</w:t>
      </w:r>
      <w:r>
        <w:rPr>
          <w:spacing w:val="21"/>
          <w:vertAlign w:val="baseline"/>
        </w:rPr>
        <w:t> </w:t>
      </w:r>
      <w:r>
        <w:rPr>
          <w:vertAlign w:val="baseline"/>
        </w:rPr>
        <w:t>Inflation</w:t>
      </w:r>
      <w:r>
        <w:rPr>
          <w:spacing w:val="15"/>
          <w:vertAlign w:val="baseline"/>
        </w:rPr>
        <w:t> </w:t>
      </w:r>
      <w:r>
        <w:rPr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𝜋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vertAlign w:val="baseline"/>
        </w:rPr>
        <w:t>)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17"/>
          <w:vertAlign w:val="baseline"/>
        </w:rPr>
        <w:t> </w:t>
      </w:r>
      <w:r>
        <w:rPr>
          <w:vertAlign w:val="baseline"/>
        </w:rPr>
        <w:t>Interest</w:t>
      </w:r>
      <w:r>
        <w:rPr>
          <w:spacing w:val="18"/>
          <w:vertAlign w:val="baseline"/>
        </w:rPr>
        <w:t> </w:t>
      </w:r>
      <w:r>
        <w:rPr>
          <w:vertAlign w:val="baseline"/>
        </w:rPr>
        <w:t>rate</w:t>
      </w:r>
      <w:r>
        <w:rPr>
          <w:spacing w:val="14"/>
          <w:vertAlign w:val="baseline"/>
        </w:rPr>
        <w:t> </w:t>
      </w:r>
      <w:r>
        <w:rPr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𝑟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vertAlign w:val="baseline"/>
        </w:rPr>
        <w:t>),</w:t>
      </w:r>
    </w:p>
    <w:p>
      <w:pPr>
        <w:tabs>
          <w:tab w:pos="7098" w:val="left" w:leader="none"/>
          <w:tab w:pos="9593" w:val="left" w:leader="none"/>
        </w:tabs>
        <w:spacing w:line="171" w:lineRule="exact" w:before="0"/>
        <w:ind w:left="490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</w:t>
        <w:tab/>
        <w:t>𝑡</w:t>
        <w:tab/>
        <w:t>𝑡</w:t>
      </w:r>
    </w:p>
    <w:p>
      <w:pPr>
        <w:pStyle w:val="BodyText"/>
        <w:spacing w:line="362" w:lineRule="auto" w:before="106"/>
        <w:ind w:left="500"/>
      </w:pPr>
      <w:r>
        <w:rPr/>
        <w:t>Technology</w:t>
      </w:r>
      <w:r>
        <w:rPr>
          <w:spacing w:val="41"/>
        </w:rPr>
        <w:t> </w:t>
      </w:r>
      <w:r>
        <w:rPr/>
        <w:t>(</w:t>
      </w:r>
      <w:r>
        <w:rPr>
          <w:rFonts w:ascii="Cambria Math" w:eastAsia="Cambria Math"/>
        </w:rPr>
        <w:t>𝑎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),</w:t>
      </w:r>
      <w:r>
        <w:rPr>
          <w:spacing w:val="47"/>
          <w:vertAlign w:val="baseline"/>
        </w:rPr>
        <w:t> </w:t>
      </w:r>
      <w:r>
        <w:rPr>
          <w:vertAlign w:val="baseline"/>
        </w:rPr>
        <w:t>Tax</w:t>
      </w:r>
      <w:r>
        <w:rPr>
          <w:spacing w:val="49"/>
          <w:vertAlign w:val="baseline"/>
        </w:rPr>
        <w:t> </w:t>
      </w:r>
      <w:r>
        <w:rPr>
          <w:vertAlign w:val="baseline"/>
        </w:rPr>
        <w:t>(</w:t>
      </w:r>
      <w:r>
        <w:rPr>
          <w:rFonts w:ascii="Cambria Math" w:eastAsia="Cambria Math"/>
          <w:vertAlign w:val="baseline"/>
        </w:rPr>
        <w:t>𝜋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),</w:t>
      </w:r>
      <w:r>
        <w:rPr>
          <w:spacing w:val="46"/>
          <w:vertAlign w:val="baseline"/>
        </w:rPr>
        <w:t> </w:t>
      </w:r>
      <w:r>
        <w:rPr>
          <w:vertAlign w:val="baseline"/>
        </w:rPr>
        <w:t>Transfer</w:t>
      </w:r>
      <w:r>
        <w:rPr>
          <w:spacing w:val="47"/>
          <w:vertAlign w:val="baseline"/>
        </w:rPr>
        <w:t> </w:t>
      </w:r>
      <w:r>
        <w:rPr>
          <w:vertAlign w:val="baseline"/>
        </w:rPr>
        <w:t>payment</w:t>
      </w:r>
      <w:r>
        <w:rPr>
          <w:spacing w:val="47"/>
          <w:vertAlign w:val="baseline"/>
        </w:rPr>
        <w:t> </w:t>
      </w:r>
      <w:r>
        <w:rPr>
          <w:vertAlign w:val="baseline"/>
        </w:rPr>
        <w:t>(</w:t>
      </w:r>
      <w:r>
        <w:rPr>
          <w:rFonts w:ascii="Cambria Math" w:eastAsia="Cambria Math"/>
          <w:vertAlign w:val="baseline"/>
        </w:rPr>
        <w:t>𝑇𝑃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),</w:t>
      </w:r>
      <w:r>
        <w:rPr>
          <w:spacing w:val="46"/>
          <w:vertAlign w:val="baseline"/>
        </w:rPr>
        <w:t> </w:t>
      </w:r>
      <w:r>
        <w:rPr>
          <w:vertAlign w:val="baseline"/>
        </w:rPr>
        <w:t>Rent</w:t>
      </w:r>
      <w:r>
        <w:rPr>
          <w:spacing w:val="49"/>
          <w:vertAlign w:val="baseline"/>
        </w:rPr>
        <w:t> </w:t>
      </w:r>
      <w:r>
        <w:rPr>
          <w:vertAlign w:val="baseline"/>
        </w:rPr>
        <w:t>seeking</w:t>
      </w:r>
      <w:r>
        <w:rPr>
          <w:spacing w:val="45"/>
          <w:vertAlign w:val="baseline"/>
        </w:rPr>
        <w:t> </w:t>
      </w:r>
      <w:r>
        <w:rPr>
          <w:vertAlign w:val="baseline"/>
        </w:rPr>
        <w:t>(</w:t>
      </w:r>
      <w:r>
        <w:rPr>
          <w:rFonts w:ascii="Cambria Math" w:eastAsia="Cambria Math"/>
          <w:vertAlign w:val="baseline"/>
        </w:rPr>
        <w:t>𝑟𝑛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),</w:t>
      </w:r>
      <w:r>
        <w:rPr>
          <w:spacing w:val="46"/>
          <w:vertAlign w:val="baseline"/>
        </w:rPr>
        <w:t> </w:t>
      </w:r>
      <w:r>
        <w:rPr>
          <w:vertAlign w:val="baseline"/>
        </w:rPr>
        <w:t>Total</w:t>
      </w:r>
      <w:r>
        <w:rPr>
          <w:spacing w:val="50"/>
          <w:vertAlign w:val="baseline"/>
        </w:rPr>
        <w:t> </w:t>
      </w:r>
      <w:r>
        <w:rPr>
          <w:vertAlign w:val="baseline"/>
        </w:rPr>
        <w:t>Inflation</w:t>
      </w:r>
      <w:r>
        <w:rPr>
          <w:spacing w:val="48"/>
          <w:vertAlign w:val="baseline"/>
        </w:rPr>
        <w:t> </w:t>
      </w:r>
      <w:r>
        <w:rPr>
          <w:vertAlign w:val="baseline"/>
        </w:rPr>
        <w:t>(</w:t>
      </w:r>
      <w:r>
        <w:rPr>
          <w:rFonts w:ascii="Cambria Math" w:eastAsia="Cambria Math"/>
          <w:vertAlign w:val="baseline"/>
        </w:rPr>
        <w:t>𝜋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),</w:t>
      </w:r>
      <w:r>
        <w:rPr>
          <w:spacing w:val="-57"/>
          <w:vertAlign w:val="baseline"/>
        </w:rPr>
        <w:t> </w:t>
      </w:r>
      <w:r>
        <w:rPr>
          <w:vertAlign w:val="baseline"/>
        </w:rPr>
        <w:t>Imported</w:t>
      </w:r>
      <w:r>
        <w:rPr>
          <w:spacing w:val="2"/>
          <w:vertAlign w:val="baseline"/>
        </w:rPr>
        <w:t> </w:t>
      </w:r>
      <w:r>
        <w:rPr>
          <w:vertAlign w:val="baseline"/>
        </w:rPr>
        <w:t>Inflation(</w:t>
      </w:r>
      <w:r>
        <w:rPr>
          <w:rFonts w:ascii="Cambria Math" w:eastAsia="Cambria Math"/>
          <w:vertAlign w:val="baseline"/>
        </w:rPr>
        <w:t>𝜋</w:t>
      </w:r>
      <w:r>
        <w:rPr>
          <w:rFonts w:ascii="Cambria Math" w:eastAsia="Cambria Math"/>
          <w:vertAlign w:val="subscript"/>
        </w:rPr>
        <w:t>𝐹.𝑡</w:t>
      </w:r>
      <w:r>
        <w:rPr>
          <w:vertAlign w:val="baseline"/>
        </w:rPr>
        <w:t>).</w:t>
      </w:r>
    </w:p>
    <w:p>
      <w:pPr>
        <w:spacing w:after="0" w:line="362" w:lineRule="auto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153"/>
        <w:ind w:left="500"/>
        <w:rPr>
          <w:rFonts w:ascii="Cambria Math" w:hAnsi="Cambria Math"/>
        </w:rPr>
      </w:pPr>
      <w:r>
        <w:rPr/>
        <w:pict>
          <v:shape style="position:absolute;margin-left:466.899994pt;margin-top:9.891838pt;width:3.3pt;height:7pt;mso-position-horizontal-relative:page;mso-position-vertical-relative:paragraph;z-index:-21364736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4"/>
                    </w:rPr>
                  </w:pPr>
                  <w:r>
                    <w:rPr>
                      <w:rFonts w:ascii="Cambria Math" w:eastAsia="Cambria Math"/>
                      <w:w w:val="115"/>
                      <w:sz w:val="14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/>
        <w:t>The</w:t>
      </w:r>
      <w:r>
        <w:rPr>
          <w:spacing w:val="9"/>
        </w:rPr>
        <w:t> </w:t>
      </w:r>
      <w:r>
        <w:rPr/>
        <w:t>exogenous</w:t>
      </w:r>
      <w:r>
        <w:rPr>
          <w:spacing w:val="12"/>
        </w:rPr>
        <w:t> </w:t>
      </w:r>
      <w:r>
        <w:rPr/>
        <w:t>variables</w:t>
      </w:r>
      <w:r>
        <w:rPr>
          <w:spacing w:val="13"/>
        </w:rPr>
        <w:t> </w:t>
      </w:r>
      <w:r>
        <w:rPr/>
        <w:t>and</w:t>
      </w:r>
      <w:r>
        <w:rPr>
          <w:spacing w:val="11"/>
        </w:rPr>
        <w:t> </w:t>
      </w:r>
      <w:r>
        <w:rPr/>
        <w:t>shock</w:t>
      </w:r>
      <w:r>
        <w:rPr>
          <w:spacing w:val="11"/>
        </w:rPr>
        <w:t> </w:t>
      </w:r>
      <w:r>
        <w:rPr/>
        <w:t>processes</w:t>
      </w:r>
      <w:r>
        <w:rPr>
          <w:spacing w:val="13"/>
        </w:rPr>
        <w:t> </w:t>
      </w:r>
      <w:r>
        <w:rPr/>
        <w:t>estimated</w:t>
      </w:r>
      <w:r>
        <w:rPr>
          <w:spacing w:val="10"/>
        </w:rPr>
        <w:t> </w:t>
      </w:r>
      <w:r>
        <w:rPr/>
        <w:t>are:</w:t>
      </w:r>
      <w:r>
        <w:rPr>
          <w:spacing w:val="18"/>
        </w:rPr>
        <w:t> </w:t>
      </w:r>
      <w:r>
        <w:rPr/>
        <w:t>Foreign</w:t>
      </w:r>
      <w:r>
        <w:rPr>
          <w:spacing w:val="14"/>
        </w:rPr>
        <w:t> </w:t>
      </w:r>
      <w:r>
        <w:rPr/>
        <w:t>Output</w:t>
      </w:r>
      <w:r>
        <w:rPr>
          <w:spacing w:val="13"/>
        </w:rPr>
        <w:t> </w:t>
      </w:r>
      <w:r>
        <w:rPr>
          <w:rFonts w:ascii="Cambria Math" w:hAnsi="Cambria Math"/>
        </w:rPr>
        <w:t>(ε</w:t>
      </w:r>
      <w:r>
        <w:rPr>
          <w:rFonts w:ascii="Cambria Math" w:hAnsi="Cambria Math"/>
          <w:vertAlign w:val="subscript"/>
        </w:rPr>
        <w:t>t</w:t>
      </w:r>
    </w:p>
    <w:p>
      <w:pPr>
        <w:spacing w:before="58"/>
        <w:ind w:left="-26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 w:hAnsi="Cambria Math" w:eastAsia="Cambria Math"/>
          <w:position w:val="12"/>
          <w:sz w:val="17"/>
        </w:rPr>
        <w:t>𝑦</w:t>
      </w:r>
      <w:r>
        <w:rPr>
          <w:rFonts w:ascii="Cambria Math" w:hAnsi="Cambria Math" w:eastAsia="Cambria Math"/>
          <w:position w:val="19"/>
          <w:sz w:val="14"/>
        </w:rPr>
        <w:t>∗</w:t>
      </w:r>
      <w:r>
        <w:rPr>
          <w:rFonts w:ascii="Cambria Math" w:hAnsi="Cambria Math" w:eastAsia="Cambria Math"/>
          <w:sz w:val="24"/>
        </w:rPr>
        <w:t>),</w:t>
      </w:r>
      <w:r>
        <w:rPr>
          <w:rFonts w:ascii="Cambria Math" w:hAnsi="Cambria Math" w:eastAsia="Cambria Math"/>
          <w:spacing w:val="54"/>
          <w:sz w:val="24"/>
        </w:rPr>
        <w:t> </w:t>
      </w:r>
      <w:r>
        <w:rPr>
          <w:sz w:val="24"/>
        </w:rPr>
        <w:t>Technology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5" w:top="1340" w:bottom="1200" w:left="940" w:right="940"/>
          <w:cols w:num="2" w:equalWidth="0">
            <w:col w:w="8283" w:space="40"/>
            <w:col w:w="2037"/>
          </w:cols>
        </w:sectPr>
      </w:pPr>
    </w:p>
    <w:p>
      <w:pPr>
        <w:pStyle w:val="BodyText"/>
        <w:spacing w:line="146" w:lineRule="exact" w:before="155"/>
        <w:ind w:left="500"/>
      </w:pPr>
      <w:r>
        <w:rPr/>
        <w:t>Shock</w:t>
      </w:r>
      <w:r>
        <w:rPr>
          <w:spacing w:val="10"/>
        </w:rPr>
        <w:t> </w:t>
      </w:r>
      <w:r>
        <w:rPr/>
        <w:t>(</w:t>
      </w:r>
      <w:r>
        <w:rPr>
          <w:rFonts w:ascii="Cambria Math" w:eastAsia="Cambria Math"/>
        </w:rPr>
        <w:t>𝜀</w:t>
      </w:r>
      <w:r>
        <w:rPr>
          <w:rFonts w:ascii="Cambria Math" w:eastAsia="Cambria Math"/>
          <w:vertAlign w:val="superscript"/>
        </w:rPr>
        <w:t>𝑎</w:t>
      </w:r>
      <w:r>
        <w:rPr>
          <w:vertAlign w:val="baseline"/>
        </w:rPr>
        <w:t>),</w:t>
      </w:r>
      <w:r>
        <w:rPr>
          <w:spacing w:val="11"/>
          <w:vertAlign w:val="baseline"/>
        </w:rPr>
        <w:t> </w:t>
      </w:r>
      <w:r>
        <w:rPr>
          <w:vertAlign w:val="baseline"/>
        </w:rPr>
        <w:t>Monetary</w:t>
      </w:r>
      <w:r>
        <w:rPr>
          <w:spacing w:val="6"/>
          <w:vertAlign w:val="baseline"/>
        </w:rPr>
        <w:t> </w:t>
      </w:r>
      <w:r>
        <w:rPr>
          <w:vertAlign w:val="baseline"/>
        </w:rPr>
        <w:t>Shock</w:t>
      </w:r>
      <w:r>
        <w:rPr>
          <w:spacing w:val="10"/>
          <w:vertAlign w:val="baseline"/>
        </w:rPr>
        <w:t> </w:t>
      </w:r>
      <w:r>
        <w:rPr>
          <w:vertAlign w:val="baseline"/>
        </w:rPr>
        <w:t>(</w:t>
      </w:r>
      <w:r>
        <w:rPr>
          <w:rFonts w:ascii="Cambria Math" w:eastAsia="Cambria Math"/>
          <w:vertAlign w:val="baseline"/>
        </w:rPr>
        <w:t>𝜀</w:t>
      </w:r>
      <w:r>
        <w:rPr>
          <w:rFonts w:ascii="Cambria Math" w:eastAsia="Cambria Math"/>
          <w:vertAlign w:val="superscript"/>
        </w:rPr>
        <w:t>𝑟</w:t>
      </w:r>
      <w:r>
        <w:rPr>
          <w:rFonts w:ascii="Cambria Math" w:eastAsia="Cambria Math"/>
          <w:vertAlign w:val="baseline"/>
        </w:rPr>
        <w:t>)</w:t>
      </w:r>
      <w:r>
        <w:rPr>
          <w:vertAlign w:val="baseline"/>
        </w:rPr>
        <w:t>,</w:t>
      </w:r>
      <w:r>
        <w:rPr>
          <w:spacing w:val="14"/>
          <w:vertAlign w:val="baseline"/>
        </w:rPr>
        <w:t> </w:t>
      </w:r>
      <w:r>
        <w:rPr>
          <w:vertAlign w:val="baseline"/>
        </w:rPr>
        <w:t>Inflation</w:t>
      </w:r>
      <w:r>
        <w:rPr>
          <w:spacing w:val="11"/>
          <w:vertAlign w:val="baseline"/>
        </w:rPr>
        <w:t> </w:t>
      </w:r>
      <w:r>
        <w:rPr>
          <w:vertAlign w:val="baseline"/>
        </w:rPr>
        <w:t>shock</w:t>
      </w:r>
      <w:r>
        <w:rPr>
          <w:spacing w:val="11"/>
          <w:vertAlign w:val="baseline"/>
        </w:rPr>
        <w:t> </w:t>
      </w:r>
      <w:r>
        <w:rPr>
          <w:vertAlign w:val="baseline"/>
        </w:rPr>
        <w:t>(</w:t>
      </w:r>
      <w:r>
        <w:rPr>
          <w:rFonts w:ascii="Cambria Math" w:eastAsia="Cambria Math"/>
          <w:vertAlign w:val="baseline"/>
        </w:rPr>
        <w:t>𝜀</w:t>
      </w:r>
      <w:r>
        <w:rPr>
          <w:rFonts w:ascii="Cambria Math" w:eastAsia="Cambria Math"/>
          <w:vertAlign w:val="superscript"/>
        </w:rPr>
        <w:t>𝜋𝐷</w:t>
      </w:r>
      <w:r>
        <w:rPr>
          <w:vertAlign w:val="baseline"/>
        </w:rPr>
        <w:t>),</w:t>
      </w:r>
      <w:r>
        <w:rPr>
          <w:spacing w:val="11"/>
          <w:vertAlign w:val="baseline"/>
        </w:rPr>
        <w:t> </w:t>
      </w:r>
      <w:r>
        <w:rPr>
          <w:vertAlign w:val="baseline"/>
        </w:rPr>
        <w:t>output</w:t>
      </w:r>
      <w:r>
        <w:rPr>
          <w:spacing w:val="11"/>
          <w:vertAlign w:val="baseline"/>
        </w:rPr>
        <w:t> </w:t>
      </w:r>
      <w:r>
        <w:rPr>
          <w:vertAlign w:val="baseline"/>
        </w:rPr>
        <w:t>shock</w:t>
      </w:r>
      <w:r>
        <w:rPr>
          <w:spacing w:val="11"/>
          <w:vertAlign w:val="baseline"/>
        </w:rPr>
        <w:t> </w:t>
      </w:r>
      <w:r>
        <w:rPr>
          <w:vertAlign w:val="baseline"/>
        </w:rPr>
        <w:t>(</w:t>
      </w:r>
      <w:r>
        <w:rPr>
          <w:rFonts w:ascii="Cambria Math" w:eastAsia="Cambria Math"/>
          <w:vertAlign w:val="baseline"/>
        </w:rPr>
        <w:t>𝜀</w:t>
      </w:r>
      <w:r>
        <w:rPr>
          <w:rFonts w:ascii="Cambria Math" w:eastAsia="Cambria Math"/>
          <w:vertAlign w:val="superscript"/>
        </w:rPr>
        <w:t>𝑦</w:t>
      </w:r>
      <w:r>
        <w:rPr>
          <w:vertAlign w:val="baseline"/>
        </w:rPr>
        <w:t>),</w:t>
      </w:r>
      <w:r>
        <w:rPr>
          <w:spacing w:val="11"/>
          <w:vertAlign w:val="baseline"/>
        </w:rPr>
        <w:t> </w:t>
      </w:r>
      <w:r>
        <w:rPr>
          <w:vertAlign w:val="baseline"/>
        </w:rPr>
        <w:t>shock</w:t>
      </w:r>
      <w:r>
        <w:rPr>
          <w:spacing w:val="11"/>
          <w:vertAlign w:val="baseline"/>
        </w:rPr>
        <w:t> </w:t>
      </w:r>
      <w:r>
        <w:rPr>
          <w:vertAlign w:val="baseline"/>
        </w:rPr>
        <w:t>to</w:t>
      </w:r>
      <w:r>
        <w:rPr>
          <w:spacing w:val="11"/>
          <w:vertAlign w:val="baseline"/>
        </w:rPr>
        <w:t> </w:t>
      </w:r>
      <w:r>
        <w:rPr>
          <w:vertAlign w:val="baseline"/>
        </w:rPr>
        <w:t>rent</w:t>
      </w:r>
      <w:r>
        <w:rPr>
          <w:spacing w:val="11"/>
          <w:vertAlign w:val="baseline"/>
        </w:rPr>
        <w:t> </w:t>
      </w:r>
      <w:r>
        <w:rPr>
          <w:vertAlign w:val="baseline"/>
        </w:rPr>
        <w:t>seeking</w:t>
      </w:r>
    </w:p>
    <w:p>
      <w:pPr>
        <w:spacing w:after="0" w:line="146" w:lineRule="exact"/>
        <w:sectPr>
          <w:type w:val="continuous"/>
          <w:pgSz w:w="12240" w:h="15840"/>
          <w:pgMar w:top="1500" w:bottom="1120" w:left="940" w:right="940"/>
        </w:sectPr>
      </w:pPr>
    </w:p>
    <w:p>
      <w:pPr>
        <w:tabs>
          <w:tab w:pos="3517" w:val="left" w:leader="none"/>
        </w:tabs>
        <w:spacing w:line="171" w:lineRule="exact" w:before="0"/>
        <w:ind w:left="134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</w:t>
        <w:tab/>
        <w:t>𝑡</w:t>
      </w:r>
    </w:p>
    <w:p>
      <w:pPr>
        <w:pStyle w:val="BodyText"/>
        <w:spacing w:line="146" w:lineRule="exact" w:before="137"/>
        <w:ind w:left="500"/>
      </w:pPr>
      <w:r>
        <w:rPr/>
        <w:t>(</w:t>
      </w:r>
      <w:r>
        <w:rPr>
          <w:rFonts w:ascii="Cambria Math" w:eastAsia="Cambria Math"/>
        </w:rPr>
        <w:t>𝜀</w:t>
      </w:r>
      <w:r>
        <w:rPr>
          <w:rFonts w:ascii="Cambria Math" w:eastAsia="Cambria Math"/>
          <w:vertAlign w:val="superscript"/>
        </w:rPr>
        <w:t>𝑟𝑛</w:t>
      </w:r>
      <w:r>
        <w:rPr>
          <w:vertAlign w:val="baseline"/>
        </w:rPr>
        <w:t>)</w:t>
      </w:r>
      <w:r>
        <w:rPr>
          <w:spacing w:val="18"/>
          <w:vertAlign w:val="baseline"/>
        </w:rPr>
        <w:t> </w:t>
      </w:r>
      <w:r>
        <w:rPr>
          <w:vertAlign w:val="baseline"/>
        </w:rPr>
        <w:t>and</w:t>
      </w:r>
      <w:r>
        <w:rPr>
          <w:spacing w:val="21"/>
          <w:vertAlign w:val="baseline"/>
        </w:rPr>
        <w:t> </w:t>
      </w:r>
      <w:r>
        <w:rPr>
          <w:vertAlign w:val="baseline"/>
        </w:rPr>
        <w:t>Fiscal</w:t>
      </w:r>
      <w:r>
        <w:rPr>
          <w:spacing w:val="19"/>
          <w:vertAlign w:val="baseline"/>
        </w:rPr>
        <w:t> </w:t>
      </w:r>
      <w:r>
        <w:rPr>
          <w:vertAlign w:val="baseline"/>
        </w:rPr>
        <w:t>shock</w:t>
      </w:r>
      <w:r>
        <w:rPr>
          <w:spacing w:val="20"/>
          <w:vertAlign w:val="baseline"/>
        </w:rPr>
        <w:t> </w:t>
      </w:r>
      <w:r>
        <w:rPr>
          <w:vertAlign w:val="baseline"/>
        </w:rPr>
        <w:t>(</w:t>
      </w:r>
      <w:r>
        <w:rPr>
          <w:rFonts w:ascii="Cambria Math" w:eastAsia="Cambria Math"/>
          <w:vertAlign w:val="baseline"/>
        </w:rPr>
        <w:t>𝜀</w:t>
      </w:r>
      <w:r>
        <w:rPr>
          <w:rFonts w:ascii="Cambria Math" w:eastAsia="Cambria Math"/>
          <w:vertAlign w:val="superscript"/>
        </w:rPr>
        <w:t>𝑔</w:t>
      </w:r>
      <w:r>
        <w:rPr>
          <w:rFonts w:ascii="Cambria Math" w:eastAsia="Cambria Math"/>
          <w:vertAlign w:val="baseline"/>
        </w:rPr>
        <w:t>)</w:t>
      </w:r>
      <w:r>
        <w:rPr>
          <w:vertAlign w:val="baseline"/>
        </w:rPr>
        <w:t>.</w:t>
      </w:r>
    </w:p>
    <w:p>
      <w:pPr>
        <w:tabs>
          <w:tab w:pos="2439" w:val="left" w:leader="none"/>
        </w:tabs>
        <w:spacing w:line="188" w:lineRule="exact" w:before="0"/>
        <w:ind w:left="500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position w:val="2"/>
          <w:sz w:val="17"/>
        </w:rPr>
        <w:t>𝑡</w:t>
        <w:tab/>
      </w:r>
      <w:r>
        <w:rPr>
          <w:rFonts w:ascii="Cambria Math" w:eastAsia="Cambria Math"/>
          <w:w w:val="110"/>
          <w:sz w:val="17"/>
        </w:rPr>
        <w:t>𝑡</w:t>
      </w:r>
    </w:p>
    <w:p>
      <w:pPr>
        <w:spacing w:after="0" w:line="188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2" w:equalWidth="0">
            <w:col w:w="3633" w:space="1415"/>
            <w:col w:w="5312"/>
          </w:cols>
        </w:sectPr>
      </w:pPr>
    </w:p>
    <w:p>
      <w:pPr>
        <w:tabs>
          <w:tab w:pos="2903" w:val="left" w:leader="none"/>
        </w:tabs>
        <w:spacing w:line="188" w:lineRule="exact" w:before="0"/>
        <w:ind w:left="68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2"/>
          <w:sz w:val="17"/>
        </w:rPr>
        <w:t>𝑡</w:t>
        <w:tab/>
      </w:r>
      <w:r>
        <w:rPr>
          <w:rFonts w:ascii="Cambria Math" w:eastAsia="Cambria Math"/>
          <w:w w:val="110"/>
          <w:sz w:val="17"/>
        </w:rPr>
        <w:t>𝑡</w:t>
      </w:r>
    </w:p>
    <w:p>
      <w:pPr>
        <w:pStyle w:val="BodyText"/>
        <w:spacing w:before="6"/>
        <w:rPr>
          <w:rFonts w:ascii="Cambria Math"/>
          <w:sz w:val="18"/>
        </w:rPr>
      </w:pPr>
    </w:p>
    <w:p>
      <w:pPr>
        <w:pStyle w:val="Heading3"/>
        <w:numPr>
          <w:ilvl w:val="1"/>
          <w:numId w:val="20"/>
        </w:numPr>
        <w:tabs>
          <w:tab w:pos="1221" w:val="left" w:leader="none"/>
        </w:tabs>
        <w:spacing w:line="240" w:lineRule="auto" w:before="90" w:after="0"/>
        <w:ind w:left="1220" w:right="0" w:hanging="361"/>
        <w:jc w:val="both"/>
      </w:pPr>
      <w:r>
        <w:rPr/>
        <w:t>Solving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system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linear</w:t>
      </w:r>
      <w:r>
        <w:rPr>
          <w:spacing w:val="-2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equation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500" w:right="494"/>
        <w:jc w:val="both"/>
      </w:pPr>
      <w:r>
        <w:rPr/>
        <w:t>The log-linear approximation method obtained as shown in the previous sub-section, usually</w:t>
      </w:r>
      <w:r>
        <w:rPr>
          <w:spacing w:val="1"/>
        </w:rPr>
        <w:t> </w:t>
      </w:r>
      <w:r>
        <w:rPr/>
        <w:t>produces a system of linear stochastic difference equations which can be cast in state-space form</w:t>
      </w:r>
      <w:r>
        <w:rPr>
          <w:spacing w:val="1"/>
        </w:rPr>
        <w:t> </w:t>
      </w:r>
      <w:r>
        <w:rPr/>
        <w:t>as:</w:t>
      </w:r>
    </w:p>
    <w:p>
      <w:pPr>
        <w:pStyle w:val="BodyText"/>
        <w:tabs>
          <w:tab w:pos="8961" w:val="left" w:leader="none"/>
        </w:tabs>
        <w:spacing w:line="279" w:lineRule="exact"/>
        <w:ind w:left="500"/>
        <w:jc w:val="both"/>
      </w:pPr>
      <w:r>
        <w:rPr>
          <w:rFonts w:ascii="Cambria Math" w:hAnsi="Cambria Math" w:eastAsia="Cambria Math"/>
          <w:w w:val="105"/>
        </w:rPr>
        <w:t>𝐴𝑥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2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𝐵𝑥</w:t>
      </w:r>
      <w:r>
        <w:rPr>
          <w:rFonts w:ascii="Cambria Math" w:hAnsi="Cambria Math" w:eastAsia="Cambria Math"/>
          <w:w w:val="105"/>
          <w:vertAlign w:val="subscript"/>
        </w:rPr>
        <w:t>𝑡−1</w:t>
      </w:r>
      <w:r>
        <w:rPr>
          <w:rFonts w:ascii="Cambria Math" w:hAnsi="Cambria Math" w:eastAsia="Cambria Math"/>
          <w:spacing w:val="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-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𝐶𝑒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w w:val="105"/>
          <w:vertAlign w:val="baseline"/>
        </w:rPr>
        <w:tab/>
      </w:r>
      <w:r>
        <w:rPr>
          <w:w w:val="105"/>
          <w:vertAlign w:val="baseline"/>
        </w:rPr>
        <w:t>(138)</w:t>
      </w:r>
    </w:p>
    <w:p>
      <w:pPr>
        <w:pStyle w:val="BodyText"/>
        <w:spacing w:before="142"/>
        <w:ind w:left="500"/>
      </w:pPr>
      <w:r>
        <w:rPr/>
        <w:t>Where,</w:t>
      </w:r>
    </w:p>
    <w:p>
      <w:pPr>
        <w:pStyle w:val="BodyText"/>
        <w:spacing w:before="137"/>
        <w:ind w:left="500"/>
      </w:pPr>
      <w:r>
        <w:rPr/>
        <w:t>A,</w:t>
      </w:r>
      <w:r>
        <w:rPr>
          <w:spacing w:val="-1"/>
        </w:rPr>
        <w:t> </w:t>
      </w:r>
      <w:r>
        <w:rPr/>
        <w:t>B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C:  Matrices</w:t>
      </w:r>
      <w:r>
        <w:rPr>
          <w:spacing w:val="-1"/>
        </w:rPr>
        <w:t> </w:t>
      </w:r>
      <w:r>
        <w:rPr/>
        <w:t>that contain the</w:t>
      </w:r>
      <w:r>
        <w:rPr>
          <w:spacing w:val="-1"/>
        </w:rPr>
        <w:t> </w:t>
      </w:r>
      <w:r>
        <w:rPr/>
        <w:t>reduced-form parameters of</w:t>
      </w:r>
      <w:r>
        <w:rPr>
          <w:spacing w:val="-3"/>
        </w:rPr>
        <w:t> </w:t>
      </w:r>
      <w:r>
        <w:rPr/>
        <w:t>the model</w:t>
      </w:r>
    </w:p>
    <w:p>
      <w:pPr>
        <w:pStyle w:val="BodyText"/>
        <w:spacing w:before="138"/>
        <w:ind w:left="500"/>
      </w:pPr>
      <w:r>
        <w:rPr>
          <w:rFonts w:ascii="Cambria Math"/>
        </w:rPr>
        <w:t>x</w:t>
      </w:r>
      <w:r>
        <w:rPr>
          <w:rFonts w:ascii="Cambria Math"/>
          <w:vertAlign w:val="subscript"/>
        </w:rPr>
        <w:t>t</w:t>
      </w:r>
      <w:r>
        <w:rPr>
          <w:vertAlign w:val="baseline"/>
        </w:rPr>
        <w:t>:</w:t>
      </w:r>
      <w:r>
        <w:rPr>
          <w:spacing w:val="3"/>
          <w:vertAlign w:val="baseline"/>
        </w:rPr>
        <w:t> </w:t>
      </w:r>
      <w:r>
        <w:rPr>
          <w:vertAlign w:val="baseline"/>
        </w:rPr>
        <w:t>Vector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5"/>
          <w:vertAlign w:val="baseline"/>
        </w:rPr>
        <w:t> </w:t>
      </w:r>
      <w:r>
        <w:rPr>
          <w:vertAlign w:val="baseline"/>
        </w:rPr>
        <w:t>endogenous</w:t>
      </w:r>
      <w:r>
        <w:rPr>
          <w:spacing w:val="3"/>
          <w:vertAlign w:val="baseline"/>
        </w:rPr>
        <w:t> </w:t>
      </w:r>
      <w:r>
        <w:rPr>
          <w:vertAlign w:val="baseline"/>
        </w:rPr>
        <w:t>variables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 w:before="1"/>
        <w:ind w:left="500" w:right="493"/>
        <w:jc w:val="both"/>
      </w:pPr>
      <w:r>
        <w:rPr/>
        <w:t>This</w:t>
      </w:r>
      <w:r>
        <w:rPr>
          <w:spacing w:val="-6"/>
        </w:rPr>
        <w:t> </w:t>
      </w:r>
      <w:r>
        <w:rPr/>
        <w:t>equation</w:t>
      </w:r>
      <w:r>
        <w:rPr>
          <w:spacing w:val="-5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7"/>
        </w:rPr>
        <w:t> </w:t>
      </w:r>
      <w:r>
        <w:rPr/>
        <w:t>solved</w:t>
      </w:r>
      <w:r>
        <w:rPr>
          <w:spacing w:val="-5"/>
        </w:rPr>
        <w:t> </w:t>
      </w:r>
      <w:r>
        <w:rPr/>
        <w:t>by</w:t>
      </w:r>
      <w:r>
        <w:rPr>
          <w:spacing w:val="-10"/>
        </w:rPr>
        <w:t> </w:t>
      </w:r>
      <w:r>
        <w:rPr/>
        <w:t>two</w:t>
      </w:r>
      <w:r>
        <w:rPr>
          <w:spacing w:val="-6"/>
        </w:rPr>
        <w:t> </w:t>
      </w:r>
      <w:r>
        <w:rPr/>
        <w:t>main</w:t>
      </w:r>
      <w:r>
        <w:rPr>
          <w:spacing w:val="-5"/>
        </w:rPr>
        <w:t> </w:t>
      </w:r>
      <w:r>
        <w:rPr/>
        <w:t>methods: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eigenvector-eigenvalue</w:t>
      </w:r>
      <w:r>
        <w:rPr>
          <w:spacing w:val="-6"/>
        </w:rPr>
        <w:t> </w:t>
      </w:r>
      <w:r>
        <w:rPr/>
        <w:t>decomposition</w:t>
      </w:r>
      <w:r>
        <w:rPr>
          <w:spacing w:val="-5"/>
        </w:rPr>
        <w:t> </w:t>
      </w:r>
      <w:r>
        <w:rPr/>
        <w:t>and</w:t>
      </w:r>
      <w:r>
        <w:rPr>
          <w:spacing w:val="-58"/>
        </w:rPr>
        <w:t> </w:t>
      </w:r>
      <w:r>
        <w:rPr/>
        <w:t>undetermined</w:t>
      </w:r>
      <w:r>
        <w:rPr>
          <w:spacing w:val="1"/>
        </w:rPr>
        <w:t> </w:t>
      </w:r>
      <w:r>
        <w:rPr/>
        <w:t>coefficients.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eigenvector-eigenvalue</w:t>
      </w:r>
      <w:r>
        <w:rPr>
          <w:spacing w:val="1"/>
        </w:rPr>
        <w:t> </w:t>
      </w:r>
      <w:r>
        <w:rPr/>
        <w:t>decomposition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>
          <w:spacing w:val="-1"/>
        </w:rPr>
        <w:t>Blanchard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Kahn</w:t>
      </w:r>
      <w:r>
        <w:rPr>
          <w:spacing w:val="-12"/>
        </w:rPr>
        <w:t> </w:t>
      </w:r>
      <w:r>
        <w:rPr/>
        <w:t>(1980).</w:t>
      </w:r>
      <w:r>
        <w:rPr>
          <w:spacing w:val="-12"/>
        </w:rPr>
        <w:t> </w:t>
      </w:r>
      <w:r>
        <w:rPr/>
        <w:t>This</w:t>
      </w:r>
      <w:r>
        <w:rPr>
          <w:spacing w:val="-12"/>
        </w:rPr>
        <w:t> </w:t>
      </w:r>
      <w:r>
        <w:rPr/>
        <w:t>study</w:t>
      </w:r>
      <w:r>
        <w:rPr>
          <w:spacing w:val="-20"/>
        </w:rPr>
        <w:t> </w:t>
      </w:r>
      <w:r>
        <w:rPr/>
        <w:t>adopts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Blanchard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Kahn</w:t>
      </w:r>
      <w:r>
        <w:rPr>
          <w:spacing w:val="-12"/>
        </w:rPr>
        <w:t> </w:t>
      </w:r>
      <w:r>
        <w:rPr/>
        <w:t>(1980)</w:t>
      </w:r>
      <w:r>
        <w:rPr>
          <w:spacing w:val="-12"/>
        </w:rPr>
        <w:t> </w:t>
      </w:r>
      <w:r>
        <w:rPr/>
        <w:t>method.</w:t>
      </w:r>
      <w:r>
        <w:rPr>
          <w:spacing w:val="38"/>
        </w:rPr>
        <w:t> </w:t>
      </w:r>
      <w:r>
        <w:rPr/>
        <w:t>It</w:t>
      </w:r>
      <w:r>
        <w:rPr>
          <w:spacing w:val="-12"/>
        </w:rPr>
        <w:t> </w:t>
      </w:r>
      <w:r>
        <w:rPr/>
        <w:t>involves</w:t>
      </w:r>
      <w:r>
        <w:rPr>
          <w:spacing w:val="-57"/>
        </w:rPr>
        <w:t> </w:t>
      </w:r>
      <w:r>
        <w:rPr/>
        <w:t>delineating the system into stable and unstable equations. The method provides the condition for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determinacy</w:t>
      </w:r>
      <w:r>
        <w:rPr>
          <w:spacing w:val="-8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unique</w:t>
      </w:r>
      <w:r>
        <w:rPr>
          <w:spacing w:val="-3"/>
        </w:rPr>
        <w:t> </w:t>
      </w:r>
      <w:r>
        <w:rPr/>
        <w:t>equilibrium</w:t>
      </w:r>
      <w:r>
        <w:rPr>
          <w:spacing w:val="-2"/>
        </w:rPr>
        <w:t> </w:t>
      </w:r>
      <w:r>
        <w:rPr/>
        <w:t>such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solution</w:t>
      </w:r>
      <w:r>
        <w:rPr>
          <w:spacing w:val="-1"/>
        </w:rPr>
        <w:t> </w:t>
      </w:r>
      <w:r>
        <w:rPr/>
        <w:t>exists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unique</w:t>
      </w:r>
      <w:r>
        <w:rPr>
          <w:spacing w:val="-3"/>
        </w:rPr>
        <w:t> </w:t>
      </w:r>
      <w:r>
        <w:rPr/>
        <w:t>if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only</w:t>
      </w:r>
      <w:r>
        <w:rPr>
          <w:spacing w:val="-7"/>
        </w:rPr>
        <w:t> </w:t>
      </w:r>
      <w:r>
        <w:rPr/>
        <w:t>if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number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unstable</w:t>
      </w:r>
      <w:r>
        <w:rPr>
          <w:spacing w:val="-3"/>
        </w:rPr>
        <w:t> </w:t>
      </w:r>
      <w:r>
        <w:rPr/>
        <w:t>eigenvectors</w:t>
      </w:r>
      <w:r>
        <w:rPr>
          <w:spacing w:val="-4"/>
        </w:rPr>
        <w:t> </w:t>
      </w:r>
      <w:r>
        <w:rPr/>
        <w:t>(i.e.,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eigenvalues</w:t>
      </w:r>
      <w:r>
        <w:rPr>
          <w:spacing w:val="-4"/>
        </w:rPr>
        <w:t> </w:t>
      </w:r>
      <w:r>
        <w:rPr/>
        <w:t>outside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unit</w:t>
      </w:r>
      <w:r>
        <w:rPr>
          <w:spacing w:val="-2"/>
        </w:rPr>
        <w:t> </w:t>
      </w:r>
      <w:r>
        <w:rPr/>
        <w:t>circle)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exactly</w:t>
      </w:r>
      <w:r>
        <w:rPr>
          <w:spacing w:val="-58"/>
        </w:rPr>
        <w:t> </w:t>
      </w:r>
      <w:r>
        <w:rPr/>
        <w:t>equal</w:t>
      </w:r>
      <w:r>
        <w:rPr>
          <w:spacing w:val="-1"/>
        </w:rPr>
        <w:t> </w:t>
      </w:r>
      <w:r>
        <w:rPr/>
        <w:t>to the number of</w:t>
      </w:r>
      <w:r>
        <w:rPr>
          <w:spacing w:val="-2"/>
        </w:rPr>
        <w:t> </w:t>
      </w:r>
      <w:r>
        <w:rPr/>
        <w:t>non-predetermined variables.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1"/>
          <w:numId w:val="20"/>
        </w:numPr>
        <w:tabs>
          <w:tab w:pos="1221" w:val="left" w:leader="none"/>
        </w:tabs>
        <w:spacing w:line="240" w:lineRule="auto" w:before="0" w:after="0"/>
        <w:ind w:left="1220" w:right="0" w:hanging="361"/>
        <w:jc w:val="both"/>
      </w:pPr>
      <w:r>
        <w:rPr/>
        <w:t>Bayesian</w:t>
      </w:r>
      <w:r>
        <w:rPr>
          <w:spacing w:val="-2"/>
        </w:rPr>
        <w:t> </w:t>
      </w:r>
      <w:r>
        <w:rPr/>
        <w:t>Estimation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New</w:t>
      </w:r>
      <w:r>
        <w:rPr>
          <w:spacing w:val="-1"/>
        </w:rPr>
        <w:t> </w:t>
      </w:r>
      <w:r>
        <w:rPr/>
        <w:t>Keynesian</w:t>
      </w:r>
      <w:r>
        <w:rPr>
          <w:spacing w:val="-1"/>
        </w:rPr>
        <w:t> </w:t>
      </w:r>
      <w:r>
        <w:rPr/>
        <w:t>DSGE</w:t>
      </w:r>
    </w:p>
    <w:p>
      <w:pPr>
        <w:pStyle w:val="BodyText"/>
        <w:spacing w:line="360" w:lineRule="auto" w:before="132"/>
        <w:ind w:left="500" w:right="494"/>
        <w:jc w:val="both"/>
      </w:pPr>
      <w:r>
        <w:rPr/>
        <w:t>The formal estimation of DSGE models has become a vital aspect of modern macroeconomics</w:t>
      </w:r>
      <w:r>
        <w:rPr>
          <w:spacing w:val="1"/>
        </w:rPr>
        <w:t> </w:t>
      </w:r>
      <w:r>
        <w:rPr/>
        <w:t>(</w:t>
      </w:r>
      <w:r>
        <w:rPr>
          <w:color w:val="121312"/>
        </w:rPr>
        <w:t>Fernández-Villaverde, 2009</w:t>
      </w:r>
      <w:r>
        <w:rPr/>
        <w:t>). This encompasses confronting DSGE models with observed data</w:t>
      </w:r>
      <w:r>
        <w:rPr>
          <w:spacing w:val="1"/>
        </w:rPr>
        <w:t> </w:t>
      </w:r>
      <w:r>
        <w:rPr/>
        <w:t>in order to obtain numerical values of parameters in the model. DSGE models are currently</w:t>
      </w:r>
      <w:r>
        <w:rPr>
          <w:spacing w:val="1"/>
        </w:rPr>
        <w:t> </w:t>
      </w:r>
      <w:r>
        <w:rPr/>
        <w:t>estimated using a variety of methods that include calibration, General Methods of Moments,</w:t>
      </w:r>
      <w:r>
        <w:rPr>
          <w:spacing w:val="1"/>
        </w:rPr>
        <w:t> </w:t>
      </w:r>
      <w:r>
        <w:rPr/>
        <w:t>Maximum Likelihood and Bayesian. The Bayesian method, out of the existing techniques, is</w:t>
      </w:r>
      <w:r>
        <w:rPr>
          <w:spacing w:val="1"/>
        </w:rPr>
        <w:t> </w:t>
      </w:r>
      <w:r>
        <w:rPr/>
        <w:t>preferred because of the following reasons: (1) It estimates the complete system of equations in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DSGE</w:t>
      </w:r>
      <w:r>
        <w:rPr>
          <w:spacing w:val="-6"/>
        </w:rPr>
        <w:t> </w:t>
      </w:r>
      <w:r>
        <w:rPr/>
        <w:t>model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opposed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limited</w:t>
      </w:r>
      <w:r>
        <w:rPr>
          <w:spacing w:val="-6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method</w:t>
      </w:r>
      <w:r>
        <w:rPr>
          <w:spacing w:val="-5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General</w:t>
      </w:r>
      <w:r>
        <w:rPr>
          <w:spacing w:val="-5"/>
        </w:rPr>
        <w:t> </w:t>
      </w:r>
      <w:r>
        <w:rPr/>
        <w:t>Methods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Moments</w:t>
      </w:r>
      <w:r>
        <w:rPr>
          <w:spacing w:val="-57"/>
        </w:rPr>
        <w:t> </w:t>
      </w:r>
      <w:r>
        <w:rPr/>
        <w:t>that focuses on estimating only specific equilibrium equations such as the consumption Euler</w:t>
      </w:r>
      <w:r>
        <w:rPr>
          <w:spacing w:val="1"/>
        </w:rPr>
        <w:t> </w:t>
      </w:r>
      <w:r>
        <w:rPr/>
        <w:t>equation.</w:t>
      </w:r>
      <w:r>
        <w:rPr>
          <w:spacing w:val="7"/>
        </w:rPr>
        <w:t> </w:t>
      </w:r>
      <w:r>
        <w:rPr/>
        <w:t>(2)</w:t>
      </w:r>
      <w:r>
        <w:rPr>
          <w:spacing w:val="9"/>
        </w:rPr>
        <w:t> </w:t>
      </w:r>
      <w:r>
        <w:rPr/>
        <w:t>It</w:t>
      </w:r>
      <w:r>
        <w:rPr>
          <w:spacing w:val="7"/>
        </w:rPr>
        <w:t> </w:t>
      </w:r>
      <w:r>
        <w:rPr/>
        <w:t>includes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use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priors</w:t>
      </w:r>
      <w:r>
        <w:rPr>
          <w:spacing w:val="7"/>
        </w:rPr>
        <w:t> </w:t>
      </w:r>
      <w:r>
        <w:rPr/>
        <w:t>which</w:t>
      </w:r>
      <w:r>
        <w:rPr>
          <w:spacing w:val="8"/>
        </w:rPr>
        <w:t> </w:t>
      </w:r>
      <w:r>
        <w:rPr/>
        <w:t>aids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identification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parameter.</w:t>
      </w:r>
      <w:r>
        <w:rPr>
          <w:spacing w:val="7"/>
        </w:rPr>
        <w:t> </w:t>
      </w:r>
      <w:r>
        <w:rPr/>
        <w:t>(3)</w:t>
      </w:r>
      <w:r>
        <w:rPr>
          <w:spacing w:val="8"/>
        </w:rPr>
        <w:t> </w:t>
      </w:r>
      <w:r>
        <w:rPr/>
        <w:t>It</w:t>
      </w:r>
      <w:r>
        <w:rPr>
          <w:spacing w:val="8"/>
        </w:rPr>
        <w:t> </w:t>
      </w:r>
      <w:r>
        <w:rPr/>
        <w:t>can</w:t>
      </w:r>
    </w:p>
    <w:p>
      <w:pPr>
        <w:spacing w:after="0" w:line="360" w:lineRule="auto"/>
        <w:jc w:val="both"/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74"/>
        <w:ind w:left="500"/>
        <w:jc w:val="both"/>
      </w:pPr>
      <w:r>
        <w:rPr/>
        <w:t>address</w:t>
      </w:r>
      <w:r>
        <w:rPr>
          <w:spacing w:val="-3"/>
        </w:rPr>
        <w:t> </w:t>
      </w:r>
      <w:r>
        <w:rPr/>
        <w:t>model</w:t>
      </w:r>
      <w:r>
        <w:rPr>
          <w:spacing w:val="-4"/>
        </w:rPr>
        <w:t> </w:t>
      </w:r>
      <w:r>
        <w:rPr/>
        <w:t>misspecification</w:t>
      </w:r>
      <w:r>
        <w:rPr>
          <w:spacing w:val="-3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inclusion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measurement</w:t>
      </w:r>
      <w:r>
        <w:rPr>
          <w:spacing w:val="-1"/>
        </w:rPr>
        <w:t> </w:t>
      </w:r>
      <w:r>
        <w:rPr/>
        <w:t>errors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system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equations</w:t>
      </w:r>
    </w:p>
    <w:p>
      <w:pPr>
        <w:pStyle w:val="ListParagraph"/>
        <w:numPr>
          <w:ilvl w:val="0"/>
          <w:numId w:val="26"/>
        </w:numPr>
        <w:tabs>
          <w:tab w:pos="842" w:val="left" w:leader="none"/>
        </w:tabs>
        <w:spacing w:line="240" w:lineRule="auto" w:before="137" w:after="0"/>
        <w:ind w:left="841" w:right="0" w:hanging="342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comparism</w:t>
      </w:r>
      <w:r>
        <w:rPr>
          <w:spacing w:val="-1"/>
          <w:sz w:val="24"/>
        </w:rPr>
        <w:t> </w:t>
      </w:r>
      <w:r>
        <w:rPr>
          <w:sz w:val="24"/>
        </w:rPr>
        <w:t>(Grifolli,</w:t>
      </w:r>
      <w:r>
        <w:rPr>
          <w:spacing w:val="-1"/>
          <w:sz w:val="24"/>
        </w:rPr>
        <w:t> </w:t>
      </w:r>
      <w:r>
        <w:rPr>
          <w:sz w:val="24"/>
        </w:rPr>
        <w:t>2013).</w:t>
      </w:r>
    </w:p>
    <w:p>
      <w:pPr>
        <w:pStyle w:val="BodyText"/>
        <w:spacing w:before="1"/>
        <w:rPr>
          <w:sz w:val="34"/>
        </w:rPr>
      </w:pPr>
    </w:p>
    <w:p>
      <w:pPr>
        <w:pStyle w:val="BodyText"/>
        <w:spacing w:line="360" w:lineRule="auto"/>
        <w:ind w:left="500" w:right="492"/>
        <w:jc w:val="both"/>
      </w:pPr>
      <w:r>
        <w:rPr/>
        <w:t>The Bayesian method consists of using data </w:t>
      </w:r>
      <w:r>
        <w:rPr>
          <w:rFonts w:ascii="Cambria Math" w:hAnsi="Cambria Math" w:eastAsia="Cambria Math"/>
        </w:rPr>
        <w:t>𝑌</w:t>
      </w:r>
      <w:r>
        <w:rPr>
          <w:rFonts w:ascii="Cambria Math" w:hAnsi="Cambria Math" w:eastAsia="Cambria Math"/>
          <w:vertAlign w:val="superscript"/>
        </w:rPr>
        <w:t>𝑇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to estimate the parameters </w:t>
      </w:r>
      <w:r>
        <w:rPr>
          <w:rFonts w:ascii="Cambria Math" w:hAnsi="Cambria Math" w:eastAsia="Cambria Math"/>
          <w:vertAlign w:val="baseline"/>
        </w:rPr>
        <w:t>𝜃 </w:t>
      </w:r>
      <w:r>
        <w:rPr>
          <w:vertAlign w:val="baseline"/>
        </w:rPr>
        <w:t>of a model </w:t>
      </w:r>
      <w:r>
        <w:rPr>
          <w:rFonts w:ascii="Cambria Math" w:hAnsi="Cambria Math" w:eastAsia="Cambria Math"/>
          <w:vertAlign w:val="baseline"/>
        </w:rPr>
        <w:t>𝑀</w:t>
      </w:r>
      <w:r>
        <w:rPr>
          <w:vertAlign w:val="baseline"/>
        </w:rPr>
        <w:t>. The</w:t>
      </w:r>
      <w:r>
        <w:rPr>
          <w:spacing w:val="1"/>
          <w:vertAlign w:val="baseline"/>
        </w:rPr>
        <w:t> </w:t>
      </w:r>
      <w:r>
        <w:rPr>
          <w:vertAlign w:val="baseline"/>
        </w:rPr>
        <w:t>data 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vertAlign w:val="superscript"/>
        </w:rPr>
        <w:t>𝑇</w:t>
      </w:r>
      <w:r>
        <w:rPr>
          <w:vertAlign w:val="baseline"/>
        </w:rPr>
        <w:t>are observable values that are assumed to be given. The model </w:t>
      </w:r>
      <w:r>
        <w:rPr>
          <w:rFonts w:ascii="Cambria Math" w:hAnsi="Cambria Math" w:eastAsia="Cambria Math"/>
          <w:vertAlign w:val="baseline"/>
        </w:rPr>
        <w:t>𝑀 </w:t>
      </w:r>
      <w:r>
        <w:rPr>
          <w:vertAlign w:val="baseline"/>
        </w:rPr>
        <w:t>hinges on 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postulation and comprises of a vector of unobservable and random parameters; a likelihood</w:t>
      </w:r>
      <w:r>
        <w:rPr>
          <w:spacing w:val="1"/>
          <w:vertAlign w:val="baseline"/>
        </w:rPr>
        <w:t> </w:t>
      </w:r>
      <w:r>
        <w:rPr>
          <w:vertAlign w:val="baseline"/>
        </w:rPr>
        <w:t>function, prior and posterior distribution. The likelihood function </w:t>
      </w:r>
      <w:r>
        <w:rPr>
          <w:rFonts w:ascii="Cambria Math" w:hAnsi="Cambria Math" w:eastAsia="Cambria Math"/>
          <w:vertAlign w:val="baseline"/>
        </w:rPr>
        <w:t>𝑃(𝑌</w:t>
      </w:r>
      <w:r>
        <w:rPr>
          <w:rFonts w:ascii="Cambria Math" w:hAnsi="Cambria Math" w:eastAsia="Cambria Math"/>
          <w:vertAlign w:val="superscript"/>
        </w:rPr>
        <w:t>𝑇</w:t>
      </w:r>
      <w:r>
        <w:rPr>
          <w:rFonts w:ascii="Cambria Math" w:hAnsi="Cambria Math" w:eastAsia="Cambria Math"/>
          <w:vertAlign w:val="baseline"/>
        </w:rPr>
        <w:t> |𝜃</w:t>
      </w:r>
      <w:r>
        <w:rPr>
          <w:vertAlign w:val="baseline"/>
        </w:rPr>
        <w:t>) is the probability the</w:t>
      </w:r>
      <w:r>
        <w:rPr>
          <w:spacing w:val="1"/>
          <w:vertAlign w:val="baseline"/>
        </w:rPr>
        <w:t> </w:t>
      </w:r>
      <w:r>
        <w:rPr>
          <w:vertAlign w:val="baseline"/>
        </w:rPr>
        <w:t>model assigns to the data given the parameters. The prior </w:t>
      </w:r>
      <w:r>
        <w:rPr>
          <w:rFonts w:ascii="Cambria Math" w:hAnsi="Cambria Math" w:eastAsia="Cambria Math"/>
          <w:vertAlign w:val="baseline"/>
        </w:rPr>
        <w:t>𝑃(𝜃</w:t>
      </w:r>
      <w:r>
        <w:rPr>
          <w:vertAlign w:val="baseline"/>
        </w:rPr>
        <w:t>) captures a researcher’s subjective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belief about the true value of the model’s parameters; while the posterior distribution shows the</w:t>
      </w:r>
      <w:r>
        <w:rPr>
          <w:spacing w:val="1"/>
          <w:vertAlign w:val="baseline"/>
        </w:rPr>
        <w:t> </w:t>
      </w:r>
      <w:r>
        <w:rPr>
          <w:vertAlign w:val="baseline"/>
        </w:rPr>
        <w:t>state of knowledge of </w:t>
      </w:r>
      <w:r>
        <w:rPr>
          <w:rFonts w:ascii="Cambria Math" w:hAnsi="Cambria Math" w:eastAsia="Cambria Math"/>
          <w:vertAlign w:val="baseline"/>
        </w:rPr>
        <w:t>𝜃 </w:t>
      </w:r>
      <w:r>
        <w:rPr>
          <w:vertAlign w:val="baseline"/>
        </w:rPr>
        <w:t>after each update. The link among the likelihood function, prior and</w:t>
      </w:r>
      <w:r>
        <w:rPr>
          <w:spacing w:val="1"/>
          <w:vertAlign w:val="baseline"/>
        </w:rPr>
        <w:t> </w:t>
      </w:r>
      <w:r>
        <w:rPr>
          <w:vertAlign w:val="baseline"/>
        </w:rPr>
        <w:t>posterior</w:t>
      </w:r>
      <w:r>
        <w:rPr>
          <w:spacing w:val="-8"/>
          <w:vertAlign w:val="baseline"/>
        </w:rPr>
        <w:t> </w:t>
      </w:r>
      <w:r>
        <w:rPr>
          <w:vertAlign w:val="baseline"/>
        </w:rPr>
        <w:t>distribution</w:t>
      </w:r>
      <w:r>
        <w:rPr>
          <w:spacing w:val="-6"/>
          <w:vertAlign w:val="baseline"/>
        </w:rPr>
        <w:t> </w:t>
      </w:r>
      <w:r>
        <w:rPr>
          <w:vertAlign w:val="baseline"/>
        </w:rPr>
        <w:t>is</w:t>
      </w:r>
      <w:r>
        <w:rPr>
          <w:spacing w:val="-5"/>
          <w:vertAlign w:val="baseline"/>
        </w:rPr>
        <w:t> </w:t>
      </w:r>
      <w:r>
        <w:rPr>
          <w:vertAlign w:val="baseline"/>
        </w:rPr>
        <w:t>summarised</w:t>
      </w:r>
      <w:r>
        <w:rPr>
          <w:spacing w:val="-7"/>
          <w:vertAlign w:val="baseline"/>
        </w:rPr>
        <w:t> </w:t>
      </w:r>
      <w:r>
        <w:rPr>
          <w:vertAlign w:val="baseline"/>
        </w:rPr>
        <w:t>by</w:t>
      </w:r>
      <w:r>
        <w:rPr>
          <w:spacing w:val="-9"/>
          <w:vertAlign w:val="baseline"/>
        </w:rPr>
        <w:t> </w:t>
      </w:r>
      <w:r>
        <w:rPr>
          <w:vertAlign w:val="baseline"/>
        </w:rPr>
        <w:t>Bayes’</w:t>
      </w:r>
      <w:r>
        <w:rPr>
          <w:spacing w:val="-7"/>
          <w:vertAlign w:val="baseline"/>
        </w:rPr>
        <w:t> </w:t>
      </w:r>
      <w:r>
        <w:rPr>
          <w:vertAlign w:val="baseline"/>
        </w:rPr>
        <w:t>Theorem.</w:t>
      </w:r>
      <w:r>
        <w:rPr>
          <w:spacing w:val="-2"/>
          <w:vertAlign w:val="baseline"/>
        </w:rPr>
        <w:t> </w:t>
      </w:r>
      <w:r>
        <w:rPr>
          <w:vertAlign w:val="baseline"/>
        </w:rPr>
        <w:t>It</w:t>
      </w:r>
      <w:r>
        <w:rPr>
          <w:spacing w:val="-4"/>
          <w:vertAlign w:val="baseline"/>
        </w:rPr>
        <w:t> </w:t>
      </w:r>
      <w:r>
        <w:rPr>
          <w:vertAlign w:val="baseline"/>
        </w:rPr>
        <w:t>shows</w:t>
      </w:r>
      <w:r>
        <w:rPr>
          <w:spacing w:val="-6"/>
          <w:vertAlign w:val="baseline"/>
        </w:rPr>
        <w:t> </w:t>
      </w:r>
      <w:r>
        <w:rPr>
          <w:vertAlign w:val="baseline"/>
        </w:rPr>
        <w:t>that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posterior</w:t>
      </w:r>
      <w:r>
        <w:rPr>
          <w:spacing w:val="-7"/>
          <w:vertAlign w:val="baseline"/>
        </w:rPr>
        <w:t> </w:t>
      </w:r>
      <w:r>
        <w:rPr>
          <w:vertAlign w:val="baseline"/>
        </w:rPr>
        <w:t>distribution</w:t>
      </w:r>
      <w:r>
        <w:rPr>
          <w:spacing w:val="-7"/>
          <w:vertAlign w:val="baseline"/>
        </w:rPr>
        <w:t> </w:t>
      </w:r>
      <w:r>
        <w:rPr>
          <w:vertAlign w:val="baseline"/>
        </w:rPr>
        <w:t>is</w:t>
      </w:r>
      <w:r>
        <w:rPr>
          <w:spacing w:val="-57"/>
          <w:vertAlign w:val="baseline"/>
        </w:rPr>
        <w:t> </w:t>
      </w:r>
      <w:r>
        <w:rPr>
          <w:vertAlign w:val="baseline"/>
        </w:rPr>
        <w:t>proportional</w:t>
      </w:r>
      <w:r>
        <w:rPr>
          <w:spacing w:val="-1"/>
          <w:vertAlign w:val="baseline"/>
        </w:rPr>
        <w:t> </w:t>
      </w:r>
      <w:r>
        <w:rPr>
          <w:vertAlign w:val="baseline"/>
        </w:rPr>
        <w:t>to the product of the</w:t>
      </w:r>
      <w:r>
        <w:rPr>
          <w:spacing w:val="-1"/>
          <w:vertAlign w:val="baseline"/>
        </w:rPr>
        <w:t> </w:t>
      </w:r>
      <w:r>
        <w:rPr>
          <w:vertAlign w:val="baseline"/>
        </w:rPr>
        <w:t>likelihood function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and priors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spacing w:line="168" w:lineRule="auto" w:before="32"/>
        <w:ind w:left="500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29.979996pt;margin-top:13.599674pt;width:52.8pt;height:.84pt;mso-position-horizontal-relative:page;mso-position-vertical-relative:paragraph;z-index:-2136422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95"/>
          <w:position w:val="-14"/>
          <w:sz w:val="24"/>
        </w:rPr>
        <w:t>𝑃</w:t>
      </w:r>
      <w:r>
        <w:rPr>
          <w:rFonts w:ascii="Cambria Math" w:eastAsia="Cambria Math"/>
          <w:w w:val="95"/>
          <w:position w:val="-13"/>
          <w:sz w:val="24"/>
        </w:rPr>
        <w:t>(</w:t>
      </w:r>
      <w:r>
        <w:rPr>
          <w:rFonts w:ascii="Cambria Math" w:eastAsia="Cambria Math"/>
          <w:w w:val="95"/>
          <w:position w:val="-14"/>
          <w:sz w:val="24"/>
        </w:rPr>
        <w:t>𝜃|𝑌</w:t>
      </w:r>
      <w:r>
        <w:rPr>
          <w:rFonts w:ascii="Cambria Math" w:eastAsia="Cambria Math"/>
          <w:w w:val="95"/>
          <w:position w:val="-5"/>
          <w:sz w:val="17"/>
        </w:rPr>
        <w:t>𝑇</w:t>
      </w:r>
      <w:r>
        <w:rPr>
          <w:rFonts w:ascii="Cambria Math" w:eastAsia="Cambria Math"/>
          <w:w w:val="95"/>
          <w:position w:val="-13"/>
          <w:sz w:val="24"/>
        </w:rPr>
        <w:t>)</w:t>
      </w:r>
      <w:r>
        <w:rPr>
          <w:rFonts w:ascii="Cambria Math" w:eastAsia="Cambria Math"/>
          <w:spacing w:val="38"/>
          <w:w w:val="95"/>
          <w:position w:val="-13"/>
          <w:sz w:val="24"/>
        </w:rPr>
        <w:t> </w:t>
      </w:r>
      <w:r>
        <w:rPr>
          <w:rFonts w:ascii="Cambria Math" w:eastAsia="Cambria Math"/>
          <w:w w:val="95"/>
          <w:position w:val="-14"/>
          <w:sz w:val="24"/>
        </w:rPr>
        <w:t>=</w:t>
      </w:r>
      <w:r>
        <w:rPr>
          <w:rFonts w:ascii="Cambria Math" w:eastAsia="Cambria Math"/>
          <w:spacing w:val="41"/>
          <w:w w:val="95"/>
          <w:position w:val="-14"/>
          <w:sz w:val="24"/>
        </w:rPr>
        <w:t> </w:t>
      </w:r>
      <w:r>
        <w:rPr>
          <w:rFonts w:ascii="Cambria Math" w:eastAsia="Cambria Math"/>
          <w:w w:val="95"/>
          <w:sz w:val="17"/>
        </w:rPr>
        <w:t>𝑃(𝑌</w:t>
      </w:r>
      <w:r>
        <w:rPr>
          <w:rFonts w:ascii="Cambria Math" w:eastAsia="Cambria Math"/>
          <w:w w:val="95"/>
          <w:position w:val="6"/>
          <w:sz w:val="14"/>
        </w:rPr>
        <w:t>𝑇</w:t>
      </w:r>
      <w:r>
        <w:rPr>
          <w:rFonts w:ascii="Cambria Math" w:eastAsia="Cambria Math"/>
          <w:w w:val="95"/>
          <w:sz w:val="17"/>
        </w:rPr>
        <w:t>|)</w:t>
      </w:r>
      <w:r>
        <w:rPr>
          <w:rFonts w:ascii="Cambria Math" w:eastAsia="Cambria Math"/>
          <w:spacing w:val="16"/>
          <w:w w:val="95"/>
          <w:sz w:val="17"/>
        </w:rPr>
        <w:t> </w:t>
      </w:r>
      <w:r>
        <w:rPr>
          <w:rFonts w:ascii="Cambria Math" w:eastAsia="Cambria Math"/>
          <w:w w:val="95"/>
          <w:sz w:val="17"/>
        </w:rPr>
        <w:t>𝑃()</w:t>
      </w:r>
    </w:p>
    <w:p>
      <w:pPr>
        <w:spacing w:line="160" w:lineRule="exact" w:before="0"/>
        <w:ind w:left="0" w:right="328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𝑃</w:t>
      </w:r>
      <w:r>
        <w:rPr>
          <w:rFonts w:ascii="Cambria Math" w:eastAsia="Cambria Math"/>
          <w:w w:val="105"/>
          <w:position w:val="1"/>
          <w:sz w:val="17"/>
        </w:rPr>
        <w:t>(</w:t>
      </w:r>
      <w:r>
        <w:rPr>
          <w:rFonts w:ascii="Cambria Math" w:eastAsia="Cambria Math"/>
          <w:w w:val="105"/>
          <w:sz w:val="17"/>
        </w:rPr>
        <w:t>𝑌</w:t>
      </w:r>
      <w:r>
        <w:rPr>
          <w:rFonts w:ascii="Cambria Math" w:eastAsia="Cambria Math"/>
          <w:w w:val="105"/>
          <w:position w:val="5"/>
          <w:sz w:val="14"/>
        </w:rPr>
        <w:t>𝑇</w:t>
      </w:r>
      <w:r>
        <w:rPr>
          <w:rFonts w:ascii="Cambria Math" w:eastAsia="Cambria Math"/>
          <w:w w:val="105"/>
          <w:position w:val="1"/>
          <w:sz w:val="17"/>
        </w:rPr>
        <w:t>)</w:t>
      </w:r>
    </w:p>
    <w:p>
      <w:pPr>
        <w:pStyle w:val="BodyText"/>
        <w:spacing w:before="124"/>
        <w:ind w:left="500"/>
      </w:pPr>
      <w:r>
        <w:rPr/>
        <w:br w:type="column"/>
      </w:r>
      <w:r>
        <w:rPr/>
        <w:t>(4.139)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2" w:equalWidth="0">
            <w:col w:w="2755" w:space="5527"/>
            <w:col w:w="207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tabs>
          <w:tab w:pos="8781" w:val="left" w:leader="none"/>
        </w:tabs>
        <w:spacing w:line="362" w:lineRule="auto" w:before="84"/>
        <w:ind w:left="500" w:right="876"/>
      </w:pPr>
      <w:r>
        <w:rPr>
          <w:rFonts w:ascii="Cambria Math" w:hAnsi="Cambria Math" w:eastAsia="Cambria Math"/>
          <w:w w:val="105"/>
        </w:rPr>
        <w:t>𝑃</w:t>
      </w: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𝜃|𝑌</w:t>
      </w:r>
      <w:r>
        <w:rPr>
          <w:rFonts w:ascii="Cambria Math" w:hAnsi="Cambria Math" w:eastAsia="Cambria Math"/>
          <w:w w:val="105"/>
          <w:vertAlign w:val="superscript"/>
        </w:rPr>
        <w:t>𝑇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12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15"/>
          <w:vertAlign w:val="baseline"/>
        </w:rPr>
        <w:t>𝖺 </w:t>
      </w:r>
      <w:r>
        <w:rPr>
          <w:rFonts w:ascii="Cambria Math" w:hAnsi="Cambria Math" w:eastAsia="Cambria Math"/>
          <w:spacing w:val="1"/>
          <w:w w:val="11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𝑃</w:t>
      </w:r>
      <w:r>
        <w:rPr>
          <w:rFonts w:ascii="Cambria Math" w:hAnsi="Cambria Math" w:eastAsia="Cambria Math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w w:val="105"/>
          <w:vertAlign w:val="baseline"/>
        </w:rPr>
        <w:t>𝑌</w:t>
      </w:r>
      <w:r>
        <w:rPr>
          <w:rFonts w:ascii="Cambria Math" w:hAnsi="Cambria Math" w:eastAsia="Cambria Math"/>
          <w:w w:val="105"/>
          <w:vertAlign w:val="superscript"/>
        </w:rPr>
        <w:t>𝑇</w:t>
      </w:r>
      <w:r>
        <w:rPr>
          <w:rFonts w:ascii="Cambria Math" w:hAnsi="Cambria Math" w:eastAsia="Cambria Math"/>
          <w:w w:val="105"/>
          <w:vertAlign w:val="baseline"/>
        </w:rPr>
        <w:t>|𝜃</w:t>
      </w:r>
      <w:r>
        <w:rPr>
          <w:rFonts w:ascii="Cambria Math" w:hAnsi="Cambria Math" w:eastAsia="Cambria Math"/>
          <w:w w:val="105"/>
          <w:position w:val="1"/>
          <w:vertAlign w:val="baseline"/>
        </w:rPr>
        <w:t>) </w:t>
      </w:r>
      <w:r>
        <w:rPr>
          <w:rFonts w:ascii="Cambria Math" w:hAnsi="Cambria Math" w:eastAsia="Cambria Math"/>
          <w:w w:val="105"/>
          <w:vertAlign w:val="baseline"/>
        </w:rPr>
        <w:t>𝑃</w:t>
      </w:r>
      <w:r>
        <w:rPr>
          <w:rFonts w:ascii="Cambria Math" w:hAnsi="Cambria Math" w:eastAsia="Cambria Math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w w:val="105"/>
          <w:vertAlign w:val="baseline"/>
        </w:rPr>
        <w:t>𝜃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12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 </w:t>
      </w:r>
      <w:r>
        <w:rPr>
          <w:rFonts w:ascii="Cambria Math" w:hAnsi="Cambria Math" w:eastAsia="Cambria Math"/>
          <w:spacing w:val="1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𝐾</w:t>
      </w:r>
      <w:r>
        <w:rPr>
          <w:rFonts w:ascii="Cambria Math" w:hAnsi="Cambria Math" w:eastAsia="Cambria Math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w w:val="105"/>
          <w:vertAlign w:val="baseline"/>
        </w:rPr>
        <w:t>𝜃|𝑌</w:t>
      </w:r>
      <w:r>
        <w:rPr>
          <w:rFonts w:ascii="Cambria Math" w:hAnsi="Cambria Math" w:eastAsia="Cambria Math"/>
          <w:w w:val="105"/>
          <w:vertAlign w:val="superscript"/>
        </w:rPr>
        <w:t>∗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  <w:tab/>
      </w:r>
      <w:r>
        <w:rPr>
          <w:spacing w:val="-1"/>
          <w:vertAlign w:val="baseline"/>
        </w:rPr>
        <w:t>(4.140)</w:t>
      </w:r>
      <w:r>
        <w:rPr>
          <w:spacing w:val="-57"/>
          <w:vertAlign w:val="baseline"/>
        </w:rPr>
        <w:t> </w:t>
      </w:r>
      <w:r>
        <w:rPr>
          <w:w w:val="105"/>
          <w:vertAlign w:val="baseline"/>
        </w:rPr>
        <w:t>Where,</w:t>
      </w:r>
    </w:p>
    <w:p>
      <w:pPr>
        <w:pStyle w:val="BodyText"/>
        <w:spacing w:line="280" w:lineRule="exact"/>
        <w:ind w:left="500"/>
      </w:pPr>
      <w:r>
        <w:rPr>
          <w:rFonts w:ascii="Cambria Math" w:eastAsia="Cambria Math"/>
        </w:rPr>
        <w:t>𝑃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𝜃|𝑌</w:t>
      </w:r>
      <w:r>
        <w:rPr>
          <w:rFonts w:ascii="Cambria Math" w:eastAsia="Cambria Math"/>
          <w:vertAlign w:val="superscript"/>
        </w:rPr>
        <w:t>𝑇</w:t>
      </w:r>
      <w:r>
        <w:rPr>
          <w:rFonts w:ascii="Cambria Math" w:eastAsia="Cambria Math"/>
          <w:position w:val="1"/>
          <w:vertAlign w:val="baseline"/>
        </w:rPr>
        <w:t>)</w:t>
      </w:r>
      <w:r>
        <w:rPr>
          <w:rFonts w:ascii="Cambria Math" w:eastAsia="Cambria Math"/>
          <w:spacing w:val="14"/>
          <w:position w:val="1"/>
          <w:vertAlign w:val="baseline"/>
        </w:rPr>
        <w:t> </w:t>
      </w:r>
      <w:r>
        <w:rPr>
          <w:vertAlign w:val="baseline"/>
        </w:rPr>
        <w:t>:</w:t>
      </w:r>
      <w:r>
        <w:rPr>
          <w:spacing w:val="10"/>
          <w:vertAlign w:val="baseline"/>
        </w:rPr>
        <w:t> </w:t>
      </w:r>
      <w:r>
        <w:rPr>
          <w:vertAlign w:val="baseline"/>
        </w:rPr>
        <w:t>Posterior</w:t>
      </w:r>
      <w:r>
        <w:rPr>
          <w:spacing w:val="10"/>
          <w:vertAlign w:val="baseline"/>
        </w:rPr>
        <w:t> </w:t>
      </w:r>
      <w:r>
        <w:rPr>
          <w:vertAlign w:val="baseline"/>
        </w:rPr>
        <w:t>distribution</w:t>
      </w:r>
    </w:p>
    <w:p>
      <w:pPr>
        <w:pStyle w:val="BodyText"/>
        <w:spacing w:before="133"/>
        <w:ind w:left="500"/>
      </w:pPr>
      <w:r>
        <w:rPr>
          <w:rFonts w:ascii="Cambria Math" w:eastAsia="Cambria Math"/>
        </w:rPr>
        <w:t>𝑃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𝑌</w:t>
      </w:r>
      <w:r>
        <w:rPr>
          <w:rFonts w:ascii="Cambria Math" w:eastAsia="Cambria Math"/>
          <w:vertAlign w:val="superscript"/>
        </w:rPr>
        <w:t>𝑇</w:t>
      </w:r>
      <w:r>
        <w:rPr>
          <w:rFonts w:ascii="Cambria Math" w:eastAsia="Cambria Math"/>
          <w:vertAlign w:val="baseline"/>
        </w:rPr>
        <w:t>|𝜃</w:t>
      </w:r>
      <w:r>
        <w:rPr>
          <w:rFonts w:ascii="Cambria Math" w:eastAsia="Cambria Math"/>
          <w:position w:val="1"/>
          <w:vertAlign w:val="baseline"/>
        </w:rPr>
        <w:t>)</w:t>
      </w:r>
      <w:r>
        <w:rPr>
          <w:vertAlign w:val="baseline"/>
        </w:rPr>
        <w:t>:</w:t>
      </w:r>
      <w:r>
        <w:rPr>
          <w:spacing w:val="13"/>
          <w:vertAlign w:val="baseline"/>
        </w:rPr>
        <w:t> </w:t>
      </w:r>
      <w:r>
        <w:rPr>
          <w:vertAlign w:val="baseline"/>
        </w:rPr>
        <w:t>Likelihood</w:t>
      </w:r>
      <w:r>
        <w:rPr>
          <w:spacing w:val="11"/>
          <w:vertAlign w:val="baseline"/>
        </w:rPr>
        <w:t> </w:t>
      </w:r>
      <w:r>
        <w:rPr>
          <w:vertAlign w:val="baseline"/>
        </w:rPr>
        <w:t>Function</w:t>
      </w:r>
    </w:p>
    <w:p>
      <w:pPr>
        <w:pStyle w:val="BodyText"/>
        <w:spacing w:before="141"/>
        <w:ind w:left="500"/>
      </w:pPr>
      <w:r>
        <w:rPr>
          <w:rFonts w:ascii="Cambria Math" w:eastAsia="Cambria Math"/>
        </w:rPr>
        <w:t>𝑃(𝜃)</w:t>
      </w:r>
      <w:r>
        <w:rPr/>
        <w:t>:</w:t>
      </w:r>
      <w:r>
        <w:rPr>
          <w:spacing w:val="2"/>
        </w:rPr>
        <w:t> </w:t>
      </w:r>
      <w:r>
        <w:rPr/>
        <w:t>Parameter</w:t>
      </w:r>
      <w:r>
        <w:rPr>
          <w:spacing w:val="2"/>
        </w:rPr>
        <w:t> </w:t>
      </w:r>
      <w:r>
        <w:rPr/>
        <w:t>Vector</w:t>
      </w:r>
    </w:p>
    <w:p>
      <w:pPr>
        <w:pStyle w:val="BodyText"/>
        <w:spacing w:before="131"/>
        <w:ind w:left="500"/>
      </w:pPr>
      <w:r>
        <w:rPr>
          <w:rFonts w:ascii="Cambria Math" w:eastAsia="Cambria Math"/>
        </w:rPr>
        <w:t>𝑃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𝑌</w:t>
      </w:r>
      <w:r>
        <w:rPr>
          <w:rFonts w:ascii="Cambria Math" w:eastAsia="Cambria Math"/>
          <w:vertAlign w:val="superscript"/>
        </w:rPr>
        <w:t>𝑇</w:t>
      </w:r>
      <w:r>
        <w:rPr>
          <w:rFonts w:ascii="Cambria Math" w:eastAsia="Cambria Math"/>
          <w:position w:val="1"/>
          <w:vertAlign w:val="baseline"/>
        </w:rPr>
        <w:t>)</w:t>
      </w:r>
      <w:r>
        <w:rPr>
          <w:vertAlign w:val="baseline"/>
        </w:rPr>
        <w:t>:</w:t>
      </w:r>
      <w:r>
        <w:rPr>
          <w:spacing w:val="16"/>
          <w:vertAlign w:val="baseline"/>
        </w:rPr>
        <w:t> </w:t>
      </w:r>
      <w:r>
        <w:rPr>
          <w:vertAlign w:val="baseline"/>
        </w:rPr>
        <w:t>Data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60" w:lineRule="auto"/>
        <w:ind w:left="500" w:right="499"/>
        <w:jc w:val="both"/>
      </w:pPr>
      <w:r>
        <w:rPr/>
        <w:t>There are three main procedures for Bayesian estimation, these include: 1. calculate the log</w:t>
      </w:r>
      <w:r>
        <w:rPr>
          <w:spacing w:val="1"/>
        </w:rPr>
        <w:t> </w:t>
      </w:r>
      <w:r>
        <w:rPr/>
        <w:t>likelihood</w:t>
      </w:r>
      <w:r>
        <w:rPr>
          <w:spacing w:val="-1"/>
        </w:rPr>
        <w:t> </w:t>
      </w:r>
      <w:r>
        <w:rPr/>
        <w:t>function, 2. Specify</w:t>
      </w:r>
      <w:r>
        <w:rPr>
          <w:spacing w:val="-5"/>
        </w:rPr>
        <w:t> </w:t>
      </w:r>
      <w:r>
        <w:rPr/>
        <w:t>Priors and 3. Simulate</w:t>
      </w:r>
      <w:r>
        <w:rPr>
          <w:spacing w:val="-2"/>
        </w:rPr>
        <w:t> </w:t>
      </w:r>
      <w:r>
        <w:rPr/>
        <w:t>the posterior</w:t>
      </w:r>
      <w:r>
        <w:rPr>
          <w:spacing w:val="-1"/>
        </w:rPr>
        <w:t> </w:t>
      </w:r>
      <w:r>
        <w:rPr/>
        <w:t>distribution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1"/>
          <w:numId w:val="26"/>
        </w:numPr>
        <w:tabs>
          <w:tab w:pos="1221" w:val="left" w:leader="none"/>
        </w:tabs>
        <w:spacing w:line="240" w:lineRule="auto" w:before="0" w:after="0"/>
        <w:ind w:left="1220" w:right="0" w:hanging="361"/>
        <w:jc w:val="both"/>
        <w:rPr>
          <w:sz w:val="24"/>
        </w:rPr>
      </w:pPr>
      <w:r>
        <w:rPr>
          <w:sz w:val="24"/>
        </w:rPr>
        <w:t>Calculate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log</w:t>
      </w:r>
      <w:r>
        <w:rPr>
          <w:spacing w:val="-3"/>
          <w:sz w:val="24"/>
        </w:rPr>
        <w:t> </w:t>
      </w:r>
      <w:r>
        <w:rPr>
          <w:sz w:val="24"/>
        </w:rPr>
        <w:t>likelihood</w:t>
      </w:r>
      <w:r>
        <w:rPr>
          <w:spacing w:val="-1"/>
          <w:sz w:val="24"/>
        </w:rPr>
        <w:t> </w:t>
      </w:r>
      <w:r>
        <w:rPr>
          <w:sz w:val="24"/>
        </w:rPr>
        <w:t>function</w:t>
      </w:r>
    </w:p>
    <w:p>
      <w:pPr>
        <w:pStyle w:val="BodyText"/>
        <w:spacing w:line="360" w:lineRule="auto" w:before="140"/>
        <w:ind w:left="500" w:right="496"/>
        <w:jc w:val="both"/>
      </w:pPr>
      <w:r>
        <w:rPr/>
        <w:t>To obtain the log likelihood function, we start with the transition and the measurement equation.</w:t>
      </w:r>
      <w:r>
        <w:rPr>
          <w:spacing w:val="1"/>
        </w:rPr>
        <w:t> </w:t>
      </w:r>
      <w:r>
        <w:rPr/>
        <w:t>The transition equation is the solution to the DSGE model, it shows that the paths of endogenous</w:t>
      </w:r>
      <w:r>
        <w:rPr>
          <w:spacing w:val="1"/>
        </w:rPr>
        <w:t> </w:t>
      </w:r>
      <w:r>
        <w:rPr/>
        <w:t>variables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time</w:t>
      </w:r>
      <w:r>
        <w:rPr>
          <w:spacing w:val="-10"/>
        </w:rPr>
        <w:t> </w:t>
      </w:r>
      <w:r>
        <w:rPr/>
        <w:t>t</w:t>
      </w:r>
      <w:r>
        <w:rPr>
          <w:spacing w:val="-8"/>
        </w:rPr>
        <w:t> </w:t>
      </w:r>
      <w:r>
        <w:rPr/>
        <w:t>depends</w:t>
      </w:r>
      <w:r>
        <w:rPr>
          <w:spacing w:val="-8"/>
        </w:rPr>
        <w:t> </w:t>
      </w:r>
      <w:r>
        <w:rPr/>
        <w:t>on</w:t>
      </w:r>
      <w:r>
        <w:rPr>
          <w:spacing w:val="-10"/>
        </w:rPr>
        <w:t> </w:t>
      </w:r>
      <w:r>
        <w:rPr/>
        <w:t>predetermined</w:t>
      </w:r>
      <w:r>
        <w:rPr>
          <w:spacing w:val="-9"/>
        </w:rPr>
        <w:t> </w:t>
      </w:r>
      <w:r>
        <w:rPr/>
        <w:t>variables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innovation.</w:t>
      </w:r>
      <w:r>
        <w:rPr>
          <w:spacing w:val="-8"/>
        </w:rPr>
        <w:t> </w:t>
      </w:r>
      <w:r>
        <w:rPr/>
        <w:t>The</w:t>
      </w:r>
      <w:r>
        <w:rPr>
          <w:spacing w:val="-13"/>
        </w:rPr>
        <w:t> </w:t>
      </w:r>
      <w:r>
        <w:rPr/>
        <w:t>measurement</w:t>
      </w:r>
      <w:r>
        <w:rPr>
          <w:spacing w:val="-9"/>
        </w:rPr>
        <w:t> </w:t>
      </w:r>
      <w:r>
        <w:rPr/>
        <w:t>equation</w:t>
      </w:r>
      <w:r>
        <w:rPr>
          <w:spacing w:val="-58"/>
        </w:rPr>
        <w:t> </w:t>
      </w:r>
      <w:r>
        <w:rPr>
          <w:spacing w:val="-1"/>
        </w:rPr>
        <w:t>on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/>
        <w:t>other</w:t>
      </w:r>
      <w:r>
        <w:rPr>
          <w:spacing w:val="-14"/>
        </w:rPr>
        <w:t> </w:t>
      </w:r>
      <w:r>
        <w:rPr/>
        <w:t>hand,</w:t>
      </w:r>
      <w:r>
        <w:rPr>
          <w:spacing w:val="-15"/>
        </w:rPr>
        <w:t> </w:t>
      </w:r>
      <w:r>
        <w:rPr/>
        <w:t>links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DSGE</w:t>
      </w:r>
      <w:r>
        <w:rPr>
          <w:spacing w:val="-15"/>
        </w:rPr>
        <w:t> </w:t>
      </w:r>
      <w:r>
        <w:rPr/>
        <w:t>model</w:t>
      </w:r>
      <w:r>
        <w:rPr>
          <w:spacing w:val="-15"/>
        </w:rPr>
        <w:t> </w:t>
      </w:r>
      <w:r>
        <w:rPr/>
        <w:t>to</w:t>
      </w:r>
      <w:r>
        <w:rPr>
          <w:spacing w:val="-12"/>
        </w:rPr>
        <w:t> </w:t>
      </w:r>
      <w:r>
        <w:rPr/>
        <w:t>data.</w:t>
      </w:r>
      <w:r>
        <w:rPr>
          <w:spacing w:val="-13"/>
        </w:rPr>
        <w:t> </w:t>
      </w:r>
      <w:r>
        <w:rPr/>
        <w:t>The</w:t>
      </w:r>
      <w:r>
        <w:rPr>
          <w:spacing w:val="-16"/>
        </w:rPr>
        <w:t> </w:t>
      </w:r>
      <w:r>
        <w:rPr/>
        <w:t>measurement</w:t>
      </w:r>
      <w:r>
        <w:rPr>
          <w:spacing w:val="-11"/>
        </w:rPr>
        <w:t> </w:t>
      </w:r>
      <w:r>
        <w:rPr/>
        <w:t>equation</w:t>
      </w:r>
      <w:r>
        <w:rPr>
          <w:spacing w:val="-13"/>
        </w:rPr>
        <w:t> </w:t>
      </w:r>
      <w:r>
        <w:rPr/>
        <w:t>shows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observable</w:t>
      </w:r>
      <w:r>
        <w:rPr>
          <w:spacing w:val="-57"/>
        </w:rPr>
        <w:t> </w:t>
      </w:r>
      <w:r>
        <w:rPr/>
        <w:t>data are explained by variables of the model and by some unobservable factors i.e; measurement</w:t>
      </w:r>
      <w:r>
        <w:rPr>
          <w:spacing w:val="1"/>
        </w:rPr>
        <w:t> </w:t>
      </w:r>
      <w:r>
        <w:rPr/>
        <w:t>errors</w:t>
      </w:r>
    </w:p>
    <w:p>
      <w:pPr>
        <w:spacing w:after="0" w:line="360" w:lineRule="auto"/>
        <w:jc w:val="both"/>
        <w:sectPr>
          <w:type w:val="continuous"/>
          <w:pgSz w:w="12240" w:h="15840"/>
          <w:pgMar w:top="1500" w:bottom="1120" w:left="940" w:right="940"/>
        </w:sectPr>
      </w:pPr>
    </w:p>
    <w:p>
      <w:pPr>
        <w:tabs>
          <w:tab w:pos="2739" w:val="left" w:leader="none"/>
          <w:tab w:pos="8781" w:val="left" w:leader="none"/>
        </w:tabs>
        <w:spacing w:before="37"/>
        <w:ind w:left="500" w:right="0" w:firstLine="0"/>
        <w:jc w:val="left"/>
        <w:rPr>
          <w:sz w:val="24"/>
        </w:rPr>
      </w:pPr>
      <w:r>
        <w:rPr>
          <w:w w:val="99"/>
          <w:sz w:val="24"/>
        </w:rPr>
        <w:t>T</w:t>
      </w:r>
      <w:r>
        <w:rPr>
          <w:spacing w:val="-1"/>
          <w:w w:val="99"/>
          <w:sz w:val="24"/>
        </w:rPr>
        <w:t>ra</w:t>
      </w:r>
      <w:r>
        <w:rPr>
          <w:w w:val="99"/>
          <w:sz w:val="24"/>
        </w:rPr>
        <w:t>nsit</w:t>
      </w:r>
      <w:r>
        <w:rPr>
          <w:sz w:val="24"/>
        </w:rPr>
        <w:t>ion equ</w:t>
      </w:r>
      <w:r>
        <w:rPr>
          <w:spacing w:val="-2"/>
          <w:sz w:val="24"/>
        </w:rPr>
        <w:t>a</w:t>
      </w:r>
      <w:r>
        <w:rPr>
          <w:sz w:val="24"/>
        </w:rPr>
        <w:t>tion:</w:t>
        <w:tab/>
      </w:r>
      <w:r>
        <w:rPr>
          <w:rFonts w:ascii="Cambria Math" w:hAnsi="Cambria Math" w:eastAsia="Cambria Math"/>
          <w:spacing w:val="-116"/>
          <w:sz w:val="24"/>
        </w:rPr>
        <w:t>𝑌</w:t>
      </w:r>
      <w:r>
        <w:rPr>
          <w:rFonts w:ascii="Cambria Math" w:hAnsi="Cambria Math" w:eastAsia="Cambria Math"/>
          <w:spacing w:val="-57"/>
          <w:position w:val="5"/>
          <w:sz w:val="24"/>
        </w:rPr>
        <w:t>̂</w:t>
      </w:r>
      <w:r>
        <w:rPr>
          <w:rFonts w:ascii="Cambria Math" w:hAnsi="Cambria Math" w:eastAsia="Cambria Math"/>
          <w:w w:val="111"/>
          <w:position w:val="-4"/>
          <w:sz w:val="17"/>
        </w:rPr>
        <w:t>𝑡</w:t>
      </w:r>
      <w:r>
        <w:rPr>
          <w:rFonts w:ascii="Cambria Math" w:hAnsi="Cambria Math" w:eastAsia="Cambria Math"/>
          <w:position w:val="-4"/>
          <w:sz w:val="17"/>
        </w:rPr>
        <w:t> </w:t>
      </w:r>
      <w:r>
        <w:rPr>
          <w:rFonts w:ascii="Cambria Math" w:hAnsi="Cambria Math" w:eastAsia="Cambria Math"/>
          <w:spacing w:val="6"/>
          <w:position w:val="-4"/>
          <w:sz w:val="17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5"/>
          <w:sz w:val="24"/>
        </w:rPr>
        <w:t> </w:t>
      </w:r>
      <w:r>
        <w:rPr>
          <w:rFonts w:ascii="Cambria Math" w:hAnsi="Cambria Math" w:eastAsia="Cambria Math"/>
          <w:spacing w:val="6"/>
          <w:sz w:val="24"/>
        </w:rPr>
        <w:t>𝐷</w:t>
      </w:r>
      <w:r>
        <w:rPr>
          <w:rFonts w:ascii="Cambria Math" w:hAnsi="Cambria Math" w:eastAsia="Cambria Math"/>
          <w:spacing w:val="-111"/>
          <w:sz w:val="24"/>
        </w:rPr>
        <w:t>𝑌</w:t>
      </w:r>
      <w:r>
        <w:rPr>
          <w:rFonts w:ascii="Cambria Math" w:hAnsi="Cambria Math" w:eastAsia="Cambria Math"/>
          <w:spacing w:val="-26"/>
          <w:position w:val="5"/>
          <w:sz w:val="24"/>
        </w:rPr>
        <w:t>̂</w:t>
      </w:r>
      <w:r>
        <w:rPr>
          <w:rFonts w:ascii="Cambria Math" w:hAnsi="Cambria Math" w:eastAsia="Cambria Math"/>
          <w:spacing w:val="4"/>
          <w:w w:val="111"/>
          <w:position w:val="-4"/>
          <w:sz w:val="17"/>
        </w:rPr>
        <w:t>𝑡</w:t>
      </w:r>
      <w:r>
        <w:rPr>
          <w:rFonts w:ascii="Cambria Math" w:hAnsi="Cambria Math" w:eastAsia="Cambria Math"/>
          <w:w w:val="97"/>
          <w:position w:val="-4"/>
          <w:sz w:val="17"/>
        </w:rPr>
        <w:t>−</w:t>
      </w:r>
      <w:r>
        <w:rPr>
          <w:rFonts w:ascii="Cambria Math" w:hAnsi="Cambria Math" w:eastAsia="Cambria Math"/>
          <w:spacing w:val="9"/>
          <w:w w:val="104"/>
          <w:position w:val="-4"/>
          <w:sz w:val="17"/>
        </w:rPr>
        <w:t>1</w:t>
      </w:r>
      <w:r>
        <w:rPr>
          <w:rFonts w:ascii="Cambria Math" w:hAnsi="Cambria Math" w:eastAsia="Cambria Math"/>
          <w:sz w:val="24"/>
        </w:rPr>
        <w:t>+ </w:t>
      </w:r>
      <w:r>
        <w:rPr>
          <w:rFonts w:ascii="Cambria Math" w:hAnsi="Cambria Math" w:eastAsia="Cambria Math"/>
          <w:spacing w:val="-7"/>
          <w:sz w:val="24"/>
        </w:rPr>
        <w:t>𝑒</w:t>
      </w:r>
      <w:r>
        <w:rPr>
          <w:rFonts w:ascii="Cambria Math" w:hAnsi="Cambria Math" w:eastAsia="Cambria Math"/>
          <w:w w:val="111"/>
          <w:position w:val="-4"/>
          <w:sz w:val="17"/>
        </w:rPr>
        <w:t>𝑡</w:t>
      </w:r>
      <w:r>
        <w:rPr>
          <w:rFonts w:ascii="Cambria Math" w:hAnsi="Cambria Math" w:eastAsia="Cambria Math"/>
          <w:position w:val="-4"/>
          <w:sz w:val="17"/>
        </w:rPr>
        <w:tab/>
      </w:r>
      <w:r>
        <w:rPr>
          <w:sz w:val="24"/>
        </w:rPr>
        <w:t>(4.1</w:t>
      </w:r>
      <w:r>
        <w:rPr>
          <w:spacing w:val="-1"/>
          <w:sz w:val="24"/>
        </w:rPr>
        <w:t>4</w:t>
      </w:r>
      <w:r>
        <w:rPr>
          <w:sz w:val="24"/>
        </w:rPr>
        <w:t>1)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tabs>
          <w:tab w:pos="8781" w:val="left" w:leader="none"/>
        </w:tabs>
        <w:ind w:left="500"/>
      </w:pPr>
      <w:r>
        <w:rPr/>
        <w:pict>
          <v:shape style="position:absolute;margin-left:193.25pt;margin-top:9.786884pt;width:3.8pt;height:8.550pt;mso-position-horizontal-relative:page;mso-position-vertical-relative:paragraph;z-index:-2136268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>
          <w:w w:val="99"/>
        </w:rPr>
        <w:t>M</w:t>
      </w:r>
      <w:r>
        <w:rPr>
          <w:spacing w:val="-1"/>
          <w:w w:val="99"/>
        </w:rPr>
        <w:t>e</w:t>
      </w:r>
      <w:r>
        <w:rPr>
          <w:spacing w:val="-1"/>
        </w:rPr>
        <w:t>a</w:t>
      </w:r>
      <w:r>
        <w:rPr>
          <w:w w:val="99"/>
        </w:rPr>
        <w:t>sur</w:t>
      </w:r>
      <w:r>
        <w:rPr>
          <w:spacing w:val="-2"/>
          <w:w w:val="99"/>
        </w:rPr>
        <w:t>e</w:t>
      </w:r>
      <w:r>
        <w:rPr/>
        <w:t>ment</w:t>
      </w:r>
      <w:r>
        <w:rPr>
          <w:spacing w:val="2"/>
        </w:rPr>
        <w:t> </w:t>
      </w:r>
      <w:r>
        <w:rPr>
          <w:spacing w:val="-1"/>
        </w:rPr>
        <w:t>e</w:t>
      </w:r>
      <w:r>
        <w:rPr/>
        <w:t>qu</w:t>
      </w:r>
      <w:r>
        <w:rPr>
          <w:spacing w:val="-1"/>
        </w:rPr>
        <w:t>a</w:t>
      </w:r>
      <w:r>
        <w:rPr/>
        <w:t>tion:</w:t>
      </w:r>
      <w:r>
        <w:rPr>
          <w:spacing w:val="1"/>
        </w:rPr>
        <w:t> </w:t>
      </w:r>
      <w:r>
        <w:rPr>
          <w:rFonts w:ascii="Cambria Math" w:hAnsi="Cambria Math" w:eastAsia="Cambria Math"/>
          <w:spacing w:val="12"/>
        </w:rPr>
        <w:t>𝑌</w:t>
      </w:r>
      <w:r>
        <w:rPr>
          <w:rFonts w:ascii="Cambria Math" w:hAnsi="Cambria Math" w:eastAsia="Cambria Math"/>
          <w:w w:val="106"/>
          <w:vertAlign w:val="superscript"/>
        </w:rPr>
        <w:t>∗</w:t>
      </w:r>
      <w:r>
        <w:rPr>
          <w:rFonts w:ascii="Cambria Math" w:hAnsi="Cambria Math" w:eastAsia="Cambria Math"/>
          <w:spacing w:val="2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spacing w:val="9"/>
          <w:vertAlign w:val="baseline"/>
        </w:rPr>
        <w:t>𝐹</w:t>
      </w:r>
      <w:r>
        <w:rPr>
          <w:rFonts w:ascii="Cambria Math" w:hAnsi="Cambria Math" w:eastAsia="Cambria Math"/>
          <w:spacing w:val="-116"/>
          <w:vertAlign w:val="baseline"/>
        </w:rPr>
        <w:t>𝑌</w:t>
      </w:r>
      <w:r>
        <w:rPr>
          <w:rFonts w:ascii="Cambria Math" w:hAnsi="Cambria Math" w:eastAsia="Cambria Math"/>
          <w:spacing w:val="-57"/>
          <w:position w:val="5"/>
          <w:vertAlign w:val="baseline"/>
        </w:rPr>
        <w:t>̂</w:t>
      </w:r>
      <w:r>
        <w:rPr>
          <w:rFonts w:ascii="Cambria Math" w:hAnsi="Cambria Math" w:eastAsia="Cambria Math"/>
          <w:spacing w:val="13"/>
          <w:w w:val="111"/>
          <w:position w:val="-4"/>
          <w:sz w:val="17"/>
          <w:vertAlign w:val="baseline"/>
        </w:rPr>
        <w:t>𝑡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𝑢</w:t>
      </w:r>
      <w:r>
        <w:rPr>
          <w:rFonts w:ascii="Cambria Math" w:hAnsi="Cambria Math" w:eastAsia="Cambria Math"/>
          <w:w w:val="119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ab/>
      </w:r>
      <w:r>
        <w:rPr>
          <w:vertAlign w:val="baseline"/>
        </w:rPr>
        <w:t>(4.1</w:t>
      </w:r>
      <w:r>
        <w:rPr>
          <w:spacing w:val="-1"/>
          <w:vertAlign w:val="baseline"/>
        </w:rPr>
        <w:t>4</w:t>
      </w:r>
      <w:r>
        <w:rPr>
          <w:vertAlign w:val="baseline"/>
        </w:rPr>
        <w:t>2)</w:t>
      </w:r>
    </w:p>
    <w:p>
      <w:pPr>
        <w:pStyle w:val="BodyText"/>
        <w:spacing w:before="4"/>
        <w:rPr>
          <w:sz w:val="45"/>
        </w:rPr>
      </w:pPr>
    </w:p>
    <w:p>
      <w:pPr>
        <w:pStyle w:val="BodyText"/>
        <w:spacing w:line="362" w:lineRule="auto"/>
        <w:ind w:left="500" w:right="501"/>
        <w:jc w:val="both"/>
        <w:rPr>
          <w:rFonts w:ascii="Cambria Math" w:eastAsia="Cambria Math"/>
        </w:rPr>
      </w:pPr>
      <w:r>
        <w:rPr/>
        <w:t>Where</w:t>
      </w:r>
      <w:r>
        <w:rPr>
          <w:spacing w:val="61"/>
        </w:rPr>
        <w:t> </w:t>
      </w:r>
      <w:r>
        <w:rPr>
          <w:rFonts w:ascii="Cambria Math" w:eastAsia="Cambria Math"/>
        </w:rPr>
        <w:t>𝑢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spacing w:val="53"/>
          <w:vertAlign w:val="baseline"/>
        </w:rPr>
        <w:t> </w:t>
      </w:r>
      <w:r>
        <w:rPr>
          <w:vertAlign w:val="baseline"/>
        </w:rPr>
        <w:t>and</w:t>
      </w:r>
      <w:r>
        <w:rPr>
          <w:spacing w:val="61"/>
          <w:vertAlign w:val="baseline"/>
        </w:rPr>
        <w:t> </w:t>
      </w:r>
      <w:r>
        <w:rPr>
          <w:rFonts w:ascii="Cambria Math" w:eastAsia="Cambria Math"/>
          <w:vertAlign w:val="baseline"/>
        </w:rPr>
        <w:t>𝑒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spacing w:val="53"/>
          <w:vertAlign w:val="baseline"/>
        </w:rPr>
        <w:t> </w:t>
      </w:r>
      <w:r>
        <w:rPr>
          <w:vertAlign w:val="baseline"/>
        </w:rPr>
        <w:t>are</w:t>
      </w:r>
      <w:r>
        <w:rPr>
          <w:spacing w:val="61"/>
          <w:vertAlign w:val="baseline"/>
        </w:rPr>
        <w:t> </w:t>
      </w:r>
      <w:r>
        <w:rPr>
          <w:vertAlign w:val="baseline"/>
        </w:rPr>
        <w:t>innovation</w:t>
      </w:r>
      <w:r>
        <w:rPr>
          <w:spacing w:val="61"/>
          <w:vertAlign w:val="baseline"/>
        </w:rPr>
        <w:t> </w:t>
      </w:r>
      <w:r>
        <w:rPr>
          <w:vertAlign w:val="baseline"/>
        </w:rPr>
        <w:t>and</w:t>
      </w:r>
      <w:r>
        <w:rPr>
          <w:spacing w:val="61"/>
          <w:vertAlign w:val="baseline"/>
        </w:rPr>
        <w:t> </w:t>
      </w:r>
      <w:r>
        <w:rPr>
          <w:vertAlign w:val="baseline"/>
        </w:rPr>
        <w:t>assumed</w:t>
      </w:r>
      <w:r>
        <w:rPr>
          <w:spacing w:val="61"/>
          <w:vertAlign w:val="baseline"/>
        </w:rPr>
        <w:t> </w:t>
      </w:r>
      <w:r>
        <w:rPr>
          <w:vertAlign w:val="baseline"/>
        </w:rPr>
        <w:t>to</w:t>
      </w:r>
      <w:r>
        <w:rPr>
          <w:spacing w:val="61"/>
          <w:vertAlign w:val="baseline"/>
        </w:rPr>
        <w:t> </w:t>
      </w:r>
      <w:r>
        <w:rPr>
          <w:vertAlign w:val="baseline"/>
        </w:rPr>
        <w:t>be</w:t>
      </w:r>
      <w:r>
        <w:rPr>
          <w:spacing w:val="61"/>
          <w:vertAlign w:val="baseline"/>
        </w:rPr>
        <w:t> </w:t>
      </w:r>
      <w:r>
        <w:rPr>
          <w:vertAlign w:val="baseline"/>
        </w:rPr>
        <w:t>Gaussian</w:t>
      </w:r>
      <w:r>
        <w:rPr>
          <w:spacing w:val="61"/>
          <w:vertAlign w:val="baseline"/>
        </w:rPr>
        <w:t> </w:t>
      </w:r>
      <w:r>
        <w:rPr>
          <w:vertAlign w:val="baseline"/>
        </w:rPr>
        <w:t>white</w:t>
      </w:r>
      <w:r>
        <w:rPr>
          <w:spacing w:val="61"/>
          <w:vertAlign w:val="baseline"/>
        </w:rPr>
        <w:t> </w:t>
      </w:r>
      <w:r>
        <w:rPr>
          <w:vertAlign w:val="baseline"/>
        </w:rPr>
        <w:t>noise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processes:</w:t>
      </w:r>
      <w:r>
        <w:rPr>
          <w:rFonts w:ascii="Cambria Math" w:eastAsia="Cambria Math"/>
          <w:vertAlign w:val="baseline"/>
        </w:rPr>
        <w:t>𝑢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vertAlign w:val="baseline"/>
        </w:rPr>
        <w:t>~𝑁𝐼𝐷</w:t>
      </w:r>
      <w:r>
        <w:rPr>
          <w:rFonts w:ascii="Cambria Math" w:eastAsia="Cambria Math"/>
          <w:spacing w:val="7"/>
          <w:vertAlign w:val="baseline"/>
        </w:rPr>
        <w:t> </w:t>
      </w:r>
      <w:r>
        <w:rPr>
          <w:rFonts w:ascii="Cambria Math" w:eastAsia="Cambria Math"/>
          <w:vertAlign w:val="baseline"/>
        </w:rPr>
        <w:t>(0,</w:t>
      </w:r>
      <w:r>
        <w:rPr>
          <w:rFonts w:ascii="Cambria Math" w:eastAsia="Cambria Math"/>
          <w:spacing w:val="-14"/>
          <w:vertAlign w:val="baseline"/>
        </w:rPr>
        <w:t> </w:t>
      </w:r>
      <w:r>
        <w:rPr>
          <w:rFonts w:ascii="Cambria Math" w:eastAsia="Cambria Math"/>
          <w:vertAlign w:val="baseline"/>
        </w:rPr>
        <w:t>𝜎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vertAlign w:val="baseline"/>
        </w:rPr>
        <w:t>)</w:t>
      </w:r>
      <w:r>
        <w:rPr>
          <w:vertAlign w:val="baseline"/>
        </w:rPr>
        <w:t>;</w:t>
      </w:r>
      <w:r>
        <w:rPr>
          <w:rFonts w:ascii="Cambria Math" w:eastAsia="Cambria Math"/>
          <w:vertAlign w:val="baseline"/>
        </w:rPr>
        <w:t>𝑒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vertAlign w:val="baseline"/>
        </w:rPr>
        <w:t>~𝑁𝐼𝐷</w:t>
      </w:r>
      <w:r>
        <w:rPr>
          <w:rFonts w:ascii="Cambria Math" w:eastAsia="Cambria Math"/>
          <w:spacing w:val="8"/>
          <w:vertAlign w:val="baseline"/>
        </w:rPr>
        <w:t> </w:t>
      </w:r>
      <w:r>
        <w:rPr>
          <w:rFonts w:ascii="Cambria Math" w:eastAsia="Cambria Math"/>
          <w:vertAlign w:val="baseline"/>
        </w:rPr>
        <w:t>(0,</w:t>
      </w:r>
      <w:r>
        <w:rPr>
          <w:rFonts w:ascii="Cambria Math" w:eastAsia="Cambria Math"/>
          <w:spacing w:val="-11"/>
          <w:vertAlign w:val="baseline"/>
        </w:rPr>
        <w:t> </w:t>
      </w:r>
      <w:r>
        <w:rPr>
          <w:rFonts w:ascii="Cambria Math" w:eastAsia="Cambria Math"/>
          <w:vertAlign w:val="baseline"/>
        </w:rPr>
        <w:t>𝜎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vertAlign w:val="baseline"/>
        </w:rPr>
        <w:t>)</w:t>
      </w:r>
    </w:p>
    <w:p>
      <w:pPr>
        <w:pStyle w:val="BodyText"/>
        <w:rPr>
          <w:rFonts w:ascii="Cambria Math"/>
          <w:sz w:val="32"/>
        </w:rPr>
      </w:pPr>
    </w:p>
    <w:p>
      <w:pPr>
        <w:pStyle w:val="BodyText"/>
        <w:spacing w:line="345" w:lineRule="auto"/>
        <w:ind w:left="500" w:right="495"/>
        <w:jc w:val="both"/>
      </w:pPr>
      <w:r>
        <w:rPr/>
        <w:pict>
          <v:rect style="position:absolute;margin-left:194.570007pt;margin-top:75.612358pt;width:4.92pt;height:.84pt;mso-position-horizontal-relative:page;mso-position-vertical-relative:paragraph;z-index:15832064" filled="true" fillcolor="#000000" stroked="false">
            <v:fill type="solid"/>
            <w10:wrap type="none"/>
          </v:rect>
        </w:pict>
      </w:r>
      <w:r>
        <w:rPr/>
        <w:pict>
          <v:rect style="position:absolute;margin-left:273.769989pt;margin-top:75.612358pt;width:4.92pt;height:.84pt;mso-position-horizontal-relative:page;mso-position-vertical-relative:paragraph;z-index:15832576" filled="true" fillcolor="#000000" stroked="false">
            <v:fill type="solid"/>
            <w10:wrap type="none"/>
          </v:rect>
        </w:pict>
      </w:r>
      <w:r>
        <w:rPr/>
        <w:pict>
          <v:shape style="position:absolute;margin-left:435.910004pt;margin-top:9.786909pt;width:3.8pt;height:8.550pt;mso-position-horizontal-relative:page;mso-position-vertical-relative:paragraph;z-index:-21362176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99"/>
        </w:rPr>
        <w:t>I</w:t>
      </w:r>
      <w:r>
        <w:rPr>
          <w:w w:val="99"/>
        </w:rPr>
        <w:t>f</w:t>
      </w:r>
      <w:r>
        <w:rPr>
          <w:spacing w:val="6"/>
          <w:w w:val="99"/>
        </w:rPr>
        <w:t> </w:t>
      </w:r>
      <w:r>
        <w:rPr>
          <w:rFonts w:ascii="Cambria Math" w:hAnsi="Cambria Math" w:eastAsia="Cambria Math"/>
          <w:spacing w:val="-1"/>
          <w:w w:val="99"/>
        </w:rPr>
        <w:t>𝑢</w:t>
      </w:r>
      <w:r>
        <w:rPr>
          <w:rFonts w:ascii="Cambria Math" w:hAnsi="Cambria Math" w:eastAsia="Cambria Math"/>
          <w:w w:val="119"/>
          <w:vertAlign w:val="subscript"/>
        </w:rPr>
        <w:t>𝑡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vertAlign w:val="baseline"/>
        </w:rPr>
        <w:t>,</w:t>
      </w:r>
      <w:r>
        <w:rPr>
          <w:spacing w:val="2"/>
          <w:vertAlign w:val="baseline"/>
        </w:rPr>
        <w:t> </w:t>
      </w:r>
      <w:r>
        <w:rPr>
          <w:rFonts w:ascii="Cambria Math" w:hAnsi="Cambria Math" w:eastAsia="Cambria Math"/>
          <w:spacing w:val="-7"/>
          <w:vertAlign w:val="baseline"/>
        </w:rPr>
        <w:t>𝑒</w:t>
      </w:r>
      <w:r>
        <w:rPr>
          <w:rFonts w:ascii="Cambria Math" w:hAnsi="Cambria Math" w:eastAsia="Cambria Math"/>
          <w:w w:val="119"/>
          <w:vertAlign w:val="subscript"/>
        </w:rPr>
        <w:t>𝑡</w:t>
      </w:r>
      <w:r>
        <w:rPr>
          <w:rFonts w:ascii="Cambria Math" w:hAnsi="Cambria Math" w:eastAsia="Cambria Math"/>
          <w:spacing w:val="23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4"/>
          <w:vertAlign w:val="baseline"/>
        </w:rPr>
        <w:t> </w:t>
      </w:r>
      <w:r>
        <w:rPr>
          <w:rFonts w:ascii="Cambria Math" w:hAnsi="Cambria Math" w:eastAsia="Cambria Math"/>
          <w:spacing w:val="-107"/>
          <w:vertAlign w:val="baseline"/>
        </w:rPr>
        <w:t>𝑌</w:t>
      </w:r>
      <w:r>
        <w:rPr>
          <w:rFonts w:ascii="Cambria Math" w:hAnsi="Cambria Math" w:eastAsia="Cambria Math"/>
          <w:spacing w:val="-67"/>
          <w:position w:val="5"/>
          <w:vertAlign w:val="baseline"/>
        </w:rPr>
        <w:t>̂</w:t>
      </w:r>
      <w:r>
        <w:rPr>
          <w:rFonts w:ascii="Cambria Math" w:hAnsi="Cambria Math" w:eastAsia="Cambria Math"/>
          <w:spacing w:val="9"/>
          <w:w w:val="104"/>
          <w:position w:val="-4"/>
          <w:sz w:val="17"/>
          <w:vertAlign w:val="baseline"/>
        </w:rPr>
        <w:t>0</w:t>
      </w:r>
      <w:r>
        <w:rPr>
          <w:vertAlign w:val="baseline"/>
        </w:rPr>
        <w:t>,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initi</w:t>
      </w:r>
      <w:r>
        <w:rPr>
          <w:spacing w:val="-1"/>
          <w:vertAlign w:val="baseline"/>
        </w:rPr>
        <w:t>a</w:t>
      </w:r>
      <w:r>
        <w:rPr>
          <w:vertAlign w:val="baseline"/>
        </w:rPr>
        <w:t>l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ondition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re norm</w:t>
      </w:r>
      <w:r>
        <w:rPr>
          <w:spacing w:val="-2"/>
          <w:vertAlign w:val="baseline"/>
        </w:rPr>
        <w:t>a</w:t>
      </w:r>
      <w:r>
        <w:rPr>
          <w:vertAlign w:val="baseline"/>
        </w:rPr>
        <w:t>l</w:t>
      </w:r>
      <w:r>
        <w:rPr>
          <w:spacing w:val="5"/>
          <w:vertAlign w:val="baseline"/>
        </w:rPr>
        <w:t>l</w:t>
      </w:r>
      <w:r>
        <w:rPr>
          <w:vertAlign w:val="baseline"/>
        </w:rPr>
        <w:t>y</w:t>
      </w:r>
      <w:r>
        <w:rPr>
          <w:spacing w:val="-3"/>
          <w:vertAlign w:val="baseline"/>
        </w:rPr>
        <w:t> </w:t>
      </w:r>
      <w:r>
        <w:rPr>
          <w:spacing w:val="3"/>
          <w:vertAlign w:val="baseline"/>
        </w:rPr>
        <w:t>d</w:t>
      </w:r>
      <w:r>
        <w:rPr>
          <w:w w:val="99"/>
          <w:vertAlign w:val="baseline"/>
        </w:rPr>
        <w:t>ist</w:t>
      </w:r>
      <w:r>
        <w:rPr>
          <w:w w:val="99"/>
          <w:vertAlign w:val="baseline"/>
        </w:rPr>
        <w:t>ri</w:t>
      </w:r>
      <w:r>
        <w:rPr>
          <w:spacing w:val="1"/>
          <w:w w:val="99"/>
          <w:vertAlign w:val="baseline"/>
        </w:rPr>
        <w:t>b</w:t>
      </w:r>
      <w:r>
        <w:rPr>
          <w:w w:val="99"/>
          <w:vertAlign w:val="baseline"/>
        </w:rPr>
        <w:t>uted,</w:t>
      </w:r>
      <w:r>
        <w:rPr>
          <w:spacing w:val="1"/>
          <w:w w:val="99"/>
          <w:vertAlign w:val="baseline"/>
        </w:rPr>
        <w:t> </w:t>
      </w:r>
      <w:r>
        <w:rPr>
          <w:w w:val="99"/>
          <w:vertAlign w:val="baseline"/>
        </w:rPr>
        <w:t>then</w:t>
      </w:r>
      <w:r>
        <w:rPr>
          <w:spacing w:val="5"/>
          <w:w w:val="99"/>
          <w:vertAlign w:val="baseline"/>
        </w:rPr>
        <w:t> </w:t>
      </w:r>
      <w:r>
        <w:rPr>
          <w:rFonts w:ascii="Cambria Math" w:hAnsi="Cambria Math" w:eastAsia="Cambria Math"/>
          <w:spacing w:val="-116"/>
          <w:w w:val="99"/>
          <w:vertAlign w:val="baseline"/>
        </w:rPr>
        <w:t>𝑌</w:t>
      </w:r>
      <w:r>
        <w:rPr>
          <w:rFonts w:ascii="Cambria Math" w:hAnsi="Cambria Math" w:eastAsia="Cambria Math"/>
          <w:spacing w:val="-57"/>
          <w:w w:val="99"/>
          <w:position w:val="5"/>
          <w:vertAlign w:val="baseline"/>
        </w:rPr>
        <w:t>̂</w:t>
      </w:r>
      <w:r>
        <w:rPr>
          <w:rFonts w:ascii="Cambria Math" w:hAnsi="Cambria Math" w:eastAsia="Cambria Math"/>
          <w:w w:val="111"/>
          <w:position w:val="-4"/>
          <w:sz w:val="17"/>
          <w:vertAlign w:val="baseline"/>
        </w:rPr>
        <w:t>𝑡</w:t>
      </w:r>
      <w:r>
        <w:rPr>
          <w:rFonts w:ascii="Cambria Math" w:hAnsi="Cambria Math" w:eastAsia="Cambria Math"/>
          <w:position w:val="-4"/>
          <w:sz w:val="17"/>
          <w:vertAlign w:val="baseline"/>
        </w:rPr>
        <w:t> </w:t>
      </w:r>
      <w:r>
        <w:rPr>
          <w:rFonts w:ascii="Cambria Math" w:hAnsi="Cambria Math" w:eastAsia="Cambria Math"/>
          <w:spacing w:val="1"/>
          <w:position w:val="-4"/>
          <w:sz w:val="17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2"/>
          <w:vertAlign w:val="baseline"/>
        </w:rPr>
        <w:t> </w:t>
      </w:r>
      <w:r>
        <w:rPr>
          <w:rFonts w:ascii="Cambria Math" w:hAnsi="Cambria Math" w:eastAsia="Cambria Math"/>
          <w:spacing w:val="11"/>
          <w:vertAlign w:val="baseline"/>
        </w:rPr>
        <w:t>𝑌</w:t>
      </w:r>
      <w:r>
        <w:rPr>
          <w:rFonts w:ascii="Cambria Math" w:hAnsi="Cambria Math" w:eastAsia="Cambria Math"/>
          <w:w w:val="106"/>
          <w:vertAlign w:val="superscript"/>
        </w:rPr>
        <w:t>∗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1"/>
          <w:vertAlign w:val="baseline"/>
        </w:rPr>
        <w:t>r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w w:val="99"/>
          <w:vertAlign w:val="baseline"/>
        </w:rPr>
        <w:t>lso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w w:val="99"/>
          <w:vertAlign w:val="baseline"/>
        </w:rPr>
        <w:t>ssum</w:t>
      </w:r>
      <w:r>
        <w:rPr>
          <w:spacing w:val="-1"/>
          <w:vertAlign w:val="baseline"/>
        </w:rPr>
        <w:t>e</w:t>
      </w:r>
      <w:r>
        <w:rPr>
          <w:vertAlign w:val="baseline"/>
        </w:rPr>
        <w:t>d</w:t>
      </w:r>
      <w:r>
        <w:rPr>
          <w:spacing w:val="2"/>
          <w:vertAlign w:val="baseline"/>
        </w:rPr>
        <w:t> </w:t>
      </w:r>
      <w:r>
        <w:rPr>
          <w:vertAlign w:val="baseline"/>
        </w:rPr>
        <w:t>to </w:t>
      </w:r>
      <w:r>
        <w:rPr>
          <w:vertAlign w:val="baseline"/>
        </w:rPr>
        <w:t>be normally distributed. The next procedure entails using the Kalman filter to derive the log</w:t>
      </w:r>
      <w:r>
        <w:rPr>
          <w:spacing w:val="1"/>
          <w:vertAlign w:val="baseline"/>
        </w:rPr>
        <w:t> </w:t>
      </w:r>
      <w:r>
        <w:rPr>
          <w:vertAlign w:val="baseline"/>
        </w:rPr>
        <w:t>likelihood</w:t>
      </w:r>
      <w:r>
        <w:rPr>
          <w:spacing w:val="-1"/>
          <w:vertAlign w:val="baseline"/>
        </w:rPr>
        <w:t> </w:t>
      </w:r>
      <w:r>
        <w:rPr>
          <w:vertAlign w:val="baseline"/>
        </w:rPr>
        <w:t>function:</w:t>
      </w:r>
    </w:p>
    <w:p>
      <w:pPr>
        <w:spacing w:after="0" w:line="345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66"/>
        <w:ind w:left="500"/>
        <w:rPr>
          <w:rFonts w:ascii="Cambria Math" w:eastAsia="Cambria Math"/>
        </w:rPr>
      </w:pPr>
      <w:r>
        <w:rPr/>
        <w:pict>
          <v:shape style="position:absolute;margin-left:95.924004pt;margin-top:1.486891pt;width:309.55pt;height:21.65pt;mso-position-horizontal-relative:page;mso-position-vertical-relative:paragraph;z-index:158341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44"/>
                    <w:gridCol w:w="853"/>
                    <w:gridCol w:w="1317"/>
                    <w:gridCol w:w="984"/>
                    <w:gridCol w:w="445"/>
                    <w:gridCol w:w="643"/>
                    <w:gridCol w:w="521"/>
                    <w:gridCol w:w="429"/>
                    <w:gridCol w:w="351"/>
                  </w:tblGrid>
                  <w:tr>
                    <w:trPr>
                      <w:trHeight w:val="242" w:hRule="atLeast"/>
                    </w:trPr>
                    <w:tc>
                      <w:tcPr>
                        <w:tcW w:w="644" w:type="dxa"/>
                      </w:tcPr>
                      <w:p>
                        <w:pPr>
                          <w:pStyle w:val="TableParagraph"/>
                          <w:tabs>
                            <w:tab w:pos="364" w:val="left" w:leader="none"/>
                          </w:tabs>
                          <w:spacing w:line="199" w:lineRule="exact" w:before="24"/>
                          <w:ind w:left="50"/>
                          <w:rPr>
                            <w:rFonts w:ascii="Cambria Math" w:hAnsi="Cambria Math"/>
                            <w:sz w:val="17"/>
                          </w:rPr>
                        </w:pPr>
                        <w:r>
                          <w:rPr>
                            <w:rFonts w:ascii="Cambria Math" w:hAnsi="Cambria Math"/>
                            <w:sz w:val="17"/>
                          </w:rPr>
                          <w:t>∗</w:t>
                          <w:tab/>
                          <w:t>∗</w:t>
                        </w:r>
                      </w:p>
                    </w:tc>
                    <w:tc>
                      <w:tcPr>
                        <w:tcW w:w="2170" w:type="dxa"/>
                        <w:gridSpan w:val="2"/>
                      </w:tcPr>
                      <w:p>
                        <w:pPr>
                          <w:pStyle w:val="TableParagraph"/>
                          <w:spacing w:line="222" w:lineRule="exact"/>
                          <w:ind w:left="-35"/>
                          <w:rPr>
                            <w:rFonts w:ascii="Cambria Math" w:hAnsi="Cambria Math" w:eastAsia="Cambria Math"/>
                            <w:sz w:val="24"/>
                          </w:rPr>
                        </w:pPr>
                        <w:r>
                          <w:rPr>
                            <w:rFonts w:ascii="Cambria Math" w:hAnsi="Cambria Math" w:eastAsia="Cambria Math"/>
                            <w:spacing w:val="-1"/>
                            <w:sz w:val="24"/>
                          </w:rPr>
                          <w:t>− </w:t>
                        </w:r>
                        <w:r>
                          <w:rPr>
                            <w:rFonts w:ascii="Cambria Math" w:hAnsi="Cambria Math" w:eastAsia="Cambria Math"/>
                            <w:position w:val="14"/>
                            <w:sz w:val="17"/>
                            <w:u w:val="single"/>
                          </w:rPr>
                          <w:t>𝑇</w:t>
                        </w:r>
                        <w:r>
                          <w:rPr>
                            <w:rFonts w:ascii="Cambria Math" w:hAnsi="Cambria Math" w:eastAsia="Cambria Math"/>
                            <w:position w:val="11"/>
                            <w:sz w:val="14"/>
                            <w:u w:val="single"/>
                          </w:rPr>
                          <w:t>𝑛</w:t>
                        </w:r>
                        <w:r>
                          <w:rPr>
                            <w:rFonts w:ascii="Cambria Math" w:hAnsi="Cambria Math" w:eastAsia="Cambria Math"/>
                            <w:spacing w:val="14"/>
                            <w:position w:val="11"/>
                            <w:sz w:val="14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4"/>
                          </w:rPr>
                          <w:t>log</w:t>
                        </w:r>
                        <w:r>
                          <w:rPr>
                            <w:rFonts w:ascii="Cambria Math" w:hAnsi="Cambria Math" w:eastAsia="Cambria Math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4"/>
                          </w:rPr>
                          <w:t>2𝜋</w:t>
                        </w:r>
                        <w:r>
                          <w:rPr>
                            <w:rFonts w:ascii="Cambria Math" w:hAnsi="Cambria Math" w:eastAsia="Cambria Math"/>
                            <w:spacing w:val="6"/>
                            <w:sz w:val="24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4"/>
                          </w:rPr>
                          <w:t>−</w:t>
                        </w:r>
                        <w:r>
                          <w:rPr>
                            <w:rFonts w:ascii="Cambria Math" w:hAnsi="Cambria Math" w:eastAsia="Cambria Math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position w:val="14"/>
                            <w:sz w:val="17"/>
                          </w:rPr>
                          <w:t>1 </w:t>
                        </w:r>
                        <w:r>
                          <w:rPr>
                            <w:rFonts w:ascii="Cambria Math" w:hAnsi="Cambria Math" w:eastAsia="Cambria Math"/>
                            <w:sz w:val="24"/>
                          </w:rPr>
                          <w:t>log</w:t>
                        </w:r>
                        <w:r>
                          <w:rPr>
                            <w:rFonts w:ascii="Cambria Math" w:hAnsi="Cambria Math" w:eastAsia="Cambria Math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4"/>
                          </w:rPr>
                          <w:t>|</w:t>
                        </w:r>
                        <w:r>
                          <w:rPr>
                            <w:rFonts w:ascii="Cambria Math" w:hAnsi="Cambria Math" w:eastAsia="Cambria Math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4"/>
                          </w:rPr>
                          <w:t>−</w:t>
                        </w: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tabs>
                            <w:tab w:pos="380" w:val="left" w:leader="none"/>
                          </w:tabs>
                          <w:spacing w:line="227" w:lineRule="exact"/>
                          <w:ind w:left="8"/>
                          <w:rPr>
                            <w:rFonts w:ascii="Cambria Math" w:hAnsi="Cambria Math"/>
                            <w:sz w:val="24"/>
                          </w:rPr>
                        </w:pPr>
                        <w:r>
                          <w:rPr>
                            <w:rFonts w:ascii="Cambria Math" w:hAnsi="Cambria Math"/>
                            <w:sz w:val="24"/>
                          </w:rPr>
                          <w:t>Σ</w:t>
                          <w:tab/>
                          <w:t>|</w:t>
                        </w:r>
                        <w:r>
                          <w:rPr>
                            <w:rFonts w:ascii="Cambria Math" w:hAnsi="Cambria Math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mbria Math" w:hAnsi="Cambria Math"/>
                            <w:sz w:val="24"/>
                          </w:rPr>
                          <w:t>−</w:t>
                        </w:r>
                        <w:r>
                          <w:rPr>
                            <w:rFonts w:ascii="Cambria Math" w:hAnsi="Cambria Math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mbria Math" w:hAnsi="Cambria Math"/>
                            <w:position w:val="14"/>
                            <w:sz w:val="17"/>
                          </w:rPr>
                          <w:t>1</w:t>
                        </w:r>
                        <w:r>
                          <w:rPr>
                            <w:rFonts w:ascii="Cambria Math" w:hAnsi="Cambria Math"/>
                            <w:spacing w:val="-2"/>
                            <w:position w:val="14"/>
                            <w:sz w:val="17"/>
                          </w:rPr>
                          <w:t> </w:t>
                        </w:r>
                        <w:r>
                          <w:rPr>
                            <w:rFonts w:ascii="Cambria Math" w:hAnsi="Cambria Math"/>
                            <w:sz w:val="24"/>
                          </w:rPr>
                          <w:t>(</w:t>
                        </w:r>
                      </w:p>
                      <w:p>
                        <w:pPr>
                          <w:pStyle w:val="TableParagraph"/>
                          <w:spacing w:line="5" w:lineRule="exact"/>
                          <w:ind w:left="140"/>
                          <w:rPr>
                            <w:rFonts w:ascii="Cambria Math" w:hAnsi="Cambria Math" w:eastAsia="Cambria Math"/>
                            <w:sz w:val="14"/>
                          </w:rPr>
                        </w:pPr>
                        <w:r>
                          <w:rPr>
                            <w:rFonts w:ascii="Cambria Math" w:hAnsi="Cambria Math" w:eastAsia="Cambria Math"/>
                            <w:w w:val="105"/>
                            <w:position w:val="-5"/>
                            <w:sz w:val="17"/>
                          </w:rPr>
                          <w:t>𝑦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sz w:val="14"/>
                          </w:rPr>
                          <w:t>∗</w:t>
                        </w:r>
                      </w:p>
                    </w:tc>
                    <w:tc>
                      <w:tcPr>
                        <w:tcW w:w="445" w:type="dxa"/>
                      </w:tcPr>
                      <w:p>
                        <w:pPr>
                          <w:pStyle w:val="TableParagraph"/>
                          <w:spacing w:line="199" w:lineRule="exact" w:before="24"/>
                          <w:ind w:left="142"/>
                          <w:rPr>
                            <w:rFonts w:ascii="Cambria Math" w:hAnsi="Cambria Math"/>
                            <w:sz w:val="17"/>
                          </w:rPr>
                        </w:pPr>
                        <w:r>
                          <w:rPr>
                            <w:rFonts w:ascii="Cambria Math" w:hAnsi="Cambria Math"/>
                            <w:w w:val="100"/>
                            <w:sz w:val="17"/>
                          </w:rPr>
                          <w:t>∗</w:t>
                        </w:r>
                      </w:p>
                    </w:tc>
                    <w:tc>
                      <w:tcPr>
                        <w:tcW w:w="643" w:type="dxa"/>
                      </w:tcPr>
                      <w:p>
                        <w:pPr>
                          <w:pStyle w:val="TableParagraph"/>
                          <w:spacing w:line="199" w:lineRule="exact" w:before="24"/>
                          <w:ind w:left="221"/>
                          <w:rPr>
                            <w:rFonts w:ascii="Cambria Math" w:hAnsi="Cambria Math"/>
                            <w:sz w:val="17"/>
                          </w:rPr>
                        </w:pPr>
                        <w:r>
                          <w:rPr>
                            <w:rFonts w:ascii="Cambria Math" w:hAnsi="Cambria Math"/>
                            <w:w w:val="120"/>
                            <w:sz w:val="17"/>
                          </w:rPr>
                          <w:t>∗</w:t>
                        </w:r>
                        <w:r>
                          <w:rPr>
                            <w:rFonts w:ascii="Cambria Math" w:hAnsi="Cambria Math"/>
                            <w:spacing w:val="15"/>
                            <w:w w:val="120"/>
                            <w:sz w:val="17"/>
                          </w:rPr>
                          <w:t> </w:t>
                        </w:r>
                        <w:r>
                          <w:rPr>
                            <w:rFonts w:ascii="Cambria Math" w:hAnsi="Cambria Math"/>
                            <w:w w:val="120"/>
                            <w:sz w:val="17"/>
                          </w:rPr>
                          <w:t>′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spacing w:line="120" w:lineRule="exact" w:before="4"/>
                          <w:ind w:left="60" w:right="15"/>
                          <w:jc w:val="center"/>
                          <w:rPr>
                            <w:rFonts w:ascii="Cambria Math" w:hAnsi="Cambria Math"/>
                            <w:sz w:val="17"/>
                          </w:rPr>
                        </w:pPr>
                        <w:r>
                          <w:rPr>
                            <w:rFonts w:ascii="Cambria Math" w:hAnsi="Cambria Math"/>
                            <w:sz w:val="17"/>
                          </w:rPr>
                          <w:t>−1</w:t>
                        </w:r>
                      </w:p>
                      <w:p>
                        <w:pPr>
                          <w:pStyle w:val="TableParagraph"/>
                          <w:tabs>
                            <w:tab w:pos="404" w:val="left" w:leader="none"/>
                          </w:tabs>
                          <w:spacing w:line="97" w:lineRule="exact"/>
                          <w:ind w:left="-28" w:right="15"/>
                          <w:jc w:val="center"/>
                          <w:rPr>
                            <w:rFonts w:ascii="Cambria Math" w:hAnsi="Cambria Math" w:eastAsia="Cambria Math"/>
                            <w:sz w:val="24"/>
                          </w:rPr>
                        </w:pPr>
                        <w:r>
                          <w:rPr>
                            <w:rFonts w:ascii="Cambria Math" w:hAnsi="Cambria Math" w:eastAsia="Cambria Math"/>
                            <w:w w:val="105"/>
                            <w:position w:val="-4"/>
                            <w:sz w:val="17"/>
                          </w:rPr>
                          <w:t>𝑦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position w:val="1"/>
                            <w:sz w:val="14"/>
                          </w:rPr>
                          <w:t>∗</w:t>
                          <w:tab/>
                        </w:r>
                        <w:r>
                          <w:rPr>
                            <w:rFonts w:ascii="Cambria Math" w:hAnsi="Cambria Math" w:eastAsia="Cambria Math"/>
                            <w:spacing w:val="-10"/>
                            <w:w w:val="105"/>
                            <w:sz w:val="24"/>
                          </w:rPr>
                          <w:t>(</w:t>
                        </w:r>
                      </w:p>
                    </w:tc>
                    <w:tc>
                      <w:tcPr>
                        <w:tcW w:w="429" w:type="dxa"/>
                      </w:tcPr>
                      <w:p>
                        <w:pPr>
                          <w:pStyle w:val="TableParagraph"/>
                          <w:spacing w:line="199" w:lineRule="exact" w:before="24"/>
                          <w:ind w:left="130"/>
                          <w:rPr>
                            <w:rFonts w:ascii="Cambria Math" w:hAnsi="Cambria Math"/>
                            <w:sz w:val="17"/>
                          </w:rPr>
                        </w:pPr>
                        <w:r>
                          <w:rPr>
                            <w:rFonts w:ascii="Cambria Math" w:hAnsi="Cambria Math"/>
                            <w:w w:val="100"/>
                            <w:sz w:val="17"/>
                          </w:rPr>
                          <w:t>∗</w:t>
                        </w:r>
                      </w:p>
                    </w:tc>
                    <w:tc>
                      <w:tcPr>
                        <w:tcW w:w="351" w:type="dxa"/>
                      </w:tcPr>
                      <w:p>
                        <w:pPr>
                          <w:pStyle w:val="TableParagraph"/>
                          <w:spacing w:line="176" w:lineRule="exact" w:before="46"/>
                          <w:ind w:left="75"/>
                          <w:rPr>
                            <w:rFonts w:ascii="Cambria Math" w:hAnsi="Cambria Math" w:eastAsia="Cambria Math"/>
                            <w:sz w:val="24"/>
                          </w:rPr>
                        </w:pPr>
                        <w:r>
                          <w:rPr>
                            <w:rFonts w:ascii="Cambria Math" w:hAnsi="Cambria Math" w:eastAsia="Cambria Math"/>
                            <w:spacing w:val="-106"/>
                            <w:sz w:val="24"/>
                          </w:rPr>
                          <w:t>𝑦</w:t>
                        </w:r>
                        <w:r>
                          <w:rPr>
                            <w:rFonts w:ascii="Cambria Math" w:hAnsi="Cambria Math" w:eastAsia="Cambria Math"/>
                            <w:spacing w:val="14"/>
                            <w:sz w:val="24"/>
                          </w:rPr>
                          <w:t>̅</w:t>
                        </w:r>
                        <w:r>
                          <w:rPr>
                            <w:rFonts w:ascii="Cambria Math" w:hAnsi="Cambria Math" w:eastAsia="Cambria Math"/>
                            <w:w w:val="106"/>
                            <w:sz w:val="24"/>
                            <w:vertAlign w:val="superscript"/>
                          </w:rPr>
                          <w:t>∗</w:t>
                        </w:r>
                      </w:p>
                    </w:tc>
                  </w:tr>
                  <w:tr>
                    <w:trPr>
                      <w:trHeight w:val="189" w:hRule="atLeast"/>
                    </w:trPr>
                    <w:tc>
                      <w:tcPr>
                        <w:tcW w:w="644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241"/>
                          <w:rPr>
                            <w:rFonts w:ascii="Cambria Math"/>
                            <w:sz w:val="17"/>
                          </w:rPr>
                        </w:pPr>
                        <w:r>
                          <w:rPr>
                            <w:rFonts w:ascii="Cambria Math"/>
                            <w:w w:val="104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1317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0" w:right="264"/>
                          <w:jc w:val="center"/>
                          <w:rPr>
                            <w:rFonts w:ascii="Cambria Math"/>
                            <w:sz w:val="17"/>
                          </w:rPr>
                        </w:pPr>
                        <w:r>
                          <w:rPr>
                            <w:rFonts w:ascii="Cambria Math"/>
                            <w:w w:val="104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0" w:right="140"/>
                          <w:jc w:val="right"/>
                          <w:rPr>
                            <w:rFonts w:ascii="Cambria Math"/>
                            <w:sz w:val="17"/>
                          </w:rPr>
                        </w:pPr>
                        <w:r>
                          <w:rPr>
                            <w:rFonts w:ascii="Cambria Math"/>
                            <w:w w:val="104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445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43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L=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𝑦</w:t>
      </w:r>
    </w:p>
    <w:p>
      <w:pPr>
        <w:pStyle w:val="BodyText"/>
        <w:spacing w:before="66"/>
        <w:ind w:left="63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|</w:t>
      </w:r>
      <w:r>
        <w:rPr>
          <w:rFonts w:ascii="Cambria Math" w:hAnsi="Cambria Math" w:eastAsia="Cambria Math"/>
          <w:spacing w:val="-106"/>
        </w:rPr>
        <w:t>𝑦</w:t>
      </w:r>
      <w:r>
        <w:rPr>
          <w:rFonts w:ascii="Cambria Math" w:hAnsi="Cambria Math" w:eastAsia="Cambria Math"/>
        </w:rPr>
        <w:t>̅ 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  <w:position w:val="1"/>
        </w:rPr>
        <w:t>)</w:t>
      </w:r>
    </w:p>
    <w:p>
      <w:pPr>
        <w:pStyle w:val="BodyText"/>
        <w:spacing w:before="76"/>
        <w:ind w:left="500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𝑦  </w:t>
      </w:r>
      <w:r>
        <w:rPr>
          <w:rFonts w:ascii="Cambria Math" w:hAnsi="Cambria Math" w:eastAsia="Cambria Math"/>
          <w:spacing w:val="-3"/>
        </w:rPr>
        <w:t> </w:t>
      </w:r>
      <w:r>
        <w:rPr>
          <w:rFonts w:ascii="Cambria Math" w:hAnsi="Cambria Math" w:eastAsia="Cambria Math"/>
        </w:rPr>
        <w:t>− </w:t>
      </w:r>
      <w:r>
        <w:rPr>
          <w:rFonts w:ascii="Cambria Math" w:hAnsi="Cambria Math" w:eastAsia="Cambria Math"/>
          <w:spacing w:val="-106"/>
        </w:rPr>
        <w:t>𝑦</w:t>
      </w:r>
      <w:r>
        <w:rPr>
          <w:rFonts w:ascii="Cambria Math" w:hAnsi="Cambria Math" w:eastAsia="Cambria Math"/>
        </w:rPr>
        <w:t>̅  )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Σ</w:t>
      </w:r>
    </w:p>
    <w:p>
      <w:pPr>
        <w:pStyle w:val="BodyText"/>
        <w:spacing w:before="76"/>
        <w:ind w:left="493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𝑦</w:t>
      </w:r>
      <w:r>
        <w:rPr>
          <w:rFonts w:ascii="Cambria Math" w:hAnsi="Cambria Math" w:eastAsia="Cambria Math"/>
          <w:spacing w:val="81"/>
        </w:rPr>
        <w:t> </w:t>
      </w:r>
      <w:r>
        <w:rPr>
          <w:rFonts w:ascii="Cambria Math" w:hAnsi="Cambria Math" w:eastAsia="Cambria Math"/>
        </w:rPr>
        <w:t>−</w:t>
      </w:r>
    </w:p>
    <w:p>
      <w:pPr>
        <w:pStyle w:val="BodyText"/>
        <w:tabs>
          <w:tab w:pos="1905" w:val="left" w:leader="none"/>
        </w:tabs>
        <w:spacing w:before="76"/>
        <w:ind w:left="253"/>
      </w:pPr>
      <w:r>
        <w:rPr/>
        <w:br w:type="column"/>
      </w:r>
      <w:r>
        <w:rPr>
          <w:rFonts w:ascii="Cambria Math"/>
        </w:rPr>
        <w:t>)</w:t>
        <w:tab/>
      </w:r>
      <w:r>
        <w:rPr/>
        <w:t>(4.143)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5" w:equalWidth="0">
            <w:col w:w="1017" w:space="40"/>
            <w:col w:w="518" w:space="2698"/>
            <w:col w:w="1564" w:space="39"/>
            <w:col w:w="961" w:space="40"/>
            <w:col w:w="3483"/>
          </w:cols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before="90"/>
        <w:ind w:left="500"/>
      </w:pPr>
      <w:r>
        <w:rPr/>
        <w:t>Where</w:t>
      </w:r>
    </w:p>
    <w:p>
      <w:pPr>
        <w:pStyle w:val="BodyText"/>
        <w:spacing w:before="135"/>
        <w:ind w:left="500"/>
      </w:pPr>
      <w:r>
        <w:rPr>
          <w:rFonts w:ascii="Cambria Math" w:hAnsi="Cambria Math" w:eastAsia="Cambria Math"/>
        </w:rPr>
        <w:t>𝑦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vertAlign w:val="baseline"/>
        </w:rPr>
        <w:t>:</w:t>
      </w:r>
      <w:r>
        <w:rPr>
          <w:spacing w:val="5"/>
          <w:vertAlign w:val="baseline"/>
        </w:rPr>
        <w:t> </w:t>
      </w:r>
      <w:r>
        <w:rPr>
          <w:vertAlign w:val="baseline"/>
        </w:rPr>
        <w:t>whole</w:t>
      </w:r>
      <w:r>
        <w:rPr>
          <w:spacing w:val="5"/>
          <w:vertAlign w:val="baseline"/>
        </w:rPr>
        <w:t> </w:t>
      </w:r>
      <w:r>
        <w:rPr>
          <w:vertAlign w:val="baseline"/>
        </w:rPr>
        <w:t>sample</w:t>
      </w:r>
      <w:r>
        <w:rPr>
          <w:spacing w:val="4"/>
          <w:vertAlign w:val="baseline"/>
        </w:rPr>
        <w:t> </w:t>
      </w:r>
      <w:r>
        <w:rPr>
          <w:vertAlign w:val="baseline"/>
        </w:rPr>
        <w:t>data;</w:t>
      </w:r>
    </w:p>
    <w:p>
      <w:pPr>
        <w:pStyle w:val="BodyText"/>
        <w:spacing w:before="142"/>
        <w:ind w:left="500"/>
      </w:pPr>
      <w:r>
        <w:rPr>
          <w:i/>
        </w:rPr>
        <w:t>n:</w:t>
      </w:r>
      <w:r>
        <w:rPr>
          <w:i/>
          <w:spacing w:val="-2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 observed</w:t>
      </w:r>
      <w:r>
        <w:rPr>
          <w:spacing w:val="-1"/>
        </w:rPr>
        <w:t> </w:t>
      </w:r>
      <w:r>
        <w:rPr/>
        <w:t>variables;</w:t>
      </w:r>
    </w:p>
    <w:p>
      <w:pPr>
        <w:pStyle w:val="BodyText"/>
        <w:spacing w:before="140"/>
        <w:ind w:left="500"/>
      </w:pPr>
      <w:r>
        <w:rPr>
          <w:i/>
        </w:rPr>
        <w:t>T</w:t>
      </w:r>
      <w:r>
        <w:rPr>
          <w:i/>
          <w:spacing w:val="-1"/>
        </w:rPr>
        <w:t> </w:t>
      </w:r>
      <w:r>
        <w:rPr/>
        <w:t>: number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periods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sample;</w:t>
      </w:r>
    </w:p>
    <w:p>
      <w:pPr>
        <w:pStyle w:val="BodyText"/>
        <w:spacing w:before="135"/>
        <w:ind w:left="500"/>
      </w:pPr>
      <w:r>
        <w:rPr>
          <w:rFonts w:ascii="Cambria Math" w:hAnsi="Cambria Math" w:eastAsia="Cambria Math"/>
          <w:spacing w:val="-106"/>
        </w:rPr>
        <w:t>𝑦</w:t>
      </w:r>
      <w:r>
        <w:rPr>
          <w:rFonts w:ascii="Cambria Math" w:hAnsi="Cambria Math" w:eastAsia="Cambria Math"/>
          <w:spacing w:val="14"/>
        </w:rPr>
        <w:t>̅</w:t>
      </w:r>
      <w:r>
        <w:rPr>
          <w:rFonts w:ascii="Cambria Math" w:hAnsi="Cambria Math" w:eastAsia="Cambria Math"/>
          <w:spacing w:val="8"/>
          <w:w w:val="106"/>
          <w:vertAlign w:val="superscript"/>
        </w:rPr>
        <w:t>∗</w:t>
      </w:r>
      <w:r>
        <w:rPr>
          <w:vertAlign w:val="baseline"/>
        </w:rPr>
        <w:t>:e</w:t>
      </w:r>
      <w:r>
        <w:rPr>
          <w:spacing w:val="1"/>
          <w:vertAlign w:val="baseline"/>
        </w:rPr>
        <w:t>x</w:t>
      </w:r>
      <w:r>
        <w:rPr>
          <w:vertAlign w:val="baseline"/>
        </w:rPr>
        <w:t>p</w:t>
      </w:r>
      <w:r>
        <w:rPr>
          <w:spacing w:val="-1"/>
          <w:vertAlign w:val="baseline"/>
        </w:rPr>
        <w:t>ec</w:t>
      </w:r>
      <w:r>
        <w:rPr>
          <w:vertAlign w:val="baseline"/>
        </w:rPr>
        <w:t>ted v</w:t>
      </w:r>
      <w:r>
        <w:rPr>
          <w:spacing w:val="-2"/>
          <w:vertAlign w:val="baseline"/>
        </w:rPr>
        <w:t>a</w:t>
      </w:r>
      <w:r>
        <w:rPr>
          <w:vertAlign w:val="baseline"/>
        </w:rPr>
        <w:t>lue of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spacing w:val="12"/>
          <w:vertAlign w:val="baseline"/>
        </w:rPr>
        <w:t>𝑦</w:t>
      </w:r>
      <w:r>
        <w:rPr>
          <w:rFonts w:ascii="Cambria Math" w:hAnsi="Cambria Math" w:eastAsia="Cambria Math"/>
          <w:spacing w:val="8"/>
          <w:w w:val="106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;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</w:p>
    <w:p>
      <w:pPr>
        <w:pStyle w:val="BodyText"/>
        <w:spacing w:before="144"/>
        <w:ind w:left="500"/>
        <w:rPr>
          <w:sz w:val="22"/>
        </w:rPr>
      </w:pPr>
      <w:r>
        <w:rPr>
          <w:rFonts w:ascii="Cambria Math" w:hAnsi="Cambria Math" w:eastAsia="Cambria Math"/>
        </w:rPr>
        <w:t>Σ</w:t>
      </w:r>
      <w:r>
        <w:rPr>
          <w:rFonts w:ascii="Cambria Math" w:hAnsi="Cambria Math" w:eastAsia="Cambria Math"/>
          <w:vertAlign w:val="subscript"/>
        </w:rPr>
        <w:t>𝑦</w:t>
      </w:r>
      <w:r>
        <w:rPr>
          <w:rFonts w:ascii="Cambria Math" w:hAnsi="Cambria Math" w:eastAsia="Cambria Math"/>
          <w:position w:val="1"/>
          <w:sz w:val="14"/>
          <w:vertAlign w:val="baseline"/>
        </w:rPr>
        <w:t>∗</w:t>
      </w:r>
      <w:r>
        <w:rPr>
          <w:rFonts w:ascii="Cambria Math" w:hAnsi="Cambria Math" w:eastAsia="Cambria Math"/>
          <w:vertAlign w:val="baseline"/>
        </w:rPr>
        <w:t>: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vertAlign w:val="baseline"/>
        </w:rPr>
        <w:t>variance-covariance</w:t>
      </w:r>
      <w:r>
        <w:rPr>
          <w:spacing w:val="12"/>
          <w:vertAlign w:val="baseline"/>
        </w:rPr>
        <w:t> </w:t>
      </w:r>
      <w:r>
        <w:rPr>
          <w:vertAlign w:val="baseline"/>
        </w:rPr>
        <w:t>matrix</w:t>
      </w:r>
      <w:r>
        <w:rPr>
          <w:sz w:val="22"/>
          <w:vertAlign w:val="baseline"/>
        </w:rPr>
        <w:t>.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1"/>
          <w:numId w:val="26"/>
        </w:numPr>
        <w:tabs>
          <w:tab w:pos="1221" w:val="left" w:leader="none"/>
        </w:tabs>
        <w:spacing w:line="240" w:lineRule="auto" w:before="204" w:after="0"/>
        <w:ind w:left="1220" w:right="0" w:hanging="361"/>
        <w:jc w:val="both"/>
        <w:rPr>
          <w:sz w:val="28"/>
        </w:rPr>
      </w:pPr>
      <w:r>
        <w:rPr>
          <w:sz w:val="24"/>
        </w:rPr>
        <w:t>Specify</w:t>
      </w:r>
      <w:r>
        <w:rPr>
          <w:spacing w:val="-5"/>
          <w:sz w:val="24"/>
        </w:rPr>
        <w:t> </w:t>
      </w:r>
      <w:r>
        <w:rPr>
          <w:sz w:val="24"/>
        </w:rPr>
        <w:t>Priors</w:t>
      </w:r>
    </w:p>
    <w:p>
      <w:pPr>
        <w:pStyle w:val="BodyText"/>
        <w:spacing w:line="360" w:lineRule="auto" w:before="128"/>
        <w:ind w:left="500" w:right="495"/>
        <w:jc w:val="both"/>
      </w:pPr>
      <w:r>
        <w:rPr/>
        <w:t>In this stage, priors are specified for each parameter to be estimated. Priors give a pre-sample</w:t>
      </w:r>
      <w:r>
        <w:rPr>
          <w:spacing w:val="1"/>
        </w:rPr>
        <w:t> </w:t>
      </w:r>
      <w:r>
        <w:rPr/>
        <w:t>description of the state of knowledge of the parameter vector, </w:t>
      </w:r>
      <w:r>
        <w:rPr>
          <w:rFonts w:ascii="Cambria Math" w:eastAsia="Cambria Math"/>
        </w:rPr>
        <w:t>𝜃</w:t>
      </w:r>
      <w:r>
        <w:rPr/>
        <w:t>. This allows the researcher to</w:t>
      </w:r>
      <w:r>
        <w:rPr>
          <w:spacing w:val="1"/>
        </w:rPr>
        <w:t> </w:t>
      </w:r>
      <w:r>
        <w:rPr/>
        <w:t>incorporate extra information about the parameter vector </w:t>
      </w:r>
      <w:r>
        <w:rPr>
          <w:rFonts w:ascii="Cambria Math" w:eastAsia="Cambria Math"/>
        </w:rPr>
        <w:t>𝜃 </w:t>
      </w:r>
      <w:r>
        <w:rPr/>
        <w:t>based on their belief and which is not</w:t>
      </w:r>
      <w:r>
        <w:rPr>
          <w:spacing w:val="1"/>
        </w:rPr>
        <w:t> </w:t>
      </w:r>
      <w:r>
        <w:rPr/>
        <w:t>captured by data </w:t>
      </w:r>
      <w:r>
        <w:rPr>
          <w:rFonts w:ascii="Cambria Math" w:eastAsia="Cambria Math"/>
        </w:rPr>
        <w:t>𝑌</w:t>
      </w:r>
      <w:r>
        <w:rPr>
          <w:rFonts w:ascii="Cambria Math" w:eastAsia="Cambria Math"/>
          <w:vertAlign w:val="superscript"/>
        </w:rPr>
        <w:t>𝑇</w:t>
      </w:r>
      <w:r>
        <w:rPr>
          <w:vertAlign w:val="baseline"/>
        </w:rPr>
        <w:t>. The choice of priors depends on the category of the parameters to be</w:t>
      </w:r>
      <w:r>
        <w:rPr>
          <w:spacing w:val="1"/>
          <w:vertAlign w:val="baseline"/>
        </w:rPr>
        <w:t> </w:t>
      </w:r>
      <w:r>
        <w:rPr>
          <w:vertAlign w:val="baseline"/>
        </w:rPr>
        <w:t>estimated. The categories of parameters include: a. parameters that affect the steady state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DSGE</w:t>
      </w:r>
      <w:r>
        <w:rPr>
          <w:spacing w:val="-7"/>
          <w:vertAlign w:val="baseline"/>
        </w:rPr>
        <w:t> </w:t>
      </w:r>
      <w:r>
        <w:rPr>
          <w:vertAlign w:val="baseline"/>
        </w:rPr>
        <w:t>model</w:t>
      </w:r>
      <w:r>
        <w:rPr>
          <w:spacing w:val="-6"/>
          <w:vertAlign w:val="baseline"/>
        </w:rPr>
        <w:t> </w:t>
      </w:r>
      <w:r>
        <w:rPr>
          <w:vertAlign w:val="baseline"/>
        </w:rPr>
        <w:t>such</w:t>
      </w:r>
      <w:r>
        <w:rPr>
          <w:spacing w:val="-4"/>
          <w:vertAlign w:val="baseline"/>
        </w:rPr>
        <w:t> </w:t>
      </w:r>
      <w:r>
        <w:rPr>
          <w:vertAlign w:val="baseline"/>
        </w:rPr>
        <w:t>as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inflation</w:t>
      </w:r>
      <w:r>
        <w:rPr>
          <w:spacing w:val="-6"/>
          <w:vertAlign w:val="baseline"/>
        </w:rPr>
        <w:t> </w:t>
      </w:r>
      <w:r>
        <w:rPr>
          <w:vertAlign w:val="baseline"/>
        </w:rPr>
        <w:t>rate,</w:t>
      </w:r>
      <w:r>
        <w:rPr>
          <w:spacing w:val="-4"/>
          <w:vertAlign w:val="baseline"/>
        </w:rPr>
        <w:t> </w:t>
      </w:r>
      <w:r>
        <w:rPr>
          <w:vertAlign w:val="baseline"/>
        </w:rPr>
        <w:t>real</w:t>
      </w:r>
      <w:r>
        <w:rPr>
          <w:spacing w:val="-4"/>
          <w:vertAlign w:val="baseline"/>
        </w:rPr>
        <w:t> </w:t>
      </w:r>
      <w:r>
        <w:rPr>
          <w:vertAlign w:val="baseline"/>
        </w:rPr>
        <w:t>interest</w:t>
      </w:r>
      <w:r>
        <w:rPr>
          <w:spacing w:val="-6"/>
          <w:vertAlign w:val="baseline"/>
        </w:rPr>
        <w:t> </w:t>
      </w:r>
      <w:r>
        <w:rPr>
          <w:vertAlign w:val="baseline"/>
        </w:rPr>
        <w:t>rate</w:t>
      </w:r>
      <w:r>
        <w:rPr>
          <w:spacing w:val="-4"/>
          <w:vertAlign w:val="baseline"/>
        </w:rPr>
        <w:t> </w:t>
      </w:r>
      <w:r>
        <w:rPr>
          <w:vertAlign w:val="baseline"/>
        </w:rPr>
        <w:t>and</w:t>
      </w:r>
      <w:r>
        <w:rPr>
          <w:spacing w:val="-6"/>
          <w:vertAlign w:val="baseline"/>
        </w:rPr>
        <w:t> </w:t>
      </w:r>
      <w:r>
        <w:rPr>
          <w:vertAlign w:val="baseline"/>
        </w:rPr>
        <w:t>output</w:t>
      </w:r>
      <w:r>
        <w:rPr>
          <w:spacing w:val="-3"/>
          <w:vertAlign w:val="baseline"/>
        </w:rPr>
        <w:t> </w:t>
      </w:r>
      <w:r>
        <w:rPr>
          <w:vertAlign w:val="baseline"/>
        </w:rPr>
        <w:t>growth</w:t>
      </w:r>
      <w:r>
        <w:rPr>
          <w:spacing w:val="-6"/>
          <w:vertAlign w:val="baseline"/>
        </w:rPr>
        <w:t> </w:t>
      </w:r>
      <w:r>
        <w:rPr>
          <w:vertAlign w:val="baseline"/>
        </w:rPr>
        <w:t>rate;</w:t>
      </w:r>
      <w:r>
        <w:rPr>
          <w:spacing w:val="-6"/>
          <w:vertAlign w:val="baseline"/>
        </w:rPr>
        <w:t> </w:t>
      </w:r>
      <w:r>
        <w:rPr>
          <w:vertAlign w:val="baseline"/>
        </w:rPr>
        <w:t>and</w:t>
      </w:r>
      <w:r>
        <w:rPr>
          <w:spacing w:val="-6"/>
          <w:vertAlign w:val="baseline"/>
        </w:rPr>
        <w:t> </w:t>
      </w:r>
      <w:r>
        <w:rPr>
          <w:vertAlign w:val="baseline"/>
        </w:rPr>
        <w:t>b.</w:t>
      </w:r>
      <w:r>
        <w:rPr>
          <w:spacing w:val="-3"/>
          <w:vertAlign w:val="baseline"/>
        </w:rPr>
        <w:t> </w:t>
      </w:r>
      <w:r>
        <w:rPr>
          <w:vertAlign w:val="baseline"/>
        </w:rPr>
        <w:t>parameters</w:t>
      </w:r>
      <w:r>
        <w:rPr>
          <w:spacing w:val="-58"/>
          <w:vertAlign w:val="baseline"/>
        </w:rPr>
        <w:t> </w:t>
      </w:r>
      <w:r>
        <w:rPr>
          <w:vertAlign w:val="baseline"/>
        </w:rPr>
        <w:t>that</w:t>
      </w:r>
      <w:r>
        <w:rPr>
          <w:spacing w:val="-4"/>
          <w:vertAlign w:val="baseline"/>
        </w:rPr>
        <w:t> </w:t>
      </w:r>
      <w:r>
        <w:rPr>
          <w:vertAlign w:val="baseline"/>
        </w:rPr>
        <w:t>describe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law</w:t>
      </w:r>
      <w:r>
        <w:rPr>
          <w:spacing w:val="-4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motion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exogenous</w:t>
      </w:r>
      <w:r>
        <w:rPr>
          <w:spacing w:val="-4"/>
          <w:vertAlign w:val="baseline"/>
        </w:rPr>
        <w:t> </w:t>
      </w:r>
      <w:r>
        <w:rPr>
          <w:vertAlign w:val="baseline"/>
        </w:rPr>
        <w:t>shock</w:t>
      </w:r>
      <w:r>
        <w:rPr>
          <w:spacing w:val="-4"/>
          <w:vertAlign w:val="baseline"/>
        </w:rPr>
        <w:t> </w:t>
      </w:r>
      <w:r>
        <w:rPr>
          <w:vertAlign w:val="baseline"/>
        </w:rPr>
        <w:t>process.</w:t>
      </w:r>
      <w:r>
        <w:rPr>
          <w:spacing w:val="-2"/>
          <w:vertAlign w:val="baseline"/>
        </w:rPr>
        <w:t> </w:t>
      </w:r>
      <w:r>
        <w:rPr>
          <w:vertAlign w:val="baseline"/>
        </w:rPr>
        <w:t>Priors</w:t>
      </w:r>
      <w:r>
        <w:rPr>
          <w:spacing w:val="-4"/>
          <w:vertAlign w:val="baseline"/>
        </w:rPr>
        <w:t> </w:t>
      </w:r>
      <w:r>
        <w:rPr>
          <w:vertAlign w:val="baseline"/>
        </w:rPr>
        <w:t>for steady</w:t>
      </w:r>
      <w:r>
        <w:rPr>
          <w:spacing w:val="-9"/>
          <w:vertAlign w:val="baseline"/>
        </w:rPr>
        <w:t> </w:t>
      </w:r>
      <w:r>
        <w:rPr>
          <w:vertAlign w:val="baseline"/>
        </w:rPr>
        <w:t>state</w:t>
      </w:r>
      <w:r>
        <w:rPr>
          <w:spacing w:val="-4"/>
          <w:vertAlign w:val="baseline"/>
        </w:rPr>
        <w:t> </w:t>
      </w:r>
      <w:r>
        <w:rPr>
          <w:vertAlign w:val="baseline"/>
        </w:rPr>
        <w:t>parameters</w:t>
      </w:r>
      <w:r>
        <w:rPr>
          <w:spacing w:val="-57"/>
          <w:vertAlign w:val="baseline"/>
        </w:rPr>
        <w:t> </w:t>
      </w:r>
      <w:r>
        <w:rPr>
          <w:vertAlign w:val="baseline"/>
        </w:rPr>
        <w:t>can</w:t>
      </w:r>
      <w:r>
        <w:rPr>
          <w:spacing w:val="-10"/>
          <w:vertAlign w:val="baseline"/>
        </w:rPr>
        <w:t> </w:t>
      </w:r>
      <w:r>
        <w:rPr>
          <w:vertAlign w:val="baseline"/>
        </w:rPr>
        <w:t>be</w:t>
      </w:r>
      <w:r>
        <w:rPr>
          <w:spacing w:val="-10"/>
          <w:vertAlign w:val="baseline"/>
        </w:rPr>
        <w:t> </w:t>
      </w:r>
      <w:r>
        <w:rPr>
          <w:vertAlign w:val="baseline"/>
        </w:rPr>
        <w:t>derived</w:t>
      </w:r>
      <w:r>
        <w:rPr>
          <w:spacing w:val="-10"/>
          <w:vertAlign w:val="baseline"/>
        </w:rPr>
        <w:t> </w:t>
      </w:r>
      <w:r>
        <w:rPr>
          <w:vertAlign w:val="baseline"/>
        </w:rPr>
        <w:t>from</w:t>
      </w:r>
      <w:r>
        <w:rPr>
          <w:spacing w:val="-9"/>
          <w:vertAlign w:val="baseline"/>
        </w:rPr>
        <w:t> </w:t>
      </w:r>
      <w:r>
        <w:rPr>
          <w:vertAlign w:val="baseline"/>
        </w:rPr>
        <w:t>pre-sample</w:t>
      </w:r>
      <w:r>
        <w:rPr>
          <w:spacing w:val="-10"/>
          <w:vertAlign w:val="baseline"/>
        </w:rPr>
        <w:t> </w:t>
      </w:r>
      <w:r>
        <w:rPr>
          <w:vertAlign w:val="baseline"/>
        </w:rPr>
        <w:t>averages</w:t>
      </w:r>
      <w:r>
        <w:rPr>
          <w:spacing w:val="-9"/>
          <w:vertAlign w:val="baseline"/>
        </w:rPr>
        <w:t> </w:t>
      </w:r>
      <w:r>
        <w:rPr>
          <w:vertAlign w:val="baseline"/>
        </w:rPr>
        <w:t>and</w:t>
      </w:r>
      <w:r>
        <w:rPr>
          <w:spacing w:val="-9"/>
          <w:vertAlign w:val="baseline"/>
        </w:rPr>
        <w:t> </w:t>
      </w:r>
      <w:r>
        <w:rPr>
          <w:vertAlign w:val="baseline"/>
        </w:rPr>
        <w:t>existing</w:t>
      </w:r>
      <w:r>
        <w:rPr>
          <w:spacing w:val="-11"/>
          <w:vertAlign w:val="baseline"/>
        </w:rPr>
        <w:t> </w:t>
      </w:r>
      <w:r>
        <w:rPr>
          <w:vertAlign w:val="baseline"/>
        </w:rPr>
        <w:t>empirical</w:t>
      </w:r>
      <w:r>
        <w:rPr>
          <w:spacing w:val="-9"/>
          <w:vertAlign w:val="baseline"/>
        </w:rPr>
        <w:t> </w:t>
      </w:r>
      <w:r>
        <w:rPr>
          <w:vertAlign w:val="baseline"/>
        </w:rPr>
        <w:t>studies.</w:t>
      </w:r>
      <w:r>
        <w:rPr>
          <w:spacing w:val="-8"/>
          <w:vertAlign w:val="baseline"/>
        </w:rPr>
        <w:t> </w:t>
      </w:r>
      <w:r>
        <w:rPr>
          <w:vertAlign w:val="baseline"/>
        </w:rPr>
        <w:t>Priors</w:t>
      </w:r>
      <w:r>
        <w:rPr>
          <w:spacing w:val="-9"/>
          <w:vertAlign w:val="baseline"/>
        </w:rPr>
        <w:t> </w:t>
      </w:r>
      <w:r>
        <w:rPr>
          <w:vertAlign w:val="baseline"/>
        </w:rPr>
        <w:t>on</w:t>
      </w:r>
      <w:r>
        <w:rPr>
          <w:spacing w:val="-10"/>
          <w:vertAlign w:val="baseline"/>
        </w:rPr>
        <w:t> </w:t>
      </w:r>
      <w:r>
        <w:rPr>
          <w:vertAlign w:val="baseline"/>
        </w:rPr>
        <w:t>shock</w:t>
      </w:r>
      <w:r>
        <w:rPr>
          <w:spacing w:val="-9"/>
          <w:vertAlign w:val="baseline"/>
        </w:rPr>
        <w:t> </w:t>
      </w:r>
      <w:r>
        <w:rPr>
          <w:vertAlign w:val="baseline"/>
        </w:rPr>
        <w:t>processes</w:t>
      </w:r>
      <w:r>
        <w:rPr>
          <w:spacing w:val="-58"/>
          <w:vertAlign w:val="baseline"/>
        </w:rPr>
        <w:t> </w:t>
      </w:r>
      <w:r>
        <w:rPr>
          <w:vertAlign w:val="baseline"/>
        </w:rPr>
        <w:t>are</w:t>
      </w:r>
      <w:r>
        <w:rPr>
          <w:spacing w:val="-3"/>
          <w:vertAlign w:val="baseline"/>
        </w:rPr>
        <w:t> </w:t>
      </w:r>
      <w:r>
        <w:rPr>
          <w:vertAlign w:val="baseline"/>
        </w:rPr>
        <w:t>also obtained from existing</w:t>
      </w:r>
      <w:r>
        <w:rPr>
          <w:spacing w:val="-2"/>
          <w:vertAlign w:val="baseline"/>
        </w:rPr>
        <w:t> </w:t>
      </w:r>
      <w:r>
        <w:rPr>
          <w:vertAlign w:val="baseline"/>
        </w:rPr>
        <w:t>empirical studies.</w:t>
      </w:r>
    </w:p>
    <w:p>
      <w:pPr>
        <w:spacing w:after="0" w:line="360" w:lineRule="auto"/>
        <w:jc w:val="both"/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line="360" w:lineRule="auto" w:before="74"/>
        <w:ind w:left="500" w:right="499"/>
        <w:jc w:val="both"/>
      </w:pPr>
      <w:r>
        <w:rPr/>
        <w:t>The priors selected for each parameter are usually represented by probability distribution ranging</w:t>
      </w:r>
      <w:r>
        <w:rPr>
          <w:spacing w:val="-57"/>
        </w:rPr>
        <w:t> </w:t>
      </w:r>
      <w:r>
        <w:rPr/>
        <w:t>from normal, gamma and beta distributions. Prior distribution for parameters on the real line and</w:t>
      </w:r>
      <w:r>
        <w:rPr>
          <w:spacing w:val="1"/>
        </w:rPr>
        <w:t> </w:t>
      </w:r>
      <w:r>
        <w:rPr/>
        <w:t>not-</w:t>
      </w:r>
      <w:r>
        <w:rPr>
          <w:spacing w:val="-12"/>
        </w:rPr>
        <w:t> </w:t>
      </w:r>
      <w:r>
        <w:rPr/>
        <w:t>bonded</w:t>
      </w:r>
      <w:r>
        <w:rPr>
          <w:spacing w:val="-8"/>
        </w:rPr>
        <w:t> </w:t>
      </w:r>
      <w:r>
        <w:rPr/>
        <w:t>are</w:t>
      </w:r>
      <w:r>
        <w:rPr>
          <w:spacing w:val="-11"/>
        </w:rPr>
        <w:t> </w:t>
      </w:r>
      <w:r>
        <w:rPr/>
        <w:t>normal;</w:t>
      </w:r>
      <w:r>
        <w:rPr>
          <w:spacing w:val="-9"/>
        </w:rPr>
        <w:t> </w:t>
      </w:r>
      <w:r>
        <w:rPr/>
        <w:t>for</w:t>
      </w:r>
      <w:r>
        <w:rPr>
          <w:spacing w:val="-11"/>
        </w:rPr>
        <w:t> </w:t>
      </w:r>
      <w:r>
        <w:rPr/>
        <w:t>non-negative</w:t>
      </w:r>
      <w:r>
        <w:rPr>
          <w:spacing w:val="-11"/>
        </w:rPr>
        <w:t> </w:t>
      </w:r>
      <w:r>
        <w:rPr/>
        <w:t>parameters</w:t>
      </w:r>
      <w:r>
        <w:rPr>
          <w:spacing w:val="-12"/>
        </w:rPr>
        <w:t> </w:t>
      </w:r>
      <w:r>
        <w:rPr/>
        <w:t>could</w:t>
      </w:r>
      <w:r>
        <w:rPr>
          <w:spacing w:val="-10"/>
        </w:rPr>
        <w:t> </w:t>
      </w:r>
      <w:r>
        <w:rPr/>
        <w:t>be</w:t>
      </w:r>
      <w:r>
        <w:rPr>
          <w:spacing w:val="-9"/>
        </w:rPr>
        <w:t> </w:t>
      </w:r>
      <w:r>
        <w:rPr/>
        <w:t>gamma</w:t>
      </w:r>
      <w:r>
        <w:rPr>
          <w:spacing w:val="-11"/>
        </w:rPr>
        <w:t> </w:t>
      </w:r>
      <w:r>
        <w:rPr/>
        <w:t>and</w:t>
      </w:r>
      <w:r>
        <w:rPr>
          <w:spacing w:val="-8"/>
        </w:rPr>
        <w:t> </w:t>
      </w:r>
      <w:r>
        <w:rPr/>
        <w:t>log</w:t>
      </w:r>
      <w:r>
        <w:rPr>
          <w:spacing w:val="-10"/>
        </w:rPr>
        <w:t> </w:t>
      </w:r>
      <w:r>
        <w:rPr/>
        <w:t>Normal;</w:t>
      </w:r>
      <w:r>
        <w:rPr>
          <w:spacing w:val="-11"/>
        </w:rPr>
        <w:t> </w:t>
      </w:r>
      <w:r>
        <w:rPr/>
        <w:t>parameters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bounded interval take</w:t>
      </w:r>
      <w:r>
        <w:rPr>
          <w:spacing w:val="-1"/>
        </w:rPr>
        <w:t> </w:t>
      </w:r>
      <w:r>
        <w:rPr/>
        <w:t>Beta</w:t>
      </w:r>
      <w:r>
        <w:rPr>
          <w:spacing w:val="-1"/>
        </w:rPr>
        <w:t> </w:t>
      </w:r>
      <w:r>
        <w:rPr/>
        <w:t>distribution.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1"/>
          <w:numId w:val="26"/>
        </w:numPr>
        <w:tabs>
          <w:tab w:pos="1221" w:val="left" w:leader="none"/>
        </w:tabs>
        <w:spacing w:line="240" w:lineRule="auto" w:before="0" w:after="0"/>
        <w:ind w:left="1220" w:right="0" w:hanging="361"/>
        <w:jc w:val="both"/>
        <w:rPr>
          <w:sz w:val="24"/>
        </w:rPr>
      </w:pPr>
      <w:r>
        <w:rPr>
          <w:sz w:val="24"/>
        </w:rPr>
        <w:t>Simulate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Posterior</w:t>
      </w:r>
      <w:r>
        <w:rPr>
          <w:spacing w:val="-1"/>
          <w:sz w:val="24"/>
        </w:rPr>
        <w:t> </w:t>
      </w:r>
      <w:r>
        <w:rPr>
          <w:sz w:val="24"/>
        </w:rPr>
        <w:t>Distribution</w:t>
      </w:r>
    </w:p>
    <w:p>
      <w:pPr>
        <w:pStyle w:val="BodyText"/>
        <w:spacing w:line="360" w:lineRule="auto" w:before="139"/>
        <w:ind w:left="500" w:right="498"/>
        <w:jc w:val="both"/>
      </w:pPr>
      <w:r>
        <w:rPr/>
        <w:t>The posterior distribution is the probability assigned to the parameter value after observing the</w:t>
      </w:r>
      <w:r>
        <w:rPr>
          <w:spacing w:val="1"/>
        </w:rPr>
        <w:t> </w:t>
      </w:r>
      <w:r>
        <w:rPr/>
        <w:t>data.</w:t>
      </w:r>
      <w:r>
        <w:rPr>
          <w:spacing w:val="-7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an</w:t>
      </w:r>
      <w:r>
        <w:rPr>
          <w:spacing w:val="-9"/>
        </w:rPr>
        <w:t> </w:t>
      </w:r>
      <w:r>
        <w:rPr/>
        <w:t>updating</w:t>
      </w:r>
      <w:r>
        <w:rPr>
          <w:spacing w:val="-9"/>
        </w:rPr>
        <w:t> </w:t>
      </w:r>
      <w:r>
        <w:rPr/>
        <w:t>rule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relies</w:t>
      </w:r>
      <w:r>
        <w:rPr>
          <w:spacing w:val="-8"/>
        </w:rPr>
        <w:t> </w:t>
      </w:r>
      <w:r>
        <w:rPr/>
        <w:t>on</w:t>
      </w:r>
      <w:r>
        <w:rPr>
          <w:spacing w:val="-7"/>
        </w:rPr>
        <w:t> </w:t>
      </w:r>
      <w:r>
        <w:rPr/>
        <w:t>data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update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researcher’s</w:t>
      </w:r>
      <w:r>
        <w:rPr>
          <w:spacing w:val="-9"/>
        </w:rPr>
        <w:t> </w:t>
      </w:r>
      <w:r>
        <w:rPr/>
        <w:t>prior</w:t>
      </w:r>
      <w:r>
        <w:rPr>
          <w:spacing w:val="-6"/>
        </w:rPr>
        <w:t> </w:t>
      </w:r>
      <w:r>
        <w:rPr/>
        <w:t>belief</w:t>
      </w:r>
      <w:r>
        <w:rPr>
          <w:spacing w:val="-9"/>
        </w:rPr>
        <w:t> </w:t>
      </w:r>
      <w:r>
        <w:rPr/>
        <w:t>about</w:t>
      </w:r>
      <w:r>
        <w:rPr>
          <w:spacing w:val="-6"/>
        </w:rPr>
        <w:t> </w:t>
      </w:r>
      <w:r>
        <w:rPr/>
        <w:t>each</w:t>
      </w:r>
      <w:r>
        <w:rPr>
          <w:spacing w:val="-9"/>
        </w:rPr>
        <w:t> </w:t>
      </w:r>
      <w:r>
        <w:rPr/>
        <w:t>model</w:t>
      </w:r>
      <w:r>
        <w:rPr>
          <w:spacing w:val="-58"/>
        </w:rPr>
        <w:t> </w:t>
      </w:r>
      <w:r>
        <w:rPr/>
        <w:t>parameter: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178"/>
        <w:ind w:left="500"/>
        <w:rPr>
          <w:rFonts w:ascii="Cambria Math" w:eastAsia="Cambria Math"/>
        </w:rPr>
      </w:pPr>
      <w:r>
        <w:rPr>
          <w:rFonts w:ascii="Cambria Math" w:eastAsia="Cambria Math"/>
        </w:rPr>
        <w:t>𝑃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𝜃|𝑌</w:t>
      </w:r>
      <w:r>
        <w:rPr>
          <w:rFonts w:ascii="Cambria Math" w:eastAsia="Cambria Math"/>
          <w:vertAlign w:val="superscript"/>
        </w:rPr>
        <w:t>𝑇</w:t>
      </w:r>
      <w:r>
        <w:rPr>
          <w:rFonts w:ascii="Cambria Math" w:eastAsia="Cambria Math"/>
          <w:position w:val="1"/>
          <w:vertAlign w:val="baseline"/>
        </w:rPr>
        <w:t>)</w:t>
      </w:r>
      <w:r>
        <w:rPr>
          <w:rFonts w:ascii="Cambria Math" w:eastAsia="Cambria Math"/>
          <w:spacing w:val="34"/>
          <w:position w:val="1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</w:p>
    <w:p>
      <w:pPr>
        <w:pStyle w:val="BodyText"/>
        <w:spacing w:line="287" w:lineRule="exact"/>
        <w:ind w:left="11" w:right="7287"/>
        <w:jc w:val="center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𝑃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𝑌</w:t>
      </w:r>
      <w:r>
        <w:rPr>
          <w:rFonts w:ascii="Cambria Math" w:eastAsia="Cambria Math"/>
          <w:vertAlign w:val="superscript"/>
        </w:rPr>
        <w:t>𝑇</w:t>
      </w:r>
      <w:r>
        <w:rPr>
          <w:rFonts w:ascii="Cambria Math" w:eastAsia="Cambria Math"/>
          <w:vertAlign w:val="baseline"/>
        </w:rPr>
        <w:t>|𝜃</w:t>
      </w:r>
      <w:r>
        <w:rPr>
          <w:rFonts w:ascii="Cambria Math" w:eastAsia="Cambria Math"/>
          <w:position w:val="1"/>
          <w:vertAlign w:val="baseline"/>
        </w:rPr>
        <w:t>)</w:t>
      </w:r>
      <w:r>
        <w:rPr>
          <w:rFonts w:ascii="Cambria Math" w:eastAsia="Cambria Math"/>
          <w:spacing w:val="54"/>
          <w:position w:val="1"/>
          <w:vertAlign w:val="baseline"/>
        </w:rPr>
        <w:t> </w:t>
      </w:r>
      <w:r>
        <w:rPr>
          <w:rFonts w:ascii="Cambria Math" w:eastAsia="Cambria Math"/>
          <w:vertAlign w:val="baseline"/>
        </w:rPr>
        <w:t>𝑃(𝜃)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27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69.75pt;height:.85pt;mso-position-horizontal-relative:char;mso-position-vertical-relative:line" coordorigin="0,0" coordsize="1395,17">
            <v:rect style="position:absolute;left:0;top:0;width:1395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10" w:right="7287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𝑃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𝑌</w:t>
      </w:r>
      <w:r>
        <w:rPr>
          <w:rFonts w:ascii="Cambria Math" w:eastAsia="Cambria Math"/>
          <w:vertAlign w:val="superscript"/>
        </w:rPr>
        <w:t>𝑇</w:t>
      </w:r>
      <w:r>
        <w:rPr>
          <w:rFonts w:ascii="Cambria Math" w:eastAsia="Cambria Math"/>
          <w:position w:val="1"/>
          <w:vertAlign w:val="baseline"/>
        </w:rPr>
        <w:t>)</w:t>
      </w:r>
    </w:p>
    <w:p>
      <w:pPr>
        <w:spacing w:after="0"/>
        <w:jc w:val="center"/>
        <w:rPr>
          <w:rFonts w:ascii="Cambria Math" w:eastAsia="Cambria Math"/>
        </w:rPr>
        <w:sectPr>
          <w:type w:val="continuous"/>
          <w:pgSz w:w="12240" w:h="15840"/>
          <w:pgMar w:top="1500" w:bottom="1120" w:left="940" w:right="940"/>
          <w:cols w:num="2" w:equalWidth="0">
            <w:col w:w="1592" w:space="40"/>
            <w:col w:w="8728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6"/>
        <w:rPr>
          <w:rFonts w:ascii="Cambria Math"/>
          <w:sz w:val="16"/>
        </w:rPr>
      </w:pPr>
    </w:p>
    <w:p>
      <w:pPr>
        <w:pStyle w:val="BodyText"/>
        <w:spacing w:before="83"/>
        <w:ind w:left="500"/>
        <w:jc w:val="both"/>
      </w:pPr>
      <w:r>
        <w:rPr>
          <w:rFonts w:ascii="Cambria Math" w:eastAsia="Cambria Math"/>
        </w:rPr>
        <w:t>𝑃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𝜃|𝑌</w:t>
      </w:r>
      <w:r>
        <w:rPr>
          <w:rFonts w:ascii="Cambria Math" w:eastAsia="Cambria Math"/>
          <w:vertAlign w:val="superscript"/>
        </w:rPr>
        <w:t>𝑇</w:t>
      </w:r>
      <w:r>
        <w:rPr>
          <w:rFonts w:ascii="Cambria Math" w:eastAsia="Cambria Math"/>
          <w:position w:val="1"/>
          <w:vertAlign w:val="baseline"/>
        </w:rPr>
        <w:t>)</w:t>
      </w:r>
      <w:r>
        <w:rPr>
          <w:vertAlign w:val="baseline"/>
        </w:rPr>
        <w:t>is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posterior</w:t>
      </w:r>
      <w:r>
        <w:rPr>
          <w:spacing w:val="9"/>
          <w:vertAlign w:val="baseline"/>
        </w:rPr>
        <w:t> </w:t>
      </w:r>
      <w:r>
        <w:rPr>
          <w:vertAlign w:val="baseline"/>
        </w:rPr>
        <w:t>distribution.</w:t>
      </w:r>
    </w:p>
    <w:p>
      <w:pPr>
        <w:pStyle w:val="BodyText"/>
        <w:spacing w:line="355" w:lineRule="auto" w:before="139"/>
        <w:ind w:left="500" w:right="5854"/>
      </w:pPr>
      <w:r>
        <w:rPr>
          <w:rFonts w:ascii="Cambria Math" w:hAnsi="Cambria Math" w:eastAsia="Cambria Math"/>
        </w:rPr>
        <w:t>𝑃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𝜃|𝑌</w:t>
      </w:r>
      <w:r>
        <w:rPr>
          <w:rFonts w:ascii="Cambria Math" w:hAnsi="Cambria Math" w:eastAsia="Cambria Math"/>
          <w:vertAlign w:val="superscript"/>
        </w:rPr>
        <w:t>𝑇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1"/>
          <w:position w:val="1"/>
          <w:vertAlign w:val="baseline"/>
        </w:rPr>
        <w:t> </w:t>
      </w:r>
      <w:r>
        <w:rPr>
          <w:rFonts w:ascii="Cambria Math" w:hAnsi="Cambria Math" w:eastAsia="Cambria Math"/>
          <w:w w:val="115"/>
          <w:vertAlign w:val="baseline"/>
        </w:rPr>
        <w:t>𝖺</w:t>
      </w:r>
      <w:r>
        <w:rPr>
          <w:rFonts w:ascii="Cambria Math" w:hAnsi="Cambria Math" w:eastAsia="Cambria Math"/>
          <w:spacing w:val="61"/>
          <w:w w:val="1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𝑃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vertAlign w:val="superscript"/>
        </w:rPr>
        <w:t>𝑇</w:t>
      </w:r>
      <w:r>
        <w:rPr>
          <w:rFonts w:ascii="Cambria Math" w:hAnsi="Cambria Math" w:eastAsia="Cambria Math"/>
          <w:vertAlign w:val="baseline"/>
        </w:rPr>
        <w:t>|𝜃</w:t>
      </w:r>
      <w:r>
        <w:rPr>
          <w:rFonts w:ascii="Cambria Math" w:hAnsi="Cambria Math" w:eastAsia="Cambria Math"/>
          <w:position w:val="1"/>
          <w:vertAlign w:val="baseline"/>
        </w:rPr>
        <w:t>) </w:t>
      </w:r>
      <w:r>
        <w:rPr>
          <w:rFonts w:ascii="Cambria Math" w:hAnsi="Cambria Math" w:eastAsia="Cambria Math"/>
          <w:vertAlign w:val="baseline"/>
        </w:rPr>
        <w:t>𝑃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𝜃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1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𝐾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𝜃|𝑌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-50"/>
          <w:position w:val="1"/>
          <w:vertAlign w:val="baseline"/>
        </w:rPr>
        <w:t> </w:t>
      </w:r>
      <w:r>
        <w:rPr>
          <w:vertAlign w:val="baseline"/>
        </w:rPr>
        <w:t>Where</w:t>
      </w:r>
      <w:r>
        <w:rPr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𝐾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𝜃|𝑌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vertAlign w:val="baseline"/>
        </w:rPr>
        <w:t>is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posterior</w:t>
      </w:r>
      <w:r>
        <w:rPr>
          <w:spacing w:val="3"/>
          <w:vertAlign w:val="baseline"/>
        </w:rPr>
        <w:t> </w:t>
      </w:r>
      <w:r>
        <w:rPr>
          <w:vertAlign w:val="baseline"/>
        </w:rPr>
        <w:t>kernel</w:t>
      </w:r>
      <w:r>
        <w:rPr>
          <w:spacing w:val="1"/>
          <w:vertAlign w:val="baseline"/>
        </w:rPr>
        <w:t> </w:t>
      </w:r>
      <w:r>
        <w:rPr>
          <w:vertAlign w:val="baseline"/>
        </w:rPr>
        <w:t>Take</w:t>
      </w:r>
      <w:r>
        <w:rPr>
          <w:spacing w:val="-2"/>
          <w:vertAlign w:val="baseline"/>
        </w:rPr>
        <w:t> </w:t>
      </w:r>
      <w:r>
        <w:rPr>
          <w:vertAlign w:val="baseline"/>
        </w:rPr>
        <w:t>log</w:t>
      </w:r>
      <w:r>
        <w:rPr>
          <w:spacing w:val="-3"/>
          <w:vertAlign w:val="baseline"/>
        </w:rPr>
        <w:t> </w:t>
      </w:r>
      <w:r>
        <w:rPr>
          <w:vertAlign w:val="baseline"/>
        </w:rPr>
        <w:t>of both sides:</w:t>
      </w:r>
    </w:p>
    <w:p>
      <w:pPr>
        <w:pStyle w:val="BodyText"/>
        <w:spacing w:line="290" w:lineRule="exact"/>
        <w:ind w:left="50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log</w:t>
      </w:r>
      <w:r>
        <w:rPr>
          <w:rFonts w:ascii="Cambria Math" w:hAnsi="Cambria Math" w:eastAsia="Cambria Math"/>
          <w:spacing w:val="-6"/>
        </w:rPr>
        <w:t> </w:t>
      </w:r>
      <w:r>
        <w:rPr>
          <w:rFonts w:ascii="Cambria Math" w:hAnsi="Cambria Math" w:eastAsia="Cambria Math"/>
        </w:rPr>
        <w:t>𝐾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𝜃|𝑌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28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log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𝑃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vertAlign w:val="superscript"/>
        </w:rPr>
        <w:t>𝑇</w:t>
      </w:r>
      <w:r>
        <w:rPr>
          <w:rFonts w:ascii="Cambria Math" w:hAnsi="Cambria Math" w:eastAsia="Cambria Math"/>
          <w:vertAlign w:val="baseline"/>
        </w:rPr>
        <w:t>|𝜃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8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log</w:t>
      </w:r>
      <w:r>
        <w:rPr>
          <w:rFonts w:ascii="Cambria Math" w:hAnsi="Cambria Math" w:eastAsia="Cambria Math"/>
          <w:spacing w:val="-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𝑃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𝜃</w:t>
      </w:r>
      <w:r>
        <w:rPr>
          <w:rFonts w:ascii="Cambria Math" w:hAnsi="Cambria Math" w:eastAsia="Cambria Math"/>
          <w:position w:val="1"/>
          <w:vertAlign w:val="baseline"/>
        </w:rPr>
        <w:t>)</w:t>
      </w:r>
    </w:p>
    <w:p>
      <w:pPr>
        <w:pStyle w:val="BodyText"/>
        <w:tabs>
          <w:tab w:pos="8781" w:val="left" w:leader="none"/>
        </w:tabs>
        <w:spacing w:before="129"/>
        <w:ind w:left="500"/>
      </w:pP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3"/>
        </w:rPr>
        <w:t> </w:t>
      </w:r>
      <w:r>
        <w:rPr>
          <w:rFonts w:ascii="Cambria Math" w:hAnsi="Cambria Math" w:eastAsia="Cambria Math"/>
        </w:rPr>
        <w:t>log</w:t>
      </w:r>
      <w:r>
        <w:rPr>
          <w:rFonts w:ascii="Cambria Math" w:hAnsi="Cambria Math" w:eastAsia="Cambria Math"/>
          <w:spacing w:val="60"/>
        </w:rPr>
        <w:t> </w:t>
      </w:r>
      <w:r>
        <w:rPr>
          <w:rFonts w:ascii="Cambria Math" w:hAnsi="Cambria Math" w:eastAsia="Cambria Math"/>
        </w:rPr>
        <w:t>𝑃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𝑌</w:t>
      </w:r>
      <w:r>
        <w:rPr>
          <w:rFonts w:ascii="Cambria Math" w:hAnsi="Cambria Math" w:eastAsia="Cambria Math"/>
          <w:vertAlign w:val="superscript"/>
        </w:rPr>
        <w:t>𝑇</w:t>
      </w:r>
      <w:r>
        <w:rPr>
          <w:rFonts w:ascii="Cambria Math" w:hAnsi="Cambria Math" w:eastAsia="Cambria Math"/>
          <w:vertAlign w:val="baseline"/>
        </w:rPr>
        <w:t>|𝜃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10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𝛿</w:t>
      </w:r>
      <w:r>
        <w:rPr>
          <w:rFonts w:ascii="Cambria Math" w:hAnsi="Cambria Math" w:eastAsia="Cambria Math"/>
          <w:vertAlign w:val="subscript"/>
        </w:rPr>
        <w:t>ℎ=1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log</w:t>
      </w:r>
      <w:r>
        <w:rPr>
          <w:rFonts w:ascii="Cambria Math" w:hAnsi="Cambria Math" w:eastAsia="Cambria Math"/>
          <w:spacing w:val="-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𝑃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𝜃</w:t>
      </w:r>
      <w:r>
        <w:rPr>
          <w:rFonts w:ascii="Cambria Math" w:hAnsi="Cambria Math" w:eastAsia="Cambria Math"/>
          <w:vertAlign w:val="subscript"/>
        </w:rPr>
        <w:t>ℎ</w:t>
      </w:r>
      <w:r>
        <w:rPr>
          <w:rFonts w:ascii="Cambria Math" w:hAnsi="Cambria Math" w:eastAsia="Cambria Math"/>
          <w:position w:val="1"/>
          <w:vertAlign w:val="baseline"/>
        </w:rPr>
        <w:t>)</w:t>
        <w:tab/>
      </w:r>
      <w:r>
        <w:rPr>
          <w:vertAlign w:val="baseline"/>
        </w:rPr>
        <w:t>(4.144)</w:t>
      </w:r>
    </w:p>
    <w:p>
      <w:pPr>
        <w:pStyle w:val="BodyText"/>
        <w:spacing w:before="141"/>
        <w:ind w:left="500"/>
        <w:jc w:val="both"/>
      </w:pPr>
      <w:r>
        <w:rPr/>
        <w:t>Where</w:t>
      </w:r>
      <w:r>
        <w:rPr>
          <w:spacing w:val="-3"/>
        </w:rPr>
        <w:t> </w:t>
      </w:r>
      <w:r>
        <w:rPr>
          <w:rFonts w:ascii="Cambria Math"/>
        </w:rPr>
        <w:t>h is the</w:t>
      </w:r>
      <w:r>
        <w:rPr>
          <w:rFonts w:ascii="Cambria Math"/>
          <w:spacing w:val="4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parameters 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estimated</w:t>
      </w:r>
    </w:p>
    <w:p>
      <w:pPr>
        <w:pStyle w:val="BodyText"/>
        <w:spacing w:line="360" w:lineRule="auto" w:before="142"/>
        <w:ind w:left="500" w:right="501"/>
        <w:jc w:val="both"/>
      </w:pPr>
      <w:r>
        <w:rPr/>
        <w:t>Equation (4.144) is non-linear and difficult to estimate in an analytical manner. It then becomes</w:t>
      </w:r>
      <w:r>
        <w:rPr>
          <w:spacing w:val="1"/>
        </w:rPr>
        <w:t> </w:t>
      </w:r>
      <w:r>
        <w:rPr/>
        <w:t>necessary to rely on a computational method. The Markov Chain Monte Carlo (MCMC) method</w:t>
      </w:r>
      <w:r>
        <w:rPr>
          <w:spacing w:val="1"/>
        </w:rPr>
        <w:t> </w:t>
      </w:r>
      <w:r>
        <w:rPr/>
        <w:t>specifically</w:t>
      </w:r>
      <w:r>
        <w:rPr>
          <w:spacing w:val="-6"/>
        </w:rPr>
        <w:t> </w:t>
      </w:r>
      <w:r>
        <w:rPr/>
        <w:t>the Metropolis Hastling</w:t>
      </w:r>
      <w:r>
        <w:rPr>
          <w:spacing w:val="-2"/>
        </w:rPr>
        <w:t> </w:t>
      </w:r>
      <w:r>
        <w:rPr/>
        <w:t>is used to simulate</w:t>
      </w:r>
      <w:r>
        <w:rPr>
          <w:spacing w:val="-1"/>
        </w:rPr>
        <w:t> </w:t>
      </w:r>
      <w:r>
        <w:rPr/>
        <w:t>the posterior</w:t>
      </w:r>
      <w:r>
        <w:rPr>
          <w:spacing w:val="-1"/>
        </w:rPr>
        <w:t> </w:t>
      </w:r>
      <w:r>
        <w:rPr/>
        <w:t>distribution.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500" w:right="494"/>
        <w:jc w:val="both"/>
      </w:pP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Markov</w:t>
      </w:r>
      <w:r>
        <w:rPr>
          <w:spacing w:val="-13"/>
        </w:rPr>
        <w:t> </w:t>
      </w:r>
      <w:r>
        <w:rPr/>
        <w:t>Chain</w:t>
      </w:r>
      <w:r>
        <w:rPr>
          <w:spacing w:val="-14"/>
        </w:rPr>
        <w:t> </w:t>
      </w:r>
      <w:r>
        <w:rPr/>
        <w:t>Monte</w:t>
      </w:r>
      <w:r>
        <w:rPr>
          <w:spacing w:val="-16"/>
        </w:rPr>
        <w:t> </w:t>
      </w:r>
      <w:r>
        <w:rPr/>
        <w:t>Carlo</w:t>
      </w:r>
      <w:r>
        <w:rPr>
          <w:spacing w:val="-15"/>
        </w:rPr>
        <w:t> </w:t>
      </w:r>
      <w:r>
        <w:rPr/>
        <w:t>(MCMC)</w:t>
      </w:r>
      <w:r>
        <w:rPr>
          <w:spacing w:val="-15"/>
        </w:rPr>
        <w:t> </w:t>
      </w:r>
      <w:r>
        <w:rPr/>
        <w:t>method</w:t>
      </w:r>
      <w:r>
        <w:rPr>
          <w:spacing w:val="-12"/>
        </w:rPr>
        <w:t> </w:t>
      </w:r>
      <w:r>
        <w:rPr/>
        <w:t>is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simulation</w:t>
      </w:r>
      <w:r>
        <w:rPr>
          <w:spacing w:val="-14"/>
        </w:rPr>
        <w:t> </w:t>
      </w:r>
      <w:r>
        <w:rPr/>
        <w:t>technique</w:t>
      </w:r>
      <w:r>
        <w:rPr>
          <w:spacing w:val="-13"/>
        </w:rPr>
        <w:t> </w:t>
      </w:r>
      <w:r>
        <w:rPr/>
        <w:t>that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used</w:t>
      </w:r>
      <w:r>
        <w:rPr>
          <w:spacing w:val="-15"/>
        </w:rPr>
        <w:t> </w:t>
      </w:r>
      <w:r>
        <w:rPr/>
        <w:t>to</w:t>
      </w:r>
      <w:r>
        <w:rPr>
          <w:spacing w:val="-12"/>
        </w:rPr>
        <w:t> </w:t>
      </w:r>
      <w:r>
        <w:rPr/>
        <w:t>generate</w:t>
      </w:r>
      <w:r>
        <w:rPr>
          <w:spacing w:val="-57"/>
        </w:rPr>
        <w:t> </w:t>
      </w:r>
      <w:r>
        <w:rPr/>
        <w:t>samples from the posterior distribution based on the assumption that the samples drawn are</w:t>
      </w:r>
      <w:r>
        <w:rPr>
          <w:spacing w:val="1"/>
        </w:rPr>
        <w:t> </w:t>
      </w:r>
      <w:r>
        <w:rPr/>
        <w:t>dependent. There are two major algorithm of the MCMC method: The Gibbs Sampling algorithm</w:t>
      </w:r>
      <w:r>
        <w:rPr>
          <w:spacing w:val="-57"/>
        </w:rPr>
        <w:t> </w:t>
      </w:r>
      <w:r>
        <w:rPr/>
        <w:t>and the Metropolis Hastings algorithm. The Metropolis Hastings algorithm is used in this study</w:t>
      </w:r>
      <w:r>
        <w:rPr>
          <w:spacing w:val="1"/>
        </w:rPr>
        <w:t> </w:t>
      </w:r>
      <w:r>
        <w:rPr/>
        <w:t>since it is readily available in the Dynare software. The Metropolis Hastings algorithm is used to</w:t>
      </w:r>
      <w:r>
        <w:rPr>
          <w:spacing w:val="1"/>
        </w:rPr>
        <w:t> </w:t>
      </w:r>
      <w:r>
        <w:rPr/>
        <w:t>draw samples from the posterior distribution that is unknown, that is, the researcher has limited</w:t>
      </w:r>
      <w:r>
        <w:rPr>
          <w:spacing w:val="1"/>
        </w:rPr>
        <w:t> </w:t>
      </w:r>
      <w:r>
        <w:rPr/>
        <w:t>information</w:t>
      </w:r>
      <w:r>
        <w:rPr>
          <w:spacing w:val="11"/>
        </w:rPr>
        <w:t> </w:t>
      </w:r>
      <w:r>
        <w:rPr/>
        <w:t>about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distribution.</w:t>
      </w:r>
      <w:r>
        <w:rPr>
          <w:spacing w:val="12"/>
        </w:rPr>
        <w:t> </w:t>
      </w:r>
      <w:r>
        <w:rPr/>
        <w:t>This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unlike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Gibbs</w:t>
      </w:r>
      <w:r>
        <w:rPr>
          <w:spacing w:val="12"/>
        </w:rPr>
        <w:t> </w:t>
      </w:r>
      <w:r>
        <w:rPr/>
        <w:t>sampler</w:t>
      </w:r>
      <w:r>
        <w:rPr>
          <w:spacing w:val="11"/>
        </w:rPr>
        <w:t> </w:t>
      </w:r>
      <w:r>
        <w:rPr/>
        <w:t>that</w:t>
      </w:r>
      <w:r>
        <w:rPr>
          <w:spacing w:val="12"/>
        </w:rPr>
        <w:t> </w:t>
      </w:r>
      <w:r>
        <w:rPr/>
        <w:t>requires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knowledge</w:t>
      </w:r>
    </w:p>
    <w:p>
      <w:pPr>
        <w:spacing w:after="0" w:line="360" w:lineRule="auto"/>
        <w:jc w:val="both"/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line="360" w:lineRule="auto" w:before="74"/>
        <w:ind w:left="500" w:right="499"/>
      </w:pP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56"/>
        </w:rPr>
        <w:t> </w:t>
      </w:r>
      <w:r>
        <w:rPr/>
        <w:t>full</w:t>
      </w:r>
      <w:r>
        <w:rPr>
          <w:spacing w:val="54"/>
        </w:rPr>
        <w:t> </w:t>
      </w:r>
      <w:r>
        <w:rPr/>
        <w:t>conditional</w:t>
      </w:r>
      <w:r>
        <w:rPr>
          <w:spacing w:val="57"/>
        </w:rPr>
        <w:t> </w:t>
      </w:r>
      <w:r>
        <w:rPr/>
        <w:t>distribution</w:t>
      </w:r>
      <w:r>
        <w:rPr>
          <w:spacing w:val="53"/>
        </w:rPr>
        <w:t> </w:t>
      </w:r>
      <w:r>
        <w:rPr/>
        <w:t>for</w:t>
      </w:r>
      <w:r>
        <w:rPr>
          <w:spacing w:val="53"/>
        </w:rPr>
        <w:t> </w:t>
      </w:r>
      <w:r>
        <w:rPr/>
        <w:t>relevant</w:t>
      </w:r>
      <w:r>
        <w:rPr>
          <w:spacing w:val="57"/>
        </w:rPr>
        <w:t> </w:t>
      </w:r>
      <w:r>
        <w:rPr/>
        <w:t>parameters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be</w:t>
      </w:r>
      <w:r>
        <w:rPr>
          <w:spacing w:val="55"/>
        </w:rPr>
        <w:t> </w:t>
      </w:r>
      <w:r>
        <w:rPr/>
        <w:t>computed.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Metropolis</w:t>
      </w:r>
      <w:r>
        <w:rPr>
          <w:spacing w:val="-57"/>
        </w:rPr>
        <w:t> </w:t>
      </w:r>
      <w:r>
        <w:rPr/>
        <w:t>Hastings</w:t>
      </w:r>
      <w:r>
        <w:rPr>
          <w:spacing w:val="-1"/>
        </w:rPr>
        <w:t> </w:t>
      </w:r>
      <w:r>
        <w:rPr/>
        <w:t>algorithm involves the following</w:t>
      </w:r>
      <w:r>
        <w:rPr>
          <w:spacing w:val="-3"/>
        </w:rPr>
        <w:t> </w:t>
      </w:r>
      <w:r>
        <w:rPr/>
        <w:t>procedures:</w:t>
      </w:r>
    </w:p>
    <w:p>
      <w:pPr>
        <w:pStyle w:val="ListParagraph"/>
        <w:numPr>
          <w:ilvl w:val="0"/>
          <w:numId w:val="27"/>
        </w:numPr>
        <w:tabs>
          <w:tab w:pos="1221" w:val="left" w:leader="none"/>
        </w:tabs>
        <w:spacing w:line="240" w:lineRule="auto" w:before="16" w:after="0"/>
        <w:ind w:left="1220" w:right="0" w:hanging="361"/>
        <w:jc w:val="left"/>
        <w:rPr>
          <w:rFonts w:ascii="Cambria Math" w:eastAsia="Cambria Math"/>
          <w:sz w:val="24"/>
        </w:rPr>
      </w:pPr>
      <w:r>
        <w:rPr>
          <w:sz w:val="24"/>
        </w:rPr>
        <w:t>Choose</w:t>
      </w:r>
      <w:r>
        <w:rPr>
          <w:spacing w:val="-14"/>
          <w:sz w:val="24"/>
        </w:rPr>
        <w:t> </w:t>
      </w:r>
      <w:r>
        <w:rPr>
          <w:sz w:val="24"/>
        </w:rPr>
        <w:t>an</w:t>
      </w:r>
      <w:r>
        <w:rPr>
          <w:spacing w:val="-12"/>
          <w:sz w:val="24"/>
        </w:rPr>
        <w:t> </w:t>
      </w:r>
      <w:r>
        <w:rPr>
          <w:sz w:val="24"/>
        </w:rPr>
        <w:t>initial</w:t>
      </w:r>
      <w:r>
        <w:rPr>
          <w:spacing w:val="-13"/>
          <w:sz w:val="24"/>
        </w:rPr>
        <w:t> </w:t>
      </w:r>
      <w:r>
        <w:rPr>
          <w:sz w:val="24"/>
        </w:rPr>
        <w:t>arbitrary</w:t>
      </w:r>
      <w:r>
        <w:rPr>
          <w:spacing w:val="-14"/>
          <w:sz w:val="24"/>
        </w:rPr>
        <w:t> </w:t>
      </w:r>
      <w:r>
        <w:rPr>
          <w:sz w:val="24"/>
        </w:rPr>
        <w:t>value</w:t>
      </w:r>
      <w:r>
        <w:rPr>
          <w:spacing w:val="-10"/>
          <w:sz w:val="24"/>
        </w:rPr>
        <w:t> </w:t>
      </w:r>
      <w:r>
        <w:rPr>
          <w:rFonts w:ascii="Cambria Math" w:eastAsia="Cambria Math"/>
          <w:sz w:val="24"/>
        </w:rPr>
        <w:t/>
      </w:r>
      <w:r>
        <w:rPr>
          <w:rFonts w:ascii="Cambria Math" w:eastAsia="Cambria Math"/>
          <w:sz w:val="24"/>
          <w:vertAlign w:val="superscript"/>
        </w:rPr>
        <w:t>(𝟎)</w:t>
      </w:r>
    </w:p>
    <w:p>
      <w:pPr>
        <w:pStyle w:val="ListParagraph"/>
        <w:numPr>
          <w:ilvl w:val="0"/>
          <w:numId w:val="27"/>
        </w:numPr>
        <w:tabs>
          <w:tab w:pos="1221" w:val="left" w:leader="none"/>
        </w:tabs>
        <w:spacing w:line="240" w:lineRule="auto" w:before="140" w:after="0"/>
        <w:ind w:left="1220" w:right="0" w:hanging="361"/>
        <w:jc w:val="left"/>
        <w:rPr>
          <w:sz w:val="24"/>
        </w:rPr>
      </w:pPr>
      <w:r>
        <w:rPr>
          <w:sz w:val="24"/>
        </w:rPr>
        <w:t>Draw candidate</w:t>
      </w:r>
      <w:r>
        <w:rPr>
          <w:spacing w:val="-1"/>
          <w:sz w:val="24"/>
        </w:rPr>
        <w:t> </w:t>
      </w:r>
      <w:r>
        <w:rPr>
          <w:sz w:val="24"/>
        </w:rPr>
        <w:t>sample</w:t>
      </w:r>
      <w:r>
        <w:rPr>
          <w:spacing w:val="-2"/>
          <w:sz w:val="24"/>
        </w:rPr>
        <w:t> </w:t>
      </w:r>
      <w:r>
        <w:rPr>
          <w:sz w:val="24"/>
        </w:rPr>
        <w:t>from the jumping</w:t>
      </w:r>
      <w:r>
        <w:rPr>
          <w:spacing w:val="-4"/>
          <w:sz w:val="24"/>
        </w:rPr>
        <w:t> </w:t>
      </w:r>
      <w:r>
        <w:rPr>
          <w:sz w:val="24"/>
        </w:rPr>
        <w:t>distribution or</w:t>
      </w:r>
      <w:r>
        <w:rPr>
          <w:spacing w:val="-1"/>
          <w:sz w:val="24"/>
        </w:rPr>
        <w:t> </w:t>
      </w:r>
      <w:r>
        <w:rPr>
          <w:sz w:val="24"/>
        </w:rPr>
        <w:t>proposal</w:t>
      </w:r>
      <w:r>
        <w:rPr>
          <w:spacing w:val="-1"/>
          <w:sz w:val="24"/>
        </w:rPr>
        <w:t> </w:t>
      </w:r>
      <w:r>
        <w:rPr>
          <w:sz w:val="24"/>
        </w:rPr>
        <w:t>probability</w:t>
      </w:r>
      <w:r>
        <w:rPr>
          <w:spacing w:val="-5"/>
          <w:sz w:val="24"/>
        </w:rPr>
        <w:t> </w:t>
      </w:r>
      <w:r>
        <w:rPr>
          <w:sz w:val="24"/>
        </w:rPr>
        <w:t>distribution</w:t>
      </w:r>
    </w:p>
    <w:p>
      <w:pPr>
        <w:pStyle w:val="ListParagraph"/>
        <w:numPr>
          <w:ilvl w:val="0"/>
          <w:numId w:val="27"/>
        </w:numPr>
        <w:tabs>
          <w:tab w:pos="1221" w:val="left" w:leader="none"/>
        </w:tabs>
        <w:spacing w:line="240" w:lineRule="auto" w:before="139" w:after="0"/>
        <w:ind w:left="1220" w:right="0" w:hanging="361"/>
        <w:jc w:val="left"/>
        <w:rPr>
          <w:sz w:val="24"/>
        </w:rPr>
      </w:pPr>
      <w:r>
        <w:rPr>
          <w:sz w:val="24"/>
        </w:rPr>
        <w:t>Compute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acceptance ratio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whether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accept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reject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candidate</w:t>
      </w:r>
      <w:r>
        <w:rPr>
          <w:spacing w:val="-2"/>
          <w:sz w:val="24"/>
        </w:rPr>
        <w:t> </w:t>
      </w:r>
      <w:r>
        <w:rPr>
          <w:sz w:val="24"/>
        </w:rPr>
        <w:t>sample</w:t>
      </w:r>
    </w:p>
    <w:p>
      <w:pPr>
        <w:pStyle w:val="ListParagraph"/>
        <w:numPr>
          <w:ilvl w:val="0"/>
          <w:numId w:val="27"/>
        </w:numPr>
        <w:tabs>
          <w:tab w:pos="1221" w:val="left" w:leader="none"/>
        </w:tabs>
        <w:spacing w:line="360" w:lineRule="auto" w:before="137" w:after="0"/>
        <w:ind w:left="1220" w:right="495" w:hanging="360"/>
        <w:jc w:val="left"/>
        <w:rPr>
          <w:sz w:val="24"/>
        </w:rPr>
      </w:pPr>
      <w:r>
        <w:rPr>
          <w:sz w:val="24"/>
        </w:rPr>
        <w:t>Decide</w:t>
      </w:r>
      <w:r>
        <w:rPr>
          <w:spacing w:val="33"/>
          <w:sz w:val="24"/>
        </w:rPr>
        <w:t> </w:t>
      </w:r>
      <w:r>
        <w:rPr>
          <w:sz w:val="24"/>
        </w:rPr>
        <w:t>whether</w:t>
      </w:r>
      <w:r>
        <w:rPr>
          <w:spacing w:val="34"/>
          <w:sz w:val="24"/>
        </w:rPr>
        <w:t> </w:t>
      </w:r>
      <w:r>
        <w:rPr>
          <w:sz w:val="24"/>
        </w:rPr>
        <w:t>to</w:t>
      </w:r>
      <w:r>
        <w:rPr>
          <w:spacing w:val="35"/>
          <w:sz w:val="24"/>
        </w:rPr>
        <w:t> </w:t>
      </w:r>
      <w:r>
        <w:rPr>
          <w:sz w:val="24"/>
        </w:rPr>
        <w:t>accept</w:t>
      </w:r>
      <w:r>
        <w:rPr>
          <w:spacing w:val="35"/>
          <w:sz w:val="24"/>
        </w:rPr>
        <w:t> </w:t>
      </w:r>
      <w:r>
        <w:rPr>
          <w:sz w:val="24"/>
        </w:rPr>
        <w:t>or</w:t>
      </w:r>
      <w:r>
        <w:rPr>
          <w:spacing w:val="33"/>
          <w:sz w:val="24"/>
        </w:rPr>
        <w:t> </w:t>
      </w:r>
      <w:r>
        <w:rPr>
          <w:sz w:val="24"/>
        </w:rPr>
        <w:t>reject</w:t>
      </w:r>
      <w:r>
        <w:rPr>
          <w:spacing w:val="35"/>
          <w:sz w:val="24"/>
        </w:rPr>
        <w:t> </w:t>
      </w:r>
      <w:r>
        <w:rPr>
          <w:sz w:val="24"/>
        </w:rPr>
        <w:t>a</w:t>
      </w:r>
      <w:r>
        <w:rPr>
          <w:spacing w:val="33"/>
          <w:sz w:val="24"/>
        </w:rPr>
        <w:t> </w:t>
      </w:r>
      <w:r>
        <w:rPr>
          <w:sz w:val="24"/>
        </w:rPr>
        <w:t>candidate</w:t>
      </w:r>
      <w:r>
        <w:rPr>
          <w:spacing w:val="36"/>
          <w:sz w:val="24"/>
        </w:rPr>
        <w:t> </w:t>
      </w:r>
      <w:r>
        <w:rPr>
          <w:sz w:val="24"/>
        </w:rPr>
        <w:t>sample.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acceptance</w:t>
      </w:r>
      <w:r>
        <w:rPr>
          <w:spacing w:val="40"/>
          <w:sz w:val="24"/>
        </w:rPr>
        <w:t> </w:t>
      </w:r>
      <w:r>
        <w:rPr>
          <w:sz w:val="24"/>
        </w:rPr>
        <w:t>rate</w:t>
      </w:r>
      <w:r>
        <w:rPr>
          <w:spacing w:val="34"/>
          <w:sz w:val="24"/>
        </w:rPr>
        <w:t> </w:t>
      </w:r>
      <w:r>
        <w:rPr>
          <w:sz w:val="24"/>
        </w:rPr>
        <w:t>should</w:t>
      </w:r>
      <w:r>
        <w:rPr>
          <w:spacing w:val="34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0.25</w:t>
      </w:r>
      <w:r>
        <w:rPr>
          <w:spacing w:val="2"/>
          <w:sz w:val="24"/>
        </w:rPr>
        <w:t> </w:t>
      </w:r>
      <w:r>
        <w:rPr>
          <w:sz w:val="24"/>
        </w:rPr>
        <w:t>and 0.33 (Grifolli, 2013).</w:t>
      </w:r>
    </w:p>
    <w:p>
      <w:pPr>
        <w:pStyle w:val="ListParagraph"/>
        <w:numPr>
          <w:ilvl w:val="0"/>
          <w:numId w:val="27"/>
        </w:numPr>
        <w:tabs>
          <w:tab w:pos="1221" w:val="left" w:leader="none"/>
        </w:tabs>
        <w:spacing w:line="240" w:lineRule="auto" w:before="0" w:after="0"/>
        <w:ind w:left="1220" w:right="0" w:hanging="361"/>
        <w:jc w:val="left"/>
        <w:rPr>
          <w:sz w:val="24"/>
        </w:rPr>
      </w:pPr>
      <w:r>
        <w:rPr>
          <w:sz w:val="24"/>
        </w:rPr>
        <w:t>Repeat</w:t>
      </w:r>
      <w:r>
        <w:rPr>
          <w:spacing w:val="-1"/>
          <w:sz w:val="24"/>
        </w:rPr>
        <w:t> </w:t>
      </w:r>
      <w:r>
        <w:rPr>
          <w:sz w:val="24"/>
        </w:rPr>
        <w:t>steps</w:t>
      </w:r>
      <w:r>
        <w:rPr>
          <w:spacing w:val="-1"/>
          <w:sz w:val="24"/>
        </w:rPr>
        <w:t> </w:t>
      </w:r>
      <w:r>
        <w:rPr>
          <w:sz w:val="24"/>
        </w:rPr>
        <w:t>2 to</w:t>
      </w:r>
      <w:r>
        <w:rPr>
          <w:spacing w:val="-1"/>
          <w:sz w:val="24"/>
        </w:rPr>
        <w:t> </w:t>
      </w:r>
      <w:r>
        <w:rPr>
          <w:sz w:val="24"/>
        </w:rPr>
        <w:t>4 N</w:t>
      </w:r>
      <w:r>
        <w:rPr>
          <w:spacing w:val="-1"/>
          <w:sz w:val="24"/>
        </w:rPr>
        <w:t> </w:t>
      </w:r>
      <w:r>
        <w:rPr>
          <w:sz w:val="24"/>
        </w:rPr>
        <w:t>times, in</w:t>
      </w:r>
      <w:r>
        <w:rPr>
          <w:spacing w:val="-1"/>
          <w:sz w:val="24"/>
        </w:rPr>
        <w:t> </w:t>
      </w:r>
      <w:r>
        <w:rPr>
          <w:sz w:val="24"/>
        </w:rPr>
        <w:t>order to</w:t>
      </w:r>
      <w:r>
        <w:rPr>
          <w:spacing w:val="-1"/>
          <w:sz w:val="24"/>
        </w:rPr>
        <w:t> </w:t>
      </w:r>
      <w:r>
        <w:rPr>
          <w:sz w:val="24"/>
        </w:rPr>
        <w:t>draw N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3"/>
          <w:sz w:val="24"/>
        </w:rPr>
        <w:t> </w:t>
      </w:r>
      <w:r>
        <w:rPr>
          <w:sz w:val="24"/>
        </w:rPr>
        <w:t>of samples.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1"/>
        <w:numPr>
          <w:ilvl w:val="2"/>
          <w:numId w:val="22"/>
        </w:numPr>
        <w:tabs>
          <w:tab w:pos="1149" w:val="left" w:leader="none"/>
        </w:tabs>
        <w:spacing w:line="240" w:lineRule="auto" w:before="0" w:after="0"/>
        <w:ind w:left="1148" w:right="0" w:hanging="649"/>
        <w:jc w:val="both"/>
      </w:pPr>
      <w:bookmarkStart w:name="_TOC_250022" w:id="38"/>
      <w:r>
        <w:rPr/>
        <w:t>Data</w:t>
      </w:r>
      <w:r>
        <w:rPr>
          <w:spacing w:val="-2"/>
        </w:rPr>
        <w:t> </w:t>
      </w:r>
      <w:r>
        <w:rPr/>
        <w:t>Sources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38"/>
      <w:r>
        <w:rPr/>
        <w:t>Measurements</w:t>
      </w:r>
    </w:p>
    <w:p>
      <w:pPr>
        <w:pStyle w:val="BodyText"/>
        <w:spacing w:line="360" w:lineRule="auto" w:before="145"/>
        <w:ind w:left="500" w:right="495"/>
        <w:jc w:val="both"/>
      </w:pPr>
      <w:r>
        <w:rPr/>
        <w:t>This study obtained data over the period 1961Q1- 2016Q4 on six observable variables: output,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inflation,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spending,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trade,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-57"/>
        </w:rPr>
        <w:t> </w:t>
      </w:r>
      <w:r>
        <w:rPr/>
        <w:t>economy; and foreign output for the United States since it is chosen to be proxy for the world</w:t>
      </w:r>
      <w:r>
        <w:rPr>
          <w:spacing w:val="1"/>
        </w:rPr>
        <w:t> </w:t>
      </w:r>
      <w:r>
        <w:rPr/>
        <w:t>economy. The domestic dataset for Nigeria was collected from the Statistical Bulletin of the</w:t>
      </w:r>
      <w:r>
        <w:rPr>
          <w:spacing w:val="1"/>
        </w:rPr>
        <w:t> </w:t>
      </w:r>
      <w:r>
        <w:rPr/>
        <w:t>Central Bank of Nigeria; while the set of foreign data was sourced from the World Development</w:t>
      </w:r>
      <w:r>
        <w:rPr>
          <w:spacing w:val="1"/>
        </w:rPr>
        <w:t> </w:t>
      </w:r>
      <w:r>
        <w:rPr/>
        <w:t>Indicators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World</w:t>
      </w:r>
      <w:r>
        <w:rPr>
          <w:spacing w:val="-8"/>
        </w:rPr>
        <w:t> </w:t>
      </w:r>
      <w:r>
        <w:rPr/>
        <w:t>Bank.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dataset</w:t>
      </w:r>
      <w:r>
        <w:rPr>
          <w:spacing w:val="-10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study</w:t>
      </w:r>
      <w:r>
        <w:rPr>
          <w:spacing w:val="-15"/>
        </w:rPr>
        <w:t> </w:t>
      </w:r>
      <w:r>
        <w:rPr/>
        <w:t>was</w:t>
      </w:r>
      <w:r>
        <w:rPr>
          <w:spacing w:val="-10"/>
        </w:rPr>
        <w:t> </w:t>
      </w:r>
      <w:r>
        <w:rPr/>
        <w:t>transformed</w:t>
      </w:r>
      <w:r>
        <w:rPr>
          <w:spacing w:val="-9"/>
        </w:rPr>
        <w:t> </w:t>
      </w:r>
      <w:r>
        <w:rPr/>
        <w:t>by</w:t>
      </w:r>
      <w:r>
        <w:rPr>
          <w:spacing w:val="-15"/>
        </w:rPr>
        <w:t> </w:t>
      </w:r>
      <w:r>
        <w:rPr/>
        <w:t>applying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one-sided</w:t>
      </w:r>
      <w:r>
        <w:rPr>
          <w:spacing w:val="-57"/>
        </w:rPr>
        <w:t> </w:t>
      </w:r>
      <w:r>
        <w:rPr/>
        <w:t>Hodrick-Prescott filter to extract the cyclical components from its trend. This is required in order</w:t>
      </w:r>
      <w:r>
        <w:rPr>
          <w:spacing w:val="-57"/>
        </w:rPr>
        <w:t> </w:t>
      </w:r>
      <w:r>
        <w:rPr/>
        <w:t>to express the variables of the model as percentage deviation from their deterministic steady state</w:t>
      </w:r>
      <w:r>
        <w:rPr>
          <w:spacing w:val="-57"/>
        </w:rPr>
        <w:t> </w:t>
      </w:r>
      <w:r>
        <w:rPr/>
        <w:t>value. Due to the non-availability of quarterly data and its necessity for the short-run analysis</w:t>
      </w:r>
      <w:r>
        <w:rPr>
          <w:spacing w:val="1"/>
        </w:rPr>
        <w:t> </w:t>
      </w:r>
      <w:r>
        <w:rPr/>
        <w:t>peculiar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DSGE</w:t>
      </w:r>
      <w:r>
        <w:rPr>
          <w:spacing w:val="1"/>
        </w:rPr>
        <w:t> </w:t>
      </w:r>
      <w:r>
        <w:rPr/>
        <w:t>models,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dataset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converted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quarterly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interpolation</w:t>
      </w:r>
      <w:r>
        <w:rPr>
          <w:spacing w:val="-12"/>
        </w:rPr>
        <w:t> </w:t>
      </w:r>
      <w:r>
        <w:rPr/>
        <w:t>method.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addition,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interpolation</w:t>
      </w:r>
      <w:r>
        <w:rPr>
          <w:spacing w:val="-12"/>
        </w:rPr>
        <w:t> </w:t>
      </w:r>
      <w:r>
        <w:rPr/>
        <w:t>method</w:t>
      </w:r>
      <w:r>
        <w:rPr>
          <w:spacing w:val="-12"/>
        </w:rPr>
        <w:t> </w:t>
      </w:r>
      <w:r>
        <w:rPr/>
        <w:t>proved</w:t>
      </w:r>
      <w:r>
        <w:rPr>
          <w:spacing w:val="-12"/>
        </w:rPr>
        <w:t> </w:t>
      </w:r>
      <w:r>
        <w:rPr/>
        <w:t>useful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handling</w:t>
      </w:r>
      <w:r>
        <w:rPr>
          <w:spacing w:val="-15"/>
        </w:rPr>
        <w:t> </w:t>
      </w:r>
      <w:r>
        <w:rPr/>
        <w:t>the</w:t>
      </w:r>
      <w:r>
        <w:rPr>
          <w:spacing w:val="-11"/>
        </w:rPr>
        <w:t> </w:t>
      </w:r>
      <w:r>
        <w:rPr/>
        <w:t>few</w:t>
      </w:r>
      <w:r>
        <w:rPr>
          <w:spacing w:val="-13"/>
        </w:rPr>
        <w:t> </w:t>
      </w:r>
      <w:r>
        <w:rPr/>
        <w:t>cases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missing</w:t>
      </w:r>
      <w:r>
        <w:rPr>
          <w:spacing w:val="-2"/>
        </w:rPr>
        <w:t> </w:t>
      </w:r>
      <w:r>
        <w:rPr/>
        <w:t>data. The</w:t>
      </w:r>
      <w:r>
        <w:rPr>
          <w:spacing w:val="-1"/>
        </w:rPr>
        <w:t> </w:t>
      </w:r>
      <w:r>
        <w:rPr/>
        <w:t>dataset is presented in Table</w:t>
      </w:r>
      <w:r>
        <w:rPr>
          <w:spacing w:val="1"/>
        </w:rPr>
        <w:t> </w:t>
      </w:r>
      <w:r>
        <w:rPr/>
        <w:t>4.4.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72" w:after="8"/>
        <w:ind w:left="1334" w:right="1335"/>
        <w:jc w:val="center"/>
      </w:pPr>
      <w:r>
        <w:rPr/>
        <w:t>Table</w:t>
      </w:r>
      <w:r>
        <w:rPr>
          <w:spacing w:val="-2"/>
        </w:rPr>
        <w:t> </w:t>
      </w:r>
      <w:r>
        <w:rPr/>
        <w:t>4.4: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Description,</w:t>
      </w:r>
      <w:r>
        <w:rPr>
          <w:spacing w:val="-2"/>
        </w:rPr>
        <w:t> </w:t>
      </w:r>
      <w:r>
        <w:rPr/>
        <w:t>Measurement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Sources</w:t>
      </w: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4298"/>
        <w:gridCol w:w="2993"/>
      </w:tblGrid>
      <w:tr>
        <w:trPr>
          <w:trHeight w:val="827" w:hRule="atLeast"/>
        </w:trPr>
        <w:tc>
          <w:tcPr>
            <w:tcW w:w="2835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4298" w:type="dxa"/>
          </w:tcPr>
          <w:p>
            <w:pPr>
              <w:pStyle w:val="TableParagraph"/>
              <w:spacing w:line="275" w:lineRule="exact"/>
              <w:ind w:left="588"/>
              <w:rPr>
                <w:b/>
                <w:sz w:val="24"/>
              </w:rPr>
            </w:pPr>
            <w:r>
              <w:rPr>
                <w:b/>
                <w:sz w:val="24"/>
              </w:rPr>
              <w:t>Description/Measurement</w:t>
            </w:r>
          </w:p>
        </w:tc>
        <w:tc>
          <w:tcPr>
            <w:tcW w:w="2993" w:type="dxa"/>
          </w:tcPr>
          <w:p>
            <w:pPr>
              <w:pStyle w:val="TableParagraph"/>
              <w:spacing w:line="275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</w:p>
        </w:tc>
      </w:tr>
      <w:tr>
        <w:trPr>
          <w:trHeight w:val="1242" w:hRule="atLeast"/>
        </w:trPr>
        <w:tc>
          <w:tcPr>
            <w:tcW w:w="2835" w:type="dxa"/>
          </w:tcPr>
          <w:p>
            <w:pPr>
              <w:pStyle w:val="TableParagraph"/>
              <w:tabs>
                <w:tab w:pos="896" w:val="left" w:leader="none"/>
                <w:tab w:pos="1806" w:val="left" w:leader="none"/>
              </w:tabs>
              <w:spacing w:line="360" w:lineRule="auto"/>
              <w:ind w:right="97"/>
              <w:rPr>
                <w:sz w:val="24"/>
              </w:rPr>
            </w:pPr>
            <w:r>
              <w:rPr>
                <w:sz w:val="24"/>
              </w:rPr>
              <w:t>Real</w:t>
              <w:tab/>
              <w:t>Gross</w:t>
              <w:tab/>
            </w:r>
            <w:r>
              <w:rPr>
                <w:spacing w:val="-1"/>
                <w:sz w:val="24"/>
              </w:rPr>
              <w:t>Domestic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(Y)</w:t>
            </w:r>
          </w:p>
        </w:tc>
        <w:tc>
          <w:tcPr>
            <w:tcW w:w="429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Measures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goods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produced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410" w:lineRule="atLeast" w:before="5"/>
              <w:ind w:left="108" w:right="90"/>
              <w:rPr>
                <w:sz w:val="24"/>
              </w:rPr>
            </w:pPr>
            <w:r>
              <w:rPr>
                <w:spacing w:val="-1"/>
                <w:sz w:val="24"/>
              </w:rPr>
              <w:t>the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Nigerian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economy.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expressed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N’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Billion</w:t>
            </w:r>
          </w:p>
        </w:tc>
        <w:tc>
          <w:tcPr>
            <w:tcW w:w="2993" w:type="dxa"/>
          </w:tcPr>
          <w:p>
            <w:pPr>
              <w:pStyle w:val="TableParagraph"/>
              <w:spacing w:line="360" w:lineRule="auto"/>
              <w:ind w:left="752" w:right="698" w:hanging="291"/>
              <w:rPr>
                <w:sz w:val="24"/>
              </w:rPr>
            </w:pPr>
            <w:r>
              <w:rPr>
                <w:sz w:val="24"/>
              </w:rPr>
              <w:t>CBN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Stat.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Bulletin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(2011,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2016)</w:t>
            </w:r>
          </w:p>
        </w:tc>
      </w:tr>
      <w:tr>
        <w:trPr>
          <w:trHeight w:val="827" w:hRule="atLeast"/>
        </w:trPr>
        <w:tc>
          <w:tcPr>
            <w:tcW w:w="283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Interest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(R)</w:t>
            </w:r>
          </w:p>
        </w:tc>
        <w:tc>
          <w:tcPr>
            <w:tcW w:w="429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Measures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lending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adjusted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inflation. 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expressed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percentage</w:t>
            </w:r>
          </w:p>
        </w:tc>
        <w:tc>
          <w:tcPr>
            <w:tcW w:w="2993" w:type="dxa"/>
          </w:tcPr>
          <w:p>
            <w:pPr>
              <w:pStyle w:val="TableParagraph"/>
              <w:spacing w:line="270" w:lineRule="exact"/>
              <w:ind w:left="323" w:right="559"/>
              <w:jc w:val="center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  <w:p>
            <w:pPr>
              <w:pStyle w:val="TableParagraph"/>
              <w:spacing w:before="137"/>
              <w:ind w:left="319" w:right="559"/>
              <w:jc w:val="center"/>
              <w:rPr>
                <w:sz w:val="24"/>
              </w:rPr>
            </w:pPr>
            <w:r>
              <w:rPr>
                <w:sz w:val="24"/>
              </w:rPr>
              <w:t>Indicators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(2016)</w:t>
            </w:r>
          </w:p>
        </w:tc>
      </w:tr>
      <w:tr>
        <w:trPr>
          <w:trHeight w:val="828" w:hRule="atLeast"/>
        </w:trPr>
        <w:tc>
          <w:tcPr>
            <w:tcW w:w="2835" w:type="dxa"/>
          </w:tcPr>
          <w:p>
            <w:pPr>
              <w:pStyle w:val="TableParagraph"/>
              <w:spacing w:line="270" w:lineRule="exact"/>
              <w:ind w:left="98"/>
              <w:rPr>
                <w:sz w:val="24"/>
              </w:rPr>
            </w:pPr>
            <w:r>
              <w:rPr>
                <w:sz w:val="24"/>
              </w:rPr>
              <w:t>Govt.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Expenditure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4298" w:type="dxa"/>
          </w:tcPr>
          <w:p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Captures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total spending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140"/>
              <w:ind w:left="3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federal government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N’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Billion</w:t>
            </w:r>
          </w:p>
        </w:tc>
        <w:tc>
          <w:tcPr>
            <w:tcW w:w="2993" w:type="dxa"/>
          </w:tcPr>
          <w:p>
            <w:pPr>
              <w:pStyle w:val="TableParagraph"/>
              <w:spacing w:line="270" w:lineRule="exact"/>
              <w:ind w:left="320" w:right="559"/>
              <w:jc w:val="center"/>
              <w:rPr>
                <w:sz w:val="24"/>
              </w:rPr>
            </w:pPr>
            <w:r>
              <w:rPr>
                <w:sz w:val="24"/>
              </w:rPr>
              <w:t>CBN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Bulletin</w:t>
            </w:r>
          </w:p>
          <w:p>
            <w:pPr>
              <w:pStyle w:val="TableParagraph"/>
              <w:spacing w:before="140"/>
              <w:ind w:left="322" w:right="559"/>
              <w:jc w:val="center"/>
              <w:rPr>
                <w:sz w:val="24"/>
              </w:rPr>
            </w:pPr>
            <w:r>
              <w:rPr>
                <w:sz w:val="24"/>
              </w:rPr>
              <w:t>(2011,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2016)</w:t>
            </w:r>
          </w:p>
        </w:tc>
      </w:tr>
      <w:tr>
        <w:trPr>
          <w:trHeight w:val="1655" w:hRule="atLeast"/>
        </w:trPr>
        <w:tc>
          <w:tcPr>
            <w:tcW w:w="283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Foreign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GDP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(Y*)</w:t>
            </w:r>
          </w:p>
        </w:tc>
        <w:tc>
          <w:tcPr>
            <w:tcW w:w="4298" w:type="dxa"/>
          </w:tcPr>
          <w:p>
            <w:pPr>
              <w:pStyle w:val="TableParagraph"/>
              <w:spacing w:line="360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It is the value of goods produced in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economy of the United states (proxy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economy).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expressed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$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Billion</w:t>
            </w:r>
          </w:p>
        </w:tc>
        <w:tc>
          <w:tcPr>
            <w:tcW w:w="2993" w:type="dxa"/>
          </w:tcPr>
          <w:p>
            <w:pPr>
              <w:pStyle w:val="TableParagraph"/>
              <w:spacing w:line="360" w:lineRule="auto"/>
              <w:ind w:left="521" w:right="579" w:hanging="104"/>
              <w:rPr>
                <w:sz w:val="24"/>
              </w:rPr>
            </w:pPr>
            <w:r>
              <w:rPr>
                <w:sz w:val="24"/>
              </w:rPr>
              <w:t>World Development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Indicators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(2016)</w:t>
            </w:r>
          </w:p>
        </w:tc>
      </w:tr>
      <w:tr>
        <w:trPr>
          <w:trHeight w:val="827" w:hRule="atLeast"/>
        </w:trPr>
        <w:tc>
          <w:tcPr>
            <w:tcW w:w="283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Terms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  <w:tc>
          <w:tcPr>
            <w:tcW w:w="429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calculated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ratio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export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imports.</w:t>
            </w:r>
          </w:p>
        </w:tc>
        <w:tc>
          <w:tcPr>
            <w:tcW w:w="2993" w:type="dxa"/>
          </w:tcPr>
          <w:p>
            <w:pPr>
              <w:pStyle w:val="TableParagraph"/>
              <w:spacing w:line="270" w:lineRule="exact"/>
              <w:ind w:left="371" w:right="363"/>
              <w:jc w:val="center"/>
              <w:rPr>
                <w:sz w:val="24"/>
              </w:rPr>
            </w:pPr>
            <w:r>
              <w:rPr>
                <w:sz w:val="24"/>
              </w:rPr>
              <w:t>CBN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Bulletin</w:t>
            </w:r>
          </w:p>
          <w:p>
            <w:pPr>
              <w:pStyle w:val="TableParagraph"/>
              <w:spacing w:before="139"/>
              <w:ind w:left="371" w:right="360"/>
              <w:jc w:val="center"/>
              <w:rPr>
                <w:sz w:val="24"/>
              </w:rPr>
            </w:pPr>
            <w:r>
              <w:rPr>
                <w:sz w:val="24"/>
              </w:rPr>
              <w:t>(2011,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2016)</w:t>
            </w:r>
          </w:p>
        </w:tc>
      </w:tr>
      <w:tr>
        <w:trPr>
          <w:trHeight w:val="1243" w:hRule="atLeast"/>
        </w:trPr>
        <w:tc>
          <w:tcPr>
            <w:tcW w:w="283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Consumer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Inflation</w:t>
            </w:r>
          </w:p>
        </w:tc>
        <w:tc>
          <w:tcPr>
            <w:tcW w:w="429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captures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domestic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inflation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410" w:lineRule="atLeast" w:before="5"/>
              <w:ind w:left="108" w:right="9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Nigerian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economy.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expressed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percentage</w:t>
            </w:r>
          </w:p>
        </w:tc>
        <w:tc>
          <w:tcPr>
            <w:tcW w:w="2993" w:type="dxa"/>
          </w:tcPr>
          <w:p>
            <w:pPr>
              <w:pStyle w:val="TableParagraph"/>
              <w:spacing w:line="362" w:lineRule="auto"/>
              <w:ind w:left="877" w:right="572" w:hanging="291"/>
              <w:rPr>
                <w:sz w:val="24"/>
              </w:rPr>
            </w:pPr>
            <w:r>
              <w:rPr>
                <w:sz w:val="24"/>
              </w:rPr>
              <w:t>CBN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Stat.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Bulletin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(2011,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2016)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3"/>
        <w:numPr>
          <w:ilvl w:val="1"/>
          <w:numId w:val="22"/>
        </w:numPr>
        <w:tabs>
          <w:tab w:pos="981" w:val="left" w:leader="none"/>
        </w:tabs>
        <w:spacing w:line="240" w:lineRule="auto" w:before="0" w:after="0"/>
        <w:ind w:left="980" w:right="0" w:hanging="481"/>
        <w:jc w:val="left"/>
      </w:pPr>
      <w:bookmarkStart w:name="_TOC_250021" w:id="39"/>
      <w:r>
        <w:rPr/>
        <w:t>Optimal</w:t>
      </w:r>
      <w:r>
        <w:rPr>
          <w:spacing w:val="-1"/>
        </w:rPr>
        <w:t> </w:t>
      </w:r>
      <w:r>
        <w:rPr/>
        <w:t>Fiscal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Monetary</w:t>
      </w:r>
      <w:r>
        <w:rPr>
          <w:spacing w:val="-1"/>
        </w:rPr>
        <w:t> </w:t>
      </w:r>
      <w:bookmarkEnd w:id="39"/>
      <w:r>
        <w:rPr/>
        <w:t>Policy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500" w:right="497"/>
        <w:jc w:val="both"/>
      </w:pP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optimal</w:t>
      </w:r>
      <w:r>
        <w:rPr>
          <w:spacing w:val="-10"/>
        </w:rPr>
        <w:t> </w:t>
      </w:r>
      <w:r>
        <w:rPr/>
        <w:t>fiscal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monetary</w:t>
      </w:r>
      <w:r>
        <w:rPr>
          <w:spacing w:val="-15"/>
        </w:rPr>
        <w:t> </w:t>
      </w:r>
      <w:r>
        <w:rPr/>
        <w:t>policy</w:t>
      </w:r>
      <w:r>
        <w:rPr>
          <w:spacing w:val="-17"/>
        </w:rPr>
        <w:t> </w:t>
      </w:r>
      <w:r>
        <w:rPr/>
        <w:t>is</w:t>
      </w:r>
      <w:r>
        <w:rPr>
          <w:spacing w:val="-9"/>
        </w:rPr>
        <w:t> </w:t>
      </w:r>
      <w:r>
        <w:rPr/>
        <w:t>defined</w:t>
      </w:r>
      <w:r>
        <w:rPr>
          <w:spacing w:val="-8"/>
        </w:rPr>
        <w:t> </w:t>
      </w:r>
      <w:r>
        <w:rPr/>
        <w:t>as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path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government</w:t>
      </w:r>
      <w:r>
        <w:rPr>
          <w:spacing w:val="-7"/>
        </w:rPr>
        <w:t> </w:t>
      </w:r>
      <w:r>
        <w:rPr/>
        <w:t>spending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nominal</w:t>
      </w:r>
      <w:r>
        <w:rPr>
          <w:spacing w:val="-57"/>
        </w:rPr>
        <w:t> </w:t>
      </w:r>
      <w:r>
        <w:rPr/>
        <w:t>interest rates that optimise the objective function of the policy maker given the constraints posed</w:t>
      </w:r>
      <w:r>
        <w:rPr>
          <w:spacing w:val="1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-3"/>
        </w:rPr>
        <w:t> </w:t>
      </w:r>
      <w:r>
        <w:rPr/>
        <w:t>structural</w:t>
      </w:r>
      <w:r>
        <w:rPr>
          <w:spacing w:val="-2"/>
        </w:rPr>
        <w:t> </w:t>
      </w:r>
      <w:r>
        <w:rPr/>
        <w:t>equations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small</w:t>
      </w:r>
      <w:r>
        <w:rPr>
          <w:spacing w:val="-2"/>
        </w:rPr>
        <w:t> </w:t>
      </w:r>
      <w:r>
        <w:rPr/>
        <w:t>open</w:t>
      </w:r>
      <w:r>
        <w:rPr>
          <w:spacing w:val="-3"/>
        </w:rPr>
        <w:t> </w:t>
      </w:r>
      <w:r>
        <w:rPr/>
        <w:t>economy. There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three</w:t>
      </w:r>
      <w:r>
        <w:rPr>
          <w:spacing w:val="-4"/>
        </w:rPr>
        <w:t> </w:t>
      </w:r>
      <w:r>
        <w:rPr/>
        <w:t>major</w:t>
      </w:r>
      <w:r>
        <w:rPr>
          <w:spacing w:val="-4"/>
        </w:rPr>
        <w:t> </w:t>
      </w:r>
      <w:r>
        <w:rPr/>
        <w:t>methods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compute</w:t>
      </w:r>
      <w:r>
        <w:rPr>
          <w:spacing w:val="-57"/>
        </w:rPr>
        <w:t> </w:t>
      </w:r>
      <w:r>
        <w:rPr/>
        <w:t>the optimal policy. They include the optimal policy under commitment, that is, Ramsey Policy,</w:t>
      </w:r>
      <w:r>
        <w:rPr>
          <w:spacing w:val="1"/>
        </w:rPr>
        <w:t> </w:t>
      </w:r>
      <w:r>
        <w:rPr>
          <w:spacing w:val="-1"/>
        </w:rPr>
        <w:t>optimal</w:t>
      </w:r>
      <w:r>
        <w:rPr>
          <w:spacing w:val="-10"/>
        </w:rPr>
        <w:t> </w:t>
      </w:r>
      <w:r>
        <w:rPr>
          <w:spacing w:val="-1"/>
        </w:rPr>
        <w:t>policy</w:t>
      </w:r>
      <w:r>
        <w:rPr>
          <w:spacing w:val="-17"/>
        </w:rPr>
        <w:t> </w:t>
      </w:r>
      <w:r>
        <w:rPr/>
        <w:t>under</w:t>
      </w:r>
      <w:r>
        <w:rPr>
          <w:spacing w:val="-11"/>
        </w:rPr>
        <w:t> </w:t>
      </w:r>
      <w:r>
        <w:rPr/>
        <w:t>discretion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optimal</w:t>
      </w:r>
      <w:r>
        <w:rPr>
          <w:spacing w:val="-10"/>
        </w:rPr>
        <w:t> </w:t>
      </w:r>
      <w:r>
        <w:rPr/>
        <w:t>simple</w:t>
      </w:r>
      <w:r>
        <w:rPr>
          <w:spacing w:val="-11"/>
        </w:rPr>
        <w:t> </w:t>
      </w:r>
      <w:r>
        <w:rPr/>
        <w:t>rule.</w:t>
      </w:r>
      <w:r>
        <w:rPr>
          <w:spacing w:val="-3"/>
        </w:rPr>
        <w:t> </w:t>
      </w:r>
      <w:r>
        <w:rPr/>
        <w:t>In</w:t>
      </w:r>
      <w:r>
        <w:rPr>
          <w:spacing w:val="-10"/>
        </w:rPr>
        <w:t> </w:t>
      </w:r>
      <w:r>
        <w:rPr/>
        <w:t>line</w:t>
      </w:r>
      <w:r>
        <w:rPr>
          <w:spacing w:val="-11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objective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this</w:t>
      </w:r>
      <w:r>
        <w:rPr>
          <w:spacing w:val="-10"/>
        </w:rPr>
        <w:t> </w:t>
      </w:r>
      <w:r>
        <w:rPr/>
        <w:t>study,</w:t>
      </w:r>
      <w:r>
        <w:rPr>
          <w:spacing w:val="-57"/>
        </w:rPr>
        <w:t> </w:t>
      </w:r>
      <w:r>
        <w:rPr/>
        <w:t>the Ramsey policy and optimal discretionary policy are chosen. This, specifically, allows one to</w:t>
      </w:r>
      <w:r>
        <w:rPr>
          <w:spacing w:val="1"/>
        </w:rPr>
        <w:t> </w:t>
      </w:r>
      <w:r>
        <w:rPr/>
        <w:t>observe and compare the implication of rent seeking and discretion in describing the paths of the</w:t>
      </w:r>
      <w:r>
        <w:rPr>
          <w:spacing w:val="1"/>
        </w:rPr>
        <w:t> </w:t>
      </w:r>
      <w:r>
        <w:rPr/>
        <w:t>optimal</w:t>
      </w:r>
      <w:r>
        <w:rPr>
          <w:spacing w:val="9"/>
        </w:rPr>
        <w:t> </w:t>
      </w:r>
      <w:r>
        <w:rPr/>
        <w:t>fiscal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/>
        <w:t>monetary</w:t>
      </w:r>
      <w:r>
        <w:rPr>
          <w:spacing w:val="4"/>
        </w:rPr>
        <w:t> </w:t>
      </w:r>
      <w:r>
        <w:rPr/>
        <w:t>policy.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Ramsey</w:t>
      </w:r>
      <w:r>
        <w:rPr>
          <w:spacing w:val="9"/>
        </w:rPr>
        <w:t> </w:t>
      </w:r>
      <w:r>
        <w:rPr/>
        <w:t>Policy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Optimal</w:t>
      </w:r>
      <w:r>
        <w:rPr>
          <w:spacing w:val="9"/>
        </w:rPr>
        <w:t> </w:t>
      </w:r>
      <w:r>
        <w:rPr/>
        <w:t>policy</w:t>
      </w:r>
      <w:r>
        <w:rPr>
          <w:spacing w:val="6"/>
        </w:rPr>
        <w:t> </w:t>
      </w:r>
      <w:r>
        <w:rPr/>
        <w:t>under</w:t>
      </w:r>
      <w:r>
        <w:rPr>
          <w:spacing w:val="8"/>
        </w:rPr>
        <w:t> </w:t>
      </w:r>
      <w:r>
        <w:rPr/>
        <w:t>discretion</w:t>
      </w:r>
      <w:r>
        <w:rPr>
          <w:spacing w:val="11"/>
        </w:rPr>
        <w:t> </w:t>
      </w:r>
      <w:r>
        <w:rPr/>
        <w:t>are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line="360" w:lineRule="auto" w:before="74"/>
        <w:ind w:left="500" w:right="506"/>
        <w:jc w:val="both"/>
      </w:pPr>
      <w:r>
        <w:rPr/>
        <w:t>computed in this section using the Linear Quadratic approximation to the objective function and</w:t>
      </w:r>
      <w:r>
        <w:rPr>
          <w:spacing w:val="1"/>
        </w:rPr>
        <w:t> </w:t>
      </w:r>
      <w:r>
        <w:rPr/>
        <w:t>structural</w:t>
      </w:r>
      <w:r>
        <w:rPr>
          <w:spacing w:val="-1"/>
        </w:rPr>
        <w:t> </w:t>
      </w:r>
      <w:r>
        <w:rPr/>
        <w:t>constraints. The</w:t>
      </w:r>
      <w:r>
        <w:rPr>
          <w:spacing w:val="-1"/>
        </w:rPr>
        <w:t> </w:t>
      </w:r>
      <w:r>
        <w:rPr/>
        <w:t>calibration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is taken from Table 4.3.</w:t>
      </w:r>
    </w:p>
    <w:p>
      <w:pPr>
        <w:pStyle w:val="Heading3"/>
        <w:numPr>
          <w:ilvl w:val="2"/>
          <w:numId w:val="22"/>
        </w:numPr>
        <w:tabs>
          <w:tab w:pos="1161" w:val="left" w:leader="none"/>
        </w:tabs>
        <w:spacing w:line="240" w:lineRule="auto" w:before="205" w:after="0"/>
        <w:ind w:left="1160" w:right="0" w:hanging="661"/>
        <w:jc w:val="left"/>
      </w:pPr>
      <w:bookmarkStart w:name="_TOC_250020" w:id="40"/>
      <w:r>
        <w:rPr/>
        <w:t>Ramsey</w:t>
      </w:r>
      <w:r>
        <w:rPr>
          <w:spacing w:val="-2"/>
        </w:rPr>
        <w:t> </w:t>
      </w:r>
      <w:bookmarkEnd w:id="40"/>
      <w:r>
        <w:rPr/>
        <w:t>Policy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/>
        <w:ind w:left="500" w:right="495"/>
        <w:jc w:val="both"/>
      </w:pPr>
      <w:r>
        <w:rPr>
          <w:b/>
        </w:rPr>
        <w:t>The problem of the Ramsey planner is to choose the interest rate and government spending</w:t>
      </w:r>
      <w:r>
        <w:rPr>
          <w:b/>
          <w:spacing w:val="-57"/>
        </w:rPr>
        <w:t> </w:t>
      </w:r>
      <w:r>
        <w:rPr>
          <w:spacing w:val="-1"/>
        </w:rPr>
        <w:t>plans</w:t>
      </w:r>
      <w:r>
        <w:rPr>
          <w:spacing w:val="-10"/>
        </w:rPr>
        <w:t> </w:t>
      </w:r>
      <w:r>
        <w:rPr>
          <w:spacing w:val="-1"/>
        </w:rPr>
        <w:t>that</w:t>
      </w:r>
      <w:r>
        <w:rPr>
          <w:spacing w:val="-10"/>
        </w:rPr>
        <w:t> </w:t>
      </w:r>
      <w:r>
        <w:rPr>
          <w:spacing w:val="-1"/>
        </w:rPr>
        <w:t>minimise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welfare</w:t>
      </w:r>
      <w:r>
        <w:rPr>
          <w:spacing w:val="-11"/>
        </w:rPr>
        <w:t> </w:t>
      </w:r>
      <w:r>
        <w:rPr/>
        <w:t>loss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policy</w:t>
      </w:r>
      <w:r>
        <w:rPr>
          <w:spacing w:val="-17"/>
        </w:rPr>
        <w:t> </w:t>
      </w:r>
      <w:r>
        <w:rPr/>
        <w:t>maker</w:t>
      </w:r>
      <w:r>
        <w:rPr>
          <w:spacing w:val="-11"/>
        </w:rPr>
        <w:t> </w:t>
      </w:r>
      <w:r>
        <w:rPr/>
        <w:t>subject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constraints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small</w:t>
      </w:r>
      <w:r>
        <w:rPr>
          <w:spacing w:val="-9"/>
        </w:rPr>
        <w:t> </w:t>
      </w:r>
      <w:r>
        <w:rPr/>
        <w:t>open</w:t>
      </w:r>
      <w:r>
        <w:rPr>
          <w:spacing w:val="-57"/>
        </w:rPr>
        <w:t> </w:t>
      </w:r>
      <w:r>
        <w:rPr/>
        <w:t>economy.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Ramsey</w:t>
      </w:r>
      <w:r>
        <w:rPr>
          <w:spacing w:val="-9"/>
        </w:rPr>
        <w:t> </w:t>
      </w:r>
      <w:r>
        <w:rPr/>
        <w:t>plan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time-invariant,</w:t>
      </w:r>
      <w:r>
        <w:rPr>
          <w:spacing w:val="-4"/>
        </w:rPr>
        <w:t> </w:t>
      </w:r>
      <w:r>
        <w:rPr/>
        <w:t>that is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planner</w:t>
      </w:r>
      <w:r>
        <w:rPr>
          <w:spacing w:val="-1"/>
        </w:rPr>
        <w:t> </w:t>
      </w:r>
      <w:r>
        <w:rPr/>
        <w:t>chooses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paths</w:t>
      </w:r>
      <w:r>
        <w:rPr>
          <w:spacing w:val="-3"/>
        </w:rPr>
        <w:t> </w:t>
      </w:r>
      <w:r>
        <w:rPr/>
        <w:t>of fiscal</w:t>
      </w:r>
      <w:r>
        <w:rPr>
          <w:spacing w:val="-3"/>
        </w:rPr>
        <w:t> </w:t>
      </w:r>
      <w:r>
        <w:rPr/>
        <w:t>policy</w:t>
      </w:r>
      <w:r>
        <w:rPr>
          <w:spacing w:val="-57"/>
        </w:rPr>
        <w:t> </w:t>
      </w:r>
      <w:r>
        <w:rPr/>
        <w:t>and monetary policy instruments that it sticks with even at future dates (t+n). This makes the</w:t>
      </w:r>
      <w:r>
        <w:rPr>
          <w:spacing w:val="1"/>
        </w:rPr>
        <w:t> </w:t>
      </w:r>
      <w:r>
        <w:rPr/>
        <w:t>Ramsey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susceptible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time-inconsistency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Ramsey</w:t>
      </w:r>
      <w:r>
        <w:rPr>
          <w:spacing w:val="1"/>
        </w:rPr>
        <w:t> </w:t>
      </w:r>
      <w:r>
        <w:rPr/>
        <w:t>policymaker,</w:t>
      </w:r>
      <w:r>
        <w:rPr>
          <w:spacing w:val="1"/>
        </w:rPr>
        <w:t> </w:t>
      </w:r>
      <w:r>
        <w:rPr/>
        <w:t>therefore,</w:t>
      </w:r>
      <w:r>
        <w:rPr>
          <w:spacing w:val="-6"/>
        </w:rPr>
        <w:t> </w:t>
      </w:r>
      <w:r>
        <w:rPr/>
        <w:t>seeks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minimise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deviation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actual</w:t>
      </w:r>
      <w:r>
        <w:rPr>
          <w:spacing w:val="-6"/>
        </w:rPr>
        <w:t> </w:t>
      </w:r>
      <w:r>
        <w:rPr/>
        <w:t>values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output,</w:t>
      </w:r>
      <w:r>
        <w:rPr>
          <w:spacing w:val="-6"/>
        </w:rPr>
        <w:t> </w:t>
      </w:r>
      <w:r>
        <w:rPr/>
        <w:t>inflation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government</w:t>
      </w:r>
      <w:r>
        <w:rPr>
          <w:spacing w:val="-58"/>
        </w:rPr>
        <w:t> </w:t>
      </w:r>
      <w:r>
        <w:rPr/>
        <w:t>spending</w:t>
      </w:r>
      <w:r>
        <w:rPr>
          <w:spacing w:val="-3"/>
        </w:rPr>
        <w:t> </w:t>
      </w:r>
      <w:r>
        <w:rPr/>
        <w:t>from their</w:t>
      </w:r>
      <w:r>
        <w:rPr>
          <w:spacing w:val="-1"/>
        </w:rPr>
        <w:t> </w:t>
      </w:r>
      <w:r>
        <w:rPr/>
        <w:t>target values such that:</w:t>
      </w:r>
    </w:p>
    <w:p>
      <w:pPr>
        <w:pStyle w:val="BodyText"/>
        <w:spacing w:before="1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header="0" w:footer="935" w:top="1360" w:bottom="1200" w:left="940" w:right="940"/>
        </w:sectPr>
      </w:pPr>
    </w:p>
    <w:p>
      <w:pPr>
        <w:spacing w:line="172" w:lineRule="exact" w:before="71"/>
        <w:ind w:left="1131" w:right="0" w:firstLine="0"/>
        <w:jc w:val="left"/>
        <w:rPr>
          <w:rFonts w:ascii="Cambria Math" w:hAnsi="Cambria Math"/>
          <w:sz w:val="17"/>
        </w:rPr>
      </w:pPr>
      <w:r>
        <w:rPr/>
        <w:pict>
          <v:shape style="position:absolute;margin-left:72.024002pt;margin-top:5.493312pt;width:31.55pt;height:13.3pt;mso-position-horizontal-relative:page;mso-position-vertical-relative:paragraph;z-index:15836672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  <w:rPr>
                      <w:rFonts w:ascii="Cambria Math" w:hAnsi="Cambria Math"/>
                    </w:rPr>
                  </w:pPr>
                  <w:r>
                    <w:rPr/>
                    <w:t>Min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Cambria Math" w:hAnsi="Cambria Math"/>
                      <w:position w:val="1"/>
                    </w:rPr>
                    <w:t>∑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/>
          <w:w w:val="108"/>
          <w:sz w:val="17"/>
        </w:rPr>
        <w:t>∞</w:t>
      </w:r>
    </w:p>
    <w:p>
      <w:pPr>
        <w:spacing w:line="172" w:lineRule="exact" w:before="0"/>
        <w:ind w:left="113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𝑡=0</w:t>
      </w:r>
    </w:p>
    <w:p>
      <w:pPr>
        <w:pStyle w:val="BodyText"/>
        <w:spacing w:before="96"/>
        <w:ind w:left="-2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𝜋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27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13"/>
          <w:vertAlign w:val="baseline"/>
        </w:rPr>
        <w:t> </w:t>
      </w:r>
      <w:r>
        <w:rPr>
          <w:rFonts w:ascii="Cambria Math" w:eastAsia="Cambria Math"/>
          <w:vertAlign w:val="baseline"/>
        </w:rPr>
        <w:t>0.5𝑦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25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13"/>
          <w:vertAlign w:val="baseline"/>
        </w:rPr>
        <w:t> </w:t>
      </w:r>
      <w:r>
        <w:rPr>
          <w:rFonts w:ascii="Cambria Math" w:eastAsia="Cambria Math"/>
          <w:vertAlign w:val="baseline"/>
        </w:rPr>
        <w:t>0.5𝑔</w:t>
      </w:r>
      <w:r>
        <w:rPr>
          <w:rFonts w:ascii="Cambria Math" w:eastAsia="Cambria Math"/>
          <w:vertAlign w:val="superscript"/>
        </w:rPr>
        <w:t>2</w:t>
      </w:r>
    </w:p>
    <w:p>
      <w:pPr>
        <w:pStyle w:val="BodyText"/>
        <w:spacing w:before="100"/>
        <w:ind w:left="1131"/>
      </w:pPr>
      <w:r>
        <w:rPr/>
        <w:br w:type="column"/>
      </w:r>
      <w:r>
        <w:rPr/>
        <w:t>(4.145)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3" w:equalWidth="0">
            <w:col w:w="1435" w:space="40"/>
            <w:col w:w="2010" w:space="4178"/>
            <w:col w:w="2697"/>
          </w:cols>
        </w:sect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360" w:lineRule="auto" w:before="90"/>
        <w:ind w:left="500" w:right="502"/>
      </w:pPr>
      <w:r>
        <w:rPr/>
        <w:t>Subject</w:t>
      </w:r>
      <w:r>
        <w:rPr>
          <w:spacing w:val="36"/>
        </w:rPr>
        <w:t> </w:t>
      </w:r>
      <w:r>
        <w:rPr/>
        <w:t>to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structural</w:t>
      </w:r>
      <w:r>
        <w:rPr>
          <w:spacing w:val="37"/>
        </w:rPr>
        <w:t> </w:t>
      </w:r>
      <w:r>
        <w:rPr/>
        <w:t>constraints</w:t>
      </w:r>
      <w:r>
        <w:rPr>
          <w:spacing w:val="37"/>
        </w:rPr>
        <w:t> </w:t>
      </w:r>
      <w:r>
        <w:rPr/>
        <w:t>that</w:t>
      </w:r>
      <w:r>
        <w:rPr>
          <w:spacing w:val="37"/>
        </w:rPr>
        <w:t> </w:t>
      </w:r>
      <w:r>
        <w:rPr/>
        <w:t>includes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open</w:t>
      </w:r>
      <w:r>
        <w:rPr>
          <w:spacing w:val="37"/>
        </w:rPr>
        <w:t> </w:t>
      </w:r>
      <w:r>
        <w:rPr/>
        <w:t>economy</w:t>
      </w:r>
      <w:r>
        <w:rPr>
          <w:spacing w:val="32"/>
        </w:rPr>
        <w:t> </w:t>
      </w:r>
      <w:r>
        <w:rPr/>
        <w:t>Dynamic</w:t>
      </w:r>
      <w:r>
        <w:rPr>
          <w:spacing w:val="38"/>
        </w:rPr>
        <w:t> </w:t>
      </w:r>
      <w:r>
        <w:rPr/>
        <w:t>IS</w:t>
      </w:r>
      <w:r>
        <w:rPr>
          <w:spacing w:val="37"/>
        </w:rPr>
        <w:t> </w:t>
      </w:r>
      <w:r>
        <w:rPr/>
        <w:t>curve,</w:t>
      </w:r>
      <w:r>
        <w:rPr>
          <w:spacing w:val="36"/>
        </w:rPr>
        <w:t> </w:t>
      </w:r>
      <w:r>
        <w:rPr/>
        <w:t>New</w:t>
      </w:r>
      <w:r>
        <w:rPr>
          <w:spacing w:val="-57"/>
        </w:rPr>
        <w:t> </w:t>
      </w:r>
      <w:r>
        <w:rPr/>
        <w:t>Keynesian</w:t>
      </w:r>
      <w:r>
        <w:rPr>
          <w:spacing w:val="-1"/>
        </w:rPr>
        <w:t> </w:t>
      </w:r>
      <w:r>
        <w:rPr/>
        <w:t>Philips Curve</w:t>
      </w:r>
      <w:r>
        <w:rPr>
          <w:spacing w:val="-2"/>
        </w:rPr>
        <w:t> </w:t>
      </w:r>
      <w:r>
        <w:rPr/>
        <w:t>and Fiscal</w:t>
      </w:r>
      <w:r>
        <w:rPr>
          <w:spacing w:val="2"/>
        </w:rPr>
        <w:t> </w:t>
      </w:r>
      <w:r>
        <w:rPr/>
        <w:t>Policy</w:t>
      </w:r>
      <w:r>
        <w:rPr>
          <w:spacing w:val="-6"/>
        </w:rPr>
        <w:t> </w:t>
      </w:r>
      <w:r>
        <w:rPr/>
        <w:t>decision. These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form:</w:t>
      </w:r>
    </w:p>
    <w:p>
      <w:pPr>
        <w:pStyle w:val="BodyText"/>
        <w:spacing w:before="3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86"/>
        <w:ind w:left="500"/>
        <w:rPr>
          <w:rFonts w:ascii="Cambria Math" w:hAnsi="Cambria Math" w:eastAsia="Cambria Math"/>
        </w:rPr>
      </w:pPr>
      <w:r>
        <w:rPr>
          <w:w w:val="99"/>
        </w:rPr>
        <w:t>NK</w:t>
      </w:r>
      <w:r>
        <w:rPr>
          <w:spacing w:val="-1"/>
        </w:rPr>
        <w:t> </w:t>
      </w:r>
      <w:r>
        <w:rPr>
          <w:w w:val="99"/>
        </w:rPr>
        <w:t>P</w:t>
      </w:r>
      <w:r>
        <w:rPr/>
        <w:t>hil</w:t>
      </w:r>
      <w:r>
        <w:rPr>
          <w:w w:val="99"/>
        </w:rPr>
        <w:t>ips</w:t>
      </w:r>
      <w:r>
        <w:rPr/>
        <w:t> </w:t>
      </w:r>
      <w:r>
        <w:rPr>
          <w:spacing w:val="1"/>
        </w:rPr>
        <w:t>C</w:t>
      </w:r>
      <w:r>
        <w:rPr/>
        <w:t>urv</w:t>
      </w:r>
      <w:r>
        <w:rPr>
          <w:spacing w:val="-2"/>
        </w:rPr>
        <w:t>e</w:t>
      </w:r>
      <w:r>
        <w:rPr/>
        <w:t>:</w:t>
      </w:r>
      <w:r>
        <w:rPr>
          <w:spacing w:val="1"/>
        </w:rPr>
        <w:t> </w:t>
      </w:r>
      <w:r>
        <w:rPr>
          <w:rFonts w:ascii="Cambria Math" w:hAnsi="Cambria Math" w:eastAsia="Cambria Math"/>
          <w:spacing w:val="-1"/>
        </w:rPr>
        <w:t>𝜋</w:t>
      </w:r>
      <w:r>
        <w:rPr>
          <w:rFonts w:ascii="Cambria Math" w:hAnsi="Cambria Math" w:eastAsia="Cambria Math"/>
          <w:spacing w:val="5"/>
          <w:w w:val="110"/>
          <w:vertAlign w:val="subscript"/>
        </w:rPr>
        <w:t>𝐷</w:t>
      </w:r>
      <w:r>
        <w:rPr>
          <w:rFonts w:ascii="Cambria Math" w:hAnsi="Cambria Math" w:eastAsia="Cambria Math"/>
          <w:spacing w:val="1"/>
          <w:w w:val="106"/>
          <w:vertAlign w:val="subscript"/>
        </w:rPr>
        <w:t>,</w:t>
      </w:r>
      <w:r>
        <w:rPr>
          <w:rFonts w:ascii="Cambria Math" w:hAnsi="Cambria Math" w:eastAsia="Cambria Math"/>
          <w:w w:val="119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 </w:t>
      </w:r>
      <w:r>
        <w:rPr>
          <w:rFonts w:ascii="Cambria Math" w:hAnsi="Cambria Math" w:eastAsia="Cambria Math"/>
          <w:spacing w:val="-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spacing w:val="1"/>
          <w:vertAlign w:val="baseline"/>
        </w:rPr>
        <w:t>βE</w:t>
      </w:r>
      <w:r>
        <w:rPr>
          <w:rFonts w:ascii="Cambria Math" w:hAnsi="Cambria Math" w:eastAsia="Cambria Math"/>
          <w:w w:val="123"/>
          <w:vertAlign w:val="subscript"/>
        </w:rPr>
        <w:t>t</w:t>
      </w:r>
      <w:r>
        <w:rPr>
          <w:rFonts w:ascii="Cambria Math" w:hAnsi="Cambria Math" w:eastAsia="Cambria Math"/>
          <w:spacing w:val="-5"/>
          <w:vertAlign w:val="baseline"/>
        </w:rPr>
        <w:t> </w:t>
      </w:r>
      <w:r>
        <w:rPr>
          <w:rFonts w:ascii="Cambria Math" w:hAnsi="Cambria Math" w:eastAsia="Cambria Math"/>
          <w:spacing w:val="-2"/>
          <w:w w:val="101"/>
          <w:vertAlign w:val="baseline"/>
        </w:rPr>
        <w:t>[</w:t>
      </w:r>
      <w:r>
        <w:rPr>
          <w:rFonts w:ascii="Cambria Math" w:hAnsi="Cambria Math" w:eastAsia="Cambria Math"/>
          <w:spacing w:val="-1"/>
          <w:vertAlign w:val="baseline"/>
        </w:rPr>
        <w:t>𝜋</w:t>
      </w:r>
      <w:r>
        <w:rPr>
          <w:rFonts w:ascii="Cambria Math" w:hAnsi="Cambria Math" w:eastAsia="Cambria Math"/>
          <w:spacing w:val="2"/>
          <w:w w:val="110"/>
          <w:vertAlign w:val="subscript"/>
        </w:rPr>
        <w:t>𝐷</w:t>
      </w:r>
      <w:r>
        <w:rPr>
          <w:rFonts w:ascii="Cambria Math" w:hAnsi="Cambria Math" w:eastAsia="Cambria Math"/>
          <w:spacing w:val="1"/>
          <w:w w:val="106"/>
          <w:vertAlign w:val="subscript"/>
        </w:rPr>
        <w:t>,</w:t>
      </w:r>
      <w:r>
        <w:rPr>
          <w:rFonts w:ascii="Cambria Math" w:hAnsi="Cambria Math" w:eastAsia="Cambria Math"/>
          <w:spacing w:val="4"/>
          <w:w w:val="119"/>
          <w:vertAlign w:val="subscript"/>
        </w:rPr>
        <w:t>𝑡</w:t>
      </w:r>
      <w:r>
        <w:rPr>
          <w:rFonts w:ascii="Cambria Math" w:hAnsi="Cambria Math" w:eastAsia="Cambria Math"/>
          <w:w w:val="103"/>
          <w:vertAlign w:val="subscript"/>
        </w:rPr>
        <w:t>+</w:t>
      </w:r>
      <w:r>
        <w:rPr>
          <w:rFonts w:ascii="Cambria Math" w:hAnsi="Cambria Math" w:eastAsia="Cambria Math"/>
          <w:spacing w:val="9"/>
          <w:w w:val="111"/>
          <w:vertAlign w:val="subscript"/>
        </w:rPr>
        <w:t>1</w:t>
      </w:r>
      <w:r>
        <w:rPr>
          <w:rFonts w:ascii="Cambria Math" w:hAnsi="Cambria Math" w:eastAsia="Cambria Math"/>
          <w:w w:val="101"/>
          <w:vertAlign w:val="baseline"/>
        </w:rPr>
        <w:t>]</w:t>
      </w:r>
      <w:r>
        <w:rPr>
          <w:rFonts w:ascii="Cambria Math" w:hAnsi="Cambria Math" w:eastAsia="Cambria Math"/>
          <w:spacing w:val="-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 </w:t>
      </w:r>
      <w:r>
        <w:rPr>
          <w:rFonts w:ascii="Cambria Math" w:hAnsi="Cambria Math" w:eastAsia="Cambria Math"/>
          <w:spacing w:val="8"/>
          <w:vertAlign w:val="baseline"/>
        </w:rPr>
        <w:t>k</w:t>
      </w:r>
      <w:r>
        <w:rPr>
          <w:rFonts w:ascii="Cambria Math" w:hAnsi="Cambria Math" w:eastAsia="Cambria Math"/>
          <w:spacing w:val="10"/>
          <w:w w:val="121"/>
          <w:vertAlign w:val="subscript"/>
        </w:rPr>
        <w:t>α</w:t>
      </w:r>
      <w:r>
        <w:rPr>
          <w:rFonts w:ascii="Cambria Math" w:hAnsi="Cambria Math" w:eastAsia="Cambria Math"/>
          <w:spacing w:val="-94"/>
          <w:vertAlign w:val="baseline"/>
        </w:rPr>
        <w:t>𝑦</w:t>
      </w:r>
      <w:r>
        <w:rPr>
          <w:rFonts w:ascii="Cambria Math" w:hAnsi="Cambria Math" w:eastAsia="Cambria Math"/>
          <w:spacing w:val="-50"/>
          <w:vertAlign w:val="baseline"/>
        </w:rPr>
        <w:t>̃</w:t>
      </w:r>
      <w:r>
        <w:rPr>
          <w:rFonts w:ascii="Cambria Math" w:hAnsi="Cambria Math" w:eastAsia="Cambria Math"/>
          <w:w w:val="119"/>
          <w:vertAlign w:val="subscript"/>
        </w:rPr>
        <w:t>𝑡</w:t>
      </w:r>
    </w:p>
    <w:p>
      <w:pPr>
        <w:pStyle w:val="BodyText"/>
        <w:spacing w:before="90"/>
        <w:ind w:left="500"/>
      </w:pPr>
      <w:r>
        <w:rPr/>
        <w:br w:type="column"/>
      </w:r>
      <w:r>
        <w:rPr/>
        <w:t>(4.134)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2" w:equalWidth="0">
            <w:col w:w="5011" w:space="3271"/>
            <w:col w:w="2078"/>
          </w:cols>
        </w:sect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0"/>
        <w:ind w:left="500"/>
      </w:pPr>
      <w:r>
        <w:rPr/>
        <w:t>Where</w:t>
      </w: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241"/>
        <w:ind w:left="50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k</w:t>
      </w:r>
      <w:r>
        <w:rPr>
          <w:rFonts w:ascii="Cambria Math" w:hAnsi="Cambria Math" w:eastAsia="Cambria Math"/>
          <w:vertAlign w:val="subscript"/>
        </w:rPr>
        <w:t>α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λ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𝜎</w:t>
      </w:r>
      <w:r>
        <w:rPr>
          <w:rFonts w:ascii="Cambria Math" w:hAnsi="Cambria Math" w:eastAsia="Cambria Math"/>
          <w:vertAlign w:val="subscript"/>
        </w:rPr>
        <w:t>𝛼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/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3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</w:p>
    <w:p>
      <w:pPr>
        <w:pStyle w:val="BodyText"/>
        <w:spacing w:line="237" w:lineRule="exact" w:before="58"/>
        <w:ind w:left="25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3"/>
        </w:rPr>
        <w:t> </w:t>
      </w:r>
      <w:r>
        <w:rPr>
          <w:rFonts w:ascii="Cambria Math" w:hAnsi="Cambria Math"/>
        </w:rPr>
        <w:t>θ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</w:rPr>
        <w:t>(1 −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βθ)</w:t>
      </w:r>
    </w:p>
    <w:p>
      <w:pPr>
        <w:pStyle w:val="BodyText"/>
        <w:tabs>
          <w:tab w:pos="1698" w:val="left" w:leader="none"/>
        </w:tabs>
        <w:spacing w:line="192" w:lineRule="auto"/>
        <w:ind w:left="774"/>
        <w:rPr>
          <w:rFonts w:ascii="Cambria Math" w:hAnsi="Cambria Math" w:eastAsia="Cambria Math"/>
        </w:rPr>
      </w:pPr>
      <w:r>
        <w:rPr/>
        <w:pict>
          <v:rect style="position:absolute;margin-left:167.179993pt;margin-top:7.38186pt;width:81.624pt;height:.84pt;mso-position-horizontal-relative:page;mso-position-vertical-relative:paragraph;z-index:-2135961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15"/>
        </w:rPr>
        <w:t>θ</w:t>
        <w:tab/>
      </w:r>
      <w:r>
        <w:rPr>
          <w:rFonts w:ascii="Cambria Math" w:hAnsi="Cambria Math" w:eastAsia="Cambria Math"/>
          <w:w w:val="95"/>
          <w:position w:val="1"/>
        </w:rPr>
        <w:t>(</w:t>
      </w:r>
      <w:r>
        <w:rPr>
          <w:rFonts w:ascii="Cambria Math" w:hAnsi="Cambria Math" w:eastAsia="Cambria Math"/>
          <w:w w:val="95"/>
        </w:rPr>
        <w:t>𝜎</w:t>
      </w:r>
      <w:r>
        <w:rPr>
          <w:rFonts w:ascii="Cambria Math" w:hAnsi="Cambria Math" w:eastAsia="Cambria Math"/>
          <w:w w:val="95"/>
          <w:vertAlign w:val="subscript"/>
        </w:rPr>
        <w:t>𝛼</w:t>
      </w:r>
      <w:r>
        <w:rPr>
          <w:rFonts w:ascii="Cambria Math" w:hAnsi="Cambria Math" w:eastAsia="Cambria Math"/>
          <w:spacing w:val="6"/>
          <w:w w:val="95"/>
          <w:vertAlign w:val="baseline"/>
        </w:rPr>
        <w:t> </w:t>
      </w:r>
      <w:r>
        <w:rPr>
          <w:rFonts w:ascii="Cambria Math" w:hAnsi="Cambria Math" w:eastAsia="Cambria Math"/>
          <w:w w:val="95"/>
          <w:vertAlign w:val="baseline"/>
        </w:rPr>
        <w:t>+</w:t>
      </w:r>
      <w:r>
        <w:rPr>
          <w:rFonts w:ascii="Cambria Math" w:hAnsi="Cambria Math" w:eastAsia="Cambria Math"/>
          <w:spacing w:val="-4"/>
          <w:w w:val="95"/>
          <w:vertAlign w:val="baseline"/>
        </w:rPr>
        <w:t> </w:t>
      </w:r>
      <w:r>
        <w:rPr>
          <w:rFonts w:ascii="Cambria Math" w:hAnsi="Cambria Math" w:eastAsia="Cambria Math"/>
          <w:w w:val="95"/>
          <w:vertAlign w:val="baseline"/>
        </w:rPr>
        <w:t/>
      </w:r>
      <w:r>
        <w:rPr>
          <w:rFonts w:ascii="Cambria Math" w:hAnsi="Cambria Math" w:eastAsia="Cambria Math"/>
          <w:w w:val="95"/>
          <w:position w:val="1"/>
          <w:vertAlign w:val="baseline"/>
        </w:rPr>
        <w:t>)</w:t>
      </w:r>
    </w:p>
    <w:p>
      <w:pPr>
        <w:spacing w:after="0" w:line="192" w:lineRule="auto"/>
        <w:rPr>
          <w:rFonts w:ascii="Cambria Math" w:hAnsi="Cambria Math" w:eastAsia="Cambria Math"/>
        </w:rPr>
        <w:sectPr>
          <w:type w:val="continuous"/>
          <w:pgSz w:w="12240" w:h="15840"/>
          <w:pgMar w:top="1500" w:bottom="1120" w:left="940" w:right="940"/>
          <w:cols w:num="2" w:equalWidth="0">
            <w:col w:w="2339" w:space="40"/>
            <w:col w:w="7981"/>
          </w:cols>
        </w:sectPr>
      </w:pPr>
    </w:p>
    <w:p>
      <w:pPr>
        <w:pStyle w:val="BodyText"/>
        <w:spacing w:before="2"/>
        <w:rPr>
          <w:rFonts w:ascii="Cambria Math"/>
          <w:sz w:val="17"/>
        </w:rPr>
      </w:pPr>
    </w:p>
    <w:p>
      <w:pPr>
        <w:spacing w:after="0"/>
        <w:rPr>
          <w:rFonts w:ascii="Cambria Math"/>
          <w:sz w:val="17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line="143" w:lineRule="exact" w:before="147"/>
        <w:ind w:left="500"/>
        <w:rPr>
          <w:rFonts w:ascii="Cambria Math" w:hAnsi="Cambria Math" w:eastAsia="Cambria Math"/>
        </w:rPr>
      </w:pPr>
      <w:r>
        <w:rPr>
          <w:spacing w:val="-4"/>
          <w:w w:val="99"/>
        </w:rPr>
        <w:t>I</w:t>
      </w:r>
      <w:r>
        <w:rPr>
          <w:w w:val="99"/>
        </w:rPr>
        <w:t>S</w:t>
      </w:r>
      <w:r>
        <w:rPr/>
        <w:t> Curv</w:t>
      </w:r>
      <w:r>
        <w:rPr>
          <w:spacing w:val="-2"/>
        </w:rPr>
        <w:t>e</w:t>
      </w:r>
      <w:r>
        <w:rPr>
          <w:spacing w:val="3"/>
        </w:rPr>
        <w:t>:</w:t>
      </w:r>
      <w:r>
        <w:rPr>
          <w:rFonts w:ascii="Cambria Math" w:hAnsi="Cambria Math" w:eastAsia="Cambria Math"/>
          <w:spacing w:val="-94"/>
        </w:rPr>
        <w:t>𝑦</w:t>
      </w:r>
      <w:r>
        <w:rPr>
          <w:rFonts w:ascii="Cambria Math" w:hAnsi="Cambria Math" w:eastAsia="Cambria Math"/>
        </w:rPr>
        <w:t>̃  =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</w:rPr>
        <w:t>𝐸</w:t>
      </w:r>
      <w:r>
        <w:rPr>
          <w:rFonts w:ascii="Cambria Math" w:hAnsi="Cambria Math" w:eastAsia="Cambria Math"/>
          <w:spacing w:val="22"/>
        </w:rPr>
        <w:t> </w:t>
      </w:r>
      <w:r>
        <w:rPr>
          <w:rFonts w:ascii="Cambria Math" w:hAnsi="Cambria Math" w:eastAsia="Cambria Math"/>
          <w:spacing w:val="-101"/>
        </w:rPr>
        <w:t>𝑦</w:t>
      </w:r>
      <w:r>
        <w:rPr>
          <w:rFonts w:ascii="Cambria Math" w:hAnsi="Cambria Math" w:eastAsia="Cambria Math"/>
        </w:rPr>
        <w:t>̃</w:t>
      </w:r>
    </w:p>
    <w:p>
      <w:pPr>
        <w:pStyle w:val="BodyText"/>
        <w:spacing w:line="217" w:lineRule="exact" w:before="73"/>
        <w:ind w:left="324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52"/>
        </w:rPr>
        <w:t> </w:t>
      </w:r>
      <w:r>
        <w:rPr>
          <w:rFonts w:ascii="Cambria Math" w:hAnsi="Cambria Math" w:eastAsia="Cambria Math"/>
          <w:position w:val="14"/>
          <w:sz w:val="17"/>
        </w:rPr>
        <w:t>1</w:t>
      </w:r>
      <w:r>
        <w:rPr>
          <w:rFonts w:ascii="Cambria Math" w:hAnsi="Cambria Math" w:eastAsia="Cambria Math"/>
          <w:spacing w:val="57"/>
          <w:position w:val="14"/>
          <w:sz w:val="17"/>
        </w:rPr>
        <w:t> </w:t>
      </w:r>
      <w:r>
        <w:rPr>
          <w:rFonts w:ascii="Cambria Math" w:hAnsi="Cambria Math" w:eastAsia="Cambria Math"/>
        </w:rPr>
        <w:t>(𝑟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-2"/>
        </w:rPr>
        <w:t> </w:t>
      </w:r>
      <w:r>
        <w:rPr>
          <w:rFonts w:ascii="Cambria Math" w:hAnsi="Cambria Math" w:eastAsia="Cambria Math"/>
        </w:rPr>
        <w:t>𝐸</w:t>
      </w:r>
      <w:r>
        <w:rPr>
          <w:rFonts w:ascii="Cambria Math" w:hAnsi="Cambria Math" w:eastAsia="Cambria Math"/>
          <w:spacing w:val="24"/>
        </w:rPr>
        <w:t> </w:t>
      </w:r>
      <w:r>
        <w:rPr>
          <w:rFonts w:ascii="Cambria Math" w:hAnsi="Cambria Math" w:eastAsia="Cambria Math"/>
        </w:rPr>
        <w:t>Π</w:t>
      </w:r>
    </w:p>
    <w:p>
      <w:pPr>
        <w:pStyle w:val="BodyText"/>
        <w:spacing w:line="20" w:lineRule="exact"/>
        <w:ind w:left="557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0.35pt;height:.85pt;mso-position-horizontal-relative:char;mso-position-vertical-relative:line" coordorigin="0,0" coordsize="207,17">
            <v:rect style="position:absolute;left:0;top:0;width:207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tabs>
          <w:tab w:pos="4606" w:val="left" w:leader="none"/>
        </w:tabs>
        <w:spacing w:line="143" w:lineRule="exact" w:before="147"/>
        <w:ind w:left="484"/>
      </w:pPr>
      <w:r>
        <w:rPr/>
        <w:br w:type="column"/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</w:rPr>
        <w:t>𝑟</w:t>
      </w:r>
      <w:r>
        <w:rPr>
          <w:rFonts w:ascii="Cambria Math" w:hAnsi="Cambria Math" w:eastAsia="Cambria Math"/>
          <w:spacing w:val="18"/>
        </w:rPr>
        <w:t> </w:t>
      </w:r>
      <w:r>
        <w:rPr>
          <w:rFonts w:ascii="Cambria Math" w:hAnsi="Cambria Math" w:eastAsia="Cambria Math"/>
          <w:vertAlign w:val="superscript"/>
        </w:rPr>
        <w:t>𝑛</w:t>
      </w:r>
      <w:r>
        <w:rPr>
          <w:rFonts w:ascii="Cambria Math" w:hAnsi="Cambria Math" w:eastAsia="Cambria Math"/>
          <w:vertAlign w:val="baseline"/>
        </w:rPr>
        <w:t>)</w:t>
        <w:tab/>
      </w:r>
      <w:r>
        <w:rPr>
          <w:vertAlign w:val="baseline"/>
        </w:rPr>
        <w:t>(4.119)</w:t>
      </w:r>
    </w:p>
    <w:p>
      <w:pPr>
        <w:spacing w:after="0" w:line="143" w:lineRule="exact"/>
        <w:sectPr>
          <w:type w:val="continuous"/>
          <w:pgSz w:w="12240" w:h="15840"/>
          <w:pgMar w:top="1500" w:bottom="1120" w:left="940" w:right="940"/>
          <w:cols w:num="3" w:equalWidth="0">
            <w:col w:w="2311" w:space="40"/>
            <w:col w:w="1707" w:space="39"/>
            <w:col w:w="6263"/>
          </w:cols>
        </w:sectPr>
      </w:pPr>
    </w:p>
    <w:p>
      <w:pPr>
        <w:tabs>
          <w:tab w:pos="539" w:val="left" w:leader="none"/>
        </w:tabs>
        <w:spacing w:line="151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</w:t>
        <w:tab/>
        <w:t>𝑡</w:t>
      </w:r>
    </w:p>
    <w:p>
      <w:pPr>
        <w:spacing w:line="151" w:lineRule="exact" w:before="0"/>
        <w:ind w:left="100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z w:val="17"/>
        </w:rPr>
        <w:t>𝑡+1</w:t>
      </w:r>
    </w:p>
    <w:p>
      <w:pPr>
        <w:spacing w:before="23"/>
        <w:ind w:left="255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pacing w:val="-6"/>
          <w:w w:val="115"/>
          <w:sz w:val="17"/>
        </w:rPr>
        <w:t>𝜎</w:t>
      </w:r>
      <w:r>
        <w:rPr>
          <w:rFonts w:ascii="Cambria Math" w:eastAsia="Cambria Math"/>
          <w:spacing w:val="-6"/>
          <w:w w:val="115"/>
          <w:position w:val="-2"/>
          <w:sz w:val="14"/>
        </w:rPr>
        <w:t>𝛼</w:t>
      </w:r>
    </w:p>
    <w:p>
      <w:pPr>
        <w:tabs>
          <w:tab w:pos="1754" w:val="left" w:leader="none"/>
        </w:tabs>
        <w:spacing w:line="151" w:lineRule="exact" w:before="0"/>
        <w:ind w:left="655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𝑡   </w:t>
      </w:r>
      <w:r>
        <w:rPr>
          <w:rFonts w:ascii="Cambria Math" w:eastAsia="Cambria Math"/>
          <w:spacing w:val="23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𝐷,𝑡+1</w:t>
        <w:tab/>
        <w:t>𝑡</w:t>
      </w:r>
    </w:p>
    <w:p>
      <w:pPr>
        <w:spacing w:after="0" w:line="151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4" w:equalWidth="0">
            <w:col w:w="2170" w:space="40"/>
            <w:col w:w="404" w:space="39"/>
            <w:col w:w="456" w:space="39"/>
            <w:col w:w="7212"/>
          </w:cols>
        </w:sectPr>
      </w:pPr>
    </w:p>
    <w:p>
      <w:pPr>
        <w:pStyle w:val="BodyText"/>
        <w:rPr>
          <w:rFonts w:ascii="Cambria Math"/>
          <w:sz w:val="19"/>
        </w:rPr>
      </w:pPr>
    </w:p>
    <w:p>
      <w:pPr>
        <w:pStyle w:val="BodyText"/>
        <w:tabs>
          <w:tab w:pos="8741" w:val="left" w:leader="none"/>
        </w:tabs>
        <w:spacing w:line="217" w:lineRule="exact" w:before="73" w:after="8"/>
        <w:ind w:left="500"/>
      </w:pPr>
      <w:r>
        <w:rPr/>
        <w:t>Rent seeking government:</w:t>
      </w:r>
      <w:r>
        <w:rPr>
          <w:spacing w:val="2"/>
        </w:rPr>
        <w:t> </w:t>
      </w:r>
      <w:r>
        <w:rPr>
          <w:rFonts w:ascii="Cambria Math" w:eastAsia="Cambria Math"/>
        </w:rPr>
        <w:t>𝑔</w:t>
      </w:r>
      <w:r>
        <w:rPr>
          <w:rFonts w:ascii="Cambria Math" w:eastAsia="Cambria Math"/>
          <w:spacing w:val="94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  <w:position w:val="14"/>
          <w:sz w:val="17"/>
        </w:rPr>
        <w:t>1</w:t>
      </w:r>
      <w:r>
        <w:rPr>
          <w:rFonts w:ascii="Cambria Math" w:eastAsia="Cambria Math"/>
          <w:spacing w:val="3"/>
          <w:position w:val="14"/>
          <w:sz w:val="17"/>
        </w:rPr>
        <w:t> 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𝑟𝑛</w:t>
      </w:r>
      <w:r>
        <w:rPr>
          <w:rFonts w:ascii="Cambria Math" w:eastAsia="Cambria Math"/>
          <w:spacing w:val="34"/>
        </w:rPr>
        <w:t> </w:t>
      </w:r>
      <w:r>
        <w:rPr>
          <w:rFonts w:ascii="Cambria Math" w:eastAsia="Cambria Math"/>
          <w:position w:val="1"/>
        </w:rPr>
        <w:t>)</w:t>
        <w:tab/>
      </w:r>
      <w:r>
        <w:rPr/>
        <w:t>(4.99)</w:t>
      </w:r>
    </w:p>
    <w:p>
      <w:pPr>
        <w:pStyle w:val="BodyText"/>
        <w:spacing w:line="20" w:lineRule="exact"/>
        <w:ind w:left="3621"/>
        <w:rPr>
          <w:sz w:val="2"/>
        </w:rPr>
      </w:pPr>
      <w:r>
        <w:rPr>
          <w:sz w:val="2"/>
        </w:rPr>
        <w:pict>
          <v:group style="width:4.95pt;height:.85pt;mso-position-horizontal-relative:char;mso-position-vertical-relative:line" coordorigin="0,0" coordsize="99,17">
            <v:rect style="position:absolute;left:0;top:0;width:99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3620" w:val="left" w:leader="none"/>
          <w:tab w:pos="4112" w:val="left" w:leader="none"/>
        </w:tabs>
        <w:spacing w:line="153" w:lineRule="auto" w:before="0"/>
        <w:ind w:left="3220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𝑡</w:t>
        <w:tab/>
      </w:r>
      <w:r>
        <w:rPr>
          <w:rFonts w:ascii="Cambria Math" w:eastAsia="Cambria Math"/>
          <w:w w:val="80"/>
          <w:position w:val="-6"/>
          <w:sz w:val="17"/>
        </w:rPr>
        <w:t/>
        <w:tab/>
      </w:r>
      <w:r>
        <w:rPr>
          <w:rFonts w:ascii="Cambria Math" w:eastAsia="Cambria Math"/>
          <w:sz w:val="17"/>
        </w:rPr>
        <w:t>𝑡</w:t>
      </w:r>
    </w:p>
    <w:p>
      <w:pPr>
        <w:pStyle w:val="BodyText"/>
        <w:spacing w:before="11"/>
        <w:rPr>
          <w:rFonts w:ascii="Cambria Math"/>
          <w:sz w:val="20"/>
        </w:rPr>
      </w:pPr>
    </w:p>
    <w:p>
      <w:pPr>
        <w:spacing w:after="0"/>
        <w:rPr>
          <w:rFonts w:ascii="Cambria Math"/>
          <w:sz w:val="20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128"/>
        <w:ind w:left="500"/>
        <w:rPr>
          <w:rFonts w:ascii="Cambria Math" w:eastAsia="Cambria Math"/>
        </w:rPr>
      </w:pPr>
      <w:r>
        <w:rPr/>
        <w:t>Benevolent</w:t>
      </w:r>
      <w:r>
        <w:rPr>
          <w:spacing w:val="60"/>
        </w:rPr>
        <w:t> </w:t>
      </w:r>
      <w:r>
        <w:rPr/>
        <w:t>Government:</w:t>
      </w:r>
      <w:r>
        <w:rPr>
          <w:spacing w:val="1"/>
        </w:rPr>
        <w:t> </w:t>
      </w:r>
      <w:r>
        <w:rPr>
          <w:rFonts w:ascii="Cambria Math" w:eastAsia="Cambria Math"/>
          <w:spacing w:val="-80"/>
        </w:rPr>
        <w:t>𝑔</w:t>
      </w:r>
      <w:r>
        <w:rPr>
          <w:rFonts w:ascii="Cambria Math" w:eastAsia="Cambria Math"/>
          <w:spacing w:val="-80"/>
          <w:vertAlign w:val="subscript"/>
        </w:rPr>
        <w:t>𝑡</w:t>
      </w:r>
    </w:p>
    <w:p>
      <w:pPr>
        <w:pStyle w:val="BodyText"/>
        <w:spacing w:before="128"/>
        <w:ind w:left="40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1"/>
          <w:w w:val="105"/>
        </w:rPr>
        <w:t> </w:t>
      </w:r>
      <w:r>
        <w:rPr>
          <w:rFonts w:ascii="Cambria Math" w:eastAsia="Cambria Math"/>
          <w:spacing w:val="-69"/>
          <w:w w:val="105"/>
        </w:rPr>
        <w:t>𝜌</w:t>
      </w:r>
      <w:r>
        <w:rPr>
          <w:rFonts w:ascii="Cambria Math" w:eastAsia="Cambria Math"/>
          <w:spacing w:val="-69"/>
          <w:w w:val="105"/>
          <w:vertAlign w:val="subscript"/>
        </w:rPr>
        <w:t>𝑔</w:t>
      </w:r>
    </w:p>
    <w:p>
      <w:pPr>
        <w:spacing w:before="126"/>
        <w:ind w:left="-26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position w:val="5"/>
          <w:sz w:val="24"/>
        </w:rPr>
        <w:t>𝑔</w:t>
      </w:r>
      <w:r>
        <w:rPr>
          <w:rFonts w:ascii="Cambria Math" w:hAnsi="Cambria Math" w:eastAsia="Cambria Math"/>
          <w:sz w:val="17"/>
        </w:rPr>
        <w:t>𝑡−1</w:t>
      </w:r>
    </w:p>
    <w:p>
      <w:pPr>
        <w:pStyle w:val="BodyText"/>
        <w:spacing w:before="128"/>
        <w:ind w:left="22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w w:val="105"/>
        </w:rPr>
        <w:t>+ (1 −</w:t>
      </w:r>
      <w:r>
        <w:rPr>
          <w:rFonts w:ascii="Cambria Math" w:hAnsi="Cambria Math" w:eastAsia="Cambria Math"/>
          <w:spacing w:val="1"/>
          <w:w w:val="105"/>
        </w:rPr>
        <w:t> </w:t>
      </w:r>
      <w:r>
        <w:rPr>
          <w:rFonts w:ascii="Cambria Math" w:hAnsi="Cambria Math" w:eastAsia="Cambria Math"/>
          <w:spacing w:val="-69"/>
          <w:w w:val="105"/>
        </w:rPr>
        <w:t>𝜌</w:t>
      </w:r>
      <w:r>
        <w:rPr>
          <w:rFonts w:ascii="Cambria Math" w:hAnsi="Cambria Math" w:eastAsia="Cambria Math"/>
          <w:spacing w:val="-69"/>
          <w:w w:val="105"/>
          <w:vertAlign w:val="subscript"/>
        </w:rPr>
        <w:t>𝑔</w:t>
      </w:r>
    </w:p>
    <w:p>
      <w:pPr>
        <w:pStyle w:val="BodyText"/>
        <w:spacing w:before="128"/>
        <w:ind w:left="-26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spacing w:val="-1"/>
        </w:rPr>
        <w:t>)(𝑢</w:t>
      </w:r>
      <w:r>
        <w:rPr>
          <w:rFonts w:ascii="Cambria Math" w:eastAsia="Cambria Math"/>
          <w:spacing w:val="-1"/>
          <w:vertAlign w:val="subscript"/>
        </w:rPr>
        <w:t>𝑔</w:t>
      </w:r>
    </w:p>
    <w:p>
      <w:pPr>
        <w:pStyle w:val="BodyText"/>
        <w:tabs>
          <w:tab w:pos="2963" w:val="left" w:leader="none"/>
        </w:tabs>
        <w:spacing w:before="128"/>
        <w:ind w:left="-28"/>
      </w:pPr>
      <w:r>
        <w:rPr/>
        <w:br w:type="column"/>
      </w:r>
      <w:r>
        <w:rPr>
          <w:rFonts w:ascii="Cambria Math" w:eastAsia="Cambria Math"/>
        </w:rPr>
        <w:t>𝑦)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6"/>
        </w:rPr>
        <w:t> </w:t>
      </w:r>
      <w:r>
        <w:rPr>
          <w:rFonts w:ascii="Cambria Math" w:eastAsia="Cambria Math"/>
          <w:spacing w:val="10"/>
        </w:rPr>
        <w:t>𝜀</w:t>
      </w:r>
      <w:r>
        <w:rPr>
          <w:rFonts w:ascii="Cambria Math" w:eastAsia="Cambria Math"/>
          <w:spacing w:val="10"/>
          <w:vertAlign w:val="superscript"/>
        </w:rPr>
        <w:t>𝑔</w:t>
      </w:r>
      <w:r>
        <w:rPr>
          <w:rFonts w:ascii="Cambria Math" w:eastAsia="Cambria Math"/>
          <w:spacing w:val="10"/>
          <w:vertAlign w:val="baseline"/>
        </w:rPr>
        <w:tab/>
      </w:r>
      <w:r>
        <w:rPr>
          <w:vertAlign w:val="baseline"/>
        </w:rPr>
        <w:t>(4.146)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6" w:equalWidth="0">
            <w:col w:w="3195" w:space="40"/>
            <w:col w:w="524" w:space="39"/>
            <w:col w:w="417" w:space="39"/>
            <w:col w:w="1018" w:space="39"/>
            <w:col w:w="407" w:space="40"/>
            <w:col w:w="4602"/>
          </w:cols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Heading3"/>
        <w:numPr>
          <w:ilvl w:val="2"/>
          <w:numId w:val="22"/>
        </w:numPr>
        <w:tabs>
          <w:tab w:pos="1161" w:val="left" w:leader="none"/>
        </w:tabs>
        <w:spacing w:line="240" w:lineRule="auto" w:before="90" w:after="0"/>
        <w:ind w:left="1160" w:right="0" w:hanging="661"/>
        <w:jc w:val="left"/>
      </w:pPr>
      <w:r>
        <w:rPr/>
        <w:pict>
          <v:shape style="position:absolute;margin-left:365.350006pt;margin-top:-20.092329pt;width:3.8pt;height:8.550pt;mso-position-horizontal-relative:page;mso-position-vertical-relative:paragraph;z-index:-21358592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bookmarkStart w:name="_TOC_250019" w:id="41"/>
      <w:r>
        <w:rPr/>
        <w:t>Discretionary</w:t>
      </w:r>
      <w:r>
        <w:rPr>
          <w:spacing w:val="-1"/>
        </w:rPr>
        <w:t> </w:t>
      </w:r>
      <w:bookmarkEnd w:id="41"/>
      <w:r>
        <w:rPr/>
        <w:t>Policy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500" w:right="494"/>
        <w:jc w:val="both"/>
      </w:pPr>
      <w:r>
        <w:rPr/>
        <w:t>The discretionary policymaker is assumed to choose the path of interest rate and government</w:t>
      </w:r>
      <w:r>
        <w:rPr>
          <w:spacing w:val="1"/>
        </w:rPr>
        <w:t> </w:t>
      </w:r>
      <w:r>
        <w:rPr/>
        <w:t>spending in every period t, based on the current state of the economy. This implies that the</w:t>
      </w:r>
      <w:r>
        <w:rPr>
          <w:spacing w:val="1"/>
        </w:rPr>
        <w:t> </w:t>
      </w:r>
      <w:r>
        <w:rPr>
          <w:spacing w:val="-1"/>
        </w:rPr>
        <w:t>discretionary</w:t>
      </w:r>
      <w:r>
        <w:rPr>
          <w:spacing w:val="-15"/>
        </w:rPr>
        <w:t> </w:t>
      </w:r>
      <w:r>
        <w:rPr/>
        <w:t>policymaker</w:t>
      </w:r>
      <w:r>
        <w:rPr>
          <w:spacing w:val="-11"/>
        </w:rPr>
        <w:t> </w:t>
      </w:r>
      <w:r>
        <w:rPr/>
        <w:t>re-optimises</w:t>
      </w:r>
      <w:r>
        <w:rPr>
          <w:spacing w:val="-9"/>
        </w:rPr>
        <w:t> </w:t>
      </w:r>
      <w:r>
        <w:rPr/>
        <w:t>his</w:t>
      </w:r>
      <w:r>
        <w:rPr>
          <w:spacing w:val="-9"/>
        </w:rPr>
        <w:t> </w:t>
      </w:r>
      <w:r>
        <w:rPr/>
        <w:t>objective</w:t>
      </w:r>
      <w:r>
        <w:rPr>
          <w:spacing w:val="-10"/>
        </w:rPr>
        <w:t> </w:t>
      </w:r>
      <w:r>
        <w:rPr/>
        <w:t>function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every</w:t>
      </w:r>
      <w:r>
        <w:rPr>
          <w:spacing w:val="-17"/>
        </w:rPr>
        <w:t> </w:t>
      </w:r>
      <w:r>
        <w:rPr/>
        <w:t>period</w:t>
      </w:r>
      <w:r>
        <w:rPr>
          <w:spacing w:val="-9"/>
        </w:rPr>
        <w:t> </w:t>
      </w:r>
      <w:r>
        <w:rPr/>
        <w:t>t.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optimal</w:t>
      </w:r>
      <w:r>
        <w:rPr>
          <w:spacing w:val="-10"/>
        </w:rPr>
        <w:t> </w:t>
      </w:r>
      <w:r>
        <w:rPr/>
        <w:t>policy</w:t>
      </w:r>
      <w:r>
        <w:rPr>
          <w:spacing w:val="-57"/>
        </w:rPr>
        <w:t> </w:t>
      </w:r>
      <w:r>
        <w:rPr/>
        <w:t>under</w:t>
      </w:r>
      <w:r>
        <w:rPr>
          <w:spacing w:val="31"/>
        </w:rPr>
        <w:t> </w:t>
      </w:r>
      <w:r>
        <w:rPr/>
        <w:t>discretion</w:t>
      </w:r>
      <w:r>
        <w:rPr>
          <w:spacing w:val="31"/>
        </w:rPr>
        <w:t> </w:t>
      </w:r>
      <w:r>
        <w:rPr/>
        <w:t>overcomes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time-inconsistency</w:t>
      </w:r>
      <w:r>
        <w:rPr>
          <w:spacing w:val="29"/>
        </w:rPr>
        <w:t> </w:t>
      </w:r>
      <w:r>
        <w:rPr/>
        <w:t>problem</w:t>
      </w:r>
      <w:r>
        <w:rPr>
          <w:spacing w:val="32"/>
        </w:rPr>
        <w:t> </w:t>
      </w:r>
      <w:r>
        <w:rPr/>
        <w:t>inherent</w:t>
      </w:r>
      <w:r>
        <w:rPr>
          <w:spacing w:val="32"/>
        </w:rPr>
        <w:t> </w:t>
      </w:r>
      <w:r>
        <w:rPr/>
        <w:t>in</w:t>
      </w:r>
      <w:r>
        <w:rPr>
          <w:spacing w:val="31"/>
        </w:rPr>
        <w:t> </w:t>
      </w:r>
      <w:r>
        <w:rPr/>
        <w:t>Ramsey</w:t>
      </w:r>
      <w:r>
        <w:rPr>
          <w:spacing w:val="27"/>
        </w:rPr>
        <w:t> </w:t>
      </w:r>
      <w:r>
        <w:rPr/>
        <w:t>policies.</w:t>
      </w:r>
    </w:p>
    <w:p>
      <w:pPr>
        <w:spacing w:after="0" w:line="360" w:lineRule="auto"/>
        <w:jc w:val="both"/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line="360" w:lineRule="auto" w:before="74"/>
        <w:ind w:left="500" w:right="496"/>
        <w:jc w:val="both"/>
      </w:pPr>
      <w:r>
        <w:rPr/>
        <w:t>Furthermore,</w:t>
      </w:r>
      <w:r>
        <w:rPr>
          <w:spacing w:val="-10"/>
        </w:rPr>
        <w:t> </w:t>
      </w:r>
      <w:r>
        <w:rPr/>
        <w:t>it</w:t>
      </w:r>
      <w:r>
        <w:rPr>
          <w:spacing w:val="-9"/>
        </w:rPr>
        <w:t> </w:t>
      </w:r>
      <w:r>
        <w:rPr/>
        <w:t>mimics</w:t>
      </w:r>
      <w:r>
        <w:rPr>
          <w:spacing w:val="-7"/>
        </w:rPr>
        <w:t> </w:t>
      </w:r>
      <w:r>
        <w:rPr/>
        <w:t>actual</w:t>
      </w:r>
      <w:r>
        <w:rPr>
          <w:spacing w:val="-10"/>
        </w:rPr>
        <w:t> </w:t>
      </w:r>
      <w:r>
        <w:rPr/>
        <w:t>economic</w:t>
      </w:r>
      <w:r>
        <w:rPr>
          <w:spacing w:val="-11"/>
        </w:rPr>
        <w:t> </w:t>
      </w:r>
      <w:r>
        <w:rPr/>
        <w:t>policy</w:t>
      </w:r>
      <w:r>
        <w:rPr>
          <w:spacing w:val="-15"/>
        </w:rPr>
        <w:t> </w:t>
      </w:r>
      <w:r>
        <w:rPr/>
        <w:t>making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real</w:t>
      </w:r>
      <w:r>
        <w:rPr>
          <w:spacing w:val="-7"/>
        </w:rPr>
        <w:t> </w:t>
      </w:r>
      <w:r>
        <w:rPr/>
        <w:t>world</w:t>
      </w:r>
      <w:r>
        <w:rPr>
          <w:spacing w:val="-10"/>
        </w:rPr>
        <w:t> </w:t>
      </w:r>
      <w:r>
        <w:rPr/>
        <w:t>than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Ramsey</w:t>
      </w:r>
      <w:r>
        <w:rPr>
          <w:spacing w:val="-12"/>
        </w:rPr>
        <w:t> </w:t>
      </w:r>
      <w:r>
        <w:rPr/>
        <w:t>solution.</w:t>
      </w:r>
      <w:r>
        <w:rPr>
          <w:spacing w:val="-57"/>
        </w:rPr>
        <w:t> </w:t>
      </w:r>
      <w:r>
        <w:rPr/>
        <w:t>In this instance, the discretionary policymaker is concerned about minimising the per period loss</w:t>
      </w:r>
      <w:r>
        <w:rPr>
          <w:spacing w:val="1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subject to constraints in the</w:t>
      </w:r>
      <w:r>
        <w:rPr>
          <w:spacing w:val="-1"/>
        </w:rPr>
        <w:t> </w:t>
      </w:r>
      <w:r>
        <w:rPr/>
        <w:t>economy</w:t>
      </w:r>
      <w:r>
        <w:rPr>
          <w:spacing w:val="-5"/>
        </w:rPr>
        <w:t> </w:t>
      </w:r>
      <w:r>
        <w:rPr/>
        <w:t>such that:</w:t>
      </w:r>
    </w:p>
    <w:p>
      <w:pPr>
        <w:pStyle w:val="BodyText"/>
        <w:tabs>
          <w:tab w:pos="8762" w:val="left" w:leader="none"/>
        </w:tabs>
        <w:spacing w:before="204"/>
        <w:ind w:left="500"/>
        <w:jc w:val="both"/>
      </w:pPr>
      <w:r>
        <w:rPr/>
        <w:t>Min</w:t>
      </w:r>
      <w:r>
        <w:rPr>
          <w:spacing w:val="7"/>
        </w:rPr>
        <w:t> </w:t>
      </w:r>
      <w:r>
        <w:rPr>
          <w:rFonts w:ascii="Cambria Math" w:eastAsia="Cambria Math"/>
        </w:rPr>
        <w:t>𝜋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19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7"/>
          <w:vertAlign w:val="baseline"/>
        </w:rPr>
        <w:t> </w:t>
      </w:r>
      <w:r>
        <w:rPr>
          <w:rFonts w:ascii="Cambria Math" w:eastAsia="Cambria Math"/>
          <w:vertAlign w:val="baseline"/>
        </w:rPr>
        <w:t>0.5𝑦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16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7"/>
          <w:vertAlign w:val="baseline"/>
        </w:rPr>
        <w:t> </w:t>
      </w:r>
      <w:r>
        <w:rPr>
          <w:rFonts w:ascii="Cambria Math" w:eastAsia="Cambria Math"/>
          <w:vertAlign w:val="baseline"/>
        </w:rPr>
        <w:t>0.5𝑔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vertAlign w:val="baseline"/>
        </w:rPr>
        <w:tab/>
      </w:r>
      <w:r>
        <w:rPr>
          <w:vertAlign w:val="baseline"/>
        </w:rPr>
        <w:t>(4.147)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500"/>
        <w:jc w:val="both"/>
      </w:pPr>
      <w:r>
        <w:rPr/>
        <w:t>Subject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structural</w:t>
      </w:r>
      <w:r>
        <w:rPr>
          <w:spacing w:val="-1"/>
        </w:rPr>
        <w:t> </w:t>
      </w:r>
      <w:r>
        <w:rPr/>
        <w:t>constraints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form:</w:t>
      </w:r>
    </w:p>
    <w:p>
      <w:pPr>
        <w:pStyle w:val="BodyText"/>
        <w:spacing w:before="1"/>
      </w:pPr>
    </w:p>
    <w:p>
      <w:pPr>
        <w:spacing w:after="0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86"/>
        <w:ind w:left="500"/>
        <w:rPr>
          <w:rFonts w:ascii="Cambria Math" w:hAnsi="Cambria Math" w:eastAsia="Cambria Math"/>
        </w:rPr>
      </w:pPr>
      <w:r>
        <w:rPr>
          <w:w w:val="99"/>
        </w:rPr>
        <w:t>NK</w:t>
      </w:r>
      <w:r>
        <w:rPr>
          <w:spacing w:val="-1"/>
        </w:rPr>
        <w:t> </w:t>
      </w:r>
      <w:r>
        <w:rPr>
          <w:w w:val="99"/>
        </w:rPr>
        <w:t>P</w:t>
      </w:r>
      <w:r>
        <w:rPr/>
        <w:t>hil</w:t>
      </w:r>
      <w:r>
        <w:rPr>
          <w:w w:val="99"/>
        </w:rPr>
        <w:t>ips</w:t>
      </w:r>
      <w:r>
        <w:rPr/>
        <w:t> </w:t>
      </w:r>
      <w:r>
        <w:rPr>
          <w:spacing w:val="1"/>
        </w:rPr>
        <w:t>C</w:t>
      </w:r>
      <w:r>
        <w:rPr/>
        <w:t>urv</w:t>
      </w:r>
      <w:r>
        <w:rPr>
          <w:spacing w:val="-2"/>
        </w:rPr>
        <w:t>e</w:t>
      </w:r>
      <w:r>
        <w:rPr/>
        <w:t>:</w:t>
      </w:r>
      <w:r>
        <w:rPr>
          <w:spacing w:val="1"/>
        </w:rPr>
        <w:t> </w:t>
      </w:r>
      <w:r>
        <w:rPr>
          <w:rFonts w:ascii="Cambria Math" w:hAnsi="Cambria Math" w:eastAsia="Cambria Math"/>
          <w:spacing w:val="-1"/>
        </w:rPr>
        <w:t>𝜋</w:t>
      </w:r>
      <w:r>
        <w:rPr>
          <w:rFonts w:ascii="Cambria Math" w:hAnsi="Cambria Math" w:eastAsia="Cambria Math"/>
          <w:spacing w:val="5"/>
          <w:w w:val="110"/>
          <w:vertAlign w:val="subscript"/>
        </w:rPr>
        <w:t>𝐷</w:t>
      </w:r>
      <w:r>
        <w:rPr>
          <w:rFonts w:ascii="Cambria Math" w:hAnsi="Cambria Math" w:eastAsia="Cambria Math"/>
          <w:spacing w:val="1"/>
          <w:w w:val="106"/>
          <w:vertAlign w:val="subscript"/>
        </w:rPr>
        <w:t>,</w:t>
      </w:r>
      <w:r>
        <w:rPr>
          <w:rFonts w:ascii="Cambria Math" w:hAnsi="Cambria Math" w:eastAsia="Cambria Math"/>
          <w:w w:val="119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 </w:t>
      </w:r>
      <w:r>
        <w:rPr>
          <w:rFonts w:ascii="Cambria Math" w:hAnsi="Cambria Math" w:eastAsia="Cambria Math"/>
          <w:spacing w:val="-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spacing w:val="1"/>
          <w:vertAlign w:val="baseline"/>
        </w:rPr>
        <w:t>βE</w:t>
      </w:r>
      <w:r>
        <w:rPr>
          <w:rFonts w:ascii="Cambria Math" w:hAnsi="Cambria Math" w:eastAsia="Cambria Math"/>
          <w:w w:val="123"/>
          <w:vertAlign w:val="subscript"/>
        </w:rPr>
        <w:t>t</w:t>
      </w:r>
      <w:r>
        <w:rPr>
          <w:rFonts w:ascii="Cambria Math" w:hAnsi="Cambria Math" w:eastAsia="Cambria Math"/>
          <w:spacing w:val="-5"/>
          <w:vertAlign w:val="baseline"/>
        </w:rPr>
        <w:t> </w:t>
      </w:r>
      <w:r>
        <w:rPr>
          <w:rFonts w:ascii="Cambria Math" w:hAnsi="Cambria Math" w:eastAsia="Cambria Math"/>
          <w:spacing w:val="-2"/>
          <w:w w:val="101"/>
          <w:vertAlign w:val="baseline"/>
        </w:rPr>
        <w:t>[</w:t>
      </w:r>
      <w:r>
        <w:rPr>
          <w:rFonts w:ascii="Cambria Math" w:hAnsi="Cambria Math" w:eastAsia="Cambria Math"/>
          <w:spacing w:val="-1"/>
          <w:vertAlign w:val="baseline"/>
        </w:rPr>
        <w:t>𝜋</w:t>
      </w:r>
      <w:r>
        <w:rPr>
          <w:rFonts w:ascii="Cambria Math" w:hAnsi="Cambria Math" w:eastAsia="Cambria Math"/>
          <w:spacing w:val="2"/>
          <w:w w:val="110"/>
          <w:vertAlign w:val="subscript"/>
        </w:rPr>
        <w:t>𝐷</w:t>
      </w:r>
      <w:r>
        <w:rPr>
          <w:rFonts w:ascii="Cambria Math" w:hAnsi="Cambria Math" w:eastAsia="Cambria Math"/>
          <w:spacing w:val="1"/>
          <w:w w:val="106"/>
          <w:vertAlign w:val="subscript"/>
        </w:rPr>
        <w:t>,</w:t>
      </w:r>
      <w:r>
        <w:rPr>
          <w:rFonts w:ascii="Cambria Math" w:hAnsi="Cambria Math" w:eastAsia="Cambria Math"/>
          <w:spacing w:val="4"/>
          <w:w w:val="119"/>
          <w:vertAlign w:val="subscript"/>
        </w:rPr>
        <w:t>𝑡</w:t>
      </w:r>
      <w:r>
        <w:rPr>
          <w:rFonts w:ascii="Cambria Math" w:hAnsi="Cambria Math" w:eastAsia="Cambria Math"/>
          <w:w w:val="103"/>
          <w:vertAlign w:val="subscript"/>
        </w:rPr>
        <w:t>+</w:t>
      </w:r>
      <w:r>
        <w:rPr>
          <w:rFonts w:ascii="Cambria Math" w:hAnsi="Cambria Math" w:eastAsia="Cambria Math"/>
          <w:spacing w:val="9"/>
          <w:w w:val="111"/>
          <w:vertAlign w:val="subscript"/>
        </w:rPr>
        <w:t>1</w:t>
      </w:r>
      <w:r>
        <w:rPr>
          <w:rFonts w:ascii="Cambria Math" w:hAnsi="Cambria Math" w:eastAsia="Cambria Math"/>
          <w:w w:val="101"/>
          <w:vertAlign w:val="baseline"/>
        </w:rPr>
        <w:t>]</w:t>
      </w:r>
      <w:r>
        <w:rPr>
          <w:rFonts w:ascii="Cambria Math" w:hAnsi="Cambria Math" w:eastAsia="Cambria Math"/>
          <w:spacing w:val="-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 </w:t>
      </w:r>
      <w:r>
        <w:rPr>
          <w:rFonts w:ascii="Cambria Math" w:hAnsi="Cambria Math" w:eastAsia="Cambria Math"/>
          <w:spacing w:val="8"/>
          <w:vertAlign w:val="baseline"/>
        </w:rPr>
        <w:t>k</w:t>
      </w:r>
      <w:r>
        <w:rPr>
          <w:rFonts w:ascii="Cambria Math" w:hAnsi="Cambria Math" w:eastAsia="Cambria Math"/>
          <w:spacing w:val="10"/>
          <w:w w:val="121"/>
          <w:vertAlign w:val="subscript"/>
        </w:rPr>
        <w:t>α</w:t>
      </w:r>
      <w:r>
        <w:rPr>
          <w:rFonts w:ascii="Cambria Math" w:hAnsi="Cambria Math" w:eastAsia="Cambria Math"/>
          <w:spacing w:val="-94"/>
          <w:vertAlign w:val="baseline"/>
        </w:rPr>
        <w:t>𝑦</w:t>
      </w:r>
      <w:r>
        <w:rPr>
          <w:rFonts w:ascii="Cambria Math" w:hAnsi="Cambria Math" w:eastAsia="Cambria Math"/>
          <w:spacing w:val="-50"/>
          <w:vertAlign w:val="baseline"/>
        </w:rPr>
        <w:t>̃</w:t>
      </w:r>
      <w:r>
        <w:rPr>
          <w:rFonts w:ascii="Cambria Math" w:hAnsi="Cambria Math" w:eastAsia="Cambria Math"/>
          <w:w w:val="119"/>
          <w:vertAlign w:val="subscript"/>
        </w:rPr>
        <w:t>𝑡</w:t>
      </w:r>
    </w:p>
    <w:p>
      <w:pPr>
        <w:pStyle w:val="BodyText"/>
        <w:spacing w:before="90"/>
        <w:ind w:left="500"/>
      </w:pPr>
      <w:r>
        <w:rPr/>
        <w:br w:type="column"/>
      </w:r>
      <w:r>
        <w:rPr/>
        <w:t>(4.134)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2" w:equalWidth="0">
            <w:col w:w="5011" w:space="3271"/>
            <w:col w:w="2078"/>
          </w:cols>
        </w:sect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90"/>
        <w:ind w:left="500"/>
      </w:pPr>
      <w:r>
        <w:rPr/>
        <w:t>Where</w:t>
      </w: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before="241"/>
        <w:ind w:left="50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k</w:t>
      </w:r>
      <w:r>
        <w:rPr>
          <w:rFonts w:ascii="Cambria Math" w:hAnsi="Cambria Math" w:eastAsia="Cambria Math"/>
          <w:vertAlign w:val="subscript"/>
        </w:rPr>
        <w:t>α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λ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𝜎</w:t>
      </w:r>
      <w:r>
        <w:rPr>
          <w:rFonts w:ascii="Cambria Math" w:hAnsi="Cambria Math" w:eastAsia="Cambria Math"/>
          <w:vertAlign w:val="subscript"/>
        </w:rPr>
        <w:t>𝛼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/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3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</w:p>
    <w:p>
      <w:pPr>
        <w:pStyle w:val="BodyText"/>
        <w:spacing w:line="237" w:lineRule="exact" w:before="58"/>
        <w:ind w:left="25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3"/>
        </w:rPr>
        <w:t> </w:t>
      </w:r>
      <w:r>
        <w:rPr>
          <w:rFonts w:ascii="Cambria Math" w:hAnsi="Cambria Math"/>
        </w:rPr>
        <w:t>θ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</w:rPr>
        <w:t>(1 −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βθ)</w:t>
      </w:r>
    </w:p>
    <w:p>
      <w:pPr>
        <w:pStyle w:val="BodyText"/>
        <w:tabs>
          <w:tab w:pos="1698" w:val="left" w:leader="none"/>
        </w:tabs>
        <w:spacing w:line="192" w:lineRule="auto"/>
        <w:ind w:left="774"/>
        <w:rPr>
          <w:rFonts w:ascii="Cambria Math" w:hAnsi="Cambria Math" w:eastAsia="Cambria Math"/>
        </w:rPr>
      </w:pPr>
      <w:r>
        <w:rPr/>
        <w:pict>
          <v:rect style="position:absolute;margin-left:167.179993pt;margin-top:7.381864pt;width:81.624pt;height:.84pt;mso-position-horizontal-relative:page;mso-position-vertical-relative:paragraph;z-index:-2135705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15"/>
        </w:rPr>
        <w:t>θ</w:t>
        <w:tab/>
      </w:r>
      <w:r>
        <w:rPr>
          <w:rFonts w:ascii="Cambria Math" w:hAnsi="Cambria Math" w:eastAsia="Cambria Math"/>
          <w:w w:val="95"/>
          <w:position w:val="1"/>
        </w:rPr>
        <w:t>(</w:t>
      </w:r>
      <w:r>
        <w:rPr>
          <w:rFonts w:ascii="Cambria Math" w:hAnsi="Cambria Math" w:eastAsia="Cambria Math"/>
          <w:w w:val="95"/>
        </w:rPr>
        <w:t>𝜎</w:t>
      </w:r>
      <w:r>
        <w:rPr>
          <w:rFonts w:ascii="Cambria Math" w:hAnsi="Cambria Math" w:eastAsia="Cambria Math"/>
          <w:w w:val="95"/>
          <w:vertAlign w:val="subscript"/>
        </w:rPr>
        <w:t>𝛼</w:t>
      </w:r>
      <w:r>
        <w:rPr>
          <w:rFonts w:ascii="Cambria Math" w:hAnsi="Cambria Math" w:eastAsia="Cambria Math"/>
          <w:spacing w:val="6"/>
          <w:w w:val="95"/>
          <w:vertAlign w:val="baseline"/>
        </w:rPr>
        <w:t> </w:t>
      </w:r>
      <w:r>
        <w:rPr>
          <w:rFonts w:ascii="Cambria Math" w:hAnsi="Cambria Math" w:eastAsia="Cambria Math"/>
          <w:w w:val="95"/>
          <w:vertAlign w:val="baseline"/>
        </w:rPr>
        <w:t>+</w:t>
      </w:r>
      <w:r>
        <w:rPr>
          <w:rFonts w:ascii="Cambria Math" w:hAnsi="Cambria Math" w:eastAsia="Cambria Math"/>
          <w:spacing w:val="-4"/>
          <w:w w:val="95"/>
          <w:vertAlign w:val="baseline"/>
        </w:rPr>
        <w:t> </w:t>
      </w:r>
      <w:r>
        <w:rPr>
          <w:rFonts w:ascii="Cambria Math" w:hAnsi="Cambria Math" w:eastAsia="Cambria Math"/>
          <w:w w:val="95"/>
          <w:vertAlign w:val="baseline"/>
        </w:rPr>
        <w:t/>
      </w:r>
      <w:r>
        <w:rPr>
          <w:rFonts w:ascii="Cambria Math" w:hAnsi="Cambria Math" w:eastAsia="Cambria Math"/>
          <w:w w:val="95"/>
          <w:position w:val="1"/>
          <w:vertAlign w:val="baseline"/>
        </w:rPr>
        <w:t>)</w:t>
      </w:r>
    </w:p>
    <w:p>
      <w:pPr>
        <w:spacing w:after="0" w:line="192" w:lineRule="auto"/>
        <w:rPr>
          <w:rFonts w:ascii="Cambria Math" w:hAnsi="Cambria Math" w:eastAsia="Cambria Math"/>
        </w:rPr>
        <w:sectPr>
          <w:type w:val="continuous"/>
          <w:pgSz w:w="12240" w:h="15840"/>
          <w:pgMar w:top="1500" w:bottom="1120" w:left="940" w:right="940"/>
          <w:cols w:num="2" w:equalWidth="0">
            <w:col w:w="2339" w:space="40"/>
            <w:col w:w="7981"/>
          </w:cols>
        </w:sectPr>
      </w:pPr>
    </w:p>
    <w:p>
      <w:pPr>
        <w:pStyle w:val="BodyText"/>
        <w:spacing w:before="2"/>
        <w:rPr>
          <w:rFonts w:ascii="Cambria Math"/>
          <w:sz w:val="17"/>
        </w:rPr>
      </w:pPr>
    </w:p>
    <w:p>
      <w:pPr>
        <w:spacing w:after="0"/>
        <w:rPr>
          <w:rFonts w:ascii="Cambria Math"/>
          <w:sz w:val="17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line="143" w:lineRule="exact" w:before="147"/>
        <w:ind w:left="500"/>
        <w:rPr>
          <w:rFonts w:ascii="Cambria Math" w:hAnsi="Cambria Math" w:eastAsia="Cambria Math"/>
        </w:rPr>
      </w:pPr>
      <w:r>
        <w:rPr>
          <w:spacing w:val="-4"/>
          <w:w w:val="99"/>
        </w:rPr>
        <w:t>I</w:t>
      </w:r>
      <w:r>
        <w:rPr>
          <w:w w:val="99"/>
        </w:rPr>
        <w:t>S</w:t>
      </w:r>
      <w:r>
        <w:rPr/>
        <w:t> Curv</w:t>
      </w:r>
      <w:r>
        <w:rPr>
          <w:spacing w:val="-2"/>
        </w:rPr>
        <w:t>e</w:t>
      </w:r>
      <w:r>
        <w:rPr>
          <w:spacing w:val="3"/>
        </w:rPr>
        <w:t>:</w:t>
      </w:r>
      <w:r>
        <w:rPr>
          <w:rFonts w:ascii="Cambria Math" w:hAnsi="Cambria Math" w:eastAsia="Cambria Math"/>
          <w:spacing w:val="-94"/>
        </w:rPr>
        <w:t>𝑦</w:t>
      </w:r>
      <w:r>
        <w:rPr>
          <w:rFonts w:ascii="Cambria Math" w:hAnsi="Cambria Math" w:eastAsia="Cambria Math"/>
        </w:rPr>
        <w:t>̃  =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</w:rPr>
        <w:t>𝐸</w:t>
      </w:r>
      <w:r>
        <w:rPr>
          <w:rFonts w:ascii="Cambria Math" w:hAnsi="Cambria Math" w:eastAsia="Cambria Math"/>
          <w:spacing w:val="22"/>
        </w:rPr>
        <w:t> </w:t>
      </w:r>
      <w:r>
        <w:rPr>
          <w:rFonts w:ascii="Cambria Math" w:hAnsi="Cambria Math" w:eastAsia="Cambria Math"/>
          <w:spacing w:val="-101"/>
        </w:rPr>
        <w:t>𝑦</w:t>
      </w:r>
      <w:r>
        <w:rPr>
          <w:rFonts w:ascii="Cambria Math" w:hAnsi="Cambria Math" w:eastAsia="Cambria Math"/>
        </w:rPr>
        <w:t>̃</w:t>
      </w:r>
    </w:p>
    <w:p>
      <w:pPr>
        <w:pStyle w:val="BodyText"/>
        <w:spacing w:line="217" w:lineRule="exact" w:before="73"/>
        <w:ind w:left="324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52"/>
        </w:rPr>
        <w:t> </w:t>
      </w:r>
      <w:r>
        <w:rPr>
          <w:rFonts w:ascii="Cambria Math" w:hAnsi="Cambria Math" w:eastAsia="Cambria Math"/>
          <w:position w:val="14"/>
          <w:sz w:val="17"/>
        </w:rPr>
        <w:t>1</w:t>
      </w:r>
      <w:r>
        <w:rPr>
          <w:rFonts w:ascii="Cambria Math" w:hAnsi="Cambria Math" w:eastAsia="Cambria Math"/>
          <w:spacing w:val="57"/>
          <w:position w:val="14"/>
          <w:sz w:val="17"/>
        </w:rPr>
        <w:t> </w:t>
      </w:r>
      <w:r>
        <w:rPr>
          <w:rFonts w:ascii="Cambria Math" w:hAnsi="Cambria Math" w:eastAsia="Cambria Math"/>
        </w:rPr>
        <w:t>(𝑟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-2"/>
        </w:rPr>
        <w:t> </w:t>
      </w:r>
      <w:r>
        <w:rPr>
          <w:rFonts w:ascii="Cambria Math" w:hAnsi="Cambria Math" w:eastAsia="Cambria Math"/>
        </w:rPr>
        <w:t>𝐸</w:t>
      </w:r>
      <w:r>
        <w:rPr>
          <w:rFonts w:ascii="Cambria Math" w:hAnsi="Cambria Math" w:eastAsia="Cambria Math"/>
          <w:spacing w:val="24"/>
        </w:rPr>
        <w:t> </w:t>
      </w:r>
      <w:r>
        <w:rPr>
          <w:rFonts w:ascii="Cambria Math" w:hAnsi="Cambria Math" w:eastAsia="Cambria Math"/>
        </w:rPr>
        <w:t>Π</w:t>
      </w:r>
    </w:p>
    <w:p>
      <w:pPr>
        <w:pStyle w:val="BodyText"/>
        <w:spacing w:line="20" w:lineRule="exact"/>
        <w:ind w:left="557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0.35pt;height:.85pt;mso-position-horizontal-relative:char;mso-position-vertical-relative:line" coordorigin="0,0" coordsize="207,17">
            <v:rect style="position:absolute;left:0;top:0;width:207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tabs>
          <w:tab w:pos="4666" w:val="left" w:leader="none"/>
        </w:tabs>
        <w:spacing w:line="143" w:lineRule="exact" w:before="147"/>
        <w:ind w:left="484"/>
      </w:pPr>
      <w:r>
        <w:rPr/>
        <w:br w:type="column"/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</w:rPr>
        <w:t>𝑟</w:t>
      </w:r>
      <w:r>
        <w:rPr>
          <w:rFonts w:ascii="Cambria Math" w:hAnsi="Cambria Math" w:eastAsia="Cambria Math"/>
          <w:spacing w:val="18"/>
        </w:rPr>
        <w:t> </w:t>
      </w:r>
      <w:r>
        <w:rPr>
          <w:rFonts w:ascii="Cambria Math" w:hAnsi="Cambria Math" w:eastAsia="Cambria Math"/>
          <w:vertAlign w:val="superscript"/>
        </w:rPr>
        <w:t>𝑛</w:t>
      </w:r>
      <w:r>
        <w:rPr>
          <w:rFonts w:ascii="Cambria Math" w:hAnsi="Cambria Math" w:eastAsia="Cambria Math"/>
          <w:vertAlign w:val="baseline"/>
        </w:rPr>
        <w:t>)</w:t>
        <w:tab/>
      </w:r>
      <w:r>
        <w:rPr>
          <w:vertAlign w:val="baseline"/>
        </w:rPr>
        <w:t>(4.119)</w:t>
      </w:r>
    </w:p>
    <w:p>
      <w:pPr>
        <w:spacing w:after="0" w:line="143" w:lineRule="exact"/>
        <w:sectPr>
          <w:type w:val="continuous"/>
          <w:pgSz w:w="12240" w:h="15840"/>
          <w:pgMar w:top="1500" w:bottom="1120" w:left="940" w:right="940"/>
          <w:cols w:num="3" w:equalWidth="0">
            <w:col w:w="2311" w:space="40"/>
            <w:col w:w="1707" w:space="39"/>
            <w:col w:w="6263"/>
          </w:cols>
        </w:sectPr>
      </w:pPr>
    </w:p>
    <w:p>
      <w:pPr>
        <w:tabs>
          <w:tab w:pos="539" w:val="left" w:leader="none"/>
        </w:tabs>
        <w:spacing w:line="151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</w:t>
        <w:tab/>
        <w:t>𝑡</w:t>
      </w:r>
    </w:p>
    <w:p>
      <w:pPr>
        <w:spacing w:line="151" w:lineRule="exact" w:before="0"/>
        <w:ind w:left="100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z w:val="17"/>
        </w:rPr>
        <w:t>𝑡+1</w:t>
      </w:r>
    </w:p>
    <w:p>
      <w:pPr>
        <w:spacing w:before="23"/>
        <w:ind w:left="255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pacing w:val="-6"/>
          <w:w w:val="115"/>
          <w:sz w:val="17"/>
        </w:rPr>
        <w:t>𝜎</w:t>
      </w:r>
      <w:r>
        <w:rPr>
          <w:rFonts w:ascii="Cambria Math" w:eastAsia="Cambria Math"/>
          <w:spacing w:val="-6"/>
          <w:w w:val="115"/>
          <w:position w:val="-2"/>
          <w:sz w:val="14"/>
        </w:rPr>
        <w:t>𝛼</w:t>
      </w:r>
    </w:p>
    <w:p>
      <w:pPr>
        <w:tabs>
          <w:tab w:pos="1754" w:val="left" w:leader="none"/>
        </w:tabs>
        <w:spacing w:line="151" w:lineRule="exact" w:before="0"/>
        <w:ind w:left="655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𝑡   </w:t>
      </w:r>
      <w:r>
        <w:rPr>
          <w:rFonts w:ascii="Cambria Math" w:eastAsia="Cambria Math"/>
          <w:spacing w:val="23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𝐷,𝑡+1</w:t>
        <w:tab/>
        <w:t>𝑡</w:t>
      </w:r>
    </w:p>
    <w:p>
      <w:pPr>
        <w:spacing w:after="0" w:line="151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4" w:equalWidth="0">
            <w:col w:w="2170" w:space="40"/>
            <w:col w:w="404" w:space="39"/>
            <w:col w:w="456" w:space="39"/>
            <w:col w:w="7212"/>
          </w:cols>
        </w:sectPr>
      </w:pPr>
    </w:p>
    <w:p>
      <w:pPr>
        <w:pStyle w:val="BodyText"/>
        <w:rPr>
          <w:rFonts w:ascii="Cambria Math"/>
          <w:sz w:val="19"/>
        </w:rPr>
      </w:pPr>
    </w:p>
    <w:p>
      <w:pPr>
        <w:pStyle w:val="BodyText"/>
        <w:tabs>
          <w:tab w:pos="8801" w:val="left" w:leader="none"/>
        </w:tabs>
        <w:spacing w:line="217" w:lineRule="exact" w:before="73" w:after="8"/>
        <w:ind w:left="500"/>
      </w:pPr>
      <w:r>
        <w:rPr/>
        <w:t>Rent seeking government:</w:t>
      </w:r>
      <w:r>
        <w:rPr>
          <w:spacing w:val="1"/>
        </w:rPr>
        <w:t> </w:t>
      </w:r>
      <w:r>
        <w:rPr>
          <w:rFonts w:ascii="Cambria Math" w:eastAsia="Cambria Math"/>
        </w:rPr>
        <w:t>𝑔</w:t>
      </w:r>
      <w:r>
        <w:rPr>
          <w:rFonts w:ascii="Cambria Math" w:eastAsia="Cambria Math"/>
          <w:spacing w:val="94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  <w:position w:val="14"/>
          <w:sz w:val="17"/>
        </w:rPr>
        <w:t>1</w:t>
      </w:r>
      <w:r>
        <w:rPr>
          <w:rFonts w:ascii="Cambria Math" w:eastAsia="Cambria Math"/>
          <w:spacing w:val="3"/>
          <w:position w:val="14"/>
          <w:sz w:val="17"/>
        </w:rPr>
        <w:t> 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𝑟𝑛</w:t>
      </w:r>
      <w:r>
        <w:rPr>
          <w:rFonts w:ascii="Cambria Math" w:eastAsia="Cambria Math"/>
          <w:spacing w:val="34"/>
        </w:rPr>
        <w:t> </w:t>
      </w:r>
      <w:r>
        <w:rPr>
          <w:rFonts w:ascii="Cambria Math" w:eastAsia="Cambria Math"/>
          <w:position w:val="1"/>
        </w:rPr>
        <w:t>)</w:t>
        <w:tab/>
      </w:r>
      <w:r>
        <w:rPr/>
        <w:t>(4.99)</w:t>
      </w:r>
    </w:p>
    <w:p>
      <w:pPr>
        <w:pStyle w:val="BodyText"/>
        <w:spacing w:line="20" w:lineRule="exact"/>
        <w:ind w:left="3621"/>
        <w:rPr>
          <w:sz w:val="2"/>
        </w:rPr>
      </w:pPr>
      <w:r>
        <w:rPr>
          <w:sz w:val="2"/>
        </w:rPr>
        <w:pict>
          <v:group style="width:4.95pt;height:.85pt;mso-position-horizontal-relative:char;mso-position-vertical-relative:line" coordorigin="0,0" coordsize="99,17">
            <v:rect style="position:absolute;left:0;top:0;width:99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3620" w:val="left" w:leader="none"/>
          <w:tab w:pos="4112" w:val="left" w:leader="none"/>
        </w:tabs>
        <w:spacing w:line="153" w:lineRule="auto" w:before="0"/>
        <w:ind w:left="3220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𝑡</w:t>
        <w:tab/>
      </w:r>
      <w:r>
        <w:rPr>
          <w:rFonts w:ascii="Cambria Math" w:eastAsia="Cambria Math"/>
          <w:w w:val="80"/>
          <w:position w:val="-6"/>
          <w:sz w:val="17"/>
        </w:rPr>
        <w:t/>
        <w:tab/>
      </w:r>
      <w:r>
        <w:rPr>
          <w:rFonts w:ascii="Cambria Math" w:eastAsia="Cambria Math"/>
          <w:sz w:val="17"/>
        </w:rPr>
        <w:t>𝑡</w:t>
      </w:r>
    </w:p>
    <w:p>
      <w:pPr>
        <w:pStyle w:val="BodyText"/>
        <w:spacing w:before="2"/>
        <w:rPr>
          <w:rFonts w:ascii="Cambria Math"/>
          <w:sz w:val="21"/>
        </w:rPr>
      </w:pPr>
    </w:p>
    <w:p>
      <w:pPr>
        <w:pStyle w:val="BodyText"/>
        <w:tabs>
          <w:tab w:pos="8781" w:val="left" w:leader="none"/>
        </w:tabs>
        <w:spacing w:before="127"/>
        <w:ind w:left="500"/>
      </w:pPr>
      <w:r>
        <w:rPr/>
        <w:pict>
          <v:shape style="position:absolute;margin-left:365.350006pt;margin-top:14.476886pt;width:3.8pt;height:8.550pt;mso-position-horizontal-relative:page;mso-position-vertical-relative:paragraph;z-index:-21356544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/>
        <w:t>Benevolent</w:t>
      </w:r>
      <w:r>
        <w:rPr>
          <w:spacing w:val="8"/>
        </w:rPr>
        <w:t> </w:t>
      </w:r>
      <w:r>
        <w:rPr/>
        <w:t>Government:</w:t>
      </w:r>
      <w:r>
        <w:rPr>
          <w:spacing w:val="10"/>
        </w:rPr>
        <w:t> </w:t>
      </w:r>
      <w:r>
        <w:rPr>
          <w:rFonts w:ascii="Cambria Math" w:hAnsi="Cambria Math" w:eastAsia="Cambria Math"/>
        </w:rPr>
        <w:t>𝑔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3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𝜌</w:t>
      </w:r>
      <w:r>
        <w:rPr>
          <w:rFonts w:ascii="Cambria Math" w:hAnsi="Cambria Math" w:eastAsia="Cambria Math"/>
          <w:vertAlign w:val="subscript"/>
        </w:rPr>
        <w:t>𝑔</w:t>
      </w:r>
      <w:r>
        <w:rPr>
          <w:rFonts w:ascii="Cambria Math" w:hAnsi="Cambria Math" w:eastAsia="Cambria Math"/>
          <w:vertAlign w:val="baseline"/>
        </w:rPr>
        <w:t>𝑔</w:t>
      </w:r>
      <w:r>
        <w:rPr>
          <w:rFonts w:ascii="Cambria Math" w:hAnsi="Cambria Math" w:eastAsia="Cambria Math"/>
          <w:vertAlign w:val="subscript"/>
        </w:rPr>
        <w:t>𝑡−1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(1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𝜌</w:t>
      </w:r>
      <w:r>
        <w:rPr>
          <w:rFonts w:ascii="Cambria Math" w:hAnsi="Cambria Math" w:eastAsia="Cambria Math"/>
          <w:vertAlign w:val="subscript"/>
        </w:rPr>
        <w:t>𝑔</w:t>
      </w:r>
      <w:r>
        <w:rPr>
          <w:rFonts w:ascii="Cambria Math" w:hAnsi="Cambria Math" w:eastAsia="Cambria Math"/>
          <w:vertAlign w:val="baseline"/>
        </w:rPr>
        <w:t>)(𝑢</w:t>
      </w:r>
      <w:r>
        <w:rPr>
          <w:rFonts w:ascii="Cambria Math" w:hAnsi="Cambria Math" w:eastAsia="Cambria Math"/>
          <w:vertAlign w:val="subscript"/>
        </w:rPr>
        <w:t>𝑔</w:t>
      </w:r>
      <w:r>
        <w:rPr>
          <w:rFonts w:ascii="Cambria Math" w:hAnsi="Cambria Math" w:eastAsia="Cambria Math"/>
          <w:vertAlign w:val="baseline"/>
        </w:rPr>
        <w:t>𝑦)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spacing w:val="10"/>
          <w:vertAlign w:val="baseline"/>
        </w:rPr>
        <w:t>𝜀</w:t>
      </w:r>
      <w:r>
        <w:rPr>
          <w:rFonts w:ascii="Cambria Math" w:hAnsi="Cambria Math" w:eastAsia="Cambria Math"/>
          <w:spacing w:val="10"/>
          <w:vertAlign w:val="superscript"/>
        </w:rPr>
        <w:t>𝑔</w:t>
      </w:r>
      <w:r>
        <w:rPr>
          <w:rFonts w:ascii="Cambria Math" w:hAnsi="Cambria Math" w:eastAsia="Cambria Math"/>
          <w:spacing w:val="10"/>
          <w:vertAlign w:val="baseline"/>
        </w:rPr>
        <w:tab/>
      </w:r>
      <w:r>
        <w:rPr>
          <w:vertAlign w:val="baseline"/>
        </w:rPr>
        <w:t>(4.146)</w:t>
      </w:r>
    </w:p>
    <w:p>
      <w:pPr>
        <w:spacing w:after="0"/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1"/>
        <w:spacing w:line="400" w:lineRule="auto" w:before="89"/>
        <w:ind w:left="3805" w:right="3084" w:firstLine="756"/>
        <w:jc w:val="left"/>
      </w:pPr>
      <w:bookmarkStart w:name="_TOC_250018" w:id="42"/>
      <w:r>
        <w:rPr/>
        <w:t>CHAPTER FIVE</w:t>
      </w:r>
      <w:r>
        <w:rPr>
          <w:spacing w:val="1"/>
        </w:rPr>
        <w:t> </w:t>
      </w:r>
      <w:r>
        <w:rPr/>
        <w:t>RESULTS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bookmarkEnd w:id="42"/>
      <w:r>
        <w:rPr/>
        <w:t>DISCUSSION</w:t>
      </w:r>
    </w:p>
    <w:p>
      <w:pPr>
        <w:pStyle w:val="BodyText"/>
        <w:spacing w:line="360" w:lineRule="auto"/>
        <w:ind w:left="560" w:right="496"/>
        <w:jc w:val="both"/>
      </w:pPr>
      <w:r>
        <w:rPr/>
        <w:t>This chapter empirically addresses the three objectives of this study. The first objective analyses</w:t>
      </w:r>
      <w:r>
        <w:rPr>
          <w:spacing w:val="-57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empirical</w:t>
      </w:r>
      <w:r>
        <w:rPr>
          <w:spacing w:val="-14"/>
        </w:rPr>
        <w:t> </w:t>
      </w:r>
      <w:r>
        <w:rPr/>
        <w:t>nature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interactions</w:t>
      </w:r>
      <w:r>
        <w:rPr>
          <w:spacing w:val="-15"/>
        </w:rPr>
        <w:t> </w:t>
      </w:r>
      <w:r>
        <w:rPr/>
        <w:t>between</w:t>
      </w:r>
      <w:r>
        <w:rPr>
          <w:spacing w:val="-15"/>
        </w:rPr>
        <w:t> </w:t>
      </w:r>
      <w:r>
        <w:rPr/>
        <w:t>fiscal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monetary</w:t>
      </w:r>
      <w:r>
        <w:rPr>
          <w:spacing w:val="-20"/>
        </w:rPr>
        <w:t> </w:t>
      </w:r>
      <w:r>
        <w:rPr/>
        <w:t>policies.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second</w:t>
      </w:r>
      <w:r>
        <w:rPr>
          <w:spacing w:val="-15"/>
        </w:rPr>
        <w:t> </w:t>
      </w:r>
      <w:r>
        <w:rPr/>
        <w:t>objective</w:t>
      </w:r>
      <w:r>
        <w:rPr>
          <w:spacing w:val="-57"/>
        </w:rPr>
        <w:t> </w:t>
      </w:r>
      <w:r>
        <w:rPr/>
        <w:t>is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examine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transmission</w:t>
      </w:r>
      <w:r>
        <w:rPr>
          <w:spacing w:val="-6"/>
        </w:rPr>
        <w:t> </w:t>
      </w:r>
      <w:r>
        <w:rPr/>
        <w:t>effects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policy</w:t>
      </w:r>
      <w:r>
        <w:rPr>
          <w:spacing w:val="-10"/>
        </w:rPr>
        <w:t> </w:t>
      </w:r>
      <w:r>
        <w:rPr/>
        <w:t>interactions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macroeconomic</w:t>
      </w:r>
      <w:r>
        <w:rPr>
          <w:spacing w:val="-8"/>
        </w:rPr>
        <w:t> </w:t>
      </w:r>
      <w:r>
        <w:rPr/>
        <w:t>variables</w:t>
      </w:r>
      <w:r>
        <w:rPr>
          <w:spacing w:val="-7"/>
        </w:rPr>
        <w:t> </w:t>
      </w:r>
      <w:r>
        <w:rPr/>
        <w:t>such</w:t>
      </w:r>
      <w:r>
        <w:rPr>
          <w:spacing w:val="-58"/>
        </w:rPr>
        <w:t> </w:t>
      </w:r>
      <w:r>
        <w:rPr/>
        <w:t>as</w:t>
      </w:r>
      <w:r>
        <w:rPr>
          <w:spacing w:val="-12"/>
        </w:rPr>
        <w:t> </w:t>
      </w:r>
      <w:r>
        <w:rPr/>
        <w:t>inflation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output.</w:t>
      </w:r>
      <w:r>
        <w:rPr>
          <w:spacing w:val="-11"/>
        </w:rPr>
        <w:t> </w:t>
      </w:r>
      <w:r>
        <w:rPr/>
        <w:t>Finally,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third</w:t>
      </w:r>
      <w:r>
        <w:rPr>
          <w:spacing w:val="-12"/>
        </w:rPr>
        <w:t> </w:t>
      </w:r>
      <w:r>
        <w:rPr/>
        <w:t>objective</w:t>
      </w:r>
      <w:r>
        <w:rPr>
          <w:spacing w:val="-10"/>
        </w:rPr>
        <w:t> </w:t>
      </w:r>
      <w:r>
        <w:rPr/>
        <w:t>considers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optimal</w:t>
      </w:r>
      <w:r>
        <w:rPr>
          <w:spacing w:val="-11"/>
        </w:rPr>
        <w:t> </w:t>
      </w:r>
      <w:r>
        <w:rPr/>
        <w:t>combination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fiscal</w:t>
      </w:r>
      <w:r>
        <w:rPr>
          <w:spacing w:val="-11"/>
        </w:rPr>
        <w:t> </w:t>
      </w:r>
      <w:r>
        <w:rPr/>
        <w:t>and</w:t>
      </w:r>
      <w:r>
        <w:rPr>
          <w:spacing w:val="-58"/>
        </w:rPr>
        <w:t> </w:t>
      </w:r>
      <w:r>
        <w:rPr>
          <w:spacing w:val="-1"/>
        </w:rPr>
        <w:t>monetary</w:t>
      </w:r>
      <w:r>
        <w:rPr>
          <w:spacing w:val="-15"/>
        </w:rPr>
        <w:t> </w:t>
      </w:r>
      <w:r>
        <w:rPr>
          <w:spacing w:val="-1"/>
        </w:rPr>
        <w:t>policy.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Chapter</w:t>
      </w:r>
      <w:r>
        <w:rPr>
          <w:spacing w:val="-9"/>
        </w:rPr>
        <w:t> </w:t>
      </w:r>
      <w:r>
        <w:rPr/>
        <w:t>is</w:t>
      </w:r>
      <w:r>
        <w:rPr>
          <w:spacing w:val="-6"/>
        </w:rPr>
        <w:t> </w:t>
      </w:r>
      <w:r>
        <w:rPr/>
        <w:t>divided</w:t>
      </w:r>
      <w:r>
        <w:rPr>
          <w:spacing w:val="-8"/>
        </w:rPr>
        <w:t> </w:t>
      </w:r>
      <w:r>
        <w:rPr/>
        <w:t>into</w:t>
      </w:r>
      <w:r>
        <w:rPr>
          <w:spacing w:val="-7"/>
        </w:rPr>
        <w:t> </w:t>
      </w:r>
      <w:r>
        <w:rPr/>
        <w:t>five</w:t>
      </w:r>
      <w:r>
        <w:rPr>
          <w:spacing w:val="-11"/>
        </w:rPr>
        <w:t> </w:t>
      </w:r>
      <w:r>
        <w:rPr/>
        <w:t>sections.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estimation</w:t>
      </w:r>
      <w:r>
        <w:rPr>
          <w:spacing w:val="-7"/>
        </w:rPr>
        <w:t> </w:t>
      </w:r>
      <w:r>
        <w:rPr/>
        <w:t>results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spacing w:val="-6"/>
        </w:rPr>
        <w:t> </w:t>
      </w:r>
      <w:r>
        <w:rPr/>
        <w:t>study</w:t>
      </w:r>
      <w:r>
        <w:rPr>
          <w:spacing w:val="-12"/>
        </w:rPr>
        <w:t> </w:t>
      </w:r>
      <w:r>
        <w:rPr/>
        <w:t>are</w:t>
      </w:r>
      <w:r>
        <w:rPr>
          <w:spacing w:val="-58"/>
        </w:rPr>
        <w:t> </w:t>
      </w:r>
      <w:r>
        <w:rPr/>
        <w:t>presented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section</w:t>
      </w:r>
      <w:r>
        <w:rPr>
          <w:spacing w:val="-4"/>
        </w:rPr>
        <w:t> </w:t>
      </w:r>
      <w:r>
        <w:rPr/>
        <w:t>5.1.</w:t>
      </w:r>
      <w:r>
        <w:rPr>
          <w:spacing w:val="-4"/>
        </w:rPr>
        <w:t> </w:t>
      </w:r>
      <w:r>
        <w:rPr/>
        <w:t>Model</w:t>
      </w:r>
      <w:r>
        <w:rPr>
          <w:spacing w:val="-3"/>
        </w:rPr>
        <w:t> </w:t>
      </w:r>
      <w:r>
        <w:rPr/>
        <w:t>diagnostic</w:t>
      </w:r>
      <w:r>
        <w:rPr>
          <w:spacing w:val="-4"/>
        </w:rPr>
        <w:t> </w:t>
      </w:r>
      <w:r>
        <w:rPr/>
        <w:t>testing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estimated</w:t>
      </w:r>
      <w:r>
        <w:rPr>
          <w:spacing w:val="-4"/>
        </w:rPr>
        <w:t> </w:t>
      </w:r>
      <w:r>
        <w:rPr/>
        <w:t>model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conducted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Section</w:t>
      </w:r>
    </w:p>
    <w:p>
      <w:pPr>
        <w:pStyle w:val="BodyText"/>
        <w:spacing w:line="360" w:lineRule="auto"/>
        <w:ind w:left="560" w:right="497"/>
        <w:jc w:val="both"/>
      </w:pPr>
      <w:r>
        <w:rPr/>
        <w:t>5.2. In Sections 5.3 and 5.4, the results on the nature of fiscal and monetary policy interactions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optimal</w:t>
      </w:r>
      <w:r>
        <w:rPr>
          <w:spacing w:val="-10"/>
        </w:rPr>
        <w:t> </w:t>
      </w:r>
      <w:r>
        <w:rPr/>
        <w:t>paths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fiscal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monetary</w:t>
      </w:r>
      <w:r>
        <w:rPr>
          <w:spacing w:val="-15"/>
        </w:rPr>
        <w:t> </w:t>
      </w:r>
      <w:r>
        <w:rPr/>
        <w:t>policy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presented.</w:t>
      </w:r>
      <w:r>
        <w:rPr>
          <w:spacing w:val="-10"/>
        </w:rPr>
        <w:t> </w:t>
      </w:r>
      <w:r>
        <w:rPr/>
        <w:t>Finally,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Section</w:t>
      </w:r>
      <w:r>
        <w:rPr>
          <w:spacing w:val="-10"/>
        </w:rPr>
        <w:t> </w:t>
      </w:r>
      <w:r>
        <w:rPr/>
        <w:t>5.5,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main</w:t>
      </w:r>
      <w:r>
        <w:rPr>
          <w:spacing w:val="-57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of this study</w:t>
      </w:r>
      <w:r>
        <w:rPr>
          <w:spacing w:val="-3"/>
        </w:rPr>
        <w:t> </w:t>
      </w:r>
      <w:r>
        <w:rPr/>
        <w:t>are highlighted.</w:t>
      </w:r>
    </w:p>
    <w:p>
      <w:pPr>
        <w:pStyle w:val="Heading1"/>
        <w:spacing w:before="201"/>
        <w:ind w:left="560"/>
      </w:pPr>
      <w:bookmarkStart w:name="_TOC_250017" w:id="43"/>
      <w:r>
        <w:rPr/>
        <w:t>5.1   </w:t>
      </w:r>
      <w:r>
        <w:rPr>
          <w:spacing w:val="8"/>
        </w:rPr>
        <w:t> </w:t>
      </w:r>
      <w:r>
        <w:rPr/>
        <w:t>Presentation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43"/>
      <w:r>
        <w:rPr/>
        <w:t>Results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360" w:lineRule="auto"/>
        <w:ind w:left="500" w:right="497"/>
        <w:jc w:val="both"/>
      </w:pPr>
      <w:r>
        <w:rPr/>
        <w:t>The</w:t>
      </w:r>
      <w:r>
        <w:rPr>
          <w:spacing w:val="-8"/>
        </w:rPr>
        <w:t> </w:t>
      </w:r>
      <w:r>
        <w:rPr/>
        <w:t>results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Bayesian</w:t>
      </w:r>
      <w:r>
        <w:rPr>
          <w:spacing w:val="-7"/>
        </w:rPr>
        <w:t> </w:t>
      </w:r>
      <w:r>
        <w:rPr/>
        <w:t>estimation,</w:t>
      </w:r>
      <w:r>
        <w:rPr>
          <w:spacing w:val="-3"/>
        </w:rPr>
        <w:t> </w:t>
      </w:r>
      <w:r>
        <w:rPr/>
        <w:t>Impulse</w:t>
      </w:r>
      <w:r>
        <w:rPr>
          <w:spacing w:val="-8"/>
        </w:rPr>
        <w:t> </w:t>
      </w:r>
      <w:r>
        <w:rPr/>
        <w:t>Response</w:t>
      </w:r>
      <w:r>
        <w:rPr>
          <w:spacing w:val="-7"/>
        </w:rPr>
        <w:t> </w:t>
      </w:r>
      <w:r>
        <w:rPr/>
        <w:t>Functions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Variance</w:t>
      </w:r>
      <w:r>
        <w:rPr>
          <w:spacing w:val="-8"/>
        </w:rPr>
        <w:t> </w:t>
      </w:r>
      <w:r>
        <w:rPr/>
        <w:t>Decomposition</w:t>
      </w:r>
      <w:r>
        <w:rPr>
          <w:spacing w:val="-6"/>
        </w:rPr>
        <w:t> </w:t>
      </w:r>
      <w:r>
        <w:rPr/>
        <w:t>are</w:t>
      </w:r>
      <w:r>
        <w:rPr>
          <w:spacing w:val="-58"/>
        </w:rPr>
        <w:t> </w:t>
      </w:r>
      <w:r>
        <w:rPr/>
        <w:t>presented</w:t>
      </w:r>
      <w:r>
        <w:rPr>
          <w:spacing w:val="17"/>
        </w:rPr>
        <w:t> </w:t>
      </w:r>
      <w:r>
        <w:rPr/>
        <w:t>in</w:t>
      </w:r>
      <w:r>
        <w:rPr>
          <w:spacing w:val="19"/>
        </w:rPr>
        <w:t> </w:t>
      </w:r>
      <w:r>
        <w:rPr/>
        <w:t>this</w:t>
      </w:r>
      <w:r>
        <w:rPr>
          <w:spacing w:val="19"/>
        </w:rPr>
        <w:t> </w:t>
      </w:r>
      <w:r>
        <w:rPr/>
        <w:t>Section.</w:t>
      </w:r>
      <w:r>
        <w:rPr>
          <w:spacing w:val="18"/>
        </w:rPr>
        <w:t> </w:t>
      </w:r>
      <w:r>
        <w:rPr/>
        <w:t>These</w:t>
      </w:r>
      <w:r>
        <w:rPr>
          <w:spacing w:val="18"/>
        </w:rPr>
        <w:t> </w:t>
      </w:r>
      <w:r>
        <w:rPr/>
        <w:t>outputs</w:t>
      </w:r>
      <w:r>
        <w:rPr>
          <w:spacing w:val="19"/>
        </w:rPr>
        <w:t> </w:t>
      </w:r>
      <w:r>
        <w:rPr/>
        <w:t>are</w:t>
      </w:r>
      <w:r>
        <w:rPr>
          <w:spacing w:val="17"/>
        </w:rPr>
        <w:t> </w:t>
      </w:r>
      <w:r>
        <w:rPr/>
        <w:t>obtained</w:t>
      </w:r>
      <w:r>
        <w:rPr>
          <w:spacing w:val="18"/>
        </w:rPr>
        <w:t> </w:t>
      </w:r>
      <w:r>
        <w:rPr/>
        <w:t>by</w:t>
      </w:r>
      <w:r>
        <w:rPr>
          <w:spacing w:val="14"/>
        </w:rPr>
        <w:t> </w:t>
      </w:r>
      <w:r>
        <w:rPr/>
        <w:t>using</w:t>
      </w:r>
      <w:r>
        <w:rPr>
          <w:spacing w:val="16"/>
        </w:rPr>
        <w:t> </w:t>
      </w:r>
      <w:r>
        <w:rPr/>
        <w:t>Dynare</w:t>
      </w:r>
      <w:r>
        <w:rPr>
          <w:spacing w:val="18"/>
        </w:rPr>
        <w:t> </w:t>
      </w:r>
      <w:r>
        <w:rPr/>
        <w:t>Version</w:t>
      </w:r>
      <w:r>
        <w:rPr>
          <w:spacing w:val="18"/>
        </w:rPr>
        <w:t> </w:t>
      </w:r>
      <w:r>
        <w:rPr/>
        <w:t>4.5.1</w:t>
      </w:r>
      <w:r>
        <w:rPr>
          <w:spacing w:val="18"/>
        </w:rPr>
        <w:t> </w:t>
      </w:r>
      <w:r>
        <w:rPr/>
        <w:t>on</w:t>
      </w:r>
      <w:r>
        <w:rPr>
          <w:spacing w:val="18"/>
        </w:rPr>
        <w:t> </w:t>
      </w:r>
      <w:r>
        <w:rPr/>
        <w:t>Octave</w:t>
      </w:r>
    </w:p>
    <w:p>
      <w:pPr>
        <w:pStyle w:val="BodyText"/>
        <w:spacing w:line="360" w:lineRule="auto"/>
        <w:ind w:left="500" w:right="496"/>
        <w:jc w:val="both"/>
      </w:pPr>
      <w:r>
        <w:rPr/>
        <w:t>4.2.1 to run the relevant codes. The Dynare package is a pre-processor that runs on both Matlab</w:t>
      </w:r>
      <w:r>
        <w:rPr>
          <w:spacing w:val="1"/>
        </w:rPr>
        <w:t> </w:t>
      </w:r>
      <w:r>
        <w:rPr/>
        <w:t>and Octave and are used to solve and estimate Dynamic Stochastic General Equilibrium Models</w:t>
      </w:r>
      <w:r>
        <w:rPr>
          <w:spacing w:val="1"/>
        </w:rPr>
        <w:t> </w:t>
      </w:r>
      <w:r>
        <w:rPr/>
        <w:t>(Grifolli, 2013). Specifically, the Bayesian technique is used to estimate parameters from the</w:t>
      </w:r>
      <w:r>
        <w:rPr>
          <w:spacing w:val="1"/>
        </w:rPr>
        <w:t> </w:t>
      </w:r>
      <w:r>
        <w:rPr/>
        <w:t>system of equations of the New Keynesian DSGE model outlined in Chapter 4. The estimation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includes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steps: (1)</w:t>
      </w:r>
      <w:r>
        <w:rPr>
          <w:spacing w:val="-2"/>
        </w:rPr>
        <w:t> </w:t>
      </w:r>
      <w:r>
        <w:rPr/>
        <w:t>obtain the reduced</w:t>
      </w:r>
      <w:r>
        <w:rPr>
          <w:spacing w:val="2"/>
        </w:rPr>
        <w:t> </w:t>
      </w:r>
      <w:r>
        <w:rPr/>
        <w:t>form</w:t>
      </w:r>
      <w:r>
        <w:rPr>
          <w:spacing w:val="-1"/>
        </w:rPr>
        <w:t> </w:t>
      </w:r>
      <w:r>
        <w:rPr/>
        <w:t>solution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DSGE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(2)</w:t>
      </w:r>
      <w:r>
        <w:rPr>
          <w:spacing w:val="-57"/>
        </w:rPr>
        <w:t> </w:t>
      </w:r>
      <w:r>
        <w:rPr/>
        <w:t>derive a state-space representation of the model which maps unobserved state variables into the</w:t>
      </w:r>
      <w:r>
        <w:rPr>
          <w:spacing w:val="1"/>
        </w:rPr>
        <w:t> </w:t>
      </w:r>
      <w:r>
        <w:rPr/>
        <w:t>observed</w:t>
      </w:r>
      <w:r>
        <w:rPr>
          <w:spacing w:val="-4"/>
        </w:rPr>
        <w:t> </w:t>
      </w:r>
      <w:r>
        <w:rPr/>
        <w:t>data</w:t>
      </w:r>
      <w:r>
        <w:rPr>
          <w:spacing w:val="-4"/>
        </w:rPr>
        <w:t> </w:t>
      </w:r>
      <w:r>
        <w:rPr/>
        <w:t>(3)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likelihood</w:t>
      </w:r>
      <w:r>
        <w:rPr>
          <w:spacing w:val="-3"/>
        </w:rPr>
        <w:t> </w:t>
      </w:r>
      <w:r>
        <w:rPr/>
        <w:t>function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observed</w:t>
      </w:r>
      <w:r>
        <w:rPr>
          <w:spacing w:val="-4"/>
        </w:rPr>
        <w:t> </w:t>
      </w:r>
      <w:r>
        <w:rPr/>
        <w:t>data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got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applying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Kalman</w:t>
      </w:r>
      <w:r>
        <w:rPr>
          <w:spacing w:val="-3"/>
        </w:rPr>
        <w:t> </w:t>
      </w:r>
      <w:r>
        <w:rPr/>
        <w:t>filter</w:t>
      </w:r>
      <w:r>
        <w:rPr>
          <w:spacing w:val="-58"/>
        </w:rPr>
        <w:t> </w:t>
      </w:r>
      <w:r>
        <w:rPr/>
        <w:t>to the reduced form (4)</w:t>
      </w:r>
      <w:r>
        <w:rPr>
          <w:spacing w:val="1"/>
        </w:rPr>
        <w:t> </w:t>
      </w:r>
      <w:r>
        <w:rPr/>
        <w:t>Monte-Carlo based optimisation of the posterior kernel to obtain the</w:t>
      </w:r>
      <w:r>
        <w:rPr>
          <w:spacing w:val="1"/>
        </w:rPr>
        <w:t> </w:t>
      </w:r>
      <w:r>
        <w:rPr/>
        <w:t>posterior</w:t>
      </w:r>
      <w:r>
        <w:rPr>
          <w:spacing w:val="-6"/>
        </w:rPr>
        <w:t> </w:t>
      </w:r>
      <w:r>
        <w:rPr/>
        <w:t>mode</w:t>
      </w:r>
      <w:r>
        <w:rPr>
          <w:spacing w:val="-4"/>
        </w:rPr>
        <w:t> </w:t>
      </w:r>
      <w:r>
        <w:rPr/>
        <w:t>(5)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Metropolis-Hastings</w:t>
      </w:r>
      <w:r>
        <w:rPr>
          <w:spacing w:val="-4"/>
        </w:rPr>
        <w:t> </w:t>
      </w:r>
      <w:r>
        <w:rPr/>
        <w:t>algorithm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generate</w:t>
      </w:r>
      <w:r>
        <w:rPr>
          <w:spacing w:val="-4"/>
        </w:rPr>
        <w:t> </w:t>
      </w:r>
      <w:r>
        <w:rPr/>
        <w:t>100,000</w:t>
      </w:r>
      <w:r>
        <w:rPr>
          <w:spacing w:val="-4"/>
        </w:rPr>
        <w:t> </w:t>
      </w:r>
      <w:r>
        <w:rPr/>
        <w:t>draws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5</w:t>
      </w:r>
      <w:r>
        <w:rPr>
          <w:spacing w:val="-4"/>
        </w:rPr>
        <w:t> </w:t>
      </w:r>
      <w:r>
        <w:rPr/>
        <w:t>chains</w:t>
      </w:r>
      <w:r>
        <w:rPr>
          <w:spacing w:val="-58"/>
        </w:rPr>
        <w:t> </w:t>
      </w:r>
      <w:r>
        <w:rPr/>
        <w:t>from the posterior distribution, in order to compute the posterior moments. Out of the 100, 000</w:t>
      </w:r>
      <w:r>
        <w:rPr>
          <w:spacing w:val="1"/>
        </w:rPr>
        <w:t> </w:t>
      </w:r>
      <w:r>
        <w:rPr/>
        <w:t>draws,</w:t>
      </w:r>
      <w:r>
        <w:rPr>
          <w:spacing w:val="-1"/>
        </w:rPr>
        <w:t> </w:t>
      </w:r>
      <w:r>
        <w:rPr/>
        <w:t>30,000 draws were</w:t>
      </w:r>
      <w:r>
        <w:rPr>
          <w:spacing w:val="-1"/>
        </w:rPr>
        <w:t> </w:t>
      </w:r>
      <w:r>
        <w:rPr/>
        <w:t>discarded in</w:t>
      </w:r>
      <w:r>
        <w:rPr>
          <w:spacing w:val="2"/>
        </w:rPr>
        <w:t> </w:t>
      </w:r>
      <w:r>
        <w:rPr/>
        <w:t>order to ensure</w:t>
      </w:r>
      <w:r>
        <w:rPr>
          <w:spacing w:val="-2"/>
        </w:rPr>
        <w:t> </w:t>
      </w:r>
      <w:r>
        <w:rPr/>
        <w:t>convergence.</w:t>
      </w:r>
    </w:p>
    <w:p>
      <w:pPr>
        <w:spacing w:after="0" w:line="360" w:lineRule="auto"/>
        <w:jc w:val="both"/>
        <w:sectPr>
          <w:pgSz w:w="12240" w:h="15840"/>
          <w:pgMar w:header="0" w:footer="935" w:top="1500" w:bottom="1200" w:left="940" w:right="940"/>
        </w:sectPr>
      </w:pPr>
    </w:p>
    <w:p>
      <w:pPr>
        <w:pStyle w:val="Heading1"/>
        <w:numPr>
          <w:ilvl w:val="2"/>
          <w:numId w:val="28"/>
        </w:numPr>
        <w:tabs>
          <w:tab w:pos="1214" w:val="left" w:leader="none"/>
        </w:tabs>
        <w:spacing w:line="240" w:lineRule="auto" w:before="62" w:after="0"/>
        <w:ind w:left="1213" w:right="0" w:hanging="714"/>
        <w:jc w:val="left"/>
      </w:pPr>
      <w:bookmarkStart w:name="_TOC_250016" w:id="44"/>
      <w:r>
        <w:rPr/>
        <w:t>Parameter</w:t>
      </w:r>
      <w:r>
        <w:rPr>
          <w:spacing w:val="-2"/>
        </w:rPr>
        <w:t> </w:t>
      </w:r>
      <w:r>
        <w:rPr/>
        <w:t>Estimates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DSGE</w:t>
      </w:r>
      <w:r>
        <w:rPr>
          <w:spacing w:val="-1"/>
        </w:rPr>
        <w:t> </w:t>
      </w:r>
      <w:bookmarkEnd w:id="44"/>
      <w:r>
        <w:rPr/>
        <w:t>Model</w:t>
      </w:r>
    </w:p>
    <w:p>
      <w:pPr>
        <w:pStyle w:val="BodyText"/>
        <w:spacing w:before="4"/>
        <w:rPr>
          <w:b/>
          <w:sz w:val="30"/>
        </w:rPr>
      </w:pPr>
    </w:p>
    <w:p>
      <w:pPr>
        <w:pStyle w:val="ListParagraph"/>
        <w:numPr>
          <w:ilvl w:val="0"/>
          <w:numId w:val="29"/>
        </w:numPr>
        <w:tabs>
          <w:tab w:pos="825" w:val="left" w:leader="none"/>
        </w:tabs>
        <w:spacing w:line="240" w:lineRule="auto" w:before="0" w:after="0"/>
        <w:ind w:left="824" w:right="0" w:hanging="325"/>
        <w:jc w:val="left"/>
        <w:rPr>
          <w:b/>
          <w:sz w:val="26"/>
        </w:rPr>
      </w:pPr>
      <w:r>
        <w:rPr>
          <w:b/>
          <w:sz w:val="26"/>
        </w:rPr>
        <w:t>Structural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Parameter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360" w:lineRule="auto"/>
        <w:ind w:left="500" w:right="496"/>
        <w:jc w:val="both"/>
      </w:pPr>
      <w:r>
        <w:rPr/>
        <w:t>Table 5.1 present the estimates of the structural parameters. It shows the posterior mean of each</w:t>
      </w:r>
      <w:r>
        <w:rPr>
          <w:spacing w:val="1"/>
        </w:rPr>
        <w:t> </w:t>
      </w:r>
      <w:r>
        <w:rPr/>
        <w:t>estimated parameter alongside their prior mean. The posterior estimate of habit formation is 0.86</w:t>
      </w:r>
      <w:r>
        <w:rPr>
          <w:spacing w:val="1"/>
        </w:rPr>
        <w:t> </w:t>
      </w:r>
      <w:r>
        <w:rPr/>
        <w:t>and is higher than its prior mean. This implies that a large share of Nigerian households slowly</w:t>
      </w:r>
      <w:r>
        <w:rPr>
          <w:spacing w:val="1"/>
        </w:rPr>
        <w:t> </w:t>
      </w:r>
      <w:r>
        <w:rPr/>
        <w:t>changes</w:t>
      </w:r>
      <w:r>
        <w:rPr>
          <w:spacing w:val="-6"/>
        </w:rPr>
        <w:t> </w:t>
      </w:r>
      <w:r>
        <w:rPr/>
        <w:t>their</w:t>
      </w:r>
      <w:r>
        <w:rPr>
          <w:spacing w:val="-4"/>
        </w:rPr>
        <w:t> </w:t>
      </w:r>
      <w:r>
        <w:rPr/>
        <w:t>consumption</w:t>
      </w:r>
      <w:r>
        <w:rPr>
          <w:spacing w:val="-5"/>
        </w:rPr>
        <w:t> </w:t>
      </w:r>
      <w:r>
        <w:rPr/>
        <w:t>pattern</w:t>
      </w:r>
      <w:r>
        <w:rPr>
          <w:spacing w:val="-5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an</w:t>
      </w:r>
      <w:r>
        <w:rPr>
          <w:spacing w:val="-6"/>
        </w:rPr>
        <w:t> </w:t>
      </w:r>
      <w:r>
        <w:rPr/>
        <w:t>income</w:t>
      </w:r>
      <w:r>
        <w:rPr>
          <w:spacing w:val="-6"/>
        </w:rPr>
        <w:t> </w:t>
      </w:r>
      <w:r>
        <w:rPr/>
        <w:t>shock.</w:t>
      </w:r>
      <w:r>
        <w:rPr>
          <w:spacing w:val="-2"/>
        </w:rPr>
        <w:t> </w:t>
      </w:r>
      <w:r>
        <w:rPr/>
        <w:t>It</w:t>
      </w:r>
      <w:r>
        <w:rPr>
          <w:spacing w:val="-5"/>
        </w:rPr>
        <w:t> </w:t>
      </w:r>
      <w:r>
        <w:rPr/>
        <w:t>depicts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tendency</w:t>
      </w:r>
      <w:r>
        <w:rPr>
          <w:spacing w:val="-11"/>
        </w:rPr>
        <w:t> </w:t>
      </w:r>
      <w:r>
        <w:rPr/>
        <w:t>of</w:t>
      </w:r>
      <w:r>
        <w:rPr>
          <w:spacing w:val="-4"/>
        </w:rPr>
        <w:t> </w:t>
      </w:r>
      <w:r>
        <w:rPr/>
        <w:t>Nigerian</w:t>
      </w:r>
      <w:r>
        <w:rPr>
          <w:spacing w:val="-58"/>
        </w:rPr>
        <w:t> </w:t>
      </w:r>
      <w:r>
        <w:rPr/>
        <w:t>households to base their current preferences on past consumption patterns. For instance, several</w:t>
      </w:r>
      <w:r>
        <w:rPr>
          <w:spacing w:val="1"/>
        </w:rPr>
        <w:t> </w:t>
      </w:r>
      <w:r>
        <w:rPr/>
        <w:t>Nigerians are likely to resort to borrowing, so as to retain their lifestyle and taste, despite the fall</w:t>
      </w:r>
      <w:r>
        <w:rPr>
          <w:spacing w:val="1"/>
        </w:rPr>
        <w:t> </w:t>
      </w:r>
      <w:r>
        <w:rPr/>
        <w:t>in their real wages. The posterior mean of habit formation is lower when compared with the</w:t>
      </w:r>
      <w:r>
        <w:rPr>
          <w:spacing w:val="1"/>
        </w:rPr>
        <w:t> </w:t>
      </w:r>
      <w:r>
        <w:rPr/>
        <w:t>estimate</w:t>
      </w:r>
      <w:r>
        <w:rPr>
          <w:spacing w:val="-2"/>
        </w:rPr>
        <w:t> </w:t>
      </w:r>
      <w:r>
        <w:rPr/>
        <w:t>found by</w:t>
      </w:r>
      <w:r>
        <w:rPr>
          <w:spacing w:val="-5"/>
        </w:rPr>
        <w:t> </w:t>
      </w:r>
      <w:r>
        <w:rPr/>
        <w:t>Mordi</w:t>
      </w:r>
      <w:r>
        <w:rPr>
          <w:spacing w:val="3"/>
        </w:rPr>
        <w:t> </w:t>
      </w:r>
      <w:r>
        <w:rPr>
          <w:i/>
        </w:rPr>
        <w:t>et al., </w:t>
      </w:r>
      <w:r>
        <w:rPr/>
        <w:t>(2013) at 0.94.</w:t>
      </w:r>
    </w:p>
    <w:p>
      <w:pPr>
        <w:pStyle w:val="BodyText"/>
        <w:spacing w:line="360" w:lineRule="auto" w:before="201"/>
        <w:ind w:left="500" w:right="496"/>
        <w:jc w:val="both"/>
      </w:pPr>
      <w:r>
        <w:rPr/>
        <w:t>The</w:t>
      </w:r>
      <w:r>
        <w:rPr>
          <w:spacing w:val="1"/>
        </w:rPr>
        <w:t> </w:t>
      </w:r>
      <w:r>
        <w:rPr/>
        <w:t>inverse</w:t>
      </w:r>
      <w:r>
        <w:rPr>
          <w:spacing w:val="1"/>
        </w:rPr>
        <w:t> </w:t>
      </w:r>
      <w:r>
        <w:rPr/>
        <w:t>elasticity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inter-temporal</w:t>
      </w:r>
      <w:r>
        <w:rPr>
          <w:spacing w:val="1"/>
        </w:rPr>
        <w:t> </w:t>
      </w:r>
      <w:r>
        <w:rPr/>
        <w:t>substitution,</w:t>
      </w:r>
      <w:r>
        <w:rPr>
          <w:rFonts w:ascii="Cambria Math" w:hAnsi="Cambria Math"/>
        </w:rPr>
        <w:t>(σ)</w:t>
      </w:r>
      <w:r>
        <w:rPr/>
        <w:t>,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magnitude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consumption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sensitive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changes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interest</w:t>
      </w:r>
      <w:r>
        <w:rPr>
          <w:spacing w:val="-10"/>
        </w:rPr>
        <w:t> </w:t>
      </w:r>
      <w:r>
        <w:rPr/>
        <w:t>rate.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posterior</w:t>
      </w:r>
      <w:r>
        <w:rPr>
          <w:spacing w:val="-11"/>
        </w:rPr>
        <w:t> </w:t>
      </w:r>
      <w:r>
        <w:rPr/>
        <w:t>mean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inverse</w:t>
      </w:r>
      <w:r>
        <w:rPr>
          <w:spacing w:val="-9"/>
        </w:rPr>
        <w:t> </w:t>
      </w:r>
      <w:r>
        <w:rPr/>
        <w:t>elasticity</w:t>
      </w:r>
      <w:r>
        <w:rPr>
          <w:spacing w:val="-57"/>
        </w:rPr>
        <w:t> </w:t>
      </w:r>
      <w:r>
        <w:rPr/>
        <w:t>of inter-temporal substitution is estimated to be 1.82. The elasticity of intertemporal substitution,</w:t>
      </w:r>
      <w:r>
        <w:rPr>
          <w:spacing w:val="1"/>
        </w:rPr>
        <w:t> </w:t>
      </w:r>
      <w:r>
        <w:rPr/>
        <w:t>on the other hand, is, therefore, calculated to be 0.55. It can then be interpreted that consumption</w:t>
      </w:r>
      <w:r>
        <w:rPr>
          <w:spacing w:val="1"/>
        </w:rPr>
        <w:t> </w:t>
      </w:r>
      <w:r>
        <w:rPr/>
        <w:t>is</w:t>
      </w:r>
      <w:r>
        <w:rPr>
          <w:spacing w:val="-9"/>
        </w:rPr>
        <w:t> </w:t>
      </w:r>
      <w:r>
        <w:rPr/>
        <w:t>insensitive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changes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real</w:t>
      </w:r>
      <w:r>
        <w:rPr>
          <w:spacing w:val="-8"/>
        </w:rPr>
        <w:t> </w:t>
      </w:r>
      <w:r>
        <w:rPr/>
        <w:t>interest</w:t>
      </w:r>
      <w:r>
        <w:rPr>
          <w:spacing w:val="-9"/>
        </w:rPr>
        <w:t> </w:t>
      </w:r>
      <w:r>
        <w:rPr/>
        <w:t>rate</w:t>
      </w:r>
      <w:r>
        <w:rPr>
          <w:spacing w:val="-9"/>
        </w:rPr>
        <w:t> </w:t>
      </w:r>
      <w:r>
        <w:rPr/>
        <w:t>in</w:t>
      </w:r>
      <w:r>
        <w:rPr>
          <w:spacing w:val="-6"/>
        </w:rPr>
        <w:t> </w:t>
      </w:r>
      <w:r>
        <w:rPr/>
        <w:t>Nigeria.</w:t>
      </w:r>
      <w:r>
        <w:rPr>
          <w:spacing w:val="-6"/>
        </w:rPr>
        <w:t> </w:t>
      </w:r>
      <w:r>
        <w:rPr/>
        <w:t>Increases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real</w:t>
      </w:r>
      <w:r>
        <w:rPr>
          <w:spacing w:val="-8"/>
        </w:rPr>
        <w:t> </w:t>
      </w:r>
      <w:r>
        <w:rPr/>
        <w:t>interest</w:t>
      </w:r>
      <w:r>
        <w:rPr>
          <w:spacing w:val="-9"/>
        </w:rPr>
        <w:t> </w:t>
      </w:r>
      <w:r>
        <w:rPr/>
        <w:t>rate,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this</w:t>
      </w:r>
      <w:r>
        <w:rPr>
          <w:spacing w:val="-58"/>
        </w:rPr>
        <w:t> </w:t>
      </w:r>
      <w:r>
        <w:rPr/>
        <w:t>instance, is not expected to induce consumers to forego current consumption for the future. This</w:t>
      </w:r>
      <w:r>
        <w:rPr>
          <w:spacing w:val="1"/>
        </w:rPr>
        <w:t> </w:t>
      </w:r>
      <w:r>
        <w:rPr/>
        <w:t>is evident in the poor saving culture among several Nigerians who prefer to spend in the present</w:t>
      </w:r>
      <w:r>
        <w:rPr>
          <w:spacing w:val="1"/>
        </w:rPr>
        <w:t> </w:t>
      </w:r>
      <w:r>
        <w:rPr/>
        <w:t>than save for the future. An exception to Nigerians' poor saving attitude is the retirement savings</w:t>
      </w:r>
      <w:r>
        <w:rPr>
          <w:spacing w:val="1"/>
        </w:rPr>
        <w:t> </w:t>
      </w:r>
      <w:r>
        <w:rPr/>
        <w:t>scheme which several Nigerian workers have been institutionally compelled to subscribe to. The</w:t>
      </w:r>
      <w:r>
        <w:rPr>
          <w:spacing w:val="1"/>
        </w:rPr>
        <w:t> </w:t>
      </w:r>
      <w:r>
        <w:rPr/>
        <w:t>retirement</w:t>
      </w:r>
      <w:r>
        <w:rPr>
          <w:spacing w:val="-12"/>
        </w:rPr>
        <w:t> </w:t>
      </w:r>
      <w:r>
        <w:rPr/>
        <w:t>scheme</w:t>
      </w:r>
      <w:r>
        <w:rPr>
          <w:spacing w:val="-12"/>
        </w:rPr>
        <w:t> </w:t>
      </w:r>
      <w:r>
        <w:rPr/>
        <w:t>encourages</w:t>
      </w:r>
      <w:r>
        <w:rPr>
          <w:spacing w:val="-11"/>
        </w:rPr>
        <w:t> </w:t>
      </w:r>
      <w:r>
        <w:rPr/>
        <w:t>these</w:t>
      </w:r>
      <w:r>
        <w:rPr>
          <w:spacing w:val="-12"/>
        </w:rPr>
        <w:t> </w:t>
      </w:r>
      <w:r>
        <w:rPr/>
        <w:t>individuals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forego</w:t>
      </w:r>
      <w:r>
        <w:rPr>
          <w:spacing w:val="-12"/>
        </w:rPr>
        <w:t> </w:t>
      </w:r>
      <w:r>
        <w:rPr/>
        <w:t>present</w:t>
      </w:r>
      <w:r>
        <w:rPr>
          <w:spacing w:val="-11"/>
        </w:rPr>
        <w:t> </w:t>
      </w:r>
      <w:r>
        <w:rPr/>
        <w:t>spending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future</w:t>
      </w:r>
      <w:r>
        <w:rPr>
          <w:spacing w:val="-12"/>
        </w:rPr>
        <w:t> </w:t>
      </w:r>
      <w:r>
        <w:rPr/>
        <w:t>benefits.</w:t>
      </w:r>
      <w:r>
        <w:rPr>
          <w:spacing w:val="-11"/>
        </w:rPr>
        <w:t> </w:t>
      </w:r>
      <w:r>
        <w:rPr/>
        <w:t>The</w:t>
      </w:r>
      <w:r>
        <w:rPr>
          <w:spacing w:val="-58"/>
        </w:rPr>
        <w:t> </w:t>
      </w:r>
      <w:r>
        <w:rPr/>
        <w:t>posterior</w:t>
      </w:r>
      <w:r>
        <w:rPr>
          <w:spacing w:val="-4"/>
        </w:rPr>
        <w:t> </w:t>
      </w:r>
      <w:r>
        <w:rPr/>
        <w:t>estimate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inverse</w:t>
      </w:r>
      <w:r>
        <w:rPr>
          <w:spacing w:val="-4"/>
        </w:rPr>
        <w:t> </w:t>
      </w:r>
      <w:r>
        <w:rPr/>
        <w:t>elasticity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inter-temporal</w:t>
      </w:r>
      <w:r>
        <w:rPr>
          <w:spacing w:val="-2"/>
        </w:rPr>
        <w:t> </w:t>
      </w:r>
      <w:r>
        <w:rPr/>
        <w:t>substitution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clearly</w:t>
      </w:r>
      <w:r>
        <w:rPr>
          <w:spacing w:val="-8"/>
        </w:rPr>
        <w:t> </w:t>
      </w:r>
      <w:r>
        <w:rPr/>
        <w:t>distinct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its</w:t>
      </w:r>
      <w:r>
        <w:rPr>
          <w:spacing w:val="-57"/>
        </w:rPr>
        <w:t> </w:t>
      </w:r>
      <w:r>
        <w:rPr/>
        <w:t>prior</w:t>
      </w:r>
      <w:r>
        <w:rPr>
          <w:spacing w:val="-2"/>
        </w:rPr>
        <w:t> </w:t>
      </w:r>
      <w:r>
        <w:rPr/>
        <w:t>mean</w:t>
      </w:r>
      <w:r>
        <w:rPr>
          <w:spacing w:val="-1"/>
        </w:rPr>
        <w:t> </w:t>
      </w:r>
      <w:r>
        <w:rPr/>
        <w:t>at 3.00</w:t>
      </w:r>
      <w:r>
        <w:rPr>
          <w:spacing w:val="1"/>
        </w:rPr>
        <w:t> </w:t>
      </w:r>
      <w:r>
        <w:rPr/>
        <w:t>and 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 time,</w:t>
      </w:r>
      <w:r>
        <w:rPr>
          <w:spacing w:val="-1"/>
        </w:rPr>
        <w:t> </w:t>
      </w:r>
      <w:r>
        <w:rPr/>
        <w:t>it is</w:t>
      </w:r>
      <w:r>
        <w:rPr>
          <w:spacing w:val="-1"/>
        </w:rPr>
        <w:t> </w:t>
      </w:r>
      <w:r>
        <w:rPr/>
        <w:t>lower than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estimated value</w:t>
      </w:r>
      <w:r>
        <w:rPr>
          <w:spacing w:val="-2"/>
        </w:rPr>
        <w:t> </w:t>
      </w:r>
      <w:r>
        <w:rPr/>
        <w:t>in Cebi</w:t>
      </w:r>
      <w:r>
        <w:rPr>
          <w:spacing w:val="-1"/>
        </w:rPr>
        <w:t> </w:t>
      </w:r>
      <w:r>
        <w:rPr/>
        <w:t>(2011).</w:t>
      </w:r>
    </w:p>
    <w:p>
      <w:pPr>
        <w:pStyle w:val="BodyText"/>
        <w:spacing w:line="360" w:lineRule="auto" w:before="189"/>
        <w:ind w:left="500" w:right="497"/>
        <w:jc w:val="both"/>
      </w:pPr>
      <w:r>
        <w:rPr/>
        <w:t>The</w:t>
      </w:r>
      <w:r>
        <w:rPr>
          <w:spacing w:val="-6"/>
        </w:rPr>
        <w:t> </w:t>
      </w:r>
      <w:r>
        <w:rPr/>
        <w:t>estimated</w:t>
      </w:r>
      <w:r>
        <w:rPr>
          <w:spacing w:val="-3"/>
        </w:rPr>
        <w:t> </w:t>
      </w:r>
      <w:r>
        <w:rPr/>
        <w:t>value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share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non-Ricardian</w:t>
      </w:r>
      <w:r>
        <w:rPr>
          <w:spacing w:val="-3"/>
        </w:rPr>
        <w:t> </w:t>
      </w:r>
      <w:r>
        <w:rPr/>
        <w:t>households,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/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</w:rPr>
        <w:t>,</w:t>
      </w:r>
      <w:r>
        <w:rPr>
          <w:rFonts w:ascii="Cambria Math" w:eastAsia="Cambria Math"/>
          <w:spacing w:val="3"/>
        </w:rPr>
        <w:t> </w:t>
      </w:r>
      <w:r>
        <w:rPr/>
        <w:t>at</w:t>
      </w:r>
      <w:r>
        <w:rPr>
          <w:spacing w:val="-4"/>
        </w:rPr>
        <w:t> </w:t>
      </w:r>
      <w:r>
        <w:rPr/>
        <w:t>0.703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clearly</w:t>
      </w:r>
      <w:r>
        <w:rPr>
          <w:spacing w:val="-8"/>
        </w:rPr>
        <w:t> </w:t>
      </w:r>
      <w:r>
        <w:rPr/>
        <w:t>higher</w:t>
      </w:r>
      <w:r>
        <w:rPr>
          <w:spacing w:val="-4"/>
        </w:rPr>
        <w:t> </w:t>
      </w:r>
      <w:r>
        <w:rPr/>
        <w:t>than</w:t>
      </w:r>
      <w:r>
        <w:rPr>
          <w:spacing w:val="-58"/>
        </w:rPr>
        <w:t> </w:t>
      </w:r>
      <w:r>
        <w:rPr/>
        <w:t>the reported estimate of 0.37 in Muscatelli, Tirelli and Trecroci (2005). The difference in the</w:t>
      </w:r>
      <w:r>
        <w:rPr>
          <w:spacing w:val="1"/>
        </w:rPr>
        <w:t> </w:t>
      </w:r>
      <w:r>
        <w:rPr/>
        <w:t>estimate of the parameter lies in the distinct economic structure between the advanced economy</w:t>
      </w:r>
      <w:r>
        <w:rPr>
          <w:spacing w:val="1"/>
        </w:rPr>
        <w:t> </w:t>
      </w:r>
      <w:r>
        <w:rPr/>
        <w:t>of the United States and the developing one of Nigeria. The result depicts the presence of a large</w:t>
      </w:r>
      <w:r>
        <w:rPr>
          <w:spacing w:val="1"/>
        </w:rPr>
        <w:t> </w:t>
      </w:r>
      <w:r>
        <w:rPr/>
        <w:t>share of liquidity constrained individuals, that is, non-Ricardian households in Nigeria. These</w:t>
      </w:r>
      <w:r>
        <w:rPr>
          <w:spacing w:val="1"/>
        </w:rPr>
        <w:t> </w:t>
      </w:r>
      <w:r>
        <w:rPr/>
        <w:t>individuals live from hand to mouth, this means that they only consume but cannot save. In</w:t>
      </w:r>
      <w:r>
        <w:rPr>
          <w:spacing w:val="1"/>
        </w:rPr>
        <w:t> </w:t>
      </w:r>
      <w:r>
        <w:rPr/>
        <w:t>Nigeria,</w:t>
      </w:r>
      <w:r>
        <w:rPr>
          <w:spacing w:val="23"/>
        </w:rPr>
        <w:t> </w:t>
      </w:r>
      <w:r>
        <w:rPr/>
        <w:t>there</w:t>
      </w:r>
      <w:r>
        <w:rPr>
          <w:spacing w:val="22"/>
        </w:rPr>
        <w:t> </w:t>
      </w:r>
      <w:r>
        <w:rPr/>
        <w:t>is</w:t>
      </w:r>
      <w:r>
        <w:rPr>
          <w:spacing w:val="26"/>
        </w:rPr>
        <w:t> </w:t>
      </w:r>
      <w:r>
        <w:rPr/>
        <w:t>a</w:t>
      </w:r>
      <w:r>
        <w:rPr>
          <w:spacing w:val="22"/>
        </w:rPr>
        <w:t> </w:t>
      </w:r>
      <w:r>
        <w:rPr/>
        <w:t>higher</w:t>
      </w:r>
      <w:r>
        <w:rPr>
          <w:spacing w:val="23"/>
        </w:rPr>
        <w:t> </w:t>
      </w:r>
      <w:r>
        <w:rPr/>
        <w:t>propensity</w:t>
      </w:r>
      <w:r>
        <w:rPr>
          <w:spacing w:val="18"/>
        </w:rPr>
        <w:t> </w:t>
      </w:r>
      <w:r>
        <w:rPr/>
        <w:t>to</w:t>
      </w:r>
      <w:r>
        <w:rPr>
          <w:spacing w:val="24"/>
        </w:rPr>
        <w:t> </w:t>
      </w:r>
      <w:r>
        <w:rPr/>
        <w:t>consume</w:t>
      </w:r>
      <w:r>
        <w:rPr>
          <w:spacing w:val="24"/>
        </w:rPr>
        <w:t> </w:t>
      </w:r>
      <w:r>
        <w:rPr/>
        <w:t>than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save.</w:t>
      </w:r>
      <w:r>
        <w:rPr>
          <w:spacing w:val="25"/>
        </w:rPr>
        <w:t> </w:t>
      </w:r>
      <w:r>
        <w:rPr/>
        <w:t>This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because</w:t>
      </w:r>
      <w:r>
        <w:rPr>
          <w:spacing w:val="23"/>
        </w:rPr>
        <w:t> </w:t>
      </w:r>
      <w:r>
        <w:rPr/>
        <w:t>many</w:t>
      </w:r>
      <w:r>
        <w:rPr>
          <w:spacing w:val="18"/>
        </w:rPr>
        <w:t> </w:t>
      </w:r>
      <w:r>
        <w:rPr/>
        <w:t>Nigerians</w:t>
      </w:r>
    </w:p>
    <w:p>
      <w:pPr>
        <w:spacing w:after="0" w:line="360" w:lineRule="auto"/>
        <w:jc w:val="both"/>
        <w:sectPr>
          <w:pgSz w:w="12240" w:h="15840"/>
          <w:pgMar w:header="0" w:footer="935" w:top="1380" w:bottom="1200" w:left="940" w:right="940"/>
        </w:sectPr>
      </w:pPr>
    </w:p>
    <w:p>
      <w:pPr>
        <w:pStyle w:val="BodyText"/>
        <w:spacing w:line="360" w:lineRule="auto" w:before="74"/>
        <w:ind w:left="500" w:right="500"/>
        <w:jc w:val="both"/>
      </w:pPr>
      <w:r>
        <w:rPr/>
        <w:t>spend a greater proportion of their income on food, shelter and energy, with little of their income</w:t>
      </w:r>
      <w:r>
        <w:rPr>
          <w:spacing w:val="-57"/>
        </w:rPr>
        <w:t> </w:t>
      </w:r>
      <w:r>
        <w:rPr/>
        <w:t>left for savings. Statistics reveal that Nigeria spends about 65 percent of its total expenditure on</w:t>
      </w:r>
      <w:r>
        <w:rPr>
          <w:spacing w:val="1"/>
        </w:rPr>
        <w:t> </w:t>
      </w:r>
      <w:r>
        <w:rPr/>
        <w:t>food</w:t>
      </w:r>
      <w:r>
        <w:rPr>
          <w:spacing w:val="-2"/>
        </w:rPr>
        <w:t> </w:t>
      </w:r>
      <w:r>
        <w:rPr/>
        <w:t>alone</w:t>
      </w:r>
      <w:r>
        <w:rPr>
          <w:spacing w:val="-1"/>
        </w:rPr>
        <w:t> </w:t>
      </w:r>
      <w:r>
        <w:rPr/>
        <w:t>(National Bureau of Statistics, 2012).</w:t>
      </w:r>
    </w:p>
    <w:p>
      <w:pPr>
        <w:pStyle w:val="BodyText"/>
        <w:spacing w:line="362" w:lineRule="auto" w:before="199"/>
        <w:ind w:left="500" w:right="498"/>
        <w:jc w:val="both"/>
      </w:pPr>
      <w:r>
        <w:rPr/>
        <w:t>The posterior mean of Calvo price stickiness, (</w:t>
      </w:r>
      <w:r>
        <w:rPr>
          <w:rFonts w:ascii="Cambria Math" w:eastAsia="Cambria Math"/>
        </w:rPr>
        <w:t>𝜃), </w:t>
      </w:r>
      <w:r>
        <w:rPr/>
        <w:t>at 0.499 is slightly lower than its prior mean.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differs</w:t>
      </w:r>
      <w:r>
        <w:rPr>
          <w:spacing w:val="2"/>
        </w:rPr>
        <w:t> </w:t>
      </w:r>
      <w:r>
        <w:rPr/>
        <w:t>from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finding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Rasaki</w:t>
      </w:r>
      <w:r>
        <w:rPr>
          <w:spacing w:val="4"/>
        </w:rPr>
        <w:t> </w:t>
      </w:r>
      <w:r>
        <w:rPr/>
        <w:t>(2017)</w:t>
      </w:r>
      <w:r>
        <w:rPr>
          <w:spacing w:val="2"/>
        </w:rPr>
        <w:t> </w:t>
      </w:r>
      <w:r>
        <w:rPr/>
        <w:t>who</w:t>
      </w:r>
      <w:r>
        <w:rPr>
          <w:spacing w:val="1"/>
        </w:rPr>
        <w:t> </w:t>
      </w:r>
      <w:r>
        <w:rPr/>
        <w:t>estimated</w:t>
      </w:r>
      <w:r>
        <w:rPr>
          <w:spacing w:val="2"/>
        </w:rPr>
        <w:t> </w:t>
      </w:r>
      <w:r>
        <w:rPr/>
        <w:t>the</w:t>
      </w:r>
      <w:r>
        <w:rPr>
          <w:spacing w:val="8"/>
        </w:rPr>
        <w:t> </w:t>
      </w:r>
      <w:r>
        <w:rPr/>
        <w:t>price</w:t>
      </w:r>
      <w:r>
        <w:rPr>
          <w:spacing w:val="2"/>
        </w:rPr>
        <w:t> </w:t>
      </w:r>
      <w:r>
        <w:rPr/>
        <w:t>stickiness</w:t>
      </w:r>
      <w:r>
        <w:rPr>
          <w:spacing w:val="2"/>
        </w:rPr>
        <w:t> </w:t>
      </w:r>
      <w:r>
        <w:rPr/>
        <w:t>parameter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</w:p>
    <w:p>
      <w:pPr>
        <w:pStyle w:val="BodyText"/>
        <w:spacing w:line="360" w:lineRule="auto"/>
        <w:ind w:left="500" w:right="495"/>
        <w:jc w:val="both"/>
      </w:pPr>
      <w:r>
        <w:rPr/>
        <w:t>0.71. The estimated value of Calvo price stickiness at 0.499 shows that about 50 percent of firms,</w:t>
      </w:r>
      <w:r>
        <w:rPr>
          <w:spacing w:val="-57"/>
        </w:rPr>
        <w:t> </w:t>
      </w:r>
      <w:r>
        <w:rPr/>
        <w:t>do not re-optimise their prices in a given quarter. It also implies that price contracts remain fixed</w:t>
      </w:r>
      <w:r>
        <w:rPr>
          <w:spacing w:val="1"/>
        </w:rPr>
        <w:t> </w:t>
      </w:r>
      <w:r>
        <w:rPr/>
        <w:t>for</w:t>
      </w:r>
      <w:r>
        <w:rPr>
          <w:spacing w:val="-4"/>
        </w:rPr>
        <w:t> </w:t>
      </w:r>
      <w:r>
        <w:rPr/>
        <w:t>about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quarters.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implies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businesses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firms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Nigeria</w:t>
      </w:r>
      <w:r>
        <w:rPr>
          <w:spacing w:val="-4"/>
        </w:rPr>
        <w:t> </w:t>
      </w:r>
      <w:r>
        <w:rPr/>
        <w:t>tend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change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prices</w:t>
      </w:r>
      <w:r>
        <w:rPr>
          <w:spacing w:val="-58"/>
        </w:rPr>
        <w:t> </w:t>
      </w:r>
      <w:r>
        <w:rPr/>
        <w:t>of their goods and services every six months. The frequent change in the prices of goods and</w:t>
      </w:r>
      <w:r>
        <w:rPr>
          <w:spacing w:val="1"/>
        </w:rPr>
        <w:t> </w:t>
      </w:r>
      <w:r>
        <w:rPr/>
        <w:t>services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suspected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originate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fluctuations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prices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food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exchange</w:t>
      </w:r>
      <w:r>
        <w:rPr>
          <w:spacing w:val="-4"/>
        </w:rPr>
        <w:t> </w:t>
      </w:r>
      <w:r>
        <w:rPr/>
        <w:t>rates,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economy.</w:t>
      </w:r>
    </w:p>
    <w:p>
      <w:pPr>
        <w:pStyle w:val="BodyText"/>
        <w:spacing w:line="360" w:lineRule="auto" w:before="194"/>
        <w:ind w:left="500" w:right="495"/>
        <w:jc w:val="both"/>
      </w:pPr>
      <w:r>
        <w:rPr/>
        <w:t>Furthermore, the parameter estimate of the degree of openness, </w:t>
      </w:r>
      <w:r>
        <w:rPr>
          <w:rFonts w:ascii="Cambria Math" w:hAnsi="Cambria Math" w:eastAsia="Cambria Math"/>
        </w:rPr>
        <w:t>𝛼</w:t>
      </w:r>
      <w:r>
        <w:rPr/>
        <w:t>, is higher than its prior mean. It</w:t>
      </w:r>
      <w:r>
        <w:rPr>
          <w:spacing w:val="-57"/>
        </w:rPr>
        <w:t> </w:t>
      </w:r>
      <w:r>
        <w:rPr/>
        <w:t>shows that Nigeria has a high degree of openness to trade. Foreign trade is therefore believed to</w:t>
      </w:r>
      <w:r>
        <w:rPr>
          <w:spacing w:val="1"/>
        </w:rPr>
        <w:t> </w:t>
      </w:r>
      <w:r>
        <w:rPr/>
        <w:t>wield a good influence on the domestic economy of Nigeria. For instance, Nigeria has gained</w:t>
      </w:r>
      <w:r>
        <w:rPr>
          <w:spacing w:val="1"/>
        </w:rPr>
        <w:t> </w:t>
      </w:r>
      <w:r>
        <w:rPr/>
        <w:t>tremendously from its exports of primary products such as agricultural produce and crude oil. At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same</w:t>
      </w:r>
      <w:r>
        <w:rPr>
          <w:spacing w:val="-1"/>
        </w:rPr>
        <w:t> </w:t>
      </w:r>
      <w:r>
        <w:rPr/>
        <w:t>time,</w:t>
      </w:r>
      <w:r>
        <w:rPr>
          <w:spacing w:val="-2"/>
        </w:rPr>
        <w:t> </w:t>
      </w:r>
      <w:r>
        <w:rPr/>
        <w:t>imports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raw</w:t>
      </w:r>
      <w:r>
        <w:rPr>
          <w:spacing w:val="-2"/>
        </w:rPr>
        <w:t> </w:t>
      </w:r>
      <w:r>
        <w:rPr/>
        <w:t>materials,</w:t>
      </w:r>
      <w:r>
        <w:rPr>
          <w:spacing w:val="-1"/>
        </w:rPr>
        <w:t> </w:t>
      </w:r>
      <w:r>
        <w:rPr/>
        <w:t>manufactured</w:t>
      </w:r>
      <w:r>
        <w:rPr>
          <w:spacing w:val="-2"/>
        </w:rPr>
        <w:t> </w:t>
      </w:r>
      <w:r>
        <w:rPr/>
        <w:t>goods,</w:t>
      </w:r>
      <w:r>
        <w:rPr>
          <w:spacing w:val="-1"/>
        </w:rPr>
        <w:t> </w:t>
      </w:r>
      <w:r>
        <w:rPr/>
        <w:t>electronics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cars</w:t>
      </w:r>
      <w:r>
        <w:rPr>
          <w:spacing w:val="-1"/>
        </w:rPr>
        <w:t> </w:t>
      </w:r>
      <w:r>
        <w:rPr/>
        <w:t>have</w:t>
      </w:r>
      <w:r>
        <w:rPr>
          <w:spacing w:val="-3"/>
        </w:rPr>
        <w:t> </w:t>
      </w:r>
      <w:r>
        <w:rPr/>
        <w:t>been</w:t>
      </w:r>
      <w:r>
        <w:rPr>
          <w:spacing w:val="-1"/>
        </w:rPr>
        <w:t> </w:t>
      </w:r>
      <w:r>
        <w:rPr/>
        <w:t>able</w:t>
      </w:r>
      <w:r>
        <w:rPr>
          <w:spacing w:val="-58"/>
        </w:rPr>
        <w:t> </w:t>
      </w:r>
      <w:r>
        <w:rPr/>
        <w:t>to improve living conditions in the country. The posterior mean for the elasticity of substitution</w:t>
      </w:r>
      <w:r>
        <w:rPr>
          <w:spacing w:val="1"/>
        </w:rPr>
        <w:t> </w:t>
      </w:r>
      <w:r>
        <w:rPr/>
        <w:t>between</w:t>
      </w:r>
      <w:r>
        <w:rPr>
          <w:spacing w:val="-7"/>
        </w:rPr>
        <w:t> </w:t>
      </w:r>
      <w:r>
        <w:rPr/>
        <w:t>home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foreign</w:t>
      </w:r>
      <w:r>
        <w:rPr>
          <w:spacing w:val="-6"/>
        </w:rPr>
        <w:t> </w:t>
      </w:r>
      <w:r>
        <w:rPr/>
        <w:t>goods,</w:t>
      </w:r>
      <w:r>
        <w:rPr>
          <w:spacing w:val="-5"/>
        </w:rPr>
        <w:t> </w:t>
      </w:r>
      <w:r>
        <w:rPr>
          <w:sz w:val="20"/>
        </w:rPr>
        <w:t>(</w:t>
      </w:r>
      <w:r>
        <w:rPr>
          <w:rFonts w:ascii="Cambria Math" w:hAnsi="Cambria Math" w:eastAsia="Cambria Math"/>
          <w:sz w:val="20"/>
        </w:rPr>
        <w:t>𝜂</w:t>
      </w:r>
      <w:r>
        <w:rPr>
          <w:sz w:val="20"/>
        </w:rPr>
        <w:t>)</w:t>
      </w:r>
      <w:r>
        <w:rPr/>
        <w:t>,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positive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high,</w:t>
      </w:r>
      <w:r>
        <w:rPr>
          <w:spacing w:val="-7"/>
        </w:rPr>
        <w:t> </w:t>
      </w:r>
      <w:r>
        <w:rPr/>
        <w:t>such</w:t>
      </w:r>
      <w:r>
        <w:rPr>
          <w:spacing w:val="-6"/>
        </w:rPr>
        <w:t> </w:t>
      </w:r>
      <w:r>
        <w:rPr/>
        <w:t>that,</w:t>
      </w:r>
      <w:r>
        <w:rPr>
          <w:spacing w:val="-6"/>
        </w:rPr>
        <w:t> </w:t>
      </w:r>
      <w:r>
        <w:rPr/>
        <w:t>Nigerians</w:t>
      </w:r>
      <w:r>
        <w:rPr>
          <w:spacing w:val="-6"/>
        </w:rPr>
        <w:t> </w:t>
      </w:r>
      <w:r>
        <w:rPr/>
        <w:t>are</w:t>
      </w:r>
      <w:r>
        <w:rPr>
          <w:spacing w:val="-8"/>
        </w:rPr>
        <w:t> </w:t>
      </w:r>
      <w:r>
        <w:rPr/>
        <w:t>perceived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58"/>
        </w:rPr>
        <w:t> </w:t>
      </w:r>
      <w:r>
        <w:rPr/>
        <w:t>willing to forego their consumption of local products in preference for imported goods. It shows</w:t>
      </w:r>
      <w:r>
        <w:rPr>
          <w:spacing w:val="1"/>
        </w:rPr>
        <w:t> </w:t>
      </w:r>
      <w:r>
        <w:rPr/>
        <w:t>that consumers’ preference for imported goods is high. On average, Nigerians prefer to consume</w:t>
      </w:r>
      <w:r>
        <w:rPr>
          <w:spacing w:val="1"/>
        </w:rPr>
        <w:t> </w:t>
      </w:r>
      <w:r>
        <w:rPr/>
        <w:t>imported clothes, shoes, electronics. This is suspected to be linked to the poor quality and lack of</w:t>
      </w:r>
      <w:r>
        <w:rPr>
          <w:spacing w:val="-57"/>
        </w:rPr>
        <w:t> </w:t>
      </w:r>
      <w:r>
        <w:rPr/>
        <w:t>competitiveness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locally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counterparts.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necessitated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campaigns</w:t>
      </w:r>
      <w:r>
        <w:rPr>
          <w:spacing w:val="-1"/>
        </w:rPr>
        <w:t> </w:t>
      </w:r>
      <w:r>
        <w:rPr/>
        <w:t>for ‘made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Nigeria’ products.</w:t>
      </w:r>
    </w:p>
    <w:p>
      <w:pPr>
        <w:pStyle w:val="BodyText"/>
        <w:spacing w:line="360" w:lineRule="auto" w:before="202"/>
        <w:ind w:left="500" w:right="500"/>
        <w:jc w:val="both"/>
      </w:pPr>
      <w:r>
        <w:rPr/>
        <w:t>The posterior estimate of the inverse elasticity of labour, </w:t>
      </w:r>
      <w:r>
        <w:rPr>
          <w:rFonts w:ascii="Cambria Math" w:eastAsia="Cambria Math"/>
        </w:rPr>
        <w:t>, </w:t>
      </w:r>
      <w:r>
        <w:rPr/>
        <w:t>is found to be greater than its prior</w:t>
      </w:r>
      <w:r>
        <w:rPr>
          <w:spacing w:val="1"/>
        </w:rPr>
        <w:t> </w:t>
      </w:r>
      <w:r>
        <w:rPr/>
        <w:t>mean.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inverse</w:t>
      </w:r>
      <w:r>
        <w:rPr>
          <w:spacing w:val="-6"/>
        </w:rPr>
        <w:t> </w:t>
      </w:r>
      <w:r>
        <w:rPr/>
        <w:t>elasticity</w:t>
      </w:r>
      <w:r>
        <w:rPr>
          <w:spacing w:val="-11"/>
        </w:rPr>
        <w:t> </w:t>
      </w:r>
      <w:r>
        <w:rPr/>
        <w:t>of</w:t>
      </w:r>
      <w:r>
        <w:rPr>
          <w:spacing w:val="-6"/>
        </w:rPr>
        <w:t> </w:t>
      </w:r>
      <w:r>
        <w:rPr/>
        <w:t>labour</w:t>
      </w:r>
      <w:r>
        <w:rPr>
          <w:spacing w:val="-6"/>
        </w:rPr>
        <w:t> </w:t>
      </w:r>
      <w:r>
        <w:rPr/>
        <w:t>shows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responsiveness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labour</w:t>
      </w:r>
      <w:r>
        <w:rPr>
          <w:spacing w:val="-8"/>
        </w:rPr>
        <w:t> </w:t>
      </w:r>
      <w:r>
        <w:rPr/>
        <w:t>supply</w:t>
      </w:r>
      <w:r>
        <w:rPr>
          <w:spacing w:val="-12"/>
        </w:rPr>
        <w:t> </w:t>
      </w:r>
      <w:r>
        <w:rPr/>
        <w:t>to</w:t>
      </w:r>
      <w:r>
        <w:rPr>
          <w:spacing w:val="-4"/>
        </w:rPr>
        <w:t> </w:t>
      </w:r>
      <w:r>
        <w:rPr/>
        <w:t>changes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wage rate. The elasticity of labour is low at 0.22 (this is calculated as 1/4.5). This depicts that the</w:t>
      </w:r>
      <w:r>
        <w:rPr>
          <w:spacing w:val="-57"/>
        </w:rPr>
        <w:t> </w:t>
      </w:r>
      <w:r>
        <w:rPr/>
        <w:t>amount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labour</w:t>
      </w:r>
      <w:r>
        <w:rPr>
          <w:spacing w:val="-7"/>
        </w:rPr>
        <w:t> </w:t>
      </w:r>
      <w:r>
        <w:rPr/>
        <w:t>supplied</w:t>
      </w:r>
      <w:r>
        <w:rPr>
          <w:spacing w:val="-6"/>
        </w:rPr>
        <w:t> </w:t>
      </w:r>
      <w:r>
        <w:rPr/>
        <w:t>by</w:t>
      </w:r>
      <w:r>
        <w:rPr>
          <w:spacing w:val="-11"/>
        </w:rPr>
        <w:t> </w:t>
      </w:r>
      <w:r>
        <w:rPr/>
        <w:t>Nigerian</w:t>
      </w:r>
      <w:r>
        <w:rPr>
          <w:spacing w:val="-6"/>
        </w:rPr>
        <w:t> </w:t>
      </w:r>
      <w:r>
        <w:rPr/>
        <w:t>workers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insensitive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changes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wage</w:t>
      </w:r>
      <w:r>
        <w:rPr>
          <w:spacing w:val="-7"/>
        </w:rPr>
        <w:t> </w:t>
      </w:r>
      <w:r>
        <w:rPr/>
        <w:t>rate.</w:t>
      </w:r>
      <w:r>
        <w:rPr>
          <w:spacing w:val="-4"/>
        </w:rPr>
        <w:t> </w:t>
      </w:r>
      <w:r>
        <w:rPr/>
        <w:t>For</w:t>
      </w:r>
      <w:r>
        <w:rPr>
          <w:spacing w:val="-57"/>
        </w:rPr>
        <w:t> </w:t>
      </w:r>
      <w:r>
        <w:rPr/>
        <w:t>instance, in spite of cuts in their salaries, many Nigerian workers consider the dire state of</w:t>
      </w:r>
      <w:r>
        <w:rPr>
          <w:spacing w:val="1"/>
        </w:rPr>
        <w:t> </w:t>
      </w:r>
      <w:r>
        <w:rPr/>
        <w:t>unemployment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country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are</w:t>
      </w:r>
      <w:r>
        <w:rPr>
          <w:spacing w:val="-1"/>
        </w:rPr>
        <w:t> </w:t>
      </w:r>
      <w:r>
        <w:rPr/>
        <w:t>less likely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 </w:t>
      </w:r>
      <w:r>
        <w:rPr/>
        <w:t>quit their</w:t>
      </w:r>
      <w:r>
        <w:rPr>
          <w:spacing w:val="-1"/>
        </w:rPr>
        <w:t> </w:t>
      </w:r>
      <w:r>
        <w:rPr/>
        <w:t>jobs.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spacing w:before="76" w:after="4"/>
        <w:ind w:left="1332" w:right="1335" w:firstLine="0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5.1: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Estimates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Structural Parameters</w:t>
      </w:r>
    </w:p>
    <w:tbl>
      <w:tblPr>
        <w:tblW w:w="0" w:type="auto"/>
        <w:jc w:val="left"/>
        <w:tblInd w:w="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2408"/>
        <w:gridCol w:w="1441"/>
        <w:gridCol w:w="881"/>
        <w:gridCol w:w="1188"/>
        <w:gridCol w:w="812"/>
        <w:gridCol w:w="1080"/>
      </w:tblGrid>
      <w:tr>
        <w:trPr>
          <w:trHeight w:val="677" w:hRule="atLeast"/>
        </w:trPr>
        <w:tc>
          <w:tcPr>
            <w:tcW w:w="3687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1441" w:type="dxa"/>
            <w:vMerge w:val="restart"/>
          </w:tcPr>
          <w:p>
            <w:pPr>
              <w:pStyle w:val="TableParagraph"/>
              <w:ind w:right="187"/>
              <w:rPr>
                <w:sz w:val="24"/>
              </w:rPr>
            </w:pPr>
            <w:r>
              <w:rPr>
                <w:sz w:val="24"/>
              </w:rPr>
              <w:t>Prior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distribution</w:t>
            </w:r>
          </w:p>
        </w:tc>
        <w:tc>
          <w:tcPr>
            <w:tcW w:w="881" w:type="dxa"/>
            <w:vMerge w:val="restart"/>
          </w:tcPr>
          <w:p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sz w:val="24"/>
              </w:rPr>
              <w:t>Prior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  <w:tc>
          <w:tcPr>
            <w:tcW w:w="1188" w:type="dxa"/>
            <w:vMerge w:val="restart"/>
          </w:tcPr>
          <w:p>
            <w:pPr>
              <w:pStyle w:val="TableParagraph"/>
              <w:ind w:left="106" w:right="175"/>
              <w:rPr>
                <w:sz w:val="24"/>
              </w:rPr>
            </w:pPr>
            <w:r>
              <w:rPr>
                <w:sz w:val="24"/>
              </w:rPr>
              <w:t>Posterior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  <w:tc>
          <w:tcPr>
            <w:tcW w:w="1892" w:type="dxa"/>
            <w:gridSpan w:val="2"/>
            <w:vMerge w:val="restart"/>
          </w:tcPr>
          <w:p>
            <w:pPr>
              <w:pStyle w:val="TableParagraph"/>
              <w:ind w:left="106" w:right="639"/>
              <w:rPr>
                <w:sz w:val="24"/>
              </w:rPr>
            </w:pPr>
            <w:r>
              <w:rPr>
                <w:sz w:val="24"/>
              </w:rPr>
              <w:t>Confidence Interval</w:t>
            </w:r>
          </w:p>
        </w:tc>
      </w:tr>
      <w:tr>
        <w:trPr>
          <w:trHeight w:val="464" w:hRule="atLeast"/>
        </w:trPr>
        <w:tc>
          <w:tcPr>
            <w:tcW w:w="1279" w:type="dxa"/>
            <w:vMerge w:val="restart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Symbol</w:t>
            </w:r>
          </w:p>
        </w:tc>
        <w:tc>
          <w:tcPr>
            <w:tcW w:w="2408" w:type="dxa"/>
            <w:vMerge w:val="restart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9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95%</w:t>
            </w:r>
          </w:p>
        </w:tc>
      </w:tr>
      <w:tr>
        <w:trPr>
          <w:trHeight w:val="275" w:hRule="atLeast"/>
        </w:trPr>
        <w:tc>
          <w:tcPr>
            <w:tcW w:w="1279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h</w:t>
            </w:r>
          </w:p>
        </w:tc>
        <w:tc>
          <w:tcPr>
            <w:tcW w:w="2408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Habit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formation</w:t>
            </w:r>
          </w:p>
        </w:tc>
        <w:tc>
          <w:tcPr>
            <w:tcW w:w="1441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881" w:type="dxa"/>
          </w:tcPr>
          <w:p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1188" w:type="dxa"/>
          </w:tcPr>
          <w:p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812" w:type="dxa"/>
          </w:tcPr>
          <w:p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0.799</w:t>
            </w:r>
          </w:p>
        </w:tc>
        <w:tc>
          <w:tcPr>
            <w:tcW w:w="1080" w:type="dxa"/>
          </w:tcPr>
          <w:p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0.919</w:t>
            </w:r>
          </w:p>
        </w:tc>
      </w:tr>
      <w:tr>
        <w:trPr>
          <w:trHeight w:val="551" w:hRule="atLeast"/>
        </w:trPr>
        <w:tc>
          <w:tcPr>
            <w:tcW w:w="1279" w:type="dxa"/>
          </w:tcPr>
          <w:p>
            <w:pPr>
              <w:pStyle w:val="TableParagraph"/>
              <w:spacing w:line="276" w:lineRule="exact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Sigma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𝜎)</w:t>
            </w:r>
          </w:p>
        </w:tc>
        <w:tc>
          <w:tcPr>
            <w:tcW w:w="240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Inverse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elasticity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substitution</w:t>
            </w:r>
          </w:p>
        </w:tc>
        <w:tc>
          <w:tcPr>
            <w:tcW w:w="144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881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8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1.82</w:t>
            </w: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1.487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2.153</w:t>
            </w:r>
          </w:p>
        </w:tc>
      </w:tr>
      <w:tr>
        <w:trPr>
          <w:trHeight w:val="553" w:hRule="atLeast"/>
        </w:trPr>
        <w:tc>
          <w:tcPr>
            <w:tcW w:w="1279" w:type="dxa"/>
          </w:tcPr>
          <w:p>
            <w:pPr>
              <w:pStyle w:val="TableParagraph"/>
              <w:spacing w:line="279" w:lineRule="exact"/>
              <w:rPr>
                <w:rFonts w:ascii="Cambria Math" w:eastAsia="Cambria Math"/>
                <w:sz w:val="24"/>
              </w:rPr>
            </w:pPr>
            <w:r>
              <w:rPr>
                <w:w w:val="95"/>
                <w:sz w:val="24"/>
              </w:rPr>
              <w:t>Psi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</w:t>
            </w:r>
            <w:r>
              <w:rPr>
                <w:rFonts w:ascii="Cambria Math" w:eastAsia="Cambria Math"/>
                <w:w w:val="95"/>
                <w:sz w:val="24"/>
              </w:rPr>
              <w:t>)</w:t>
            </w:r>
          </w:p>
        </w:tc>
        <w:tc>
          <w:tcPr>
            <w:tcW w:w="240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Share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non-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Ricardian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household</w:t>
            </w:r>
          </w:p>
        </w:tc>
        <w:tc>
          <w:tcPr>
            <w:tcW w:w="144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881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118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0.703</w:t>
            </w:r>
          </w:p>
        </w:tc>
        <w:tc>
          <w:tcPr>
            <w:tcW w:w="81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0.546</w:t>
            </w:r>
          </w:p>
        </w:tc>
        <w:tc>
          <w:tcPr>
            <w:tcW w:w="108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0.868</w:t>
            </w:r>
          </w:p>
        </w:tc>
      </w:tr>
      <w:tr>
        <w:trPr>
          <w:trHeight w:val="280" w:hRule="atLeast"/>
        </w:trPr>
        <w:tc>
          <w:tcPr>
            <w:tcW w:w="1279" w:type="dxa"/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alpha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𝛼</w:t>
            </w:r>
            <w:r>
              <w:rPr>
                <w:sz w:val="24"/>
              </w:rPr>
              <w:t>)</w:t>
            </w:r>
          </w:p>
        </w:tc>
        <w:tc>
          <w:tcPr>
            <w:tcW w:w="2408" w:type="dxa"/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Degree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openness</w:t>
            </w:r>
          </w:p>
        </w:tc>
        <w:tc>
          <w:tcPr>
            <w:tcW w:w="1441" w:type="dxa"/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881" w:type="dxa"/>
          </w:tcPr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188" w:type="dxa"/>
          </w:tcPr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812" w:type="dxa"/>
          </w:tcPr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0.515</w:t>
            </w:r>
          </w:p>
        </w:tc>
        <w:tc>
          <w:tcPr>
            <w:tcW w:w="1080" w:type="dxa"/>
          </w:tcPr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0.735</w:t>
            </w:r>
          </w:p>
        </w:tc>
      </w:tr>
      <w:tr>
        <w:trPr>
          <w:trHeight w:val="551" w:hRule="atLeast"/>
        </w:trPr>
        <w:tc>
          <w:tcPr>
            <w:tcW w:w="1279" w:type="dxa"/>
          </w:tcPr>
          <w:p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w w:val="90"/>
                <w:sz w:val="24"/>
              </w:rPr>
              <w:t>Phi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</w:t>
            </w:r>
            <w:r>
              <w:rPr>
                <w:rFonts w:ascii="Cambria Math" w:eastAsia="Cambria Math"/>
                <w:w w:val="90"/>
                <w:sz w:val="24"/>
              </w:rPr>
              <w:t/>
            </w:r>
            <w:r>
              <w:rPr>
                <w:w w:val="90"/>
                <w:sz w:val="24"/>
              </w:rPr>
              <w:t>)</w:t>
            </w:r>
          </w:p>
        </w:tc>
        <w:tc>
          <w:tcPr>
            <w:tcW w:w="2408" w:type="dxa"/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Inverse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elasticity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labour</w:t>
            </w:r>
          </w:p>
        </w:tc>
        <w:tc>
          <w:tcPr>
            <w:tcW w:w="144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881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4.38</w:t>
            </w:r>
          </w:p>
        </w:tc>
        <w:tc>
          <w:tcPr>
            <w:tcW w:w="118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4.50</w:t>
            </w:r>
          </w:p>
        </w:tc>
        <w:tc>
          <w:tcPr>
            <w:tcW w:w="81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1.189</w:t>
            </w:r>
          </w:p>
        </w:tc>
        <w:tc>
          <w:tcPr>
            <w:tcW w:w="108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7.717</w:t>
            </w:r>
          </w:p>
        </w:tc>
      </w:tr>
      <w:tr>
        <w:trPr>
          <w:trHeight w:val="829" w:hRule="atLeast"/>
        </w:trPr>
        <w:tc>
          <w:tcPr>
            <w:tcW w:w="1279" w:type="dxa"/>
          </w:tcPr>
          <w:p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eta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𝜂</w:t>
            </w:r>
            <w:r>
              <w:rPr>
                <w:sz w:val="24"/>
              </w:rPr>
              <w:t>)</w:t>
            </w:r>
          </w:p>
        </w:tc>
        <w:tc>
          <w:tcPr>
            <w:tcW w:w="2408" w:type="dxa"/>
          </w:tcPr>
          <w:p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Elasticity of substn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b/w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home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foreign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goods</w:t>
            </w:r>
          </w:p>
        </w:tc>
        <w:tc>
          <w:tcPr>
            <w:tcW w:w="144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Gamma</w:t>
            </w:r>
          </w:p>
        </w:tc>
        <w:tc>
          <w:tcPr>
            <w:tcW w:w="881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11.42</w:t>
            </w:r>
          </w:p>
        </w:tc>
        <w:tc>
          <w:tcPr>
            <w:tcW w:w="118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11.44</w:t>
            </w:r>
          </w:p>
        </w:tc>
        <w:tc>
          <w:tcPr>
            <w:tcW w:w="81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9.812</w:t>
            </w:r>
          </w:p>
        </w:tc>
        <w:tc>
          <w:tcPr>
            <w:tcW w:w="108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13.026</w:t>
            </w:r>
          </w:p>
        </w:tc>
      </w:tr>
      <w:tr>
        <w:trPr>
          <w:trHeight w:val="282" w:hRule="atLeast"/>
        </w:trPr>
        <w:tc>
          <w:tcPr>
            <w:tcW w:w="1279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Theta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𝜃</w:t>
            </w:r>
            <w:r>
              <w:rPr>
                <w:sz w:val="24"/>
              </w:rPr>
              <w:t>)</w:t>
            </w:r>
          </w:p>
        </w:tc>
        <w:tc>
          <w:tcPr>
            <w:tcW w:w="2408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Calvo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Stickiness</w:t>
            </w:r>
          </w:p>
        </w:tc>
        <w:tc>
          <w:tcPr>
            <w:tcW w:w="1441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881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188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0.499</w:t>
            </w:r>
          </w:p>
        </w:tc>
        <w:tc>
          <w:tcPr>
            <w:tcW w:w="812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0.330</w:t>
            </w:r>
          </w:p>
        </w:tc>
        <w:tc>
          <w:tcPr>
            <w:tcW w:w="1080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0.667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0"/>
        </w:rPr>
      </w:pPr>
    </w:p>
    <w:p>
      <w:pPr>
        <w:pStyle w:val="Heading1"/>
        <w:numPr>
          <w:ilvl w:val="0"/>
          <w:numId w:val="29"/>
        </w:numPr>
        <w:tabs>
          <w:tab w:pos="803" w:val="left" w:leader="none"/>
        </w:tabs>
        <w:spacing w:line="240" w:lineRule="auto" w:before="0" w:after="0"/>
        <w:ind w:left="802" w:right="0" w:hanging="303"/>
        <w:jc w:val="both"/>
      </w:pPr>
      <w:r>
        <w:rPr/>
        <w:t>Policy</w:t>
      </w:r>
      <w:r>
        <w:rPr>
          <w:spacing w:val="-6"/>
        </w:rPr>
        <w:t> </w:t>
      </w:r>
      <w:r>
        <w:rPr/>
        <w:t>Parameters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360" w:lineRule="auto" w:before="1"/>
        <w:ind w:left="500" w:right="500"/>
        <w:jc w:val="both"/>
      </w:pPr>
      <w:r>
        <w:rPr/>
        <w:t>The policy parameters are those specified within the monetary policy rule and fiscal decision</w:t>
      </w:r>
      <w:r>
        <w:rPr>
          <w:spacing w:val="1"/>
        </w:rPr>
        <w:t> </w:t>
      </w:r>
      <w:r>
        <w:rPr/>
        <w:t>equations. They include the reactions of inflation, domestic output and exchange rate to changes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-7"/>
        </w:rPr>
        <w:t> </w:t>
      </w:r>
      <w:r>
        <w:rPr>
          <w:spacing w:val="-1"/>
        </w:rPr>
        <w:t>interest</w:t>
      </w:r>
      <w:r>
        <w:rPr>
          <w:spacing w:val="-7"/>
        </w:rPr>
        <w:t> </w:t>
      </w:r>
      <w:r>
        <w:rPr/>
        <w:t>rate,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degree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rent-seeking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quality</w:t>
      </w:r>
      <w:r>
        <w:rPr>
          <w:spacing w:val="-14"/>
        </w:rPr>
        <w:t> </w:t>
      </w:r>
      <w:r>
        <w:rPr/>
        <w:t>of</w:t>
      </w:r>
      <w:r>
        <w:rPr>
          <w:spacing w:val="-8"/>
        </w:rPr>
        <w:t> </w:t>
      </w:r>
      <w:r>
        <w:rPr/>
        <w:t>political</w:t>
      </w:r>
      <w:r>
        <w:rPr>
          <w:spacing w:val="-7"/>
        </w:rPr>
        <w:t> </w:t>
      </w:r>
      <w:r>
        <w:rPr/>
        <w:t>institutions</w:t>
      </w:r>
      <w:r>
        <w:rPr>
          <w:spacing w:val="-7"/>
        </w:rPr>
        <w:t> </w:t>
      </w:r>
      <w:r>
        <w:rPr/>
        <w:t>specified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fiscal</w:t>
      </w:r>
      <w:r>
        <w:rPr>
          <w:spacing w:val="-57"/>
        </w:rPr>
        <w:t> </w:t>
      </w:r>
      <w:r>
        <w:rPr/>
        <w:t>policy</w:t>
      </w:r>
      <w:r>
        <w:rPr>
          <w:spacing w:val="-6"/>
        </w:rPr>
        <w:t> </w:t>
      </w:r>
      <w:r>
        <w:rPr/>
        <w:t>equation. The</w:t>
      </w:r>
      <w:r>
        <w:rPr>
          <w:spacing w:val="-2"/>
        </w:rPr>
        <w:t> </w:t>
      </w:r>
      <w:r>
        <w:rPr/>
        <w:t>result</w:t>
      </w:r>
      <w:r>
        <w:rPr>
          <w:spacing w:val="2"/>
        </w:rPr>
        <w:t> </w:t>
      </w:r>
      <w:r>
        <w:rPr/>
        <w:t>of the</w:t>
      </w:r>
      <w:r>
        <w:rPr>
          <w:spacing w:val="-2"/>
        </w:rPr>
        <w:t> </w:t>
      </w:r>
      <w:r>
        <w:rPr/>
        <w:t>posterior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of these</w:t>
      </w:r>
      <w:r>
        <w:rPr>
          <w:spacing w:val="-1"/>
        </w:rPr>
        <w:t> </w:t>
      </w:r>
      <w:r>
        <w:rPr/>
        <w:t>parameters is</w:t>
      </w:r>
      <w:r>
        <w:rPr>
          <w:spacing w:val="-1"/>
        </w:rPr>
        <w:t> </w:t>
      </w:r>
      <w:r>
        <w:rPr/>
        <w:t>presented in Table 5.2.</w:t>
      </w:r>
    </w:p>
    <w:p>
      <w:pPr>
        <w:pStyle w:val="BodyText"/>
        <w:spacing w:before="199"/>
        <w:ind w:left="500"/>
        <w:jc w:val="both"/>
      </w:pPr>
      <w:r>
        <w:rPr/>
        <w:t>The</w:t>
      </w:r>
      <w:r>
        <w:rPr>
          <w:spacing w:val="2"/>
        </w:rPr>
        <w:t> </w:t>
      </w:r>
      <w:r>
        <w:rPr/>
        <w:t>posterior</w:t>
      </w:r>
      <w:r>
        <w:rPr>
          <w:spacing w:val="6"/>
        </w:rPr>
        <w:t> </w:t>
      </w:r>
      <w:r>
        <w:rPr/>
        <w:t>estimate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inflation</w:t>
      </w:r>
      <w:r>
        <w:rPr>
          <w:spacing w:val="4"/>
        </w:rPr>
        <w:t> </w:t>
      </w:r>
      <w:r>
        <w:rPr/>
        <w:t>coefficient</w:t>
      </w:r>
      <w:r>
        <w:rPr>
          <w:spacing w:val="7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Taylor-type</w:t>
      </w:r>
      <w:r>
        <w:rPr>
          <w:spacing w:val="3"/>
        </w:rPr>
        <w:t> </w:t>
      </w:r>
      <w:r>
        <w:rPr/>
        <w:t>monetary</w:t>
      </w:r>
      <w:r>
        <w:rPr>
          <w:spacing w:val="-1"/>
        </w:rPr>
        <w:t> </w:t>
      </w:r>
      <w:r>
        <w:rPr/>
        <w:t>policy</w:t>
      </w:r>
      <w:r>
        <w:rPr>
          <w:spacing w:val="-1"/>
        </w:rPr>
        <w:t> </w:t>
      </w:r>
      <w:r>
        <w:rPr/>
        <w:t>rule,</w:t>
      </w:r>
      <w:r>
        <w:rPr>
          <w:spacing w:val="7"/>
        </w:rPr>
        <w:t> </w:t>
      </w:r>
      <w:r>
        <w:rPr>
          <w:sz w:val="20"/>
        </w:rPr>
        <w:t>(</w:t>
      </w:r>
      <w:r>
        <w:rPr>
          <w:rFonts w:ascii="Cambria Math" w:eastAsia="Cambria Math"/>
          <w:sz w:val="20"/>
        </w:rPr>
        <w:t>𝑢</w:t>
      </w:r>
      <w:r>
        <w:rPr>
          <w:rFonts w:ascii="Cambria Math" w:eastAsia="Cambria Math"/>
          <w:position w:val="-3"/>
          <w:sz w:val="14"/>
        </w:rPr>
        <w:t>𝜋</w:t>
      </w:r>
      <w:r>
        <w:rPr>
          <w:sz w:val="20"/>
        </w:rPr>
        <w:t>),</w:t>
      </w:r>
      <w:r>
        <w:rPr>
          <w:spacing w:val="15"/>
          <w:sz w:val="20"/>
        </w:rPr>
        <w:t> </w:t>
      </w:r>
      <w:r>
        <w:rPr/>
        <w:t>is</w:t>
      </w:r>
    </w:p>
    <w:p>
      <w:pPr>
        <w:pStyle w:val="BodyText"/>
        <w:spacing w:line="360" w:lineRule="auto" w:before="125"/>
        <w:ind w:left="500" w:right="496"/>
        <w:jc w:val="both"/>
      </w:pPr>
      <w:r>
        <w:rPr/>
        <w:t>0.80 while the estimated value of the coefficients of output </w:t>
      </w:r>
      <w:r>
        <w:rPr>
          <w:sz w:val="20"/>
        </w:rPr>
        <w:t>(</w:t>
      </w:r>
      <w:r>
        <w:rPr>
          <w:rFonts w:ascii="Cambria Math" w:eastAsia="Cambria Math"/>
          <w:sz w:val="20"/>
        </w:rPr>
        <w:t>𝑢</w:t>
      </w:r>
      <w:r>
        <w:rPr>
          <w:rFonts w:ascii="Cambria Math" w:eastAsia="Cambria Math"/>
          <w:position w:val="-3"/>
          <w:sz w:val="14"/>
        </w:rPr>
        <w:t>𝑦</w:t>
      </w:r>
      <w:r>
        <w:rPr>
          <w:sz w:val="20"/>
        </w:rPr>
        <w:t>) </w:t>
      </w:r>
      <w:r>
        <w:rPr/>
        <w:t>and exchange rate </w:t>
      </w:r>
      <w:r>
        <w:rPr>
          <w:sz w:val="20"/>
        </w:rPr>
        <w:t>(</w:t>
      </w:r>
      <w:r>
        <w:rPr>
          <w:rFonts w:ascii="Cambria Math" w:eastAsia="Cambria Math"/>
          <w:sz w:val="20"/>
        </w:rPr>
        <w:t>𝑢</w:t>
      </w:r>
      <w:r>
        <w:rPr>
          <w:rFonts w:ascii="Cambria Math" w:eastAsia="Cambria Math"/>
          <w:position w:val="-3"/>
          <w:sz w:val="14"/>
        </w:rPr>
        <w:t>𝑒𝑥𝑟</w:t>
      </w:r>
      <w:r>
        <w:rPr>
          <w:sz w:val="20"/>
        </w:rPr>
        <w:t>) </w:t>
      </w:r>
      <w:r>
        <w:rPr/>
        <w:t>are 1.32</w:t>
      </w:r>
      <w:r>
        <w:rPr>
          <w:spacing w:val="1"/>
        </w:rPr>
        <w:t> </w:t>
      </w:r>
      <w:r>
        <w:rPr/>
        <w:t>and 0.54. The posterior means of the three parameters in the monetary policy rule differs from</w:t>
      </w:r>
      <w:r>
        <w:rPr>
          <w:spacing w:val="1"/>
        </w:rPr>
        <w:t> </w:t>
      </w:r>
      <w:r>
        <w:rPr/>
        <w:t>their respective prior</w:t>
      </w:r>
      <w:r>
        <w:rPr>
          <w:spacing w:val="1"/>
        </w:rPr>
        <w:t> </w:t>
      </w:r>
      <w:r>
        <w:rPr/>
        <w:t>mean. The implication of</w:t>
      </w:r>
      <w:r>
        <w:rPr>
          <w:spacing w:val="1"/>
        </w:rPr>
        <w:t> </w:t>
      </w:r>
      <w:r>
        <w:rPr/>
        <w:t>the estimated value of</w:t>
      </w:r>
      <w:r>
        <w:rPr>
          <w:spacing w:val="1"/>
        </w:rPr>
        <w:t> </w:t>
      </w:r>
      <w:r>
        <w:rPr/>
        <w:t>the monetary policy</w:t>
      </w:r>
      <w:r>
        <w:rPr>
          <w:spacing w:val="1"/>
        </w:rPr>
        <w:t> </w:t>
      </w:r>
      <w:r>
        <w:rPr/>
        <w:t>parameters</w:t>
      </w:r>
      <w:r>
        <w:rPr>
          <w:spacing w:val="-10"/>
        </w:rPr>
        <w:t> </w:t>
      </w:r>
      <w:r>
        <w:rPr/>
        <w:t>shows</w:t>
      </w:r>
      <w:r>
        <w:rPr>
          <w:spacing w:val="-9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Central</w:t>
      </w:r>
      <w:r>
        <w:rPr>
          <w:spacing w:val="-9"/>
        </w:rPr>
        <w:t> </w:t>
      </w:r>
      <w:r>
        <w:rPr/>
        <w:t>Bank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Nigeria</w:t>
      </w:r>
      <w:r>
        <w:rPr>
          <w:spacing w:val="-8"/>
        </w:rPr>
        <w:t> </w:t>
      </w:r>
      <w:r>
        <w:rPr/>
        <w:t>places</w:t>
      </w:r>
      <w:r>
        <w:rPr>
          <w:spacing w:val="-7"/>
        </w:rPr>
        <w:t> </w:t>
      </w:r>
      <w:r>
        <w:rPr/>
        <w:t>greater</w:t>
      </w:r>
      <w:r>
        <w:rPr>
          <w:spacing w:val="-10"/>
        </w:rPr>
        <w:t> </w:t>
      </w:r>
      <w:r>
        <w:rPr/>
        <w:t>weight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economic</w:t>
      </w:r>
      <w:r>
        <w:rPr>
          <w:spacing w:val="-8"/>
        </w:rPr>
        <w:t> </w:t>
      </w:r>
      <w:r>
        <w:rPr/>
        <w:t>growth</w:t>
      </w:r>
      <w:r>
        <w:rPr>
          <w:spacing w:val="-8"/>
        </w:rPr>
        <w:t> </w:t>
      </w:r>
      <w:r>
        <w:rPr/>
        <w:t>than</w:t>
      </w:r>
      <w:r>
        <w:rPr>
          <w:spacing w:val="-58"/>
        </w:rPr>
        <w:t> </w:t>
      </w:r>
      <w:r>
        <w:rPr/>
        <w:t>on</w:t>
      </w:r>
      <w:r>
        <w:rPr>
          <w:spacing w:val="-4"/>
        </w:rPr>
        <w:t> </w:t>
      </w:r>
      <w:r>
        <w:rPr/>
        <w:t>price</w:t>
      </w:r>
      <w:r>
        <w:rPr>
          <w:spacing w:val="-5"/>
        </w:rPr>
        <w:t> </w:t>
      </w:r>
      <w:r>
        <w:rPr/>
        <w:t>stability</w:t>
      </w:r>
      <w:r>
        <w:rPr>
          <w:spacing w:val="-8"/>
        </w:rPr>
        <w:t> </w:t>
      </w:r>
      <w:r>
        <w:rPr/>
        <w:t>and</w:t>
      </w:r>
      <w:r>
        <w:rPr>
          <w:spacing w:val="-4"/>
        </w:rPr>
        <w:t> </w:t>
      </w:r>
      <w:r>
        <w:rPr/>
        <w:t>exchange</w:t>
      </w:r>
      <w:r>
        <w:rPr>
          <w:spacing w:val="-4"/>
        </w:rPr>
        <w:t> </w:t>
      </w:r>
      <w:r>
        <w:rPr/>
        <w:t>rate</w:t>
      </w:r>
      <w:r>
        <w:rPr>
          <w:spacing w:val="-5"/>
        </w:rPr>
        <w:t> </w:t>
      </w:r>
      <w:r>
        <w:rPr/>
        <w:t>stability.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broader</w:t>
      </w:r>
      <w:r>
        <w:rPr>
          <w:spacing w:val="-4"/>
        </w:rPr>
        <w:t> </w:t>
      </w:r>
      <w:r>
        <w:rPr/>
        <w:t>outlook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Central</w:t>
      </w:r>
      <w:r>
        <w:rPr>
          <w:spacing w:val="-3"/>
        </w:rPr>
        <w:t> </w:t>
      </w:r>
      <w:r>
        <w:rPr/>
        <w:t>Bank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Nigeria</w:t>
      </w:r>
      <w:r>
        <w:rPr>
          <w:spacing w:val="-4"/>
        </w:rPr>
        <w:t> </w:t>
      </w:r>
      <w:r>
        <w:rPr/>
        <w:t>on</w:t>
      </w:r>
      <w:r>
        <w:rPr>
          <w:spacing w:val="-58"/>
        </w:rPr>
        <w:t> </w:t>
      </w:r>
      <w:r>
        <w:rPr/>
        <w:t>economic</w:t>
      </w:r>
      <w:r>
        <w:rPr>
          <w:spacing w:val="-4"/>
        </w:rPr>
        <w:t> </w:t>
      </w:r>
      <w:r>
        <w:rPr/>
        <w:t>growth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related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belief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apex</w:t>
      </w:r>
      <w:r>
        <w:rPr>
          <w:spacing w:val="-3"/>
        </w:rPr>
        <w:t> </w:t>
      </w:r>
      <w:r>
        <w:rPr/>
        <w:t>bank</w:t>
      </w:r>
      <w:r>
        <w:rPr>
          <w:spacing w:val="-6"/>
        </w:rPr>
        <w:t> </w:t>
      </w:r>
      <w:r>
        <w:rPr/>
        <w:t>has</w:t>
      </w:r>
      <w:r>
        <w:rPr>
          <w:spacing w:val="-4"/>
        </w:rPr>
        <w:t> </w:t>
      </w:r>
      <w:r>
        <w:rPr/>
        <w:t>extended</w:t>
      </w:r>
      <w:r>
        <w:rPr>
          <w:spacing w:val="-5"/>
        </w:rPr>
        <w:t> </w:t>
      </w:r>
      <w:r>
        <w:rPr/>
        <w:t>its</w:t>
      </w:r>
      <w:r>
        <w:rPr>
          <w:spacing w:val="-6"/>
        </w:rPr>
        <w:t> </w:t>
      </w:r>
      <w:r>
        <w:rPr/>
        <w:t>core</w:t>
      </w:r>
      <w:r>
        <w:rPr>
          <w:spacing w:val="-6"/>
        </w:rPr>
        <w:t> </w:t>
      </w:r>
      <w:r>
        <w:rPr/>
        <w:t>mandates</w:t>
      </w:r>
      <w:r>
        <w:rPr>
          <w:spacing w:val="-5"/>
        </w:rPr>
        <w:t> </w:t>
      </w:r>
      <w:r>
        <w:rPr/>
        <w:t>beyond</w:t>
      </w:r>
      <w:r>
        <w:rPr>
          <w:spacing w:val="-58"/>
        </w:rPr>
        <w:t> </w:t>
      </w:r>
      <w:r>
        <w:rPr/>
        <w:t>price and exchange rate stability. The apex bank has also been concerned with development</w:t>
      </w:r>
      <w:r>
        <w:rPr>
          <w:spacing w:val="1"/>
        </w:rPr>
        <w:t> </w:t>
      </w:r>
      <w:r>
        <w:rPr/>
        <w:t>finance.</w:t>
      </w:r>
      <w:r>
        <w:rPr>
          <w:spacing w:val="-4"/>
        </w:rPr>
        <w:t> </w:t>
      </w:r>
      <w:r>
        <w:rPr/>
        <w:t>Evidence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their</w:t>
      </w:r>
      <w:r>
        <w:rPr>
          <w:spacing w:val="-7"/>
        </w:rPr>
        <w:t> </w:t>
      </w:r>
      <w:r>
        <w:rPr/>
        <w:t>interest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development finance</w:t>
      </w:r>
      <w:r>
        <w:rPr>
          <w:spacing w:val="-5"/>
        </w:rPr>
        <w:t> </w:t>
      </w:r>
      <w:r>
        <w:rPr/>
        <w:t>includes</w:t>
      </w:r>
      <w:r>
        <w:rPr>
          <w:spacing w:val="-5"/>
        </w:rPr>
        <w:t> </w:t>
      </w:r>
      <w:r>
        <w:rPr/>
        <w:t>intervention</w:t>
      </w:r>
      <w:r>
        <w:rPr>
          <w:spacing w:val="-6"/>
        </w:rPr>
        <w:t> </w:t>
      </w:r>
      <w:r>
        <w:rPr/>
        <w:t>funds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boost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real</w:t>
      </w:r>
      <w:r>
        <w:rPr>
          <w:spacing w:val="15"/>
        </w:rPr>
        <w:t> </w:t>
      </w:r>
      <w:r>
        <w:rPr/>
        <w:t>sector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agriculture,</w:t>
      </w:r>
      <w:r>
        <w:rPr>
          <w:spacing w:val="16"/>
        </w:rPr>
        <w:t> </w:t>
      </w:r>
      <w:r>
        <w:rPr/>
        <w:t>Micro,</w:t>
      </w:r>
      <w:r>
        <w:rPr>
          <w:spacing w:val="14"/>
        </w:rPr>
        <w:t> </w:t>
      </w:r>
      <w:r>
        <w:rPr/>
        <w:t>Small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Medium</w:t>
      </w:r>
      <w:r>
        <w:rPr>
          <w:spacing w:val="16"/>
        </w:rPr>
        <w:t> </w:t>
      </w:r>
      <w:r>
        <w:rPr/>
        <w:t>Enterprises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infrastructure.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Central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line="357" w:lineRule="auto" w:before="74"/>
        <w:ind w:left="500" w:right="493"/>
        <w:jc w:val="both"/>
      </w:pPr>
      <w:r>
        <w:rPr/>
        <w:t>Bank of Nigeria also provided bailout funds to support states that experienced difficulty in</w:t>
      </w:r>
      <w:r>
        <w:rPr>
          <w:spacing w:val="1"/>
        </w:rPr>
        <w:t> </w:t>
      </w:r>
      <w:r>
        <w:rPr>
          <w:spacing w:val="-1"/>
        </w:rPr>
        <w:t>payment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workers'</w:t>
      </w:r>
      <w:r>
        <w:rPr>
          <w:spacing w:val="-14"/>
        </w:rPr>
        <w:t> </w:t>
      </w:r>
      <w:r>
        <w:rPr/>
        <w:t>salaries.</w:t>
      </w:r>
      <w:r>
        <w:rPr>
          <w:spacing w:val="-13"/>
        </w:rPr>
        <w:t> </w:t>
      </w:r>
      <w:r>
        <w:rPr/>
        <w:t>Adebiyi</w:t>
      </w:r>
      <w:r>
        <w:rPr>
          <w:spacing w:val="-12"/>
        </w:rPr>
        <w:t> </w:t>
      </w:r>
      <w:r>
        <w:rPr/>
        <w:t>and</w:t>
      </w:r>
      <w:r>
        <w:rPr>
          <w:spacing w:val="-7"/>
        </w:rPr>
        <w:t> </w:t>
      </w:r>
      <w:r>
        <w:rPr/>
        <w:t>Mordi</w:t>
      </w:r>
      <w:r>
        <w:rPr>
          <w:spacing w:val="-12"/>
        </w:rPr>
        <w:t> </w:t>
      </w:r>
      <w:r>
        <w:rPr/>
        <w:t>(2016)</w:t>
      </w:r>
      <w:r>
        <w:rPr>
          <w:spacing w:val="-13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contrary,</w:t>
      </w:r>
      <w:r>
        <w:rPr>
          <w:spacing w:val="-11"/>
        </w:rPr>
        <w:t> </w:t>
      </w:r>
      <w:r>
        <w:rPr/>
        <w:t>find</w:t>
      </w:r>
      <w:r>
        <w:rPr>
          <w:spacing w:val="-11"/>
        </w:rPr>
        <w:t> </w:t>
      </w:r>
      <w:r>
        <w:rPr/>
        <w:t>that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Central</w:t>
      </w:r>
      <w:r>
        <w:rPr>
          <w:spacing w:val="-10"/>
        </w:rPr>
        <w:t> </w:t>
      </w:r>
      <w:r>
        <w:rPr/>
        <w:t>Bank</w:t>
      </w:r>
      <w:r>
        <w:rPr>
          <w:spacing w:val="-58"/>
        </w:rPr>
        <w:t> </w:t>
      </w:r>
      <w:r>
        <w:rPr/>
        <w:t>of Nigeria is primarily concerned with price stability. Another implication of the coefficient of</w:t>
      </w:r>
      <w:r>
        <w:rPr>
          <w:spacing w:val="1"/>
        </w:rPr>
        <w:t> </w:t>
      </w:r>
      <w:r>
        <w:rPr/>
        <w:t>Taylor rule reaction to inflation is interpreted in the sense of Leeper (1991). Monetary policy is</w:t>
      </w:r>
      <w:r>
        <w:rPr>
          <w:spacing w:val="1"/>
        </w:rPr>
        <w:t> </w:t>
      </w:r>
      <w:r>
        <w:rPr/>
        <w:t>active (passive) when the estimated value of the Taylor reaction to inflation, is greater (less) than</w:t>
      </w:r>
      <w:r>
        <w:rPr>
          <w:spacing w:val="-57"/>
        </w:rPr>
        <w:t> </w:t>
      </w:r>
      <w:r>
        <w:rPr/>
        <w:t>one.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result</w:t>
      </w:r>
      <w:r>
        <w:rPr>
          <w:spacing w:val="-8"/>
        </w:rPr>
        <w:t> </w:t>
      </w:r>
      <w:r>
        <w:rPr/>
        <w:t>observed</w:t>
      </w:r>
      <w:r>
        <w:rPr>
          <w:spacing w:val="-5"/>
        </w:rPr>
        <w:t> </w:t>
      </w:r>
      <w:r>
        <w:rPr/>
        <w:t>from</w:t>
      </w:r>
      <w:r>
        <w:rPr>
          <w:spacing w:val="-7"/>
        </w:rPr>
        <w:t> </w:t>
      </w:r>
      <w:r>
        <w:rPr/>
        <w:t>Table</w:t>
      </w:r>
      <w:r>
        <w:rPr>
          <w:spacing w:val="-9"/>
        </w:rPr>
        <w:t> </w:t>
      </w:r>
      <w:r>
        <w:rPr/>
        <w:t>5.2</w:t>
      </w:r>
      <w:r>
        <w:rPr>
          <w:spacing w:val="-8"/>
        </w:rPr>
        <w:t> </w:t>
      </w:r>
      <w:r>
        <w:rPr/>
        <w:t>shows</w:t>
      </w:r>
      <w:r>
        <w:rPr>
          <w:spacing w:val="-9"/>
        </w:rPr>
        <w:t> </w:t>
      </w:r>
      <w:r>
        <w:rPr/>
        <w:t>that</w:t>
      </w:r>
      <w:r>
        <w:rPr>
          <w:spacing w:val="-7"/>
        </w:rPr>
        <w:t> </w:t>
      </w:r>
      <w:r>
        <w:rPr/>
        <w:t>monetary</w:t>
      </w:r>
      <w:r>
        <w:rPr>
          <w:spacing w:val="-12"/>
        </w:rPr>
        <w:t> </w:t>
      </w:r>
      <w:r>
        <w:rPr/>
        <w:t>policy</w:t>
      </w:r>
      <w:r>
        <w:rPr>
          <w:spacing w:val="-13"/>
        </w:rPr>
        <w:t> </w:t>
      </w:r>
      <w:r>
        <w:rPr/>
        <w:t>took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passive</w:t>
      </w:r>
      <w:r>
        <w:rPr>
          <w:spacing w:val="-10"/>
        </w:rPr>
        <w:t> </w:t>
      </w:r>
      <w:r>
        <w:rPr/>
        <w:t>stance</w:t>
      </w:r>
      <w:r>
        <w:rPr>
          <w:spacing w:val="-9"/>
        </w:rPr>
        <w:t> </w:t>
      </w:r>
      <w:r>
        <w:rPr/>
        <w:t>over</w:t>
      </w:r>
      <w:r>
        <w:rPr>
          <w:spacing w:val="-9"/>
        </w:rPr>
        <w:t> </w:t>
      </w:r>
      <w:r>
        <w:rPr/>
        <w:t>the</w:t>
      </w:r>
      <w:r>
        <w:rPr>
          <w:spacing w:val="-57"/>
        </w:rPr>
        <w:t> </w:t>
      </w:r>
      <w:r>
        <w:rPr/>
        <w:t>sample</w:t>
      </w:r>
      <w:r>
        <w:rPr>
          <w:spacing w:val="-9"/>
        </w:rPr>
        <w:t> </w:t>
      </w:r>
      <w:r>
        <w:rPr/>
        <w:t>period.</w:t>
      </w:r>
      <w:r>
        <w:rPr>
          <w:spacing w:val="-6"/>
        </w:rPr>
        <w:t> </w:t>
      </w:r>
      <w:r>
        <w:rPr/>
        <w:t>Furthermore,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posterior</w:t>
      </w:r>
      <w:r>
        <w:rPr>
          <w:spacing w:val="-5"/>
        </w:rPr>
        <w:t> </w:t>
      </w:r>
      <w:r>
        <w:rPr/>
        <w:t>value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degree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interest</w:t>
      </w:r>
      <w:r>
        <w:rPr>
          <w:spacing w:val="-5"/>
        </w:rPr>
        <w:t> </w:t>
      </w:r>
      <w:r>
        <w:rPr/>
        <w:t>rate</w:t>
      </w:r>
      <w:r>
        <w:rPr>
          <w:spacing w:val="-9"/>
        </w:rPr>
        <w:t> </w:t>
      </w:r>
      <w:r>
        <w:rPr/>
        <w:t>smoothing</w:t>
      </w:r>
      <w:r>
        <w:rPr>
          <w:spacing w:val="-5"/>
        </w:rPr>
        <w:t> </w:t>
      </w:r>
      <w:r>
        <w:rPr>
          <w:sz w:val="20"/>
        </w:rPr>
        <w:t>(</w:t>
      </w:r>
      <w:r>
        <w:rPr>
          <w:rFonts w:ascii="Cambria Math" w:eastAsia="Cambria Math"/>
          <w:sz w:val="20"/>
        </w:rPr>
        <w:t>𝜌</w:t>
      </w:r>
      <w:r>
        <w:rPr>
          <w:rFonts w:ascii="Cambria Math" w:eastAsia="Cambria Math"/>
          <w:position w:val="-3"/>
          <w:sz w:val="14"/>
        </w:rPr>
        <w:t>𝑟</w:t>
      </w:r>
      <w:r>
        <w:rPr>
          <w:sz w:val="20"/>
        </w:rPr>
        <w:t>)</w:t>
      </w:r>
      <w:r>
        <w:rPr>
          <w:spacing w:val="-4"/>
          <w:sz w:val="20"/>
        </w:rPr>
        <w:t> </w:t>
      </w:r>
      <w:r>
        <w:rPr/>
        <w:t>shows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the lagged</w:t>
      </w:r>
      <w:r>
        <w:rPr>
          <w:spacing w:val="-1"/>
        </w:rPr>
        <w:t> </w:t>
      </w:r>
      <w:r>
        <w:rPr/>
        <w:t>interest rate</w:t>
      </w:r>
      <w:r>
        <w:rPr>
          <w:spacing w:val="-1"/>
        </w:rPr>
        <w:t> </w:t>
      </w:r>
      <w:r>
        <w:rPr/>
        <w:t>plays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determining</w:t>
      </w:r>
      <w:r>
        <w:rPr>
          <w:spacing w:val="-3"/>
        </w:rPr>
        <w:t> </w:t>
      </w:r>
      <w:r>
        <w:rPr/>
        <w:t>the current interest</w:t>
      </w:r>
      <w:r>
        <w:rPr>
          <w:spacing w:val="-1"/>
        </w:rPr>
        <w:t> </w:t>
      </w:r>
      <w:r>
        <w:rPr/>
        <w:t>rate.</w:t>
      </w:r>
    </w:p>
    <w:p>
      <w:pPr>
        <w:pStyle w:val="BodyText"/>
        <w:spacing w:before="7"/>
      </w:pPr>
    </w:p>
    <w:p>
      <w:pPr>
        <w:pStyle w:val="BodyText"/>
        <w:spacing w:line="360" w:lineRule="auto"/>
        <w:ind w:left="500" w:right="497"/>
        <w:jc w:val="both"/>
      </w:pPr>
      <w:r>
        <w:rPr/>
        <w:t>The posterior mean of the proxy for rent-seeking (</w:t>
      </w:r>
      <w:r>
        <w:rPr>
          <w:rFonts w:ascii="Cambria Math" w:eastAsia="Cambria Math"/>
        </w:rPr>
        <w:t>𝝌</w:t>
      </w:r>
      <w:r>
        <w:rPr/>
        <w:t>) is estimated to be 0.21, which shows that</w:t>
      </w:r>
      <w:r>
        <w:rPr>
          <w:spacing w:val="1"/>
        </w:rPr>
        <w:t> </w:t>
      </w:r>
      <w:r>
        <w:rPr/>
        <w:t>only</w:t>
      </w:r>
      <w:r>
        <w:rPr>
          <w:spacing w:val="-11"/>
        </w:rPr>
        <w:t> </w:t>
      </w:r>
      <w:r>
        <w:rPr/>
        <w:t>21</w:t>
      </w:r>
      <w:r>
        <w:rPr>
          <w:spacing w:val="-6"/>
        </w:rPr>
        <w:t> </w:t>
      </w:r>
      <w:r>
        <w:rPr/>
        <w:t>percent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government</w:t>
      </w:r>
      <w:r>
        <w:rPr>
          <w:spacing w:val="-5"/>
        </w:rPr>
        <w:t> </w:t>
      </w:r>
      <w:r>
        <w:rPr/>
        <w:t>revenue</w:t>
      </w:r>
      <w:r>
        <w:rPr>
          <w:spacing w:val="-7"/>
        </w:rPr>
        <w:t> </w:t>
      </w:r>
      <w:r>
        <w:rPr/>
        <w:t>is</w:t>
      </w:r>
      <w:r>
        <w:rPr>
          <w:spacing w:val="-2"/>
        </w:rPr>
        <w:t> </w:t>
      </w:r>
      <w:r>
        <w:rPr/>
        <w:t>generated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public</w:t>
      </w:r>
      <w:r>
        <w:rPr>
          <w:spacing w:val="-6"/>
        </w:rPr>
        <w:t> </w:t>
      </w:r>
      <w:r>
        <w:rPr/>
        <w:t>spending,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remaining</w:t>
      </w:r>
      <w:r>
        <w:rPr>
          <w:spacing w:val="-9"/>
        </w:rPr>
        <w:t> </w:t>
      </w:r>
      <w:r>
        <w:rPr/>
        <w:t>79</w:t>
      </w:r>
      <w:r>
        <w:rPr>
          <w:spacing w:val="-5"/>
        </w:rPr>
        <w:t> </w:t>
      </w:r>
      <w:r>
        <w:rPr/>
        <w:t>percent</w:t>
      </w:r>
      <w:r>
        <w:rPr>
          <w:spacing w:val="-58"/>
        </w:rPr>
        <w:t> </w:t>
      </w:r>
      <w:r>
        <w:rPr/>
        <w:t>are suspected to be wasted or misused for corrupt and self-interested activities spending. For</w:t>
      </w:r>
      <w:r>
        <w:rPr>
          <w:spacing w:val="1"/>
        </w:rPr>
        <w:t> </w:t>
      </w:r>
      <w:r>
        <w:rPr/>
        <w:t>instance, the Minister of Information, Lai Mohammed, commented that one third of the public</w:t>
      </w:r>
      <w:r>
        <w:rPr>
          <w:spacing w:val="1"/>
        </w:rPr>
        <w:t> </w:t>
      </w:r>
      <w:r>
        <w:rPr/>
        <w:t>funds</w:t>
      </w:r>
      <w:r>
        <w:rPr>
          <w:spacing w:val="7"/>
        </w:rPr>
        <w:t> </w:t>
      </w:r>
      <w:r>
        <w:rPr/>
        <w:t>stolen</w:t>
      </w:r>
      <w:r>
        <w:rPr>
          <w:spacing w:val="9"/>
        </w:rPr>
        <w:t> </w:t>
      </w:r>
      <w:r>
        <w:rPr/>
        <w:t>by</w:t>
      </w:r>
      <w:r>
        <w:rPr>
          <w:spacing w:val="3"/>
        </w:rPr>
        <w:t> </w:t>
      </w:r>
      <w:r>
        <w:rPr/>
        <w:t>former</w:t>
      </w:r>
      <w:r>
        <w:rPr>
          <w:spacing w:val="8"/>
        </w:rPr>
        <w:t> </w:t>
      </w:r>
      <w:r>
        <w:rPr/>
        <w:t>politicians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bureaucrats</w:t>
      </w:r>
      <w:r>
        <w:rPr>
          <w:spacing w:val="8"/>
        </w:rPr>
        <w:t> </w:t>
      </w:r>
      <w:r>
        <w:rPr/>
        <w:t>between</w:t>
      </w:r>
      <w:r>
        <w:rPr>
          <w:spacing w:val="9"/>
        </w:rPr>
        <w:t> </w:t>
      </w:r>
      <w:r>
        <w:rPr/>
        <w:t>2006</w:t>
      </w:r>
      <w:r>
        <w:rPr>
          <w:spacing w:val="12"/>
        </w:rPr>
        <w:t> </w:t>
      </w:r>
      <w:r>
        <w:rPr/>
        <w:t>and</w:t>
      </w:r>
      <w:r>
        <w:rPr>
          <w:spacing w:val="9"/>
        </w:rPr>
        <w:t> </w:t>
      </w:r>
      <w:r>
        <w:rPr/>
        <w:t>2013,</w:t>
      </w:r>
      <w:r>
        <w:rPr>
          <w:spacing w:val="8"/>
        </w:rPr>
        <w:t> </w:t>
      </w:r>
      <w:r>
        <w:rPr/>
        <w:t>could</w:t>
      </w:r>
      <w:r>
        <w:rPr>
          <w:spacing w:val="9"/>
        </w:rPr>
        <w:t> </w:t>
      </w:r>
      <w:r>
        <w:rPr/>
        <w:t>have</w:t>
      </w:r>
      <w:r>
        <w:rPr>
          <w:spacing w:val="8"/>
        </w:rPr>
        <w:t> </w:t>
      </w:r>
      <w:r>
        <w:rPr/>
        <w:t>provided</w:t>
      </w:r>
    </w:p>
    <w:p>
      <w:pPr>
        <w:pStyle w:val="BodyText"/>
        <w:spacing w:line="360" w:lineRule="auto"/>
        <w:ind w:left="500" w:right="496"/>
        <w:jc w:val="both"/>
      </w:pPr>
      <w:r>
        <w:rPr/>
        <w:t>635.18 kilometres of road; built one ultra-modern hospital in each state of the Federation; erected</w:t>
      </w:r>
      <w:r>
        <w:rPr>
          <w:spacing w:val="-57"/>
        </w:rPr>
        <w:t> </w:t>
      </w:r>
      <w:r>
        <w:rPr/>
        <w:t>183 schools; educated 3,974 children from primary school to University; and provided 20,062</w:t>
      </w:r>
      <w:r>
        <w:rPr>
          <w:spacing w:val="1"/>
        </w:rPr>
        <w:t> </w:t>
      </w:r>
      <w:r>
        <w:rPr/>
        <w:t>units of 2-bedroom houses, in order to ease accommodation. On the other hand, the posterior</w:t>
      </w:r>
      <w:r>
        <w:rPr>
          <w:spacing w:val="1"/>
        </w:rPr>
        <w:t> </w:t>
      </w:r>
      <w:r>
        <w:rPr/>
        <w:t>estimate of the quality of political institutions (</w:t>
      </w:r>
      <w:r>
        <w:rPr>
          <w:rFonts w:ascii="Cambria Math" w:eastAsia="Cambria Math"/>
        </w:rPr>
        <w:t/>
      </w:r>
      <w:r>
        <w:rPr/>
        <w:t>) suggests, rather puzzlingly, the existence of</w:t>
      </w:r>
      <w:r>
        <w:rPr>
          <w:spacing w:val="1"/>
        </w:rPr>
        <w:t> </w:t>
      </w:r>
      <w:r>
        <w:rPr/>
        <w:t>strong</w:t>
      </w:r>
      <w:r>
        <w:rPr>
          <w:spacing w:val="-4"/>
        </w:rPr>
        <w:t> </w:t>
      </w:r>
      <w:r>
        <w:rPr/>
        <w:t>political institutions in Nigeria.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72" w:after="8"/>
        <w:ind w:left="1334" w:right="1335"/>
        <w:jc w:val="center"/>
      </w:pPr>
      <w:r>
        <w:rPr/>
        <w:t>Table</w:t>
      </w:r>
      <w:r>
        <w:rPr>
          <w:spacing w:val="-1"/>
        </w:rPr>
        <w:t> </w:t>
      </w:r>
      <w:r>
        <w:rPr/>
        <w:t>5.2:</w:t>
      </w:r>
      <w:r>
        <w:rPr>
          <w:spacing w:val="-1"/>
        </w:rPr>
        <w:t> </w:t>
      </w:r>
      <w:r>
        <w:rPr/>
        <w:t>Estimates of</w:t>
      </w:r>
      <w:r>
        <w:rPr>
          <w:spacing w:val="-1"/>
        </w:rPr>
        <w:t> </w:t>
      </w:r>
      <w:r>
        <w:rPr/>
        <w:t>Policy</w:t>
      </w:r>
      <w:r>
        <w:rPr>
          <w:spacing w:val="-6"/>
        </w:rPr>
        <w:t> </w:t>
      </w:r>
      <w:r>
        <w:rPr/>
        <w:t>Parameters</w:t>
      </w: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0"/>
        <w:gridCol w:w="2520"/>
        <w:gridCol w:w="1440"/>
        <w:gridCol w:w="900"/>
        <w:gridCol w:w="1169"/>
        <w:gridCol w:w="812"/>
        <w:gridCol w:w="886"/>
      </w:tblGrid>
      <w:tr>
        <w:trPr>
          <w:trHeight w:val="674" w:hRule="atLeast"/>
        </w:trPr>
        <w:tc>
          <w:tcPr>
            <w:tcW w:w="3950" w:type="dxa"/>
            <w:gridSpan w:val="2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1440" w:type="dxa"/>
            <w:vMerge w:val="restart"/>
          </w:tcPr>
          <w:p>
            <w:pPr>
              <w:pStyle w:val="TableParagraph"/>
              <w:ind w:left="108" w:right="195"/>
              <w:rPr>
                <w:sz w:val="24"/>
              </w:rPr>
            </w:pPr>
            <w:r>
              <w:rPr>
                <w:sz w:val="24"/>
              </w:rPr>
              <w:t>Prior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distribution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ind w:left="109" w:right="241"/>
              <w:rPr>
                <w:sz w:val="24"/>
              </w:rPr>
            </w:pPr>
            <w:r>
              <w:rPr>
                <w:sz w:val="24"/>
              </w:rPr>
              <w:t>Prior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  <w:tc>
          <w:tcPr>
            <w:tcW w:w="1169" w:type="dxa"/>
            <w:vMerge w:val="restart"/>
          </w:tcPr>
          <w:p>
            <w:pPr>
              <w:pStyle w:val="TableParagraph"/>
              <w:ind w:left="109" w:right="163"/>
              <w:rPr>
                <w:sz w:val="24"/>
              </w:rPr>
            </w:pPr>
            <w:r>
              <w:rPr>
                <w:sz w:val="24"/>
              </w:rPr>
              <w:t>Posterior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  <w:tc>
          <w:tcPr>
            <w:tcW w:w="1698" w:type="dxa"/>
            <w:gridSpan w:val="2"/>
            <w:vMerge w:val="restart"/>
          </w:tcPr>
          <w:p>
            <w:pPr>
              <w:pStyle w:val="TableParagraph"/>
              <w:ind w:left="109" w:right="452"/>
              <w:rPr>
                <w:sz w:val="24"/>
              </w:rPr>
            </w:pPr>
            <w:r>
              <w:rPr>
                <w:sz w:val="24"/>
              </w:rPr>
              <w:t>Confidence Interval</w:t>
            </w:r>
          </w:p>
        </w:tc>
      </w:tr>
      <w:tr>
        <w:trPr>
          <w:trHeight w:val="474" w:hRule="atLeast"/>
        </w:trPr>
        <w:tc>
          <w:tcPr>
            <w:tcW w:w="1430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Symbol</w:t>
            </w:r>
          </w:p>
        </w:tc>
        <w:tc>
          <w:tcPr>
            <w:tcW w:w="2520" w:type="dxa"/>
            <w:vMerge w:val="restart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14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88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95%</w:t>
            </w:r>
          </w:p>
        </w:tc>
      </w:tr>
      <w:tr>
        <w:trPr>
          <w:trHeight w:val="558" w:hRule="atLeast"/>
        </w:trPr>
        <w:tc>
          <w:tcPr>
            <w:tcW w:w="143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upsillon_pii</w:t>
            </w:r>
          </w:p>
          <w:p>
            <w:pPr>
              <w:pStyle w:val="TableParagraph"/>
              <w:spacing w:line="268" w:lineRule="exact" w:before="3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𝑢</w:t>
            </w:r>
            <w:r>
              <w:rPr>
                <w:rFonts w:ascii="Cambria Math" w:eastAsia="Cambria Math"/>
                <w:sz w:val="24"/>
                <w:vertAlign w:val="subscript"/>
              </w:rPr>
              <w:t>𝜋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52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Taylor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feedback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Inflation</w:t>
            </w: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Gamma</w:t>
            </w:r>
          </w:p>
        </w:tc>
        <w:tc>
          <w:tcPr>
            <w:tcW w:w="90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116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0.686</w:t>
            </w:r>
          </w:p>
        </w:tc>
        <w:tc>
          <w:tcPr>
            <w:tcW w:w="88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0.918</w:t>
            </w:r>
          </w:p>
        </w:tc>
      </w:tr>
      <w:tr>
        <w:trPr>
          <w:trHeight w:val="614" w:hRule="atLeast"/>
        </w:trPr>
        <w:tc>
          <w:tcPr>
            <w:tcW w:w="1430" w:type="dxa"/>
          </w:tcPr>
          <w:p>
            <w:pPr>
              <w:pStyle w:val="TableParagraph"/>
              <w:spacing w:line="244" w:lineRule="auto"/>
              <w:ind w:right="279"/>
              <w:rPr>
                <w:sz w:val="24"/>
              </w:rPr>
            </w:pPr>
            <w:r>
              <w:rPr>
                <w:sz w:val="24"/>
              </w:rPr>
              <w:t>upsillon_y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𝑢</w:t>
            </w:r>
            <w:r>
              <w:rPr>
                <w:rFonts w:ascii="Cambria Math" w:eastAsia="Cambria Math"/>
                <w:sz w:val="24"/>
                <w:vertAlign w:val="subscript"/>
              </w:rPr>
              <w:t>𝑦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520" w:type="dxa"/>
          </w:tcPr>
          <w:p>
            <w:pPr>
              <w:pStyle w:val="TableParagraph"/>
              <w:ind w:left="108" w:right="535"/>
              <w:rPr>
                <w:sz w:val="24"/>
              </w:rPr>
            </w:pPr>
            <w:r>
              <w:rPr>
                <w:sz w:val="24"/>
              </w:rPr>
              <w:t>Taylor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feedback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Output</w:t>
            </w: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Gamma</w:t>
            </w:r>
          </w:p>
        </w:tc>
        <w:tc>
          <w:tcPr>
            <w:tcW w:w="90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16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1.209</w:t>
            </w:r>
          </w:p>
        </w:tc>
        <w:tc>
          <w:tcPr>
            <w:tcW w:w="88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1.418</w:t>
            </w:r>
          </w:p>
        </w:tc>
      </w:tr>
      <w:tr>
        <w:trPr>
          <w:trHeight w:val="571" w:hRule="atLeast"/>
        </w:trPr>
        <w:tc>
          <w:tcPr>
            <w:tcW w:w="143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upsillon_exr</w:t>
            </w:r>
          </w:p>
          <w:p>
            <w:pPr>
              <w:pStyle w:val="TableParagraph"/>
              <w:spacing w:line="278" w:lineRule="exact" w:before="3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𝑢</w:t>
            </w:r>
            <w:r>
              <w:rPr>
                <w:rFonts w:ascii="Cambria Math" w:eastAsia="Cambria Math"/>
                <w:position w:val="-4"/>
                <w:sz w:val="17"/>
              </w:rPr>
              <w:t>𝑒</w:t>
            </w:r>
            <w:r>
              <w:rPr>
                <w:sz w:val="24"/>
              </w:rPr>
              <w:t>)</w:t>
            </w:r>
          </w:p>
        </w:tc>
        <w:tc>
          <w:tcPr>
            <w:tcW w:w="2520" w:type="dxa"/>
          </w:tcPr>
          <w:p>
            <w:pPr>
              <w:pStyle w:val="TableParagraph"/>
              <w:ind w:left="108" w:right="535"/>
              <w:rPr>
                <w:sz w:val="24"/>
              </w:rPr>
            </w:pPr>
            <w:r>
              <w:rPr>
                <w:sz w:val="24"/>
              </w:rPr>
              <w:t>Taylor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feedback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exchange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  <w:tc>
          <w:tcPr>
            <w:tcW w:w="144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Gamma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1169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  <w:tc>
          <w:tcPr>
            <w:tcW w:w="812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0.451</w:t>
            </w:r>
          </w:p>
        </w:tc>
        <w:tc>
          <w:tcPr>
            <w:tcW w:w="88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0.634</w:t>
            </w:r>
          </w:p>
        </w:tc>
      </w:tr>
      <w:tr>
        <w:trPr>
          <w:trHeight w:val="570" w:hRule="atLeast"/>
        </w:trPr>
        <w:tc>
          <w:tcPr>
            <w:tcW w:w="1430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rrho_r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𝜌</w:t>
            </w:r>
            <w:r>
              <w:rPr>
                <w:rFonts w:ascii="Cambria Math" w:eastAsia="Cambria Math"/>
                <w:sz w:val="24"/>
                <w:vertAlign w:val="subscript"/>
              </w:rPr>
              <w:t>𝑟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520" w:type="dxa"/>
          </w:tcPr>
          <w:p>
            <w:pPr>
              <w:pStyle w:val="TableParagraph"/>
              <w:ind w:left="108" w:right="1142"/>
              <w:rPr>
                <w:sz w:val="24"/>
              </w:rPr>
            </w:pPr>
            <w:r>
              <w:rPr>
                <w:sz w:val="24"/>
              </w:rPr>
              <w:t>Interest rate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smoothening</w:t>
            </w: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90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116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0.840</w:t>
            </w:r>
          </w:p>
        </w:tc>
        <w:tc>
          <w:tcPr>
            <w:tcW w:w="88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0.889</w:t>
            </w:r>
          </w:p>
        </w:tc>
      </w:tr>
      <w:tr>
        <w:trPr>
          <w:trHeight w:val="292" w:hRule="atLeast"/>
        </w:trPr>
        <w:tc>
          <w:tcPr>
            <w:tcW w:w="1430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w w:val="90"/>
                <w:sz w:val="24"/>
              </w:rPr>
              <w:t>cchi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</w:t>
            </w:r>
            <w:r>
              <w:rPr>
                <w:rFonts w:ascii="Cambria Math" w:eastAsia="Cambria Math"/>
                <w:w w:val="90"/>
                <w:sz w:val="24"/>
              </w:rPr>
              <w:t/>
            </w:r>
            <w:r>
              <w:rPr>
                <w:w w:val="90"/>
                <w:sz w:val="24"/>
              </w:rPr>
              <w:t>)</w:t>
            </w:r>
          </w:p>
        </w:tc>
        <w:tc>
          <w:tcPr>
            <w:tcW w:w="252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Degree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rent-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seeking</w:t>
            </w: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90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16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0.126</w:t>
            </w:r>
          </w:p>
        </w:tc>
        <w:tc>
          <w:tcPr>
            <w:tcW w:w="88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0.277</w:t>
            </w:r>
          </w:p>
        </w:tc>
      </w:tr>
      <w:tr>
        <w:trPr>
          <w:trHeight w:val="585" w:hRule="atLeast"/>
        </w:trPr>
        <w:tc>
          <w:tcPr>
            <w:tcW w:w="1430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Zetta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𝜁</w:t>
            </w:r>
            <w:r>
              <w:rPr>
                <w:sz w:val="24"/>
              </w:rPr>
              <w:t>)</w:t>
            </w:r>
          </w:p>
        </w:tc>
        <w:tc>
          <w:tcPr>
            <w:tcW w:w="2520" w:type="dxa"/>
          </w:tcPr>
          <w:p>
            <w:pPr>
              <w:pStyle w:val="TableParagraph"/>
              <w:ind w:left="108" w:right="574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political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institutions</w:t>
            </w: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90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116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0.716</w:t>
            </w:r>
          </w:p>
        </w:tc>
        <w:tc>
          <w:tcPr>
            <w:tcW w:w="88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0.862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3"/>
        <w:numPr>
          <w:ilvl w:val="0"/>
          <w:numId w:val="29"/>
        </w:numPr>
        <w:tabs>
          <w:tab w:pos="794" w:val="left" w:leader="none"/>
        </w:tabs>
        <w:spacing w:line="240" w:lineRule="auto" w:before="90" w:after="0"/>
        <w:ind w:left="793" w:right="0" w:hanging="294"/>
        <w:jc w:val="left"/>
      </w:pPr>
      <w:r>
        <w:rPr/>
        <w:t>Persistent</w:t>
      </w:r>
      <w:r>
        <w:rPr>
          <w:spacing w:val="-3"/>
        </w:rPr>
        <w:t> </w:t>
      </w:r>
      <w:r>
        <w:rPr/>
        <w:t>Parameters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360" w:lineRule="auto"/>
        <w:ind w:left="500" w:right="496"/>
        <w:jc w:val="both"/>
      </w:pPr>
      <w:r>
        <w:rPr/>
        <w:t>Persistent parameters are coefficients of the lagged dependent variable in the autoregressive</w:t>
      </w:r>
      <w:r>
        <w:rPr>
          <w:spacing w:val="1"/>
        </w:rPr>
        <w:t> </w:t>
      </w:r>
      <w:r>
        <w:rPr/>
        <w:t>equations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order</w:t>
      </w:r>
      <w:r>
        <w:rPr>
          <w:spacing w:val="-1"/>
        </w:rPr>
        <w:t> </w:t>
      </w:r>
      <w:r>
        <w:rPr/>
        <w:t>one,</w:t>
      </w:r>
      <w:r>
        <w:rPr>
          <w:spacing w:val="-2"/>
        </w:rPr>
        <w:t> </w:t>
      </w:r>
      <w:r>
        <w:rPr/>
        <w:t>AR(1).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parameter</w:t>
      </w:r>
      <w:r>
        <w:rPr>
          <w:spacing w:val="-2"/>
        </w:rPr>
        <w:t> </w:t>
      </w:r>
      <w:r>
        <w:rPr/>
        <w:t>values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expected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range</w:t>
      </w:r>
      <w:r>
        <w:rPr>
          <w:spacing w:val="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zero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one,</w:t>
      </w:r>
      <w:r>
        <w:rPr>
          <w:spacing w:val="-58"/>
        </w:rPr>
        <w:t> </w:t>
      </w:r>
      <w:r>
        <w:rPr/>
        <w:t>such that the value at zero and one are interpreted respectively as non-persistence and persistent</w:t>
      </w:r>
      <w:r>
        <w:rPr>
          <w:spacing w:val="1"/>
        </w:rPr>
        <w:t> </w:t>
      </w:r>
      <w:r>
        <w:rPr/>
        <w:t>parameters. The degree of persistence of a parameter shows how long it takes for an economy to</w:t>
      </w:r>
      <w:r>
        <w:rPr>
          <w:spacing w:val="1"/>
        </w:rPr>
        <w:t> </w:t>
      </w:r>
      <w:r>
        <w:rPr/>
        <w:t>return to steady state after a perturbation. Parameters with a high persistence value (close to one)</w:t>
      </w:r>
      <w:r>
        <w:rPr>
          <w:spacing w:val="1"/>
        </w:rPr>
        <w:t> </w:t>
      </w:r>
      <w:r>
        <w:rPr/>
        <w:t>mean that the economy slowly adjusts to unexpected shocks, and, conversely for parameters with</w:t>
      </w:r>
      <w:r>
        <w:rPr>
          <w:spacing w:val="-57"/>
        </w:rPr>
        <w:t> </w:t>
      </w:r>
      <w:r>
        <w:rPr/>
        <w:t>lower persistence</w:t>
      </w:r>
      <w:r>
        <w:rPr>
          <w:spacing w:val="-1"/>
        </w:rPr>
        <w:t> </w:t>
      </w:r>
      <w:r>
        <w:rPr/>
        <w:t>values, the economy</w:t>
      </w:r>
      <w:r>
        <w:rPr>
          <w:spacing w:val="-5"/>
        </w:rPr>
        <w:t> </w:t>
      </w:r>
      <w:r>
        <w:rPr/>
        <w:t>quickly</w:t>
      </w:r>
      <w:r>
        <w:rPr>
          <w:spacing w:val="-5"/>
        </w:rPr>
        <w:t> </w:t>
      </w:r>
      <w:r>
        <w:rPr/>
        <w:t>returns to steady</w:t>
      </w:r>
      <w:r>
        <w:rPr>
          <w:spacing w:val="-5"/>
        </w:rPr>
        <w:t> </w:t>
      </w:r>
      <w:r>
        <w:rPr/>
        <w:t>after an</w:t>
      </w:r>
      <w:r>
        <w:rPr>
          <w:spacing w:val="3"/>
        </w:rPr>
        <w:t> </w:t>
      </w:r>
      <w:r>
        <w:rPr/>
        <w:t>unexpected shock.</w:t>
      </w:r>
    </w:p>
    <w:p>
      <w:pPr>
        <w:pStyle w:val="BodyText"/>
        <w:spacing w:line="360" w:lineRule="auto" w:before="201"/>
        <w:ind w:left="500" w:right="499"/>
        <w:jc w:val="both"/>
      </w:pPr>
      <w:r>
        <w:rPr/>
        <w:t>The results on the estimates of the persistent parameters as reported in Table 5.3, shows that all</w:t>
      </w:r>
      <w:r>
        <w:rPr>
          <w:spacing w:val="1"/>
        </w:rPr>
        <w:t> </w:t>
      </w:r>
      <w:r>
        <w:rPr/>
        <w:t>the parameters of the AR(1) process are highly persistent. Furthermore, the posterior mean of the</w:t>
      </w:r>
      <w:r>
        <w:rPr>
          <w:spacing w:val="-57"/>
        </w:rPr>
        <w:t> </w:t>
      </w:r>
      <w:r>
        <w:rPr/>
        <w:t>individual persistent parameters is higher than their prior mean. An implication of this finding is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takes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prolonged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Nigerian economy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adjust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shocks</w:t>
      </w:r>
      <w:r>
        <w:rPr>
          <w:spacing w:val="-1"/>
        </w:rPr>
        <w:t> </w:t>
      </w:r>
      <w:r>
        <w:rPr/>
        <w:t>listed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Table 5.3.</w:t>
      </w:r>
      <w:r>
        <w:rPr>
          <w:spacing w:val="-58"/>
        </w:rPr>
        <w:t> </w:t>
      </w:r>
      <w:r>
        <w:rPr/>
        <w:t>Therefore, when macroeconomic policies are implemented, the Nigerian economy adjusts slowly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it.</w:t>
      </w:r>
      <w:r>
        <w:rPr>
          <w:spacing w:val="-1"/>
        </w:rPr>
        <w:t> </w:t>
      </w:r>
      <w:r>
        <w:rPr/>
        <w:t>Adegboye (2015) also</w:t>
      </w:r>
      <w:r>
        <w:rPr>
          <w:spacing w:val="-1"/>
        </w:rPr>
        <w:t> </w:t>
      </w:r>
      <w:r>
        <w:rPr/>
        <w:t>finds</w:t>
      </w:r>
      <w:r>
        <w:rPr>
          <w:spacing w:val="-1"/>
        </w:rPr>
        <w:t> </w:t>
      </w:r>
      <w:r>
        <w:rPr/>
        <w:t>persistent but</w:t>
      </w:r>
      <w:r>
        <w:rPr>
          <w:spacing w:val="-1"/>
        </w:rPr>
        <w:t> </w:t>
      </w:r>
      <w:r>
        <w:rPr/>
        <w:t>lower</w:t>
      </w:r>
      <w:r>
        <w:rPr>
          <w:spacing w:val="-1"/>
        </w:rPr>
        <w:t> </w:t>
      </w:r>
      <w:r>
        <w:rPr/>
        <w:t>values for</w:t>
      </w:r>
      <w:r>
        <w:rPr>
          <w:spacing w:val="-2"/>
        </w:rPr>
        <w:t> </w:t>
      </w:r>
      <w:r>
        <w:rPr/>
        <w:t>some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AR(1)</w:t>
      </w:r>
      <w:r>
        <w:rPr>
          <w:spacing w:val="-3"/>
        </w:rPr>
        <w:t> </w:t>
      </w:r>
      <w:r>
        <w:rPr/>
        <w:t>coefficients.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72" w:after="8"/>
        <w:ind w:left="1334" w:right="1335"/>
        <w:jc w:val="center"/>
      </w:pPr>
      <w:r>
        <w:rPr/>
        <w:t>Table</w:t>
      </w:r>
      <w:r>
        <w:rPr>
          <w:spacing w:val="-2"/>
        </w:rPr>
        <w:t> </w:t>
      </w:r>
      <w:r>
        <w:rPr/>
        <w:t>5.3:</w:t>
      </w:r>
      <w:r>
        <w:rPr>
          <w:spacing w:val="-1"/>
        </w:rPr>
        <w:t> </w:t>
      </w:r>
      <w:r>
        <w:rPr/>
        <w:t>Estimates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Persistent</w:t>
      </w:r>
      <w:r>
        <w:rPr>
          <w:spacing w:val="-1"/>
        </w:rPr>
        <w:t> </w:t>
      </w:r>
      <w:r>
        <w:rPr/>
        <w:t>Parameters</w:t>
      </w: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5"/>
        <w:gridCol w:w="2252"/>
        <w:gridCol w:w="1479"/>
        <w:gridCol w:w="951"/>
        <w:gridCol w:w="1244"/>
        <w:gridCol w:w="808"/>
        <w:gridCol w:w="831"/>
      </w:tblGrid>
      <w:tr>
        <w:trPr>
          <w:trHeight w:val="834" w:hRule="atLeast"/>
        </w:trPr>
        <w:tc>
          <w:tcPr>
            <w:tcW w:w="3507" w:type="dxa"/>
            <w:gridSpan w:val="2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1479" w:type="dxa"/>
            <w:vMerge w:val="restart"/>
          </w:tcPr>
          <w:p>
            <w:pPr>
              <w:pStyle w:val="TableParagraph"/>
              <w:ind w:left="105" w:right="237"/>
              <w:rPr>
                <w:sz w:val="24"/>
              </w:rPr>
            </w:pPr>
            <w:r>
              <w:rPr>
                <w:sz w:val="24"/>
              </w:rPr>
              <w:t>Prior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distribution</w:t>
            </w:r>
          </w:p>
        </w:tc>
        <w:tc>
          <w:tcPr>
            <w:tcW w:w="951" w:type="dxa"/>
            <w:vMerge w:val="restart"/>
          </w:tcPr>
          <w:p>
            <w:pPr>
              <w:pStyle w:val="TableParagraph"/>
              <w:ind w:right="294"/>
              <w:rPr>
                <w:sz w:val="24"/>
              </w:rPr>
            </w:pPr>
            <w:r>
              <w:rPr>
                <w:sz w:val="24"/>
              </w:rPr>
              <w:t>Prior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  <w:tc>
          <w:tcPr>
            <w:tcW w:w="1244" w:type="dxa"/>
            <w:vMerge w:val="restart"/>
          </w:tcPr>
          <w:p>
            <w:pPr>
              <w:pStyle w:val="TableParagraph"/>
              <w:ind w:left="106" w:right="241"/>
              <w:rPr>
                <w:sz w:val="24"/>
              </w:rPr>
            </w:pPr>
            <w:r>
              <w:rPr>
                <w:sz w:val="24"/>
              </w:rPr>
              <w:t>Posterior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  <w:tc>
          <w:tcPr>
            <w:tcW w:w="1639" w:type="dxa"/>
            <w:gridSpan w:val="2"/>
          </w:tcPr>
          <w:p>
            <w:pPr>
              <w:pStyle w:val="TableParagraph"/>
              <w:ind w:left="106" w:right="406"/>
              <w:rPr>
                <w:sz w:val="24"/>
              </w:rPr>
            </w:pPr>
            <w:r>
              <w:rPr>
                <w:spacing w:val="-1"/>
                <w:sz w:val="24"/>
              </w:rPr>
              <w:t>Confidence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</w:tr>
      <w:tr>
        <w:trPr>
          <w:trHeight w:val="410" w:hRule="atLeast"/>
        </w:trPr>
        <w:tc>
          <w:tcPr>
            <w:tcW w:w="125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Symbol</w:t>
            </w:r>
          </w:p>
        </w:tc>
        <w:tc>
          <w:tcPr>
            <w:tcW w:w="225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  <w:tc>
          <w:tcPr>
            <w:tcW w:w="1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83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95%</w:t>
            </w:r>
          </w:p>
        </w:tc>
      </w:tr>
      <w:tr>
        <w:trPr>
          <w:trHeight w:val="585" w:hRule="atLeast"/>
        </w:trPr>
        <w:tc>
          <w:tcPr>
            <w:tcW w:w="125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rrho_ystar</w:t>
            </w:r>
          </w:p>
          <w:p>
            <w:pPr>
              <w:pStyle w:val="TableParagraph"/>
              <w:spacing w:line="294" w:lineRule="exact" w:before="3"/>
              <w:rPr>
                <w:sz w:val="24"/>
              </w:rPr>
            </w:pPr>
            <w:r>
              <w:rPr>
                <w:spacing w:val="-1"/>
                <w:w w:val="105"/>
                <w:position w:val="5"/>
                <w:sz w:val="24"/>
              </w:rPr>
              <w:t>(</w:t>
            </w:r>
            <w:r>
              <w:rPr>
                <w:rFonts w:ascii="Cambria Math" w:eastAsia="Cambria Math"/>
                <w:spacing w:val="-1"/>
                <w:w w:val="105"/>
                <w:position w:val="5"/>
                <w:sz w:val="24"/>
              </w:rPr>
              <w:t>𝜌</w:t>
            </w:r>
            <w:r>
              <w:rPr>
                <w:rFonts w:ascii="Cambria Math" w:eastAsia="Cambria Math"/>
                <w:spacing w:val="-1"/>
                <w:w w:val="105"/>
                <w:sz w:val="17"/>
              </w:rPr>
              <w:t>𝑦𝑠𝑡𝑎𝑟</w:t>
            </w:r>
            <w:r>
              <w:rPr>
                <w:rFonts w:ascii="Cambria Math" w:eastAsia="Cambria Math"/>
                <w:spacing w:val="-22"/>
                <w:w w:val="105"/>
                <w:sz w:val="17"/>
              </w:rPr>
              <w:t> </w:t>
            </w:r>
            <w:r>
              <w:rPr>
                <w:w w:val="105"/>
                <w:position w:val="5"/>
                <w:sz w:val="24"/>
              </w:rPr>
              <w:t>)</w:t>
            </w:r>
          </w:p>
        </w:tc>
        <w:tc>
          <w:tcPr>
            <w:tcW w:w="2252" w:type="dxa"/>
          </w:tcPr>
          <w:p>
            <w:pPr>
              <w:pStyle w:val="TableParagraph"/>
              <w:ind w:right="504"/>
              <w:rPr>
                <w:sz w:val="24"/>
              </w:rPr>
            </w:pPr>
            <w:r>
              <w:rPr>
                <w:sz w:val="24"/>
              </w:rPr>
              <w:t>AR(1)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foreign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output</w:t>
            </w:r>
          </w:p>
        </w:tc>
        <w:tc>
          <w:tcPr>
            <w:tcW w:w="147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95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1244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  <w:tc>
          <w:tcPr>
            <w:tcW w:w="80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0.881</w:t>
            </w:r>
          </w:p>
        </w:tc>
        <w:tc>
          <w:tcPr>
            <w:tcW w:w="83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0.962</w:t>
            </w:r>
          </w:p>
        </w:tc>
      </w:tr>
      <w:tr>
        <w:trPr>
          <w:trHeight w:val="558" w:hRule="atLeast"/>
        </w:trPr>
        <w:tc>
          <w:tcPr>
            <w:tcW w:w="125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rrho_a</w:t>
            </w:r>
          </w:p>
          <w:p>
            <w:pPr>
              <w:pStyle w:val="TableParagraph"/>
              <w:spacing w:line="268" w:lineRule="exact" w:before="3"/>
              <w:rPr>
                <w:sz w:val="24"/>
              </w:rPr>
            </w:pPr>
            <w:r>
              <w:rPr>
                <w:w w:val="105"/>
                <w:sz w:val="24"/>
              </w:rPr>
              <w:t>(</w:t>
            </w:r>
            <w:r>
              <w:rPr>
                <w:rFonts w:ascii="Cambria Math" w:eastAsia="Cambria Math"/>
                <w:w w:val="105"/>
                <w:sz w:val="24"/>
              </w:rPr>
              <w:t>𝜌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𝑎</w:t>
            </w:r>
            <w:r>
              <w:rPr>
                <w:w w:val="105"/>
                <w:sz w:val="24"/>
                <w:vertAlign w:val="baseline"/>
              </w:rPr>
              <w:t>)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AR(1)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technology</w:t>
            </w:r>
          </w:p>
        </w:tc>
        <w:tc>
          <w:tcPr>
            <w:tcW w:w="147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95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1244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0.702</w:t>
            </w:r>
          </w:p>
        </w:tc>
        <w:tc>
          <w:tcPr>
            <w:tcW w:w="80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0.548</w:t>
            </w:r>
          </w:p>
        </w:tc>
        <w:tc>
          <w:tcPr>
            <w:tcW w:w="83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0.865</w:t>
            </w:r>
          </w:p>
        </w:tc>
      </w:tr>
      <w:tr>
        <w:trPr>
          <w:trHeight w:val="585" w:hRule="atLeast"/>
        </w:trPr>
        <w:tc>
          <w:tcPr>
            <w:tcW w:w="125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rrho_piiD</w:t>
            </w:r>
          </w:p>
          <w:p>
            <w:pPr>
              <w:pStyle w:val="TableParagraph"/>
              <w:spacing w:line="294" w:lineRule="exact" w:before="3"/>
              <w:rPr>
                <w:sz w:val="24"/>
              </w:rPr>
            </w:pPr>
            <w:r>
              <w:rPr>
                <w:w w:val="105"/>
                <w:position w:val="5"/>
                <w:sz w:val="24"/>
              </w:rPr>
              <w:t>(</w:t>
            </w:r>
            <w:r>
              <w:rPr>
                <w:rFonts w:ascii="Cambria Math" w:eastAsia="Cambria Math"/>
                <w:w w:val="105"/>
                <w:position w:val="5"/>
                <w:sz w:val="24"/>
              </w:rPr>
              <w:t>𝜌</w:t>
            </w:r>
            <w:r>
              <w:rPr>
                <w:rFonts w:ascii="Cambria Math" w:eastAsia="Cambria Math"/>
                <w:w w:val="105"/>
                <w:sz w:val="17"/>
              </w:rPr>
              <w:t>𝑝𝑖𝑖𝐷</w:t>
            </w:r>
            <w:r>
              <w:rPr>
                <w:w w:val="105"/>
                <w:position w:val="5"/>
                <w:sz w:val="24"/>
              </w:rPr>
              <w:t>)</w:t>
            </w:r>
          </w:p>
        </w:tc>
        <w:tc>
          <w:tcPr>
            <w:tcW w:w="2252" w:type="dxa"/>
          </w:tcPr>
          <w:p>
            <w:pPr>
              <w:pStyle w:val="TableParagraph"/>
              <w:ind w:right="384"/>
              <w:rPr>
                <w:sz w:val="24"/>
              </w:rPr>
            </w:pPr>
            <w:r>
              <w:rPr>
                <w:sz w:val="24"/>
              </w:rPr>
              <w:t>AR(1)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inflation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shock</w:t>
            </w:r>
          </w:p>
        </w:tc>
        <w:tc>
          <w:tcPr>
            <w:tcW w:w="147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95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1244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0.701</w:t>
            </w:r>
          </w:p>
        </w:tc>
        <w:tc>
          <w:tcPr>
            <w:tcW w:w="80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0.543</w:t>
            </w:r>
          </w:p>
        </w:tc>
        <w:tc>
          <w:tcPr>
            <w:tcW w:w="83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0.867</w:t>
            </w:r>
          </w:p>
        </w:tc>
      </w:tr>
      <w:tr>
        <w:trPr>
          <w:trHeight w:val="557" w:hRule="atLeast"/>
        </w:trPr>
        <w:tc>
          <w:tcPr>
            <w:tcW w:w="125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rrho_sr</w:t>
            </w:r>
          </w:p>
          <w:p>
            <w:pPr>
              <w:pStyle w:val="TableParagraph"/>
              <w:spacing w:line="265" w:lineRule="exact" w:before="4"/>
              <w:rPr>
                <w:sz w:val="24"/>
              </w:rPr>
            </w:pPr>
            <w:r>
              <w:rPr>
                <w:w w:val="105"/>
                <w:sz w:val="24"/>
              </w:rPr>
              <w:t>(</w:t>
            </w:r>
            <w:r>
              <w:rPr>
                <w:rFonts w:ascii="Cambria Math" w:eastAsia="Cambria Math"/>
                <w:w w:val="105"/>
                <w:sz w:val="24"/>
              </w:rPr>
              <w:t>𝜌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𝑠𝑟</w:t>
            </w:r>
            <w:r>
              <w:rPr>
                <w:w w:val="105"/>
                <w:sz w:val="24"/>
                <w:vertAlign w:val="baseline"/>
              </w:rPr>
              <w:t>)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AR(1)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interest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rate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shock</w:t>
            </w:r>
          </w:p>
        </w:tc>
        <w:tc>
          <w:tcPr>
            <w:tcW w:w="147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95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1244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80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0.864</w:t>
            </w:r>
          </w:p>
        </w:tc>
        <w:tc>
          <w:tcPr>
            <w:tcW w:w="83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0.941</w:t>
            </w:r>
          </w:p>
        </w:tc>
      </w:tr>
      <w:tr>
        <w:trPr>
          <w:trHeight w:val="827" w:hRule="atLeast"/>
        </w:trPr>
        <w:tc>
          <w:tcPr>
            <w:tcW w:w="1255" w:type="dxa"/>
          </w:tcPr>
          <w:p>
            <w:pPr>
              <w:pStyle w:val="TableParagraph"/>
              <w:spacing w:line="244" w:lineRule="auto"/>
              <w:ind w:right="384"/>
              <w:rPr>
                <w:sz w:val="24"/>
              </w:rPr>
            </w:pPr>
            <w:r>
              <w:rPr>
                <w:sz w:val="24"/>
              </w:rPr>
              <w:t>rrho_sg</w:t>
            </w:r>
            <w:r>
              <w:rPr>
                <w:spacing w:val="-57"/>
                <w:sz w:val="24"/>
              </w:rPr>
              <w:t> </w:t>
            </w:r>
            <w:r>
              <w:rPr>
                <w:w w:val="105"/>
                <w:sz w:val="24"/>
              </w:rPr>
              <w:t>(</w:t>
            </w:r>
            <w:r>
              <w:rPr>
                <w:rFonts w:ascii="Cambria Math" w:eastAsia="Cambria Math"/>
                <w:w w:val="105"/>
                <w:sz w:val="24"/>
              </w:rPr>
              <w:t>𝜌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𝑠𝑔</w:t>
            </w:r>
            <w:r>
              <w:rPr>
                <w:w w:val="105"/>
                <w:sz w:val="24"/>
                <w:vertAlign w:val="baseline"/>
              </w:rPr>
              <w:t>)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AR(1)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70" w:lineRule="atLeast"/>
              <w:ind w:right="647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spending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shock</w:t>
            </w:r>
          </w:p>
        </w:tc>
        <w:tc>
          <w:tcPr>
            <w:tcW w:w="147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95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1244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  <w:tc>
          <w:tcPr>
            <w:tcW w:w="80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0.968</w:t>
            </w:r>
          </w:p>
        </w:tc>
        <w:tc>
          <w:tcPr>
            <w:tcW w:w="83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0.991</w:t>
            </w:r>
          </w:p>
        </w:tc>
      </w:tr>
      <w:tr>
        <w:trPr>
          <w:trHeight w:val="585" w:hRule="atLeast"/>
        </w:trPr>
        <w:tc>
          <w:tcPr>
            <w:tcW w:w="1255" w:type="dxa"/>
          </w:tcPr>
          <w:p>
            <w:pPr>
              <w:pStyle w:val="TableParagraph"/>
              <w:spacing w:line="244" w:lineRule="auto"/>
              <w:ind w:right="384"/>
              <w:rPr>
                <w:sz w:val="24"/>
              </w:rPr>
            </w:pPr>
            <w:r>
              <w:rPr>
                <w:sz w:val="24"/>
              </w:rPr>
              <w:t>rrho_sy</w:t>
            </w:r>
            <w:r>
              <w:rPr>
                <w:spacing w:val="-57"/>
                <w:sz w:val="24"/>
              </w:rPr>
              <w:t> </w:t>
            </w:r>
            <w:r>
              <w:rPr>
                <w:w w:val="105"/>
                <w:sz w:val="24"/>
              </w:rPr>
              <w:t>(</w:t>
            </w:r>
            <w:r>
              <w:rPr>
                <w:rFonts w:ascii="Cambria Math" w:eastAsia="Cambria Math"/>
                <w:w w:val="105"/>
                <w:sz w:val="24"/>
              </w:rPr>
              <w:t>𝜌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𝑠𝑦</w:t>
            </w:r>
            <w:r>
              <w:rPr>
                <w:w w:val="105"/>
                <w:sz w:val="24"/>
                <w:vertAlign w:val="baseline"/>
              </w:rPr>
              <w:t>)</w:t>
            </w:r>
          </w:p>
        </w:tc>
        <w:tc>
          <w:tcPr>
            <w:tcW w:w="2252" w:type="dxa"/>
          </w:tcPr>
          <w:p>
            <w:pPr>
              <w:pStyle w:val="TableParagraph"/>
              <w:ind w:right="585"/>
              <w:rPr>
                <w:sz w:val="24"/>
              </w:rPr>
            </w:pPr>
            <w:r>
              <w:rPr>
                <w:sz w:val="24"/>
              </w:rPr>
              <w:t>AR(1)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output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shock</w:t>
            </w:r>
          </w:p>
        </w:tc>
        <w:tc>
          <w:tcPr>
            <w:tcW w:w="147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95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1244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80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0.900</w:t>
            </w:r>
          </w:p>
        </w:tc>
        <w:tc>
          <w:tcPr>
            <w:tcW w:w="83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0.954</w:t>
            </w:r>
          </w:p>
        </w:tc>
      </w:tr>
      <w:tr>
        <w:trPr>
          <w:trHeight w:val="558" w:hRule="atLeast"/>
        </w:trPr>
        <w:tc>
          <w:tcPr>
            <w:tcW w:w="125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rrho_srn</w:t>
            </w:r>
          </w:p>
          <w:p>
            <w:pPr>
              <w:pStyle w:val="TableParagraph"/>
              <w:spacing w:line="265" w:lineRule="exact" w:before="3"/>
              <w:rPr>
                <w:sz w:val="24"/>
              </w:rPr>
            </w:pPr>
            <w:r>
              <w:rPr>
                <w:w w:val="110"/>
                <w:sz w:val="24"/>
              </w:rPr>
              <w:t>(</w:t>
            </w:r>
            <w:r>
              <w:rPr>
                <w:rFonts w:ascii="Cambria Math" w:eastAsia="Cambria Math"/>
                <w:w w:val="110"/>
                <w:sz w:val="24"/>
              </w:rPr>
              <w:t>𝜌</w:t>
            </w:r>
            <w:r>
              <w:rPr>
                <w:rFonts w:ascii="Cambria Math" w:eastAsia="Cambria Math"/>
                <w:w w:val="110"/>
                <w:sz w:val="24"/>
                <w:vertAlign w:val="subscript"/>
              </w:rPr>
              <w:t>𝑠𝑟𝑛</w:t>
            </w:r>
            <w:r>
              <w:rPr>
                <w:w w:val="110"/>
                <w:sz w:val="24"/>
                <w:vertAlign w:val="baseline"/>
              </w:rPr>
              <w:t>)</w:t>
            </w:r>
          </w:p>
        </w:tc>
        <w:tc>
          <w:tcPr>
            <w:tcW w:w="225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AR(1)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shock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rent-seeking</w:t>
            </w:r>
          </w:p>
        </w:tc>
        <w:tc>
          <w:tcPr>
            <w:tcW w:w="147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95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1244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80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0.763</w:t>
            </w:r>
          </w:p>
        </w:tc>
        <w:tc>
          <w:tcPr>
            <w:tcW w:w="83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0.840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numPr>
          <w:ilvl w:val="0"/>
          <w:numId w:val="29"/>
        </w:numPr>
        <w:tabs>
          <w:tab w:pos="818" w:val="left" w:leader="none"/>
        </w:tabs>
        <w:spacing w:line="240" w:lineRule="auto" w:before="89" w:after="0"/>
        <w:ind w:left="817" w:right="0" w:hanging="318"/>
        <w:jc w:val="left"/>
      </w:pPr>
      <w:r>
        <w:rPr/>
        <w:t>Shock</w:t>
      </w:r>
      <w:r>
        <w:rPr>
          <w:spacing w:val="-2"/>
        </w:rPr>
        <w:t> </w:t>
      </w:r>
      <w:r>
        <w:rPr/>
        <w:t>Parameters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360" w:lineRule="auto"/>
        <w:ind w:left="500" w:right="496"/>
        <w:jc w:val="both"/>
      </w:pPr>
      <w:r>
        <w:rPr/>
        <w:t>Table 5.4 present the posterior estimates of the shock parameters. The size of these parameters</w:t>
      </w:r>
      <w:r>
        <w:rPr>
          <w:spacing w:val="1"/>
        </w:rPr>
        <w:t> </w:t>
      </w:r>
      <w:r>
        <w:rPr/>
        <w:t>provides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measure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volatility</w:t>
      </w:r>
      <w:r>
        <w:rPr>
          <w:spacing w:val="-12"/>
        </w:rPr>
        <w:t> </w:t>
      </w:r>
      <w:r>
        <w:rPr/>
        <w:t>of</w:t>
      </w:r>
      <w:r>
        <w:rPr>
          <w:spacing w:val="-7"/>
        </w:rPr>
        <w:t> </w:t>
      </w:r>
      <w:r>
        <w:rPr/>
        <w:t>individual</w:t>
      </w:r>
      <w:r>
        <w:rPr>
          <w:spacing w:val="-8"/>
        </w:rPr>
        <w:t> </w:t>
      </w:r>
      <w:r>
        <w:rPr/>
        <w:t>shocks.</w:t>
      </w:r>
      <w:r>
        <w:rPr>
          <w:spacing w:val="-7"/>
        </w:rPr>
        <w:t> </w:t>
      </w:r>
      <w:r>
        <w:rPr/>
        <w:t>Table</w:t>
      </w:r>
      <w:r>
        <w:rPr>
          <w:spacing w:val="-6"/>
        </w:rPr>
        <w:t> </w:t>
      </w:r>
      <w:r>
        <w:rPr/>
        <w:t>5.4</w:t>
      </w:r>
      <w:r>
        <w:rPr>
          <w:spacing w:val="-8"/>
        </w:rPr>
        <w:t> </w:t>
      </w:r>
      <w:r>
        <w:rPr/>
        <w:t>shows</w:t>
      </w:r>
      <w:r>
        <w:rPr>
          <w:spacing w:val="-8"/>
        </w:rPr>
        <w:t> </w:t>
      </w:r>
      <w:r>
        <w:rPr/>
        <w:t>that</w:t>
      </w:r>
      <w:r>
        <w:rPr>
          <w:spacing w:val="-6"/>
        </w:rPr>
        <w:t> </w:t>
      </w:r>
      <w:r>
        <w:rPr/>
        <w:t>output</w:t>
      </w:r>
      <w:r>
        <w:rPr>
          <w:spacing w:val="-7"/>
        </w:rPr>
        <w:t> </w:t>
      </w:r>
      <w:r>
        <w:rPr/>
        <w:t>shocks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most</w:t>
      </w:r>
      <w:r>
        <w:rPr>
          <w:spacing w:val="-13"/>
        </w:rPr>
        <w:t> </w:t>
      </w:r>
      <w:r>
        <w:rPr/>
        <w:t>volatile,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posterior</w:t>
      </w:r>
      <w:r>
        <w:rPr>
          <w:spacing w:val="-13"/>
        </w:rPr>
        <w:t> </w:t>
      </w:r>
      <w:r>
        <w:rPr/>
        <w:t>mean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0.68.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next</w:t>
      </w:r>
      <w:r>
        <w:rPr>
          <w:spacing w:val="-12"/>
        </w:rPr>
        <w:t> </w:t>
      </w:r>
      <w:r>
        <w:rPr/>
        <w:t>volatile</w:t>
      </w:r>
      <w:r>
        <w:rPr>
          <w:spacing w:val="-13"/>
        </w:rPr>
        <w:t> </w:t>
      </w:r>
      <w:r>
        <w:rPr/>
        <w:t>ones</w:t>
      </w:r>
      <w:r>
        <w:rPr>
          <w:spacing w:val="-12"/>
        </w:rPr>
        <w:t> </w:t>
      </w:r>
      <w:r>
        <w:rPr/>
        <w:t>are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inflation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technology</w:t>
      </w:r>
      <w:r>
        <w:rPr>
          <w:spacing w:val="-57"/>
        </w:rPr>
        <w:t> </w:t>
      </w:r>
      <w:r>
        <w:rPr/>
        <w:t>shocks with posterior estimates of 0.28 and 0.23, respectively. The least volatile shocks are those</w:t>
      </w:r>
      <w:r>
        <w:rPr>
          <w:spacing w:val="-57"/>
        </w:rPr>
        <w:t> </w:t>
      </w:r>
      <w:r>
        <w:rPr/>
        <w:t>of government spending, interest rate, foreign output and rent-seeking with estimated means of</w:t>
      </w:r>
      <w:r>
        <w:rPr>
          <w:spacing w:val="1"/>
        </w:rPr>
        <w:t> </w:t>
      </w:r>
      <w:r>
        <w:rPr/>
        <w:t>0.07,</w:t>
      </w:r>
      <w:r>
        <w:rPr>
          <w:spacing w:val="-1"/>
        </w:rPr>
        <w:t> </w:t>
      </w:r>
      <w:r>
        <w:rPr/>
        <w:t>0.04,</w:t>
      </w:r>
      <w:r>
        <w:rPr>
          <w:spacing w:val="-1"/>
        </w:rPr>
        <w:t> </w:t>
      </w:r>
      <w:r>
        <w:rPr/>
        <w:t>0.03</w:t>
      </w:r>
      <w:r>
        <w:rPr>
          <w:spacing w:val="-1"/>
        </w:rPr>
        <w:t> </w:t>
      </w:r>
      <w:r>
        <w:rPr/>
        <w:t>and 0.03.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can then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deduced that</w:t>
      </w:r>
      <w:r>
        <w:rPr>
          <w:spacing w:val="-1"/>
        </w:rPr>
        <w:t> </w:t>
      </w:r>
      <w:r>
        <w:rPr/>
        <w:t>output</w:t>
      </w:r>
      <w:r>
        <w:rPr>
          <w:spacing w:val="-1"/>
        </w:rPr>
        <w:t> </w:t>
      </w:r>
      <w:r>
        <w:rPr/>
        <w:t>shock is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most volatile,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is,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most significant source of economic fluctuations to the Nigerian economy. On the other hand,</w:t>
      </w:r>
      <w:r>
        <w:rPr>
          <w:spacing w:val="1"/>
        </w:rPr>
        <w:t> </w:t>
      </w:r>
      <w:r>
        <w:rPr/>
        <w:t>shocks</w:t>
      </w:r>
      <w:r>
        <w:rPr>
          <w:spacing w:val="-1"/>
        </w:rPr>
        <w:t> </w:t>
      </w:r>
      <w:r>
        <w:rPr/>
        <w:t>to rent seeking</w:t>
      </w:r>
      <w:r>
        <w:rPr>
          <w:spacing w:val="-3"/>
        </w:rPr>
        <w:t> </w:t>
      </w:r>
      <w:r>
        <w:rPr/>
        <w:t>and foreign output,</w:t>
      </w:r>
      <w:r>
        <w:rPr>
          <w:spacing w:val="1"/>
        </w:rPr>
        <w:t> </w:t>
      </w:r>
      <w:r>
        <w:rPr/>
        <w:t>are found to be the</w:t>
      </w:r>
      <w:r>
        <w:rPr>
          <w:spacing w:val="-1"/>
        </w:rPr>
        <w:t> </w:t>
      </w:r>
      <w:r>
        <w:rPr/>
        <w:t>least</w:t>
      </w:r>
      <w:r>
        <w:rPr>
          <w:spacing w:val="-1"/>
        </w:rPr>
        <w:t> </w:t>
      </w:r>
      <w:r>
        <w:rPr/>
        <w:t>volatile.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72" w:after="8"/>
        <w:ind w:left="1335" w:right="1335"/>
        <w:jc w:val="center"/>
      </w:pPr>
      <w:r>
        <w:rPr/>
        <w:t>Table</w:t>
      </w:r>
      <w:r>
        <w:rPr>
          <w:spacing w:val="-1"/>
        </w:rPr>
        <w:t> </w:t>
      </w:r>
      <w:r>
        <w:rPr/>
        <w:t>5.4:</w:t>
      </w:r>
      <w:r>
        <w:rPr>
          <w:spacing w:val="-1"/>
        </w:rPr>
        <w:t> </w:t>
      </w:r>
      <w:r>
        <w:rPr/>
        <w:t>Estimates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Shock</w:t>
      </w:r>
      <w:r>
        <w:rPr>
          <w:spacing w:val="-1"/>
        </w:rPr>
        <w:t> </w:t>
      </w:r>
      <w:r>
        <w:rPr/>
        <w:t>Parameters</w:t>
      </w: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2096"/>
        <w:gridCol w:w="1479"/>
        <w:gridCol w:w="951"/>
        <w:gridCol w:w="1244"/>
        <w:gridCol w:w="889"/>
        <w:gridCol w:w="941"/>
      </w:tblGrid>
      <w:tr>
        <w:trPr>
          <w:trHeight w:val="834" w:hRule="atLeast"/>
        </w:trPr>
        <w:tc>
          <w:tcPr>
            <w:tcW w:w="3507" w:type="dxa"/>
            <w:gridSpan w:val="2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1479" w:type="dxa"/>
            <w:vMerge w:val="restart"/>
          </w:tcPr>
          <w:p>
            <w:pPr>
              <w:pStyle w:val="TableParagraph"/>
              <w:ind w:left="105" w:right="237"/>
              <w:rPr>
                <w:sz w:val="24"/>
              </w:rPr>
            </w:pPr>
            <w:r>
              <w:rPr>
                <w:sz w:val="24"/>
              </w:rPr>
              <w:t>Prior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distribution</w:t>
            </w:r>
          </w:p>
        </w:tc>
        <w:tc>
          <w:tcPr>
            <w:tcW w:w="951" w:type="dxa"/>
            <w:vMerge w:val="restart"/>
          </w:tcPr>
          <w:p>
            <w:pPr>
              <w:pStyle w:val="TableParagraph"/>
              <w:ind w:right="294"/>
              <w:rPr>
                <w:sz w:val="24"/>
              </w:rPr>
            </w:pPr>
            <w:r>
              <w:rPr>
                <w:sz w:val="24"/>
              </w:rPr>
              <w:t>Prior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  <w:tc>
          <w:tcPr>
            <w:tcW w:w="1244" w:type="dxa"/>
            <w:vMerge w:val="restart"/>
          </w:tcPr>
          <w:p>
            <w:pPr>
              <w:pStyle w:val="TableParagraph"/>
              <w:ind w:left="106" w:right="241"/>
              <w:rPr>
                <w:sz w:val="24"/>
              </w:rPr>
            </w:pPr>
            <w:r>
              <w:rPr>
                <w:sz w:val="24"/>
              </w:rPr>
              <w:t>Posterior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  <w:tc>
          <w:tcPr>
            <w:tcW w:w="1830" w:type="dxa"/>
            <w:gridSpan w:val="2"/>
          </w:tcPr>
          <w:p>
            <w:pPr>
              <w:pStyle w:val="TableParagraph"/>
              <w:ind w:left="106" w:right="597"/>
              <w:rPr>
                <w:sz w:val="24"/>
              </w:rPr>
            </w:pPr>
            <w:r>
              <w:rPr>
                <w:spacing w:val="-1"/>
                <w:sz w:val="24"/>
              </w:rPr>
              <w:t>Confidence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</w:tr>
      <w:tr>
        <w:trPr>
          <w:trHeight w:val="554" w:hRule="atLeast"/>
        </w:trPr>
        <w:tc>
          <w:tcPr>
            <w:tcW w:w="141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Symbol</w:t>
            </w:r>
          </w:p>
        </w:tc>
        <w:tc>
          <w:tcPr>
            <w:tcW w:w="209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  <w:tc>
          <w:tcPr>
            <w:tcW w:w="1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941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95%</w:t>
            </w:r>
          </w:p>
        </w:tc>
      </w:tr>
      <w:tr>
        <w:trPr>
          <w:trHeight w:val="604" w:hRule="atLeast"/>
        </w:trPr>
        <w:tc>
          <w:tcPr>
            <w:tcW w:w="1411" w:type="dxa"/>
          </w:tcPr>
          <w:p>
            <w:pPr>
              <w:pStyle w:val="TableParagraph"/>
              <w:spacing w:line="220" w:lineRule="auto" w:before="9"/>
              <w:ind w:right="367"/>
              <w:rPr>
                <w:sz w:val="24"/>
              </w:rPr>
            </w:pPr>
            <w:r>
              <w:rPr>
                <w:sz w:val="24"/>
              </w:rPr>
              <w:t>eps_ystar</w:t>
            </w:r>
            <w:r>
              <w:rPr>
                <w:w w:val="99"/>
                <w:sz w:val="24"/>
              </w:rPr>
              <w:t> </w:t>
            </w:r>
            <w:r>
              <w:rPr>
                <w:position w:val="-11"/>
                <w:sz w:val="24"/>
              </w:rPr>
              <w:t>(</w:t>
            </w:r>
            <w:r>
              <w:rPr>
                <w:rFonts w:ascii="Cambria Math" w:eastAsia="Cambria Math"/>
                <w:position w:val="-11"/>
                <w:sz w:val="24"/>
              </w:rPr>
              <w:t>𝜀</w:t>
            </w:r>
            <w:r>
              <w:rPr>
                <w:rFonts w:ascii="Cambria Math" w:eastAsia="Cambria Math"/>
                <w:sz w:val="17"/>
              </w:rPr>
              <w:t>𝑦𝑠𝑡𝑎𝑟</w:t>
            </w:r>
            <w:r>
              <w:rPr>
                <w:rFonts w:ascii="Cambria Math" w:eastAsia="Cambria Math"/>
                <w:spacing w:val="-14"/>
                <w:sz w:val="17"/>
              </w:rPr>
              <w:t> </w:t>
            </w:r>
            <w:r>
              <w:rPr>
                <w:position w:val="-11"/>
                <w:sz w:val="24"/>
              </w:rPr>
              <w:t>)</w:t>
            </w:r>
          </w:p>
          <w:p>
            <w:pPr>
              <w:pStyle w:val="TableParagraph"/>
              <w:spacing w:line="8" w:lineRule="exact"/>
              <w:ind w:left="292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𝑡</w:t>
            </w:r>
          </w:p>
        </w:tc>
        <w:tc>
          <w:tcPr>
            <w:tcW w:w="209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Foreign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output</w:t>
            </w:r>
          </w:p>
        </w:tc>
        <w:tc>
          <w:tcPr>
            <w:tcW w:w="1479" w:type="dxa"/>
          </w:tcPr>
          <w:p>
            <w:pPr>
              <w:pStyle w:val="TableParagraph"/>
              <w:ind w:left="105" w:right="584"/>
              <w:rPr>
                <w:sz w:val="24"/>
              </w:rPr>
            </w:pPr>
            <w:r>
              <w:rPr>
                <w:sz w:val="24"/>
              </w:rPr>
              <w:t>Inverse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Gamma</w:t>
            </w:r>
          </w:p>
        </w:tc>
        <w:tc>
          <w:tcPr>
            <w:tcW w:w="95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244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889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0.0294</w:t>
            </w:r>
          </w:p>
        </w:tc>
        <w:tc>
          <w:tcPr>
            <w:tcW w:w="941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0.0298</w:t>
            </w:r>
          </w:p>
        </w:tc>
      </w:tr>
      <w:tr>
        <w:trPr>
          <w:trHeight w:val="551" w:hRule="atLeast"/>
        </w:trPr>
        <w:tc>
          <w:tcPr>
            <w:tcW w:w="1411" w:type="dxa"/>
          </w:tcPr>
          <w:p>
            <w:pPr>
              <w:pStyle w:val="TableParagraph"/>
              <w:spacing w:line="194" w:lineRule="exact"/>
              <w:rPr>
                <w:sz w:val="24"/>
              </w:rPr>
            </w:pPr>
            <w:r>
              <w:rPr>
                <w:sz w:val="24"/>
              </w:rPr>
              <w:t>eps_a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𝜀</w:t>
            </w:r>
            <w:r>
              <w:rPr>
                <w:rFonts w:ascii="Cambria Math" w:eastAsia="Cambria Math"/>
                <w:sz w:val="24"/>
                <w:vertAlign w:val="superscript"/>
              </w:rPr>
              <w:t>𝑎</w:t>
            </w:r>
            <w:r>
              <w:rPr>
                <w:sz w:val="24"/>
                <w:vertAlign w:val="baseline"/>
              </w:rPr>
              <w:t>)</w:t>
            </w:r>
          </w:p>
          <w:p>
            <w:pPr>
              <w:pStyle w:val="TableParagraph"/>
              <w:spacing w:line="117" w:lineRule="exact"/>
              <w:ind w:left="899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𝑡</w:t>
            </w:r>
          </w:p>
        </w:tc>
        <w:tc>
          <w:tcPr>
            <w:tcW w:w="209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Technology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shock</w:t>
            </w:r>
          </w:p>
        </w:tc>
        <w:tc>
          <w:tcPr>
            <w:tcW w:w="147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Inverse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Gamma</w:t>
            </w:r>
          </w:p>
        </w:tc>
        <w:tc>
          <w:tcPr>
            <w:tcW w:w="95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244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889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0.057</w:t>
            </w:r>
          </w:p>
        </w:tc>
        <w:tc>
          <w:tcPr>
            <w:tcW w:w="941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0.427</w:t>
            </w:r>
          </w:p>
        </w:tc>
      </w:tr>
      <w:tr>
        <w:trPr>
          <w:trHeight w:val="551" w:hRule="atLeast"/>
        </w:trPr>
        <w:tc>
          <w:tcPr>
            <w:tcW w:w="1411" w:type="dxa"/>
          </w:tcPr>
          <w:p>
            <w:pPr>
              <w:pStyle w:val="TableParagraph"/>
              <w:spacing w:line="208" w:lineRule="exact" w:before="11"/>
              <w:rPr>
                <w:sz w:val="24"/>
              </w:rPr>
            </w:pPr>
            <w:r>
              <w:rPr>
                <w:sz w:val="24"/>
              </w:rPr>
              <w:t>eps_g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𝜀</w:t>
            </w:r>
            <w:r>
              <w:rPr>
                <w:rFonts w:ascii="Cambria Math" w:eastAsia="Cambria Math"/>
                <w:sz w:val="24"/>
                <w:vertAlign w:val="superscript"/>
              </w:rPr>
              <w:t>𝑔</w:t>
            </w:r>
            <w:r>
              <w:rPr>
                <w:sz w:val="24"/>
                <w:vertAlign w:val="baseline"/>
              </w:rPr>
              <w:t>)</w:t>
            </w:r>
          </w:p>
          <w:p>
            <w:pPr>
              <w:pStyle w:val="TableParagraph"/>
              <w:spacing w:line="125" w:lineRule="exact"/>
              <w:ind w:left="914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𝑡</w:t>
            </w:r>
          </w:p>
        </w:tc>
        <w:tc>
          <w:tcPr>
            <w:tcW w:w="209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Government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spending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shock</w:t>
            </w:r>
          </w:p>
        </w:tc>
        <w:tc>
          <w:tcPr>
            <w:tcW w:w="147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Inverse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Gamma</w:t>
            </w:r>
          </w:p>
        </w:tc>
        <w:tc>
          <w:tcPr>
            <w:tcW w:w="95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244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889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0.068</w:t>
            </w:r>
          </w:p>
        </w:tc>
        <w:tc>
          <w:tcPr>
            <w:tcW w:w="941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0.080</w:t>
            </w:r>
          </w:p>
        </w:tc>
      </w:tr>
      <w:tr>
        <w:trPr>
          <w:trHeight w:val="554" w:hRule="atLeast"/>
        </w:trPr>
        <w:tc>
          <w:tcPr>
            <w:tcW w:w="1411" w:type="dxa"/>
          </w:tcPr>
          <w:p>
            <w:pPr>
              <w:pStyle w:val="TableParagraph"/>
              <w:spacing w:line="197" w:lineRule="exact"/>
              <w:rPr>
                <w:sz w:val="24"/>
              </w:rPr>
            </w:pPr>
            <w:r>
              <w:rPr>
                <w:sz w:val="24"/>
              </w:rPr>
              <w:t>eps_r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𝜀</w:t>
            </w:r>
            <w:r>
              <w:rPr>
                <w:rFonts w:ascii="Cambria Math" w:eastAsia="Cambria Math"/>
                <w:sz w:val="24"/>
                <w:vertAlign w:val="superscript"/>
              </w:rPr>
              <w:t>𝑟</w:t>
            </w:r>
            <w:r>
              <w:rPr>
                <w:sz w:val="24"/>
                <w:vertAlign w:val="baseline"/>
              </w:rPr>
              <w:t>)</w:t>
            </w:r>
          </w:p>
          <w:p>
            <w:pPr>
              <w:pStyle w:val="TableParagraph"/>
              <w:spacing w:line="117" w:lineRule="exact"/>
              <w:ind w:left="873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𝑡</w:t>
            </w:r>
          </w:p>
        </w:tc>
        <w:tc>
          <w:tcPr>
            <w:tcW w:w="2096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Interest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shock</w:t>
            </w:r>
          </w:p>
        </w:tc>
        <w:tc>
          <w:tcPr>
            <w:tcW w:w="1479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Inverse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Gamma</w:t>
            </w:r>
          </w:p>
        </w:tc>
        <w:tc>
          <w:tcPr>
            <w:tcW w:w="951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244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889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0.030</w:t>
            </w:r>
          </w:p>
        </w:tc>
        <w:tc>
          <w:tcPr>
            <w:tcW w:w="941" w:type="dxa"/>
          </w:tcPr>
          <w:p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0.040</w:t>
            </w:r>
          </w:p>
        </w:tc>
      </w:tr>
      <w:tr>
        <w:trPr>
          <w:trHeight w:val="616" w:hRule="atLeast"/>
        </w:trPr>
        <w:tc>
          <w:tcPr>
            <w:tcW w:w="141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e_piiD</w:t>
            </w:r>
          </w:p>
          <w:p>
            <w:pPr>
              <w:pStyle w:val="TableParagraph"/>
              <w:spacing w:line="134" w:lineRule="auto" w:before="45"/>
              <w:rPr>
                <w:sz w:val="24"/>
              </w:rPr>
            </w:pPr>
            <w:r>
              <w:rPr>
                <w:w w:val="105"/>
                <w:position w:val="-11"/>
                <w:sz w:val="24"/>
              </w:rPr>
              <w:t>(</w:t>
            </w:r>
            <w:r>
              <w:rPr>
                <w:rFonts w:ascii="Cambria Math" w:eastAsia="Cambria Math"/>
                <w:w w:val="105"/>
                <w:position w:val="-11"/>
                <w:sz w:val="24"/>
              </w:rPr>
              <w:t>𝜀</w:t>
            </w:r>
            <w:r>
              <w:rPr>
                <w:rFonts w:ascii="Cambria Math" w:eastAsia="Cambria Math"/>
                <w:w w:val="105"/>
                <w:sz w:val="17"/>
              </w:rPr>
              <w:t>𝑝𝑖𝑖𝐷</w:t>
            </w:r>
            <w:r>
              <w:rPr>
                <w:w w:val="105"/>
                <w:position w:val="-11"/>
                <w:sz w:val="24"/>
              </w:rPr>
              <w:t>)</w:t>
            </w:r>
          </w:p>
          <w:p>
            <w:pPr>
              <w:pStyle w:val="TableParagraph"/>
              <w:spacing w:line="71" w:lineRule="exact"/>
              <w:ind w:left="292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𝑡</w:t>
            </w:r>
          </w:p>
        </w:tc>
        <w:tc>
          <w:tcPr>
            <w:tcW w:w="209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Inflation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shock</w:t>
            </w:r>
          </w:p>
        </w:tc>
        <w:tc>
          <w:tcPr>
            <w:tcW w:w="1479" w:type="dxa"/>
          </w:tcPr>
          <w:p>
            <w:pPr>
              <w:pStyle w:val="TableParagraph"/>
              <w:ind w:left="105" w:right="584"/>
              <w:rPr>
                <w:sz w:val="24"/>
              </w:rPr>
            </w:pPr>
            <w:r>
              <w:rPr>
                <w:sz w:val="24"/>
              </w:rPr>
              <w:t>Inverse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Gamma</w:t>
            </w:r>
          </w:p>
        </w:tc>
        <w:tc>
          <w:tcPr>
            <w:tcW w:w="95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244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889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0.054</w:t>
            </w:r>
          </w:p>
        </w:tc>
        <w:tc>
          <w:tcPr>
            <w:tcW w:w="941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0.487</w:t>
            </w:r>
          </w:p>
        </w:tc>
      </w:tr>
      <w:tr>
        <w:trPr>
          <w:trHeight w:val="551" w:hRule="atLeast"/>
        </w:trPr>
        <w:tc>
          <w:tcPr>
            <w:tcW w:w="1411" w:type="dxa"/>
          </w:tcPr>
          <w:p>
            <w:pPr>
              <w:pStyle w:val="TableParagraph"/>
              <w:spacing w:line="208" w:lineRule="exact" w:before="11"/>
              <w:rPr>
                <w:sz w:val="24"/>
              </w:rPr>
            </w:pPr>
            <w:r>
              <w:rPr>
                <w:w w:val="105"/>
                <w:sz w:val="24"/>
              </w:rPr>
              <w:t>e_y</w:t>
            </w:r>
            <w:r>
              <w:rPr>
                <w:spacing w:val="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(</w:t>
            </w:r>
            <w:r>
              <w:rPr>
                <w:rFonts w:ascii="Cambria Math" w:eastAsia="Cambria Math"/>
                <w:w w:val="105"/>
                <w:sz w:val="24"/>
              </w:rPr>
              <w:t>𝜀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𝑦</w:t>
            </w:r>
            <w:r>
              <w:rPr>
                <w:w w:val="105"/>
                <w:sz w:val="24"/>
                <w:vertAlign w:val="baseline"/>
              </w:rPr>
              <w:t>)</w:t>
            </w:r>
          </w:p>
          <w:p>
            <w:pPr>
              <w:pStyle w:val="TableParagraph"/>
              <w:spacing w:line="125" w:lineRule="exact"/>
              <w:ind w:left="681" w:right="606"/>
              <w:jc w:val="center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𝑡</w:t>
            </w:r>
          </w:p>
        </w:tc>
        <w:tc>
          <w:tcPr>
            <w:tcW w:w="209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Output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shock</w:t>
            </w:r>
          </w:p>
        </w:tc>
        <w:tc>
          <w:tcPr>
            <w:tcW w:w="147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Inverse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Gamma</w:t>
            </w:r>
          </w:p>
        </w:tc>
        <w:tc>
          <w:tcPr>
            <w:tcW w:w="95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244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  <w:tc>
          <w:tcPr>
            <w:tcW w:w="889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0.565</w:t>
            </w:r>
          </w:p>
        </w:tc>
        <w:tc>
          <w:tcPr>
            <w:tcW w:w="941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0.791</w:t>
            </w:r>
          </w:p>
        </w:tc>
      </w:tr>
      <w:tr>
        <w:trPr>
          <w:trHeight w:val="558" w:hRule="atLeast"/>
        </w:trPr>
        <w:tc>
          <w:tcPr>
            <w:tcW w:w="141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eps_rn</w:t>
            </w:r>
          </w:p>
          <w:p>
            <w:pPr>
              <w:pStyle w:val="TableParagraph"/>
              <w:spacing w:line="199" w:lineRule="exact" w:before="3"/>
              <w:rPr>
                <w:sz w:val="24"/>
              </w:rPr>
            </w:pPr>
            <w:r>
              <w:rPr>
                <w:w w:val="110"/>
                <w:sz w:val="24"/>
              </w:rPr>
              <w:t>(</w:t>
            </w:r>
            <w:r>
              <w:rPr>
                <w:rFonts w:ascii="Cambria Math" w:eastAsia="Cambria Math"/>
                <w:w w:val="110"/>
                <w:sz w:val="24"/>
              </w:rPr>
              <w:t>𝜀</w:t>
            </w:r>
            <w:r>
              <w:rPr>
                <w:rFonts w:ascii="Cambria Math" w:eastAsia="Cambria Math"/>
                <w:w w:val="110"/>
                <w:sz w:val="24"/>
                <w:vertAlign w:val="superscript"/>
              </w:rPr>
              <w:t>𝑟𝑛</w:t>
            </w:r>
            <w:r>
              <w:rPr>
                <w:w w:val="110"/>
                <w:sz w:val="24"/>
                <w:vertAlign w:val="baseline"/>
              </w:rPr>
              <w:t>)</w:t>
            </w:r>
          </w:p>
          <w:p>
            <w:pPr>
              <w:pStyle w:val="TableParagraph"/>
              <w:spacing w:line="66" w:lineRule="exact"/>
              <w:ind w:left="292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𝑡</w:t>
            </w:r>
          </w:p>
        </w:tc>
        <w:tc>
          <w:tcPr>
            <w:tcW w:w="209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Shock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rent-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seeking</w:t>
            </w:r>
          </w:p>
        </w:tc>
        <w:tc>
          <w:tcPr>
            <w:tcW w:w="147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Inverse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Gamma</w:t>
            </w:r>
          </w:p>
        </w:tc>
        <w:tc>
          <w:tcPr>
            <w:tcW w:w="95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244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88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0.029</w:t>
            </w:r>
          </w:p>
        </w:tc>
        <w:tc>
          <w:tcPr>
            <w:tcW w:w="941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0.038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0"/>
        </w:rPr>
      </w:pPr>
    </w:p>
    <w:p>
      <w:pPr>
        <w:pStyle w:val="Heading1"/>
        <w:numPr>
          <w:ilvl w:val="2"/>
          <w:numId w:val="28"/>
        </w:numPr>
        <w:tabs>
          <w:tab w:pos="1277" w:val="left" w:leader="none"/>
          <w:tab w:pos="1278" w:val="left" w:leader="none"/>
        </w:tabs>
        <w:spacing w:line="240" w:lineRule="auto" w:before="0" w:after="0"/>
        <w:ind w:left="1278" w:right="0" w:hanging="778"/>
        <w:jc w:val="left"/>
      </w:pPr>
      <w:bookmarkStart w:name="_TOC_250015" w:id="45"/>
      <w:r>
        <w:rPr/>
        <w:t>Impulse</w:t>
      </w:r>
      <w:r>
        <w:rPr>
          <w:spacing w:val="-1"/>
        </w:rPr>
        <w:t> </w:t>
      </w:r>
      <w:r>
        <w:rPr/>
        <w:t>Response</w:t>
      </w:r>
      <w:r>
        <w:rPr>
          <w:spacing w:val="-2"/>
        </w:rPr>
        <w:t> </w:t>
      </w:r>
      <w:bookmarkEnd w:id="45"/>
      <w:r>
        <w:rPr/>
        <w:t>Analysis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360" w:lineRule="auto"/>
        <w:ind w:left="500" w:right="501"/>
        <w:jc w:val="both"/>
      </w:pPr>
      <w:r>
        <w:rPr>
          <w:spacing w:val="-1"/>
        </w:rPr>
        <w:t>Impulse</w:t>
      </w:r>
      <w:r>
        <w:rPr>
          <w:spacing w:val="-13"/>
        </w:rPr>
        <w:t> </w:t>
      </w:r>
      <w:r>
        <w:rPr>
          <w:spacing w:val="-1"/>
        </w:rPr>
        <w:t>Response</w:t>
      </w:r>
      <w:r>
        <w:rPr>
          <w:spacing w:val="-12"/>
        </w:rPr>
        <w:t> </w:t>
      </w:r>
      <w:r>
        <w:rPr>
          <w:spacing w:val="-1"/>
        </w:rPr>
        <w:t>Analysis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considered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this</w:t>
      </w:r>
      <w:r>
        <w:rPr>
          <w:spacing w:val="-12"/>
        </w:rPr>
        <w:t> </w:t>
      </w:r>
      <w:r>
        <w:rPr/>
        <w:t>subsection</w:t>
      </w:r>
      <w:r>
        <w:rPr>
          <w:spacing w:val="-11"/>
        </w:rPr>
        <w:t> </w:t>
      </w:r>
      <w:r>
        <w:rPr/>
        <w:t>by</w:t>
      </w:r>
      <w:r>
        <w:rPr>
          <w:spacing w:val="-17"/>
        </w:rPr>
        <w:t> </w:t>
      </w:r>
      <w:r>
        <w:rPr/>
        <w:t>using</w:t>
      </w:r>
      <w:r>
        <w:rPr>
          <w:spacing w:val="-14"/>
        </w:rPr>
        <w:t> </w:t>
      </w:r>
      <w:r>
        <w:rPr/>
        <w:t>plots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Impulse</w:t>
      </w:r>
      <w:r>
        <w:rPr>
          <w:spacing w:val="-12"/>
        </w:rPr>
        <w:t> </w:t>
      </w:r>
      <w:r>
        <w:rPr/>
        <w:t>Response</w:t>
      </w:r>
      <w:r>
        <w:rPr>
          <w:spacing w:val="-58"/>
        </w:rPr>
        <w:t> </w:t>
      </w:r>
      <w:r>
        <w:rPr/>
        <w:t>Function. The Impulse Response Function measures the reaction of endogenous variables to</w:t>
      </w:r>
      <w:r>
        <w:rPr>
          <w:spacing w:val="1"/>
        </w:rPr>
        <w:t> </w:t>
      </w:r>
      <w:r>
        <w:rPr/>
        <w:t>unexpected shocks of one standard deviation. In this study, the response of endogenous variables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monetary,</w:t>
      </w:r>
      <w:r>
        <w:rPr>
          <w:spacing w:val="2"/>
        </w:rPr>
        <w:t> </w:t>
      </w:r>
      <w:r>
        <w:rPr/>
        <w:t>fiscal, inflation and output</w:t>
      </w:r>
      <w:r>
        <w:rPr>
          <w:spacing w:val="-1"/>
        </w:rPr>
        <w:t> </w:t>
      </w:r>
      <w:r>
        <w:rPr/>
        <w:t>shocks are examined.</w:t>
      </w:r>
    </w:p>
    <w:p>
      <w:pPr>
        <w:pStyle w:val="Heading1"/>
        <w:numPr>
          <w:ilvl w:val="0"/>
          <w:numId w:val="30"/>
        </w:numPr>
        <w:tabs>
          <w:tab w:pos="825" w:val="left" w:leader="none"/>
        </w:tabs>
        <w:spacing w:line="240" w:lineRule="auto" w:before="210" w:after="0"/>
        <w:ind w:left="824" w:right="0" w:hanging="325"/>
        <w:jc w:val="left"/>
      </w:pPr>
      <w:r>
        <w:rPr/>
        <w:t>Monetary Policy</w:t>
      </w:r>
      <w:r>
        <w:rPr>
          <w:spacing w:val="-1"/>
        </w:rPr>
        <w:t> </w:t>
      </w:r>
      <w:r>
        <w:rPr/>
        <w:t>Shock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360" w:lineRule="auto"/>
        <w:ind w:left="500" w:right="495"/>
        <w:jc w:val="both"/>
      </w:pPr>
      <w:r>
        <w:rPr/>
        <w:t>A</w:t>
      </w:r>
      <w:r>
        <w:rPr>
          <w:spacing w:val="-3"/>
        </w:rPr>
        <w:t> </w:t>
      </w:r>
      <w:r>
        <w:rPr/>
        <w:t>monetary</w:t>
      </w:r>
      <w:r>
        <w:rPr>
          <w:spacing w:val="-4"/>
        </w:rPr>
        <w:t> </w:t>
      </w:r>
      <w:r>
        <w:rPr/>
        <w:t>policy</w:t>
      </w:r>
      <w:r>
        <w:rPr>
          <w:spacing w:val="-7"/>
        </w:rPr>
        <w:t> </w:t>
      </w:r>
      <w:r>
        <w:rPr/>
        <w:t>shock happens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Central</w:t>
      </w:r>
      <w:r>
        <w:rPr>
          <w:spacing w:val="-1"/>
        </w:rPr>
        <w:t> </w:t>
      </w:r>
      <w:r>
        <w:rPr/>
        <w:t>Bank</w:t>
      </w:r>
      <w:r>
        <w:rPr>
          <w:spacing w:val="-2"/>
        </w:rPr>
        <w:t> </w:t>
      </w:r>
      <w:r>
        <w:rPr/>
        <w:t>unexpectedly</w:t>
      </w:r>
      <w:r>
        <w:rPr>
          <w:spacing w:val="-4"/>
        </w:rPr>
        <w:t> </w:t>
      </w:r>
      <w:r>
        <w:rPr/>
        <w:t>alters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policy</w:t>
      </w:r>
      <w:r>
        <w:rPr>
          <w:spacing w:val="-4"/>
        </w:rPr>
        <w:t> </w:t>
      </w:r>
      <w:r>
        <w:rPr/>
        <w:t>rate. The</w:t>
      </w:r>
      <w:r>
        <w:rPr>
          <w:spacing w:val="-58"/>
        </w:rPr>
        <w:t> </w:t>
      </w:r>
      <w:r>
        <w:rPr/>
        <w:t>positive monetary policy shock, in Figure 5.1, causes the nominal interest rate to fall on impact.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monetary</w:t>
      </w:r>
      <w:r>
        <w:rPr>
          <w:spacing w:val="-10"/>
        </w:rPr>
        <w:t> </w:t>
      </w:r>
      <w:r>
        <w:rPr/>
        <w:t>shock</w:t>
      </w:r>
      <w:r>
        <w:rPr>
          <w:spacing w:val="-5"/>
        </w:rPr>
        <w:t> </w:t>
      </w:r>
      <w:r>
        <w:rPr/>
        <w:t>impacts</w:t>
      </w:r>
      <w:r>
        <w:rPr>
          <w:spacing w:val="-5"/>
        </w:rPr>
        <w:t> </w:t>
      </w:r>
      <w:r>
        <w:rPr/>
        <w:t>negatively</w:t>
      </w:r>
      <w:r>
        <w:rPr>
          <w:spacing w:val="-10"/>
        </w:rPr>
        <w:t> </w:t>
      </w:r>
      <w:r>
        <w:rPr/>
        <w:t>on</w:t>
      </w:r>
      <w:r>
        <w:rPr>
          <w:spacing w:val="-5"/>
        </w:rPr>
        <w:t> </w:t>
      </w:r>
      <w:r>
        <w:rPr/>
        <w:t>domestic</w:t>
      </w:r>
      <w:r>
        <w:rPr>
          <w:spacing w:val="-6"/>
        </w:rPr>
        <w:t> </w:t>
      </w:r>
      <w:r>
        <w:rPr/>
        <w:t>inflation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duration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one</w:t>
      </w:r>
      <w:r>
        <w:rPr>
          <w:spacing w:val="-6"/>
        </w:rPr>
        <w:t> </w:t>
      </w:r>
      <w:r>
        <w:rPr/>
        <w:t>quarter,</w:t>
      </w:r>
      <w:r>
        <w:rPr>
          <w:spacing w:val="-6"/>
        </w:rPr>
        <w:t> </w:t>
      </w:r>
      <w:r>
        <w:rPr/>
        <w:t>before</w:t>
      </w:r>
      <w:r>
        <w:rPr>
          <w:spacing w:val="-57"/>
        </w:rPr>
        <w:t> </w:t>
      </w:r>
      <w:r>
        <w:rPr/>
        <w:t>its quick return to the steady state. Domestic output also falls after a positive monetary policy</w:t>
      </w:r>
      <w:r>
        <w:rPr>
          <w:spacing w:val="1"/>
        </w:rPr>
        <w:t> </w:t>
      </w:r>
      <w:r>
        <w:rPr/>
        <w:t>shock from quarter one to quarter twenty. This finding negates the a priori expectation that in the</w:t>
      </w:r>
      <w:r>
        <w:rPr>
          <w:spacing w:val="-57"/>
        </w:rPr>
        <w:t> </w:t>
      </w:r>
      <w:r>
        <w:rPr/>
        <w:t>face of an accommodative monetary policy, domestic inflation ought to rise. It should also be</w:t>
      </w:r>
      <w:r>
        <w:rPr>
          <w:spacing w:val="1"/>
        </w:rPr>
        <w:t> </w:t>
      </w:r>
      <w:r>
        <w:rPr/>
        <w:t>observed that government fiscal instrument does not respond to the monetary shock. This raises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possibility</w:t>
      </w:r>
      <w:r>
        <w:rPr>
          <w:spacing w:val="-8"/>
        </w:rPr>
        <w:t> </w:t>
      </w:r>
      <w:r>
        <w:rPr/>
        <w:t>of the existence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fiscal dominance.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ind w:left="1360"/>
        <w:rPr>
          <w:sz w:val="20"/>
        </w:rPr>
      </w:pPr>
      <w:r>
        <w:rPr>
          <w:sz w:val="20"/>
        </w:rPr>
        <w:drawing>
          <wp:inline distT="0" distB="0" distL="0" distR="0">
            <wp:extent cx="5094188" cy="2105215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188" cy="21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90"/>
        <w:ind w:left="500"/>
      </w:pPr>
      <w:r>
        <w:rPr/>
        <w:t>Figure</w:t>
      </w:r>
      <w:r>
        <w:rPr>
          <w:spacing w:val="-3"/>
        </w:rPr>
        <w:t> </w:t>
      </w:r>
      <w:r>
        <w:rPr/>
        <w:t>5.1:</w:t>
      </w:r>
      <w:r>
        <w:rPr>
          <w:spacing w:val="1"/>
        </w:rPr>
        <w:t> </w:t>
      </w:r>
      <w:r>
        <w:rPr/>
        <w:t>Impulse</w:t>
      </w:r>
      <w:r>
        <w:rPr>
          <w:spacing w:val="-2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Monetary</w:t>
      </w:r>
      <w:r>
        <w:rPr>
          <w:spacing w:val="-6"/>
        </w:rPr>
        <w:t> </w:t>
      </w:r>
      <w:r>
        <w:rPr/>
        <w:t>Policy.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500"/>
      </w:pPr>
      <w:r>
        <w:rPr/>
        <w:t>Note: y-</w:t>
      </w:r>
      <w:r>
        <w:rPr>
          <w:spacing w:val="-1"/>
        </w:rPr>
        <w:t> </w:t>
      </w:r>
      <w:r>
        <w:rPr/>
        <w:t>output;</w:t>
      </w:r>
      <w:r>
        <w:rPr>
          <w:spacing w:val="-1"/>
        </w:rPr>
        <w:t> </w:t>
      </w:r>
      <w:r>
        <w:rPr/>
        <w:t>pii_D-inflation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r-nominal</w:t>
      </w:r>
      <w:r>
        <w:rPr>
          <w:spacing w:val="-1"/>
        </w:rPr>
        <w:t> </w:t>
      </w:r>
      <w:r>
        <w:rPr/>
        <w:t>interest</w:t>
      </w:r>
      <w:r>
        <w:rPr>
          <w:spacing w:val="-2"/>
        </w:rPr>
        <w:t> </w:t>
      </w:r>
      <w:r>
        <w:rPr/>
        <w:t>rate</w:t>
      </w:r>
    </w:p>
    <w:p>
      <w:pPr>
        <w:pStyle w:val="BodyText"/>
        <w:spacing w:before="10"/>
        <w:rPr>
          <w:sz w:val="29"/>
        </w:rPr>
      </w:pPr>
    </w:p>
    <w:p>
      <w:pPr>
        <w:pStyle w:val="Heading1"/>
        <w:numPr>
          <w:ilvl w:val="0"/>
          <w:numId w:val="30"/>
        </w:numPr>
        <w:tabs>
          <w:tab w:pos="811" w:val="left" w:leader="none"/>
        </w:tabs>
        <w:spacing w:line="240" w:lineRule="auto" w:before="0" w:after="0"/>
        <w:ind w:left="810" w:right="0" w:hanging="311"/>
        <w:jc w:val="left"/>
      </w:pPr>
      <w:r>
        <w:rPr/>
        <w:t>Fiscal</w:t>
      </w:r>
      <w:r>
        <w:rPr>
          <w:spacing w:val="-3"/>
        </w:rPr>
        <w:t> </w:t>
      </w:r>
      <w:r>
        <w:rPr/>
        <w:t>Policy Shock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360" w:lineRule="auto" w:before="1"/>
        <w:ind w:left="500" w:right="496"/>
        <w:jc w:val="both"/>
      </w:pPr>
      <w:r>
        <w:rPr/>
        <w:t>A positive innovation to government spending caused government spending to increase from the</w:t>
      </w:r>
      <w:r>
        <w:rPr>
          <w:spacing w:val="1"/>
        </w:rPr>
        <w:t> </w:t>
      </w:r>
      <w:r>
        <w:rPr/>
        <w:t>first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last</w:t>
      </w:r>
      <w:r>
        <w:rPr>
          <w:spacing w:val="-4"/>
        </w:rPr>
        <w:t> </w:t>
      </w:r>
      <w:r>
        <w:rPr/>
        <w:t>quarter.</w:t>
      </w:r>
      <w:r>
        <w:rPr>
          <w:spacing w:val="-5"/>
        </w:rPr>
        <w:t> </w:t>
      </w:r>
      <w:r>
        <w:rPr/>
        <w:t>Figure</w:t>
      </w:r>
      <w:r>
        <w:rPr>
          <w:spacing w:val="-4"/>
        </w:rPr>
        <w:t> </w:t>
      </w:r>
      <w:r>
        <w:rPr/>
        <w:t>5.2</w:t>
      </w:r>
      <w:r>
        <w:rPr>
          <w:spacing w:val="-4"/>
        </w:rPr>
        <w:t> </w:t>
      </w:r>
      <w:r>
        <w:rPr/>
        <w:t>shows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fiscal</w:t>
      </w:r>
      <w:r>
        <w:rPr>
          <w:spacing w:val="-3"/>
        </w:rPr>
        <w:t> </w:t>
      </w:r>
      <w:r>
        <w:rPr/>
        <w:t>shock</w:t>
      </w:r>
      <w:r>
        <w:rPr>
          <w:spacing w:val="-3"/>
        </w:rPr>
        <w:t> </w:t>
      </w:r>
      <w:r>
        <w:rPr/>
        <w:t>impacted</w:t>
      </w:r>
      <w:r>
        <w:rPr>
          <w:spacing w:val="-4"/>
        </w:rPr>
        <w:t> </w:t>
      </w:r>
      <w:r>
        <w:rPr/>
        <w:t>negatively</w:t>
      </w:r>
      <w:r>
        <w:rPr>
          <w:spacing w:val="-9"/>
        </w:rPr>
        <w:t> </w:t>
      </w:r>
      <w:r>
        <w:rPr/>
        <w:t>on</w:t>
      </w:r>
      <w:r>
        <w:rPr>
          <w:spacing w:val="-4"/>
        </w:rPr>
        <w:t> </w:t>
      </w:r>
      <w:r>
        <w:rPr/>
        <w:t>domestic</w:t>
      </w:r>
      <w:r>
        <w:rPr>
          <w:spacing w:val="-4"/>
        </w:rPr>
        <w:t> </w:t>
      </w:r>
      <w:r>
        <w:rPr/>
        <w:t>output</w:t>
      </w:r>
      <w:r>
        <w:rPr>
          <w:spacing w:val="-58"/>
        </w:rPr>
        <w:t> </w:t>
      </w:r>
      <w:r>
        <w:rPr/>
        <w:t>from</w:t>
      </w:r>
      <w:r>
        <w:rPr>
          <w:spacing w:val="-3"/>
        </w:rPr>
        <w:t> </w:t>
      </w:r>
      <w:r>
        <w:rPr/>
        <w:t>quarter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/>
        <w:t>before</w:t>
      </w:r>
      <w:r>
        <w:rPr>
          <w:spacing w:val="-5"/>
        </w:rPr>
        <w:t> </w:t>
      </w:r>
      <w:r>
        <w:rPr/>
        <w:t>it</w:t>
      </w:r>
      <w:r>
        <w:rPr>
          <w:spacing w:val="-3"/>
        </w:rPr>
        <w:t> </w:t>
      </w:r>
      <w:r>
        <w:rPr/>
        <w:t>converged</w:t>
      </w:r>
      <w:r>
        <w:rPr>
          <w:spacing w:val="-4"/>
        </w:rPr>
        <w:t> </w:t>
      </w:r>
      <w:r>
        <w:rPr/>
        <w:t>around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steady</w:t>
      </w:r>
      <w:r>
        <w:rPr>
          <w:spacing w:val="-11"/>
        </w:rPr>
        <w:t> </w:t>
      </w:r>
      <w:r>
        <w:rPr/>
        <w:t>state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quarter</w:t>
      </w:r>
      <w:r>
        <w:rPr>
          <w:spacing w:val="-5"/>
        </w:rPr>
        <w:t> </w:t>
      </w:r>
      <w:r>
        <w:rPr/>
        <w:t>20.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negative</w:t>
      </w:r>
      <w:r>
        <w:rPr>
          <w:spacing w:val="-5"/>
        </w:rPr>
        <w:t> </w:t>
      </w:r>
      <w:r>
        <w:rPr/>
        <w:t>impact</w:t>
      </w:r>
      <w:r>
        <w:rPr>
          <w:spacing w:val="-2"/>
        </w:rPr>
        <w:t> </w:t>
      </w:r>
      <w:r>
        <w:rPr/>
        <w:t>of</w:t>
      </w:r>
      <w:r>
        <w:rPr>
          <w:spacing w:val="-58"/>
        </w:rPr>
        <w:t> </w:t>
      </w:r>
      <w:r>
        <w:rPr/>
        <w:t>government spending on output is expected since the government is modelled to be involved in</w:t>
      </w:r>
      <w:r>
        <w:rPr>
          <w:spacing w:val="1"/>
        </w:rPr>
        <w:t> </w:t>
      </w:r>
      <w:r>
        <w:rPr/>
        <w:t>rent-seeking or wasteful public spending. At the same time the inflation level rise after the</w:t>
      </w:r>
      <w:r>
        <w:rPr>
          <w:spacing w:val="1"/>
        </w:rPr>
        <w:t> </w:t>
      </w:r>
      <w:r>
        <w:rPr/>
        <w:t>government spending shock. This implies that increased government spending induces upward</w:t>
      </w:r>
      <w:r>
        <w:rPr>
          <w:spacing w:val="1"/>
        </w:rPr>
        <w:t> </w:t>
      </w:r>
      <w:r>
        <w:rPr/>
        <w:t>inflationary trend, as proposed by the Monetarist arithmetic hypothesis and proponents of the</w:t>
      </w:r>
      <w:r>
        <w:rPr>
          <w:spacing w:val="1"/>
        </w:rPr>
        <w:t> </w:t>
      </w:r>
      <w:r>
        <w:rPr/>
        <w:t>Fiscal theory of price level. In response to tackling increased domestic inflation, the central bank</w:t>
      </w:r>
      <w:r>
        <w:rPr>
          <w:spacing w:val="1"/>
        </w:rPr>
        <w:t> </w:t>
      </w:r>
      <w:r>
        <w:rPr/>
        <w:t>responds</w:t>
      </w:r>
      <w:r>
        <w:rPr>
          <w:spacing w:val="-4"/>
        </w:rPr>
        <w:t> </w:t>
      </w:r>
      <w:r>
        <w:rPr/>
        <w:t>by</w:t>
      </w:r>
      <w:r>
        <w:rPr>
          <w:spacing w:val="-9"/>
        </w:rPr>
        <w:t> </w:t>
      </w:r>
      <w:r>
        <w:rPr/>
        <w:t>raising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nominal</w:t>
      </w:r>
      <w:r>
        <w:rPr>
          <w:spacing w:val="-3"/>
        </w:rPr>
        <w:t> </w:t>
      </w:r>
      <w:r>
        <w:rPr/>
        <w:t>interest</w:t>
      </w:r>
      <w:r>
        <w:rPr>
          <w:spacing w:val="-4"/>
        </w:rPr>
        <w:t> </w:t>
      </w:r>
      <w:r>
        <w:rPr/>
        <w:t>rate.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increase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nominal</w:t>
      </w:r>
      <w:r>
        <w:rPr>
          <w:spacing w:val="-3"/>
        </w:rPr>
        <w:t> </w:t>
      </w:r>
      <w:r>
        <w:rPr/>
        <w:t>interest</w:t>
      </w:r>
      <w:r>
        <w:rPr>
          <w:spacing w:val="-3"/>
        </w:rPr>
        <w:t> </w:t>
      </w:r>
      <w:r>
        <w:rPr/>
        <w:t>rate</w:t>
      </w:r>
      <w:r>
        <w:rPr>
          <w:spacing w:val="-5"/>
        </w:rPr>
        <w:t> </w:t>
      </w:r>
      <w:r>
        <w:rPr/>
        <w:t>from</w:t>
      </w:r>
      <w:r>
        <w:rPr>
          <w:spacing w:val="-3"/>
        </w:rPr>
        <w:t> </w:t>
      </w:r>
      <w:r>
        <w:rPr/>
        <w:t>quarter</w:t>
      </w:r>
      <w:r>
        <w:rPr>
          <w:spacing w:val="-58"/>
        </w:rPr>
        <w:t> </w:t>
      </w:r>
      <w:r>
        <w:rPr/>
        <w:t>one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seven</w:t>
      </w:r>
      <w:r>
        <w:rPr>
          <w:spacing w:val="-6"/>
        </w:rPr>
        <w:t> </w:t>
      </w:r>
      <w:r>
        <w:rPr/>
        <w:t>can,</w:t>
      </w:r>
      <w:r>
        <w:rPr>
          <w:spacing w:val="-6"/>
        </w:rPr>
        <w:t> </w:t>
      </w:r>
      <w:r>
        <w:rPr/>
        <w:t>therefore,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observed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Figure</w:t>
      </w:r>
      <w:r>
        <w:rPr>
          <w:spacing w:val="-6"/>
        </w:rPr>
        <w:t> </w:t>
      </w:r>
      <w:r>
        <w:rPr/>
        <w:t>5.2.</w:t>
      </w:r>
      <w:r>
        <w:rPr>
          <w:spacing w:val="-7"/>
        </w:rPr>
        <w:t> </w:t>
      </w:r>
      <w:r>
        <w:rPr/>
        <w:t>However,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quarter</w:t>
      </w:r>
      <w:r>
        <w:rPr>
          <w:spacing w:val="-7"/>
        </w:rPr>
        <w:t> </w:t>
      </w:r>
      <w:r>
        <w:rPr/>
        <w:t>8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20,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nominal</w:t>
      </w:r>
      <w:r>
        <w:rPr>
          <w:spacing w:val="-58"/>
        </w:rPr>
        <w:t> </w:t>
      </w:r>
      <w:r>
        <w:rPr/>
        <w:t>interest rate falls in response to the fiscal shock. The reaction of the nominal interest rate to the</w:t>
      </w:r>
      <w:r>
        <w:rPr>
          <w:spacing w:val="1"/>
        </w:rPr>
        <w:t> </w:t>
      </w:r>
      <w:r>
        <w:rPr/>
        <w:t>fiscal shock implies that from quarter 1 to 7, an unexpected increase in government spending that</w:t>
      </w:r>
      <w:r>
        <w:rPr>
          <w:spacing w:val="-57"/>
        </w:rPr>
        <w:t> </w:t>
      </w:r>
      <w:r>
        <w:rPr/>
        <w:t>is, expansionary fiscal measure, triggered a contractionary monetary response. This indicates that</w:t>
      </w:r>
      <w:r>
        <w:rPr>
          <w:spacing w:val="-57"/>
        </w:rPr>
        <w:t> </w:t>
      </w:r>
      <w:r>
        <w:rPr/>
        <w:t>fiscal and monetary policy interacted as substitutes over the short run, from quarter 1 to 7.</w:t>
      </w:r>
      <w:r>
        <w:rPr>
          <w:spacing w:val="1"/>
        </w:rPr>
        <w:t> </w:t>
      </w:r>
      <w:r>
        <w:rPr/>
        <w:t>Conversely from quarter 8 to quarter 20, nominal interest rate falls, that is an expansionary</w:t>
      </w:r>
      <w:r>
        <w:rPr>
          <w:spacing w:val="1"/>
        </w:rPr>
        <w:t> </w:t>
      </w:r>
      <w:r>
        <w:rPr/>
        <w:t>monetary action, in response to the positive fiscal shock. This reveals the complementary nature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interactions</w:t>
      </w:r>
      <w:r>
        <w:rPr>
          <w:spacing w:val="4"/>
        </w:rPr>
        <w:t> </w:t>
      </w:r>
      <w:r>
        <w:rPr/>
        <w:t>between</w:t>
      </w:r>
      <w:r>
        <w:rPr>
          <w:spacing w:val="3"/>
        </w:rPr>
        <w:t> </w:t>
      </w:r>
      <w:r>
        <w:rPr/>
        <w:t>fiscal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monetary</w:t>
      </w:r>
      <w:r>
        <w:rPr>
          <w:spacing w:val="-1"/>
        </w:rPr>
        <w:t> </w:t>
      </w:r>
      <w:r>
        <w:rPr/>
        <w:t>policy</w:t>
      </w:r>
      <w:r>
        <w:rPr>
          <w:spacing w:val="1"/>
        </w:rPr>
        <w:t> </w:t>
      </w:r>
      <w:r>
        <w:rPr/>
        <w:t>over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medium</w:t>
      </w:r>
      <w:r>
        <w:rPr>
          <w:spacing w:val="5"/>
        </w:rPr>
        <w:t> </w:t>
      </w:r>
      <w:r>
        <w:rPr/>
        <w:t>term.</w:t>
      </w:r>
      <w:r>
        <w:rPr>
          <w:spacing w:val="6"/>
        </w:rPr>
        <w:t> </w:t>
      </w:r>
      <w:r>
        <w:rPr/>
        <w:t>It</w:t>
      </w:r>
      <w:r>
        <w:rPr>
          <w:spacing w:val="5"/>
        </w:rPr>
        <w:t> </w:t>
      </w:r>
      <w:r>
        <w:rPr/>
        <w:t>negates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findings</w:t>
      </w:r>
    </w:p>
    <w:p>
      <w:pPr>
        <w:spacing w:after="0" w:line="360" w:lineRule="auto"/>
        <w:jc w:val="both"/>
        <w:sectPr>
          <w:pgSz w:w="12240" w:h="15840"/>
          <w:pgMar w:header="0" w:footer="935" w:top="1500" w:bottom="1200" w:left="940" w:right="940"/>
        </w:sectPr>
      </w:pPr>
    </w:p>
    <w:p>
      <w:pPr>
        <w:pStyle w:val="BodyText"/>
        <w:spacing w:line="360" w:lineRule="auto" w:before="74"/>
        <w:ind w:left="500" w:right="500"/>
        <w:jc w:val="both"/>
      </w:pPr>
      <w:r>
        <w:rPr/>
        <w:t>of</w:t>
      </w:r>
      <w:r>
        <w:rPr>
          <w:spacing w:val="-5"/>
        </w:rPr>
        <w:t> </w:t>
      </w:r>
      <w:r>
        <w:rPr/>
        <w:t>Adegboye</w:t>
      </w:r>
      <w:r>
        <w:rPr>
          <w:spacing w:val="-2"/>
        </w:rPr>
        <w:t> </w:t>
      </w:r>
      <w:r>
        <w:rPr/>
        <w:t>(2015)</w:t>
      </w:r>
      <w:r>
        <w:rPr>
          <w:spacing w:val="-4"/>
        </w:rPr>
        <w:t> </w:t>
      </w:r>
      <w:r>
        <w:rPr/>
        <w:t>that</w:t>
      </w:r>
      <w:r>
        <w:rPr>
          <w:spacing w:val="-1"/>
        </w:rPr>
        <w:t> </w:t>
      </w:r>
      <w:r>
        <w:rPr/>
        <w:t>fiscal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monetary</w:t>
      </w:r>
      <w:r>
        <w:rPr>
          <w:spacing w:val="-9"/>
        </w:rPr>
        <w:t> </w:t>
      </w:r>
      <w:r>
        <w:rPr/>
        <w:t>policy</w:t>
      </w:r>
      <w:r>
        <w:rPr>
          <w:spacing w:val="-5"/>
        </w:rPr>
        <w:t> </w:t>
      </w:r>
      <w:r>
        <w:rPr/>
        <w:t>acts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complements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short</w:t>
      </w:r>
      <w:r>
        <w:rPr>
          <w:spacing w:val="-3"/>
        </w:rPr>
        <w:t> </w:t>
      </w:r>
      <w:r>
        <w:rPr/>
        <w:t>term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act</w:t>
      </w:r>
      <w:r>
        <w:rPr>
          <w:spacing w:val="-58"/>
        </w:rPr>
        <w:t> </w:t>
      </w:r>
      <w:r>
        <w:rPr/>
        <w:t>as</w:t>
      </w:r>
      <w:r>
        <w:rPr>
          <w:spacing w:val="-1"/>
        </w:rPr>
        <w:t> </w:t>
      </w:r>
      <w:r>
        <w:rPr/>
        <w:t>substitutes in the</w:t>
      </w:r>
      <w:r>
        <w:rPr>
          <w:spacing w:val="-1"/>
        </w:rPr>
        <w:t> </w:t>
      </w:r>
      <w:r>
        <w:rPr/>
        <w:t>medium term.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17">
            <wp:simplePos x="0" y="0"/>
            <wp:positionH relativeFrom="page">
              <wp:posOffset>1392285</wp:posOffset>
            </wp:positionH>
            <wp:positionV relativeFrom="paragraph">
              <wp:posOffset>118766</wp:posOffset>
            </wp:positionV>
            <wp:extent cx="5487921" cy="3253263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921" cy="3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ind w:left="500"/>
        <w:jc w:val="both"/>
      </w:pPr>
      <w:r>
        <w:rPr/>
        <w:t>Figure</w:t>
      </w:r>
      <w:r>
        <w:rPr>
          <w:spacing w:val="-3"/>
        </w:rPr>
        <w:t> </w:t>
      </w:r>
      <w:r>
        <w:rPr/>
        <w:t>5.2:</w:t>
      </w:r>
      <w:r>
        <w:rPr>
          <w:spacing w:val="1"/>
        </w:rPr>
        <w:t> </w:t>
      </w:r>
      <w:r>
        <w:rPr/>
        <w:t>Impulse</w:t>
      </w:r>
      <w:r>
        <w:rPr>
          <w:spacing w:val="-2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to Fiscal</w:t>
      </w:r>
      <w:r>
        <w:rPr>
          <w:spacing w:val="-1"/>
        </w:rPr>
        <w:t> </w:t>
      </w:r>
      <w:r>
        <w:rPr/>
        <w:t>Policy</w:t>
      </w:r>
      <w:r>
        <w:rPr>
          <w:spacing w:val="-6"/>
        </w:rPr>
        <w:t> </w:t>
      </w:r>
      <w:r>
        <w:rPr/>
        <w:t>Shock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500"/>
        <w:jc w:val="both"/>
      </w:pPr>
      <w:r>
        <w:rPr/>
        <w:t>Note: y-</w:t>
      </w:r>
      <w:r>
        <w:rPr>
          <w:spacing w:val="-1"/>
        </w:rPr>
        <w:t> </w:t>
      </w:r>
      <w:r>
        <w:rPr/>
        <w:t>output;</w:t>
      </w:r>
      <w:r>
        <w:rPr>
          <w:spacing w:val="-2"/>
        </w:rPr>
        <w:t> </w:t>
      </w:r>
      <w:r>
        <w:rPr/>
        <w:t>pii_D-inflation;</w:t>
      </w:r>
      <w:r>
        <w:rPr>
          <w:spacing w:val="-2"/>
        </w:rPr>
        <w:t> </w:t>
      </w:r>
      <w:r>
        <w:rPr/>
        <w:t>r-nominal</w:t>
      </w:r>
      <w:r>
        <w:rPr>
          <w:spacing w:val="-1"/>
        </w:rPr>
        <w:t> </w:t>
      </w:r>
      <w:r>
        <w:rPr/>
        <w:t>interest</w:t>
      </w:r>
      <w:r>
        <w:rPr>
          <w:spacing w:val="-2"/>
        </w:rPr>
        <w:t> </w:t>
      </w:r>
      <w:r>
        <w:rPr/>
        <w:t>rate</w:t>
      </w:r>
      <w:r>
        <w:rPr>
          <w:spacing w:val="-2"/>
        </w:rPr>
        <w:t> </w:t>
      </w:r>
      <w:r>
        <w:rPr/>
        <w:t>and g-government</w:t>
      </w:r>
      <w:r>
        <w:rPr>
          <w:spacing w:val="-2"/>
        </w:rPr>
        <w:t> </w:t>
      </w:r>
      <w:r>
        <w:rPr/>
        <w:t>spending</w:t>
      </w:r>
    </w:p>
    <w:p>
      <w:pPr>
        <w:pStyle w:val="BodyText"/>
        <w:spacing w:before="9"/>
        <w:rPr>
          <w:sz w:val="29"/>
        </w:rPr>
      </w:pPr>
    </w:p>
    <w:p>
      <w:pPr>
        <w:pStyle w:val="Heading3"/>
        <w:numPr>
          <w:ilvl w:val="0"/>
          <w:numId w:val="30"/>
        </w:numPr>
        <w:tabs>
          <w:tab w:pos="801" w:val="left" w:leader="none"/>
        </w:tabs>
        <w:spacing w:line="240" w:lineRule="auto" w:before="1" w:after="0"/>
        <w:ind w:left="800" w:right="0" w:hanging="301"/>
        <w:jc w:val="left"/>
      </w:pPr>
      <w:r>
        <w:rPr/>
        <w:t>Output</w:t>
      </w:r>
      <w:r>
        <w:rPr>
          <w:spacing w:val="-2"/>
        </w:rPr>
        <w:t> </w:t>
      </w:r>
      <w:r>
        <w:rPr/>
        <w:t>Shock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500" w:right="494"/>
        <w:jc w:val="both"/>
      </w:pPr>
      <w:r>
        <w:rPr>
          <w:spacing w:val="-1"/>
        </w:rPr>
        <w:t>From</w:t>
      </w:r>
      <w:r>
        <w:rPr>
          <w:spacing w:val="-10"/>
        </w:rPr>
        <w:t> </w:t>
      </w:r>
      <w:r>
        <w:rPr>
          <w:spacing w:val="-1"/>
        </w:rPr>
        <w:t>Figure</w:t>
      </w:r>
      <w:r>
        <w:rPr>
          <w:spacing w:val="-12"/>
        </w:rPr>
        <w:t> </w:t>
      </w:r>
      <w:r>
        <w:rPr/>
        <w:t>5.3,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positive</w:t>
      </w:r>
      <w:r>
        <w:rPr>
          <w:spacing w:val="-10"/>
        </w:rPr>
        <w:t> </w:t>
      </w:r>
      <w:r>
        <w:rPr/>
        <w:t>output</w:t>
      </w:r>
      <w:r>
        <w:rPr>
          <w:spacing w:val="-9"/>
        </w:rPr>
        <w:t> </w:t>
      </w:r>
      <w:r>
        <w:rPr/>
        <w:t>shock</w:t>
      </w:r>
      <w:r>
        <w:rPr>
          <w:spacing w:val="-10"/>
        </w:rPr>
        <w:t> </w:t>
      </w:r>
      <w:r>
        <w:rPr/>
        <w:t>monotonically</w:t>
      </w:r>
      <w:r>
        <w:rPr>
          <w:spacing w:val="-14"/>
        </w:rPr>
        <w:t> </w:t>
      </w:r>
      <w:r>
        <w:rPr/>
        <w:t>increased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level</w:t>
      </w:r>
      <w:r>
        <w:rPr>
          <w:spacing w:val="-7"/>
        </w:rPr>
        <w:t> </w:t>
      </w:r>
      <w:r>
        <w:rPr/>
        <w:t>of</w:t>
      </w:r>
      <w:r>
        <w:rPr>
          <w:spacing w:val="-11"/>
        </w:rPr>
        <w:t> </w:t>
      </w:r>
      <w:r>
        <w:rPr/>
        <w:t>domestic</w:t>
      </w:r>
      <w:r>
        <w:rPr>
          <w:spacing w:val="-10"/>
        </w:rPr>
        <w:t> </w:t>
      </w:r>
      <w:r>
        <w:rPr/>
        <w:t>output</w:t>
      </w:r>
      <w:r>
        <w:rPr>
          <w:spacing w:val="-9"/>
        </w:rPr>
        <w:t> </w:t>
      </w:r>
      <w:r>
        <w:rPr/>
        <w:t>into</w:t>
      </w:r>
      <w:r>
        <w:rPr>
          <w:spacing w:val="-57"/>
        </w:rPr>
        <w:t> </w:t>
      </w:r>
      <w:r>
        <w:rPr/>
        <w:t>the horizon but reduced the price level and nominal interest rate. The reaction of the price level is</w:t>
      </w:r>
      <w:r>
        <w:rPr>
          <w:spacing w:val="-57"/>
        </w:rPr>
        <w:t> </w:t>
      </w:r>
      <w:r>
        <w:rPr/>
        <w:t>expected because a rise in the level of output implies an increased production of goods and lower</w:t>
      </w:r>
      <w:r>
        <w:rPr>
          <w:spacing w:val="-57"/>
        </w:rPr>
        <w:t> </w:t>
      </w:r>
      <w:r>
        <w:rPr/>
        <w:t>unemployment level, which means that household are earning an adequate income to demand</w:t>
      </w:r>
      <w:r>
        <w:rPr>
          <w:spacing w:val="1"/>
        </w:rPr>
        <w:t> </w:t>
      </w:r>
      <w:r>
        <w:rPr>
          <w:spacing w:val="-1"/>
        </w:rPr>
        <w:t>goods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at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same</w:t>
      </w:r>
      <w:r>
        <w:rPr>
          <w:spacing w:val="-11"/>
        </w:rPr>
        <w:t> </w:t>
      </w:r>
      <w:r>
        <w:rPr/>
        <w:t>time,</w:t>
      </w:r>
      <w:r>
        <w:rPr>
          <w:spacing w:val="-10"/>
        </w:rPr>
        <w:t> </w:t>
      </w:r>
      <w:r>
        <w:rPr/>
        <w:t>aggregate</w:t>
      </w:r>
      <w:r>
        <w:rPr>
          <w:spacing w:val="-11"/>
        </w:rPr>
        <w:t> </w:t>
      </w:r>
      <w:r>
        <w:rPr/>
        <w:t>supply</w:t>
      </w:r>
      <w:r>
        <w:rPr>
          <w:spacing w:val="-17"/>
        </w:rPr>
        <w:t> </w:t>
      </w:r>
      <w:r>
        <w:rPr/>
        <w:t>is</w:t>
      </w:r>
      <w:r>
        <w:rPr>
          <w:spacing w:val="-9"/>
        </w:rPr>
        <w:t> </w:t>
      </w:r>
      <w:r>
        <w:rPr/>
        <w:t>increasing,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will</w:t>
      </w:r>
      <w:r>
        <w:rPr>
          <w:spacing w:val="-12"/>
        </w:rPr>
        <w:t> </w:t>
      </w:r>
      <w:r>
        <w:rPr/>
        <w:t>prevent</w:t>
      </w:r>
      <w:r>
        <w:rPr>
          <w:spacing w:val="-10"/>
        </w:rPr>
        <w:t> </w:t>
      </w:r>
      <w:r>
        <w:rPr/>
        <w:t>demand-pull</w:t>
      </w:r>
      <w:r>
        <w:rPr>
          <w:spacing w:val="-9"/>
        </w:rPr>
        <w:t> </w:t>
      </w:r>
      <w:r>
        <w:rPr/>
        <w:t>inflation.</w:t>
      </w:r>
      <w:r>
        <w:rPr>
          <w:spacing w:val="-57"/>
        </w:rPr>
        <w:t> </w:t>
      </w:r>
      <w:r>
        <w:rPr/>
        <w:t>The reduction of the price level after an output shock is also intuitively backed by the Philip’s</w:t>
      </w:r>
      <w:r>
        <w:rPr>
          <w:spacing w:val="1"/>
        </w:rPr>
        <w:t> </w:t>
      </w:r>
      <w:r>
        <w:rPr/>
        <w:t>curve</w:t>
      </w:r>
      <w:r>
        <w:rPr>
          <w:spacing w:val="-14"/>
        </w:rPr>
        <w:t> </w:t>
      </w:r>
      <w:r>
        <w:rPr/>
        <w:t>which</w:t>
      </w:r>
      <w:r>
        <w:rPr>
          <w:spacing w:val="-11"/>
        </w:rPr>
        <w:t> </w:t>
      </w:r>
      <w:r>
        <w:rPr/>
        <w:t>depicts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trade-off</w:t>
      </w:r>
      <w:r>
        <w:rPr>
          <w:spacing w:val="-13"/>
        </w:rPr>
        <w:t> </w:t>
      </w:r>
      <w:r>
        <w:rPr/>
        <w:t>between</w:t>
      </w:r>
      <w:r>
        <w:rPr>
          <w:spacing w:val="-12"/>
        </w:rPr>
        <w:t> </w:t>
      </w:r>
      <w:r>
        <w:rPr/>
        <w:t>output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inflation.</w:t>
      </w:r>
      <w:r>
        <w:rPr>
          <w:spacing w:val="-9"/>
        </w:rPr>
        <w:t> </w:t>
      </w:r>
      <w:r>
        <w:rPr/>
        <w:t>In</w:t>
      </w:r>
      <w:r>
        <w:rPr>
          <w:spacing w:val="-11"/>
        </w:rPr>
        <w:t> </w:t>
      </w:r>
      <w:r>
        <w:rPr/>
        <w:t>addition,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Central</w:t>
      </w:r>
      <w:r>
        <w:rPr>
          <w:spacing w:val="-11"/>
        </w:rPr>
        <w:t> </w:t>
      </w:r>
      <w:r>
        <w:rPr/>
        <w:t>Bank</w:t>
      </w:r>
      <w:r>
        <w:rPr>
          <w:spacing w:val="-11"/>
        </w:rPr>
        <w:t> </w:t>
      </w:r>
      <w:r>
        <w:rPr/>
        <w:t>reduces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interest rate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to positive</w:t>
      </w:r>
      <w:r>
        <w:rPr>
          <w:spacing w:val="-1"/>
        </w:rPr>
        <w:t> </w:t>
      </w:r>
      <w:r>
        <w:rPr/>
        <w:t>output shock, in</w:t>
      </w:r>
      <w:r>
        <w:rPr>
          <w:spacing w:val="-1"/>
        </w:rPr>
        <w:t> </w:t>
      </w:r>
      <w:r>
        <w:rPr/>
        <w:t>order to</w:t>
      </w:r>
      <w:r>
        <w:rPr>
          <w:spacing w:val="-1"/>
        </w:rPr>
        <w:t> </w:t>
      </w:r>
      <w:r>
        <w:rPr/>
        <w:t>sustain the rising</w:t>
      </w:r>
      <w:r>
        <w:rPr>
          <w:spacing w:val="-2"/>
        </w:rPr>
        <w:t> </w:t>
      </w:r>
      <w:r>
        <w:rPr/>
        <w:t>output level.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1211"/>
        <w:rPr>
          <w:sz w:val="20"/>
        </w:rPr>
      </w:pPr>
      <w:r>
        <w:rPr>
          <w:sz w:val="20"/>
        </w:rPr>
        <w:drawing>
          <wp:inline distT="0" distB="0" distL="0" distR="0">
            <wp:extent cx="5335180" cy="1860423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180" cy="186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500"/>
      </w:pPr>
      <w:r>
        <w:rPr/>
        <w:t>Figure</w:t>
      </w:r>
      <w:r>
        <w:rPr>
          <w:spacing w:val="-3"/>
        </w:rPr>
        <w:t> </w:t>
      </w:r>
      <w:r>
        <w:rPr/>
        <w:t>5.3:</w:t>
      </w:r>
      <w:r>
        <w:rPr>
          <w:spacing w:val="1"/>
        </w:rPr>
        <w:t> </w:t>
      </w:r>
      <w:r>
        <w:rPr/>
        <w:t>Impulse</w:t>
      </w:r>
      <w:r>
        <w:rPr>
          <w:spacing w:val="-2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Output</w:t>
      </w:r>
      <w:r>
        <w:rPr>
          <w:spacing w:val="-1"/>
        </w:rPr>
        <w:t> </w:t>
      </w:r>
      <w:r>
        <w:rPr/>
        <w:t>Shock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500"/>
      </w:pPr>
      <w:r>
        <w:rPr/>
        <w:t>Note: y-</w:t>
      </w:r>
      <w:r>
        <w:rPr>
          <w:spacing w:val="-1"/>
        </w:rPr>
        <w:t> </w:t>
      </w:r>
      <w:r>
        <w:rPr/>
        <w:t>output;</w:t>
      </w:r>
      <w:r>
        <w:rPr>
          <w:spacing w:val="-1"/>
        </w:rPr>
        <w:t> </w:t>
      </w:r>
      <w:r>
        <w:rPr/>
        <w:t>pii_D-inflation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r-nominal</w:t>
      </w:r>
      <w:r>
        <w:rPr>
          <w:spacing w:val="-2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rate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  <w:numPr>
          <w:ilvl w:val="0"/>
          <w:numId w:val="30"/>
        </w:numPr>
        <w:tabs>
          <w:tab w:pos="818" w:val="left" w:leader="none"/>
        </w:tabs>
        <w:spacing w:line="240" w:lineRule="auto" w:before="0" w:after="0"/>
        <w:ind w:left="817" w:right="0" w:hanging="318"/>
        <w:jc w:val="left"/>
      </w:pPr>
      <w:r>
        <w:rPr/>
        <w:t>Shock to</w:t>
      </w:r>
      <w:r>
        <w:rPr>
          <w:spacing w:val="-2"/>
        </w:rPr>
        <w:t> </w:t>
      </w:r>
      <w:r>
        <w:rPr/>
        <w:t>Rent</w:t>
      </w:r>
      <w:r>
        <w:rPr>
          <w:spacing w:val="-2"/>
        </w:rPr>
        <w:t> </w:t>
      </w:r>
      <w:r>
        <w:rPr/>
        <w:t>seeking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360" w:lineRule="auto"/>
        <w:ind w:left="500" w:right="492"/>
        <w:jc w:val="both"/>
      </w:pPr>
      <w:r>
        <w:rPr/>
        <w:t>Shock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rent-seeking</w:t>
      </w:r>
      <w:r>
        <w:rPr>
          <w:spacing w:val="-10"/>
        </w:rPr>
        <w:t> </w:t>
      </w:r>
      <w:r>
        <w:rPr/>
        <w:t>implies</w:t>
      </w:r>
      <w:r>
        <w:rPr>
          <w:spacing w:val="-11"/>
        </w:rPr>
        <w:t> </w:t>
      </w:r>
      <w:r>
        <w:rPr/>
        <w:t>an</w:t>
      </w:r>
      <w:r>
        <w:rPr>
          <w:spacing w:val="-10"/>
        </w:rPr>
        <w:t> </w:t>
      </w:r>
      <w:r>
        <w:rPr/>
        <w:t>increase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amount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rent</w:t>
      </w:r>
      <w:r>
        <w:rPr>
          <w:spacing w:val="-11"/>
        </w:rPr>
        <w:t> </w:t>
      </w:r>
      <w:r>
        <w:rPr/>
        <w:t>raised.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sudden</w:t>
      </w:r>
      <w:r>
        <w:rPr>
          <w:spacing w:val="-11"/>
        </w:rPr>
        <w:t> </w:t>
      </w:r>
      <w:r>
        <w:rPr/>
        <w:t>rise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amount</w:t>
      </w:r>
      <w:r>
        <w:rPr>
          <w:spacing w:val="-58"/>
        </w:rPr>
        <w:t> </w:t>
      </w:r>
      <w:r>
        <w:rPr/>
        <w:t>of wasteful spending or amount of rent raised, as seen in Figure 5.4, impacted negatively on</w:t>
      </w:r>
      <w:r>
        <w:rPr>
          <w:spacing w:val="1"/>
        </w:rPr>
        <w:t> </w:t>
      </w:r>
      <w:r>
        <w:rPr/>
        <w:t>domestic output, over a period of three quarters by 0.12 percentage points before its return to the</w:t>
      </w:r>
      <w:r>
        <w:rPr>
          <w:spacing w:val="1"/>
        </w:rPr>
        <w:t> </w:t>
      </w:r>
      <w:r>
        <w:rPr/>
        <w:t>steady state level. This shows that rent-seeking activities have an initial adverse impact on</w:t>
      </w:r>
      <w:r>
        <w:rPr>
          <w:spacing w:val="1"/>
        </w:rPr>
        <w:t> </w:t>
      </w:r>
      <w:r>
        <w:rPr/>
        <w:t>domestic output. It shows that rent-seeking activities impact negatively on the Nigerian economy</w:t>
      </w:r>
      <w:r>
        <w:rPr>
          <w:spacing w:val="-57"/>
        </w:rPr>
        <w:t> </w:t>
      </w:r>
      <w:r>
        <w:rPr/>
        <w:t>but the economy quickly adjusts to it. This means that the money being stolen and misused by</w:t>
      </w:r>
      <w:r>
        <w:rPr>
          <w:spacing w:val="1"/>
        </w:rPr>
        <w:t> </w:t>
      </w:r>
      <w:r>
        <w:rPr/>
        <w:t>public</w:t>
      </w:r>
      <w:r>
        <w:rPr>
          <w:spacing w:val="-2"/>
        </w:rPr>
        <w:t> </w:t>
      </w:r>
      <w:r>
        <w:rPr/>
        <w:t>office</w:t>
      </w:r>
      <w:r>
        <w:rPr>
          <w:spacing w:val="-2"/>
        </w:rPr>
        <w:t> </w:t>
      </w:r>
      <w:r>
        <w:rPr/>
        <w:t>holders negatively</w:t>
      </w:r>
      <w:r>
        <w:rPr>
          <w:spacing w:val="-5"/>
        </w:rPr>
        <w:t> </w:t>
      </w:r>
      <w:r>
        <w:rPr/>
        <w:t>impacts the</w:t>
      </w:r>
      <w:r>
        <w:rPr>
          <w:spacing w:val="1"/>
        </w:rPr>
        <w:t> </w:t>
      </w:r>
      <w:r>
        <w:rPr/>
        <w:t>Nigerian economy.</w:t>
      </w:r>
    </w:p>
    <w:p>
      <w:pPr>
        <w:spacing w:after="0" w:line="360" w:lineRule="auto"/>
        <w:jc w:val="both"/>
        <w:sectPr>
          <w:pgSz w:w="12240" w:h="15840"/>
          <w:pgMar w:header="0" w:footer="935" w:top="1500" w:bottom="1200" w:left="94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1209"/>
        <w:rPr>
          <w:sz w:val="20"/>
        </w:rPr>
      </w:pPr>
      <w:r>
        <w:rPr>
          <w:sz w:val="20"/>
        </w:rPr>
        <w:drawing>
          <wp:inline distT="0" distB="0" distL="0" distR="0">
            <wp:extent cx="5163619" cy="3206115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3619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90"/>
        <w:ind w:left="500"/>
        <w:jc w:val="both"/>
      </w:pPr>
      <w:r>
        <w:rPr/>
        <w:t>Figure</w:t>
      </w:r>
      <w:r>
        <w:rPr>
          <w:spacing w:val="-3"/>
        </w:rPr>
        <w:t> </w:t>
      </w:r>
      <w:r>
        <w:rPr/>
        <w:t>5.4:</w:t>
      </w:r>
      <w:r>
        <w:rPr>
          <w:spacing w:val="1"/>
        </w:rPr>
        <w:t> </w:t>
      </w:r>
      <w:r>
        <w:rPr/>
        <w:t>Impulse</w:t>
      </w:r>
      <w:r>
        <w:rPr>
          <w:spacing w:val="-1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Shock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Rent-Seeking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500"/>
        <w:jc w:val="both"/>
      </w:pPr>
      <w:r>
        <w:rPr/>
        <w:t>Note: y-</w:t>
      </w:r>
      <w:r>
        <w:rPr>
          <w:spacing w:val="-1"/>
        </w:rPr>
        <w:t> </w:t>
      </w:r>
      <w:r>
        <w:rPr/>
        <w:t>output;</w:t>
      </w:r>
      <w:r>
        <w:rPr>
          <w:spacing w:val="-2"/>
        </w:rPr>
        <w:t> </w:t>
      </w:r>
      <w:r>
        <w:rPr/>
        <w:t>pii_D-inflation;</w:t>
      </w:r>
      <w:r>
        <w:rPr>
          <w:spacing w:val="-2"/>
        </w:rPr>
        <w:t> </w:t>
      </w:r>
      <w:r>
        <w:rPr/>
        <w:t>r-nominal</w:t>
      </w:r>
      <w:r>
        <w:rPr>
          <w:spacing w:val="-2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rate;</w:t>
      </w:r>
      <w:r>
        <w:rPr>
          <w:spacing w:val="-2"/>
        </w:rPr>
        <w:t> </w:t>
      </w:r>
      <w:r>
        <w:rPr/>
        <w:t>rn-rent</w:t>
      </w:r>
      <w:r>
        <w:rPr>
          <w:spacing w:val="-2"/>
        </w:rPr>
        <w:t> </w:t>
      </w:r>
      <w:r>
        <w:rPr/>
        <w:t>seeking; g-government</w:t>
      </w:r>
      <w:r>
        <w:rPr>
          <w:spacing w:val="-2"/>
        </w:rPr>
        <w:t> </w:t>
      </w:r>
      <w:r>
        <w:rPr/>
        <w:t>spending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  <w:numPr>
          <w:ilvl w:val="2"/>
          <w:numId w:val="28"/>
        </w:numPr>
        <w:tabs>
          <w:tab w:pos="1084" w:val="left" w:leader="none"/>
        </w:tabs>
        <w:spacing w:line="240" w:lineRule="auto" w:before="0" w:after="0"/>
        <w:ind w:left="1083" w:right="0" w:hanging="584"/>
        <w:jc w:val="left"/>
      </w:pPr>
      <w:bookmarkStart w:name="_TOC_250014" w:id="46"/>
      <w:r>
        <w:rPr/>
        <w:t>Variance</w:t>
      </w:r>
      <w:r>
        <w:rPr>
          <w:spacing w:val="-3"/>
        </w:rPr>
        <w:t> </w:t>
      </w:r>
      <w:bookmarkEnd w:id="46"/>
      <w:r>
        <w:rPr/>
        <w:t>Decomposition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360" w:lineRule="auto"/>
        <w:ind w:left="500" w:right="497"/>
        <w:jc w:val="both"/>
      </w:pPr>
      <w:r>
        <w:rPr/>
        <w:t>The variance decomposition method considers the relative contribution of individual shocks to</w:t>
      </w:r>
      <w:r>
        <w:rPr>
          <w:spacing w:val="1"/>
        </w:rPr>
        <w:t> </w:t>
      </w:r>
      <w:r>
        <w:rPr/>
        <w:t>fluctuations in an endogenous variable. The variance decomposition presents the percentage of</w:t>
      </w:r>
      <w:r>
        <w:rPr>
          <w:spacing w:val="1"/>
        </w:rPr>
        <w:t> </w:t>
      </w:r>
      <w:r>
        <w:rPr/>
        <w:t>variance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error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arises</w:t>
      </w:r>
      <w:r>
        <w:rPr>
          <w:spacing w:val="-8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shock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variable</w:t>
      </w:r>
      <w:r>
        <w:rPr>
          <w:spacing w:val="-8"/>
        </w:rPr>
        <w:t> </w:t>
      </w:r>
      <w:r>
        <w:rPr/>
        <w:t>due</w:t>
      </w:r>
      <w:r>
        <w:rPr>
          <w:spacing w:val="-10"/>
        </w:rPr>
        <w:t> </w:t>
      </w:r>
      <w:r>
        <w:rPr/>
        <w:t>to</w:t>
      </w:r>
      <w:r>
        <w:rPr>
          <w:spacing w:val="-7"/>
        </w:rPr>
        <w:t> </w:t>
      </w:r>
      <w:r>
        <w:rPr/>
        <w:t>itself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other</w:t>
      </w:r>
      <w:r>
        <w:rPr>
          <w:spacing w:val="-10"/>
        </w:rPr>
        <w:t> </w:t>
      </w:r>
      <w:r>
        <w:rPr/>
        <w:t>variables</w:t>
      </w:r>
      <w:r>
        <w:rPr>
          <w:spacing w:val="-7"/>
        </w:rPr>
        <w:t> </w:t>
      </w:r>
      <w:r>
        <w:rPr/>
        <w:t>over</w:t>
      </w:r>
      <w:r>
        <w:rPr>
          <w:spacing w:val="-58"/>
        </w:rPr>
        <w:t> </w:t>
      </w:r>
      <w:r>
        <w:rPr/>
        <w:t>a</w:t>
      </w:r>
      <w:r>
        <w:rPr>
          <w:spacing w:val="-10"/>
        </w:rPr>
        <w:t> </w:t>
      </w:r>
      <w:r>
        <w:rPr/>
        <w:t>specific</w:t>
      </w:r>
      <w:r>
        <w:rPr>
          <w:spacing w:val="-8"/>
        </w:rPr>
        <w:t> </w:t>
      </w:r>
      <w:r>
        <w:rPr/>
        <w:t>time</w:t>
      </w:r>
      <w:r>
        <w:rPr>
          <w:spacing w:val="-8"/>
        </w:rPr>
        <w:t> </w:t>
      </w:r>
      <w:r>
        <w:rPr/>
        <w:t>horizon.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8"/>
        </w:rPr>
        <w:t> </w:t>
      </w:r>
      <w:r>
        <w:rPr/>
        <w:t>useful</w:t>
      </w:r>
      <w:r>
        <w:rPr>
          <w:spacing w:val="-8"/>
        </w:rPr>
        <w:t> </w:t>
      </w:r>
      <w:r>
        <w:rPr/>
        <w:t>in</w:t>
      </w:r>
      <w:r>
        <w:rPr>
          <w:spacing w:val="-5"/>
        </w:rPr>
        <w:t> </w:t>
      </w:r>
      <w:r>
        <w:rPr/>
        <w:t>measuring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importance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shock</w:t>
      </w:r>
      <w:r>
        <w:rPr>
          <w:spacing w:val="-5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source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volatility</w:t>
      </w:r>
      <w:r>
        <w:rPr>
          <w:spacing w:val="-57"/>
        </w:rPr>
        <w:t> </w:t>
      </w:r>
      <w:r>
        <w:rPr/>
        <w:t>to a macroeconomic variable. The variance decomposition of output, inflation, interest rate, rent-</w:t>
      </w:r>
      <w:r>
        <w:rPr>
          <w:spacing w:val="-57"/>
        </w:rPr>
        <w:t> </w:t>
      </w:r>
      <w:r>
        <w:rPr/>
        <w:t>seeking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government</w:t>
      </w:r>
      <w:r>
        <w:rPr>
          <w:spacing w:val="2"/>
        </w:rPr>
        <w:t> </w:t>
      </w:r>
      <w:r>
        <w:rPr/>
        <w:t>spending are examined</w:t>
      </w:r>
      <w:r>
        <w:rPr>
          <w:spacing w:val="-1"/>
        </w:rPr>
        <w:t> </w:t>
      </w:r>
      <w:r>
        <w:rPr/>
        <w:t>in this sub-section.</w:t>
      </w:r>
    </w:p>
    <w:p>
      <w:pPr>
        <w:pStyle w:val="BodyText"/>
        <w:spacing w:line="360" w:lineRule="auto" w:before="200"/>
        <w:ind w:left="500" w:right="501"/>
        <w:jc w:val="both"/>
      </w:pPr>
      <w:r>
        <w:rPr/>
        <w:t>From Table 5.7, it can be observed that interest rate and foreign output shocks contribute most to</w:t>
      </w:r>
      <w:r>
        <w:rPr>
          <w:spacing w:val="-57"/>
        </w:rPr>
        <w:t> </w:t>
      </w:r>
      <w:r>
        <w:rPr/>
        <w:t>variations in output at 58.86 percent and 28.99 percent, respectively. Shocks to foreign inflation,</w:t>
      </w:r>
      <w:r>
        <w:rPr>
          <w:spacing w:val="1"/>
        </w:rPr>
        <w:t> </w:t>
      </w:r>
      <w:r>
        <w:rPr>
          <w:spacing w:val="-1"/>
        </w:rPr>
        <w:t>foreign</w:t>
      </w:r>
      <w:r>
        <w:rPr>
          <w:spacing w:val="-12"/>
        </w:rPr>
        <w:t> </w:t>
      </w:r>
      <w:r>
        <w:rPr>
          <w:spacing w:val="-1"/>
        </w:rPr>
        <w:t>interest</w:t>
      </w:r>
      <w:r>
        <w:rPr>
          <w:spacing w:val="-12"/>
        </w:rPr>
        <w:t> </w:t>
      </w:r>
      <w:r>
        <w:rPr/>
        <w:t>rate,</w:t>
      </w:r>
      <w:r>
        <w:rPr>
          <w:spacing w:val="-12"/>
        </w:rPr>
        <w:t> </w:t>
      </w:r>
      <w:r>
        <w:rPr/>
        <w:t>tax,</w:t>
      </w:r>
      <w:r>
        <w:rPr>
          <w:spacing w:val="-12"/>
        </w:rPr>
        <w:t> </w:t>
      </w:r>
      <w:r>
        <w:rPr/>
        <w:t>rent-seeking</w:t>
      </w:r>
      <w:r>
        <w:rPr>
          <w:spacing w:val="-15"/>
        </w:rPr>
        <w:t> </w:t>
      </w:r>
      <w:r>
        <w:rPr/>
        <w:t>and</w:t>
      </w:r>
      <w:r>
        <w:rPr>
          <w:spacing w:val="-12"/>
        </w:rPr>
        <w:t> </w:t>
      </w:r>
      <w:r>
        <w:rPr/>
        <w:t>output</w:t>
      </w:r>
      <w:r>
        <w:rPr>
          <w:spacing w:val="-11"/>
        </w:rPr>
        <w:t> </w:t>
      </w:r>
      <w:r>
        <w:rPr/>
        <w:t>itself,</w:t>
      </w:r>
      <w:r>
        <w:rPr>
          <w:spacing w:val="-13"/>
        </w:rPr>
        <w:t> </w:t>
      </w:r>
      <w:r>
        <w:rPr/>
        <w:t>also</w:t>
      </w:r>
      <w:r>
        <w:rPr>
          <w:spacing w:val="-12"/>
        </w:rPr>
        <w:t> </w:t>
      </w:r>
      <w:r>
        <w:rPr/>
        <w:t>respectively</w:t>
      </w:r>
      <w:r>
        <w:rPr>
          <w:spacing w:val="-17"/>
        </w:rPr>
        <w:t> </w:t>
      </w:r>
      <w:r>
        <w:rPr/>
        <w:t>accounted</w:t>
      </w:r>
      <w:r>
        <w:rPr>
          <w:spacing w:val="-13"/>
        </w:rPr>
        <w:t> </w:t>
      </w:r>
      <w:r>
        <w:rPr/>
        <w:t>for</w:t>
      </w:r>
      <w:r>
        <w:rPr>
          <w:spacing w:val="-14"/>
        </w:rPr>
        <w:t> </w:t>
      </w:r>
      <w:r>
        <w:rPr/>
        <w:t>fluctuations</w:t>
      </w:r>
      <w:r>
        <w:rPr>
          <w:spacing w:val="-57"/>
        </w:rPr>
        <w:t> </w:t>
      </w:r>
      <w:r>
        <w:rPr/>
        <w:t>in</w:t>
      </w:r>
      <w:r>
        <w:rPr>
          <w:spacing w:val="4"/>
        </w:rPr>
        <w:t> </w:t>
      </w:r>
      <w:r>
        <w:rPr/>
        <w:t>domestic</w:t>
      </w:r>
      <w:r>
        <w:rPr>
          <w:spacing w:val="2"/>
        </w:rPr>
        <w:t> </w:t>
      </w:r>
      <w:r>
        <w:rPr/>
        <w:t>output</w:t>
      </w:r>
      <w:r>
        <w:rPr>
          <w:spacing w:val="5"/>
        </w:rPr>
        <w:t> </w:t>
      </w:r>
      <w:r>
        <w:rPr/>
        <w:t>at</w:t>
      </w:r>
      <w:r>
        <w:rPr>
          <w:spacing w:val="4"/>
        </w:rPr>
        <w:t> </w:t>
      </w:r>
      <w:r>
        <w:rPr/>
        <w:t>3.91,</w:t>
      </w:r>
      <w:r>
        <w:rPr>
          <w:spacing w:val="4"/>
        </w:rPr>
        <w:t> </w:t>
      </w:r>
      <w:r>
        <w:rPr/>
        <w:t>2.66,</w:t>
      </w:r>
      <w:r>
        <w:rPr>
          <w:spacing w:val="3"/>
        </w:rPr>
        <w:t> </w:t>
      </w:r>
      <w:r>
        <w:rPr/>
        <w:t>0.78,</w:t>
      </w:r>
      <w:r>
        <w:rPr>
          <w:spacing w:val="4"/>
        </w:rPr>
        <w:t> </w:t>
      </w:r>
      <w:r>
        <w:rPr/>
        <w:t>4.72,</w:t>
      </w:r>
      <w:r>
        <w:rPr>
          <w:spacing w:val="3"/>
        </w:rPr>
        <w:t> </w:t>
      </w:r>
      <w:r>
        <w:rPr/>
        <w:t>0.01</w:t>
      </w:r>
      <w:r>
        <w:rPr>
          <w:spacing w:val="4"/>
        </w:rPr>
        <w:t> </w:t>
      </w:r>
      <w:r>
        <w:rPr/>
        <w:t>percent.</w:t>
      </w:r>
      <w:r>
        <w:rPr>
          <w:spacing w:val="8"/>
        </w:rPr>
        <w:t> </w:t>
      </w:r>
      <w:r>
        <w:rPr/>
        <w:t>Conversely,</w:t>
      </w:r>
      <w:r>
        <w:rPr>
          <w:spacing w:val="4"/>
        </w:rPr>
        <w:t> </w:t>
      </w:r>
      <w:r>
        <w:rPr/>
        <w:t>technology</w:t>
      </w:r>
      <w:r>
        <w:rPr>
          <w:spacing w:val="-2"/>
        </w:rPr>
        <w:t> </w:t>
      </w:r>
      <w:r>
        <w:rPr/>
        <w:t>shock,</w:t>
      </w:r>
      <w:r>
        <w:rPr>
          <w:spacing w:val="4"/>
        </w:rPr>
        <w:t> </w:t>
      </w:r>
      <w:r>
        <w:rPr/>
        <w:t>transfer</w:t>
      </w:r>
    </w:p>
    <w:p>
      <w:pPr>
        <w:spacing w:after="0" w:line="360" w:lineRule="auto"/>
        <w:jc w:val="both"/>
        <w:sectPr>
          <w:pgSz w:w="12240" w:h="15840"/>
          <w:pgMar w:header="0" w:footer="935" w:top="1500" w:bottom="1200" w:left="940" w:right="940"/>
        </w:sectPr>
      </w:pPr>
    </w:p>
    <w:p>
      <w:pPr>
        <w:pStyle w:val="BodyText"/>
        <w:spacing w:line="360" w:lineRule="auto" w:before="74"/>
        <w:ind w:left="500" w:right="495"/>
        <w:jc w:val="both"/>
      </w:pPr>
      <w:r>
        <w:rPr/>
        <w:t>payment shock and inflation shock did not trigger any variation in domestic output. It is also</w:t>
      </w:r>
      <w:r>
        <w:rPr>
          <w:spacing w:val="1"/>
        </w:rPr>
        <w:t> </w:t>
      </w:r>
      <w:r>
        <w:rPr/>
        <w:t>observed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external</w:t>
      </w:r>
      <w:r>
        <w:rPr>
          <w:spacing w:val="-4"/>
        </w:rPr>
        <w:t> </w:t>
      </w:r>
      <w:r>
        <w:rPr/>
        <w:t>shocks,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is,</w:t>
      </w:r>
      <w:r>
        <w:rPr>
          <w:spacing w:val="-4"/>
        </w:rPr>
        <w:t> </w:t>
      </w:r>
      <w:r>
        <w:rPr/>
        <w:t>foreign</w:t>
      </w:r>
      <w:r>
        <w:rPr>
          <w:spacing w:val="-4"/>
        </w:rPr>
        <w:t> </w:t>
      </w:r>
      <w:r>
        <w:rPr/>
        <w:t>inflation,</w:t>
      </w:r>
      <w:r>
        <w:rPr>
          <w:spacing w:val="-5"/>
        </w:rPr>
        <w:t> </w:t>
      </w:r>
      <w:r>
        <w:rPr/>
        <w:t>foreign</w:t>
      </w:r>
      <w:r>
        <w:rPr>
          <w:spacing w:val="-5"/>
        </w:rPr>
        <w:t> </w:t>
      </w:r>
      <w:r>
        <w:rPr/>
        <w:t>interest</w:t>
      </w:r>
      <w:r>
        <w:rPr>
          <w:spacing w:val="-3"/>
        </w:rPr>
        <w:t> </w:t>
      </w:r>
      <w:r>
        <w:rPr/>
        <w:t>rate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foreign</w:t>
      </w:r>
      <w:r>
        <w:rPr>
          <w:spacing w:val="-4"/>
        </w:rPr>
        <w:t> </w:t>
      </w:r>
      <w:r>
        <w:rPr/>
        <w:t>output</w:t>
      </w:r>
      <w:r>
        <w:rPr>
          <w:spacing w:val="-4"/>
        </w:rPr>
        <w:t> </w:t>
      </w:r>
      <w:r>
        <w:rPr/>
        <w:t>are</w:t>
      </w:r>
      <w:r>
        <w:rPr>
          <w:spacing w:val="-58"/>
        </w:rPr>
        <w:t> </w:t>
      </w:r>
      <w:r>
        <w:rPr/>
        <w:t>the</w:t>
      </w:r>
      <w:r>
        <w:rPr>
          <w:spacing w:val="-6"/>
        </w:rPr>
        <w:t> </w:t>
      </w:r>
      <w:r>
        <w:rPr/>
        <w:t>main</w:t>
      </w:r>
      <w:r>
        <w:rPr>
          <w:spacing w:val="-5"/>
        </w:rPr>
        <w:t> </w:t>
      </w:r>
      <w:r>
        <w:rPr/>
        <w:t>sources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volatility</w:t>
      </w:r>
      <w:r>
        <w:rPr>
          <w:spacing w:val="-12"/>
        </w:rPr>
        <w:t> </w:t>
      </w:r>
      <w:r>
        <w:rPr/>
        <w:t>in</w:t>
      </w:r>
      <w:r>
        <w:rPr>
          <w:spacing w:val="-5"/>
        </w:rPr>
        <w:t> </w:t>
      </w:r>
      <w:r>
        <w:rPr/>
        <w:t>domestic</w:t>
      </w:r>
      <w:r>
        <w:rPr>
          <w:spacing w:val="-6"/>
        </w:rPr>
        <w:t> </w:t>
      </w:r>
      <w:r>
        <w:rPr/>
        <w:t>inflation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/>
        <w:t>16.82,</w:t>
      </w:r>
      <w:r>
        <w:rPr>
          <w:spacing w:val="-5"/>
        </w:rPr>
        <w:t> </w:t>
      </w:r>
      <w:r>
        <w:rPr/>
        <w:t>36.84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38.77</w:t>
      </w:r>
      <w:r>
        <w:rPr>
          <w:spacing w:val="-5"/>
        </w:rPr>
        <w:t> </w:t>
      </w:r>
      <w:r>
        <w:rPr/>
        <w:t>percent.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other</w:t>
      </w:r>
      <w:r>
        <w:rPr>
          <w:spacing w:val="-57"/>
        </w:rPr>
        <w:t> </w:t>
      </w:r>
      <w:r>
        <w:rPr/>
        <w:t>hand,</w:t>
      </w:r>
      <w:r>
        <w:rPr>
          <w:spacing w:val="-6"/>
        </w:rPr>
        <w:t> </w:t>
      </w:r>
      <w:r>
        <w:rPr/>
        <w:t>domestic</w:t>
      </w:r>
      <w:r>
        <w:rPr>
          <w:spacing w:val="-6"/>
        </w:rPr>
        <w:t> </w:t>
      </w:r>
      <w:r>
        <w:rPr/>
        <w:t>sources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shocks</w:t>
      </w:r>
      <w:r>
        <w:rPr>
          <w:spacing w:val="-3"/>
        </w:rPr>
        <w:t> </w:t>
      </w:r>
      <w:r>
        <w:rPr/>
        <w:t>such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government</w:t>
      </w:r>
      <w:r>
        <w:rPr>
          <w:spacing w:val="-5"/>
        </w:rPr>
        <w:t> </w:t>
      </w:r>
      <w:r>
        <w:rPr/>
        <w:t>spending,</w:t>
      </w:r>
      <w:r>
        <w:rPr>
          <w:spacing w:val="-5"/>
        </w:rPr>
        <w:t> </w:t>
      </w:r>
      <w:r>
        <w:rPr/>
        <w:t>interest</w:t>
      </w:r>
      <w:r>
        <w:rPr>
          <w:spacing w:val="-5"/>
        </w:rPr>
        <w:t> </w:t>
      </w:r>
      <w:r>
        <w:rPr/>
        <w:t>rate,</w:t>
      </w:r>
      <w:r>
        <w:rPr>
          <w:spacing w:val="-5"/>
        </w:rPr>
        <w:t> </w:t>
      </w:r>
      <w:r>
        <w:rPr/>
        <w:t>tax,</w:t>
      </w:r>
      <w:r>
        <w:rPr>
          <w:spacing w:val="-6"/>
        </w:rPr>
        <w:t> </w:t>
      </w:r>
      <w:r>
        <w:rPr/>
        <w:t>output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rent-</w:t>
      </w:r>
      <w:r>
        <w:rPr>
          <w:spacing w:val="-57"/>
        </w:rPr>
        <w:t> </w:t>
      </w:r>
      <w:r>
        <w:rPr/>
        <w:t>seeking</w:t>
      </w:r>
      <w:r>
        <w:rPr>
          <w:spacing w:val="-8"/>
        </w:rPr>
        <w:t> </w:t>
      </w:r>
      <w:r>
        <w:rPr/>
        <w:t>accounted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lesser</w:t>
      </w:r>
      <w:r>
        <w:rPr>
          <w:spacing w:val="-9"/>
        </w:rPr>
        <w:t> </w:t>
      </w:r>
      <w:r>
        <w:rPr/>
        <w:t>variations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domestic</w:t>
      </w:r>
      <w:r>
        <w:rPr>
          <w:spacing w:val="-7"/>
        </w:rPr>
        <w:t> </w:t>
      </w:r>
      <w:r>
        <w:rPr/>
        <w:t>inflation</w:t>
      </w:r>
      <w:r>
        <w:rPr>
          <w:spacing w:val="-9"/>
        </w:rPr>
        <w:t> </w:t>
      </w:r>
      <w:r>
        <w:rPr/>
        <w:t>at</w:t>
      </w:r>
      <w:r>
        <w:rPr>
          <w:spacing w:val="-7"/>
        </w:rPr>
        <w:t> </w:t>
      </w:r>
      <w:r>
        <w:rPr/>
        <w:t>0.05,</w:t>
      </w:r>
      <w:r>
        <w:rPr>
          <w:spacing w:val="-9"/>
        </w:rPr>
        <w:t> </w:t>
      </w:r>
      <w:r>
        <w:rPr/>
        <w:t>0.14,</w:t>
      </w:r>
      <w:r>
        <w:rPr>
          <w:spacing w:val="-9"/>
        </w:rPr>
        <w:t> </w:t>
      </w:r>
      <w:r>
        <w:rPr/>
        <w:t>0.54,</w:t>
      </w:r>
      <w:r>
        <w:rPr>
          <w:spacing w:val="-8"/>
        </w:rPr>
        <w:t> </w:t>
      </w:r>
      <w:r>
        <w:rPr/>
        <w:t>1.19,</w:t>
      </w:r>
      <w:r>
        <w:rPr>
          <w:spacing w:val="-9"/>
        </w:rPr>
        <w:t> </w:t>
      </w:r>
      <w:r>
        <w:rPr/>
        <w:t>5.65</w:t>
      </w:r>
      <w:r>
        <w:rPr>
          <w:spacing w:val="-9"/>
        </w:rPr>
        <w:t> </w:t>
      </w:r>
      <w:r>
        <w:rPr/>
        <w:t>percent,</w:t>
      </w:r>
      <w:r>
        <w:rPr>
          <w:spacing w:val="-57"/>
        </w:rPr>
        <w:t> </w:t>
      </w:r>
      <w:r>
        <w:rPr/>
        <w:t>respectively.</w:t>
      </w:r>
    </w:p>
    <w:p>
      <w:pPr>
        <w:pStyle w:val="BodyText"/>
        <w:spacing w:line="360" w:lineRule="auto" w:before="200"/>
        <w:ind w:left="500" w:right="493"/>
        <w:jc w:val="both"/>
      </w:pPr>
      <w:r>
        <w:rPr/>
        <w:t>The</w:t>
      </w:r>
      <w:r>
        <w:rPr>
          <w:spacing w:val="-13"/>
        </w:rPr>
        <w:t> </w:t>
      </w:r>
      <w:r>
        <w:rPr/>
        <w:t>result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variance</w:t>
      </w:r>
      <w:r>
        <w:rPr>
          <w:spacing w:val="-11"/>
        </w:rPr>
        <w:t> </w:t>
      </w:r>
      <w:r>
        <w:rPr/>
        <w:t>decomposition</w:t>
      </w:r>
      <w:r>
        <w:rPr>
          <w:spacing w:val="-12"/>
        </w:rPr>
        <w:t> </w:t>
      </w:r>
      <w:r>
        <w:rPr/>
        <w:t>also</w:t>
      </w:r>
      <w:r>
        <w:rPr>
          <w:spacing w:val="-11"/>
        </w:rPr>
        <w:t> </w:t>
      </w:r>
      <w:r>
        <w:rPr/>
        <w:t>reveals</w:t>
      </w:r>
      <w:r>
        <w:rPr>
          <w:spacing w:val="-10"/>
        </w:rPr>
        <w:t> </w:t>
      </w:r>
      <w:r>
        <w:rPr/>
        <w:t>that</w:t>
      </w:r>
      <w:r>
        <w:rPr>
          <w:spacing w:val="-12"/>
        </w:rPr>
        <w:t> </w:t>
      </w:r>
      <w:r>
        <w:rPr/>
        <w:t>foreign</w:t>
      </w:r>
      <w:r>
        <w:rPr>
          <w:spacing w:val="-12"/>
        </w:rPr>
        <w:t> </w:t>
      </w:r>
      <w:r>
        <w:rPr/>
        <w:t>inflation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foreign</w:t>
      </w:r>
      <w:r>
        <w:rPr>
          <w:spacing w:val="-12"/>
        </w:rPr>
        <w:t> </w:t>
      </w:r>
      <w:r>
        <w:rPr/>
        <w:t>interest</w:t>
      </w:r>
      <w:r>
        <w:rPr>
          <w:spacing w:val="-11"/>
        </w:rPr>
        <w:t> </w:t>
      </w:r>
      <w:r>
        <w:rPr/>
        <w:t>rate</w:t>
      </w:r>
      <w:r>
        <w:rPr>
          <w:spacing w:val="-57"/>
        </w:rPr>
        <w:t> </w:t>
      </w:r>
      <w:r>
        <w:rPr/>
        <w:t>are the main perturbations to the domestic interest rate. They contributed 29.07 and 61.95 percent</w:t>
      </w:r>
      <w:r>
        <w:rPr>
          <w:spacing w:val="-57"/>
        </w:rPr>
        <w:t> </w:t>
      </w:r>
      <w:r>
        <w:rPr/>
        <w:t>to variations in the nominal interest rate. Other sources of shocks such as government spending,</w:t>
      </w:r>
      <w:r>
        <w:rPr>
          <w:spacing w:val="1"/>
        </w:rPr>
        <w:t> </w:t>
      </w:r>
      <w:r>
        <w:rPr/>
        <w:t>interest rate, foreign output, tax, output and rent-seeking account for 1.31, 0.13, 1.49, 0.82, 1.06</w:t>
      </w:r>
      <w:r>
        <w:rPr>
          <w:spacing w:val="1"/>
        </w:rPr>
        <w:t> </w:t>
      </w:r>
      <w:r>
        <w:rPr/>
        <w:t>and 4.16 percent volatility in the nominal interest rate. Domestic shocks, that is, government</w:t>
      </w:r>
      <w:r>
        <w:rPr>
          <w:spacing w:val="1"/>
        </w:rPr>
        <w:t> </w:t>
      </w:r>
      <w:r>
        <w:rPr/>
        <w:t>spending</w:t>
      </w:r>
      <w:r>
        <w:rPr>
          <w:spacing w:val="1"/>
        </w:rPr>
        <w:t> </w:t>
      </w:r>
      <w:r>
        <w:rPr/>
        <w:t>shocks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shocks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rent-seeking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contributor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government spending at 92.23 and 7.09 percent. The other form of shocks does not trigger</w:t>
      </w:r>
      <w:r>
        <w:rPr>
          <w:spacing w:val="1"/>
        </w:rPr>
        <w:t> </w:t>
      </w:r>
      <w:r>
        <w:rPr/>
        <w:t>fluctuations in government spending. At the same time, the volatility in rent-seeking is primarily</w:t>
      </w:r>
      <w:r>
        <w:rPr>
          <w:spacing w:val="1"/>
        </w:rPr>
        <w:t> </w:t>
      </w:r>
      <w:r>
        <w:rPr/>
        <w:t>explained by shocks to rent-seeking itself and tax revenue at 91.34 and 8.66 percent. The result</w:t>
      </w:r>
      <w:r>
        <w:rPr>
          <w:spacing w:val="1"/>
        </w:rPr>
        <w:t> </w:t>
      </w:r>
      <w:r>
        <w:rPr/>
        <w:t>reveals the importance of both foreign and domestic shocks to fluctuations in the Nigerian</w:t>
      </w:r>
      <w:r>
        <w:rPr>
          <w:spacing w:val="1"/>
        </w:rPr>
        <w:t> </w:t>
      </w:r>
      <w:r>
        <w:rPr/>
        <w:t>economy.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72"/>
        <w:ind w:left="1332" w:right="1335"/>
        <w:jc w:val="center"/>
      </w:pPr>
      <w:r>
        <w:rPr/>
        <w:t>Table</w:t>
      </w:r>
      <w:r>
        <w:rPr>
          <w:spacing w:val="-2"/>
        </w:rPr>
        <w:t> </w:t>
      </w:r>
      <w:r>
        <w:rPr/>
        <w:t>5.7:</w:t>
      </w:r>
      <w:r>
        <w:rPr>
          <w:spacing w:val="-2"/>
        </w:rPr>
        <w:t> </w:t>
      </w:r>
      <w:r>
        <w:rPr/>
        <w:t>Posterior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variance</w:t>
      </w:r>
      <w:r>
        <w:rPr>
          <w:spacing w:val="-2"/>
        </w:rPr>
        <w:t> </w:t>
      </w:r>
      <w:r>
        <w:rPr/>
        <w:t>decomposition</w:t>
      </w:r>
      <w:r>
        <w:rPr>
          <w:spacing w:val="-1"/>
        </w:rPr>
        <w:t> </w:t>
      </w:r>
      <w:r>
        <w:rPr/>
        <w:t>(percent)</w:t>
      </w:r>
    </w:p>
    <w:p>
      <w:pPr>
        <w:pStyle w:val="BodyText"/>
        <w:spacing w:after="1"/>
        <w:rPr>
          <w:sz w:val="9"/>
        </w:rPr>
      </w:pPr>
    </w:p>
    <w:tbl>
      <w:tblPr>
        <w:tblW w:w="0" w:type="auto"/>
        <w:jc w:val="left"/>
        <w:tblInd w:w="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36"/>
        <w:gridCol w:w="916"/>
        <w:gridCol w:w="1167"/>
        <w:gridCol w:w="1082"/>
        <w:gridCol w:w="1451"/>
        <w:gridCol w:w="1053"/>
      </w:tblGrid>
      <w:tr>
        <w:trPr>
          <w:trHeight w:val="827" w:hRule="atLeast"/>
        </w:trPr>
        <w:tc>
          <w:tcPr>
            <w:tcW w:w="31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Output</w:t>
            </w:r>
          </w:p>
        </w:tc>
        <w:tc>
          <w:tcPr>
            <w:tcW w:w="11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70" w:right="103" w:hanging="46"/>
              <w:rPr>
                <w:sz w:val="24"/>
              </w:rPr>
            </w:pPr>
            <w:r>
              <w:rPr>
                <w:sz w:val="24"/>
              </w:rPr>
              <w:t>Domestic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Inflation</w:t>
            </w:r>
          </w:p>
        </w:tc>
        <w:tc>
          <w:tcPr>
            <w:tcW w:w="108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21" w:right="118"/>
              <w:jc w:val="center"/>
              <w:rPr>
                <w:sz w:val="24"/>
              </w:rPr>
            </w:pPr>
            <w:r>
              <w:rPr>
                <w:sz w:val="24"/>
              </w:rPr>
              <w:t>Nominal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Interest</w:t>
            </w:r>
          </w:p>
          <w:p>
            <w:pPr>
              <w:pStyle w:val="TableParagraph"/>
              <w:spacing w:line="264" w:lineRule="exact"/>
              <w:ind w:left="118" w:right="118"/>
              <w:jc w:val="center"/>
              <w:rPr>
                <w:sz w:val="24"/>
              </w:rPr>
            </w:pPr>
            <w:r>
              <w:rPr>
                <w:sz w:val="24"/>
              </w:rPr>
              <w:t>rate</w:t>
            </w:r>
          </w:p>
        </w:tc>
        <w:tc>
          <w:tcPr>
            <w:tcW w:w="145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285" w:right="122" w:hanging="166"/>
              <w:rPr>
                <w:sz w:val="24"/>
              </w:rPr>
            </w:pPr>
            <w:r>
              <w:rPr>
                <w:spacing w:val="-1"/>
                <w:sz w:val="24"/>
              </w:rPr>
              <w:t>Government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spending</w:t>
            </w:r>
          </w:p>
        </w:tc>
        <w:tc>
          <w:tcPr>
            <w:tcW w:w="10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33" w:right="126" w:firstLine="160"/>
              <w:rPr>
                <w:sz w:val="24"/>
              </w:rPr>
            </w:pPr>
            <w:r>
              <w:rPr>
                <w:sz w:val="24"/>
              </w:rPr>
              <w:t>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Seeking</w:t>
            </w:r>
          </w:p>
        </w:tc>
      </w:tr>
      <w:tr>
        <w:trPr>
          <w:trHeight w:val="272" w:hRule="atLeast"/>
        </w:trPr>
        <w:tc>
          <w:tcPr>
            <w:tcW w:w="31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Govt.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Spending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(eps_g)</w:t>
            </w:r>
          </w:p>
        </w:tc>
        <w:tc>
          <w:tcPr>
            <w:tcW w:w="9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123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11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0" w:right="325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0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14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563" w:right="308"/>
              <w:jc w:val="center"/>
              <w:rPr>
                <w:sz w:val="24"/>
              </w:rPr>
            </w:pPr>
            <w:r>
              <w:rPr>
                <w:sz w:val="24"/>
              </w:rPr>
              <w:t>92.23</w:t>
            </w:r>
          </w:p>
        </w:tc>
        <w:tc>
          <w:tcPr>
            <w:tcW w:w="10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0" w:right="185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276" w:hRule="atLeast"/>
        </w:trPr>
        <w:tc>
          <w:tcPr>
            <w:tcW w:w="31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Interest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(eps_r)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58.8</w:t>
            </w:r>
          </w:p>
        </w:tc>
        <w:tc>
          <w:tcPr>
            <w:tcW w:w="1167" w:type="dxa"/>
          </w:tcPr>
          <w:p>
            <w:pPr>
              <w:pStyle w:val="TableParagraph"/>
              <w:spacing w:line="256" w:lineRule="exact"/>
              <w:ind w:left="0" w:right="325"/>
              <w:jc w:val="right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082" w:type="dxa"/>
          </w:tcPr>
          <w:p>
            <w:pPr>
              <w:pStyle w:val="TableParagraph"/>
              <w:spacing w:line="256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1451" w:type="dxa"/>
          </w:tcPr>
          <w:p>
            <w:pPr>
              <w:pStyle w:val="TableParagraph"/>
              <w:spacing w:line="256" w:lineRule="exact"/>
              <w:ind w:left="563" w:right="30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53" w:type="dxa"/>
          </w:tcPr>
          <w:p>
            <w:pPr>
              <w:pStyle w:val="TableParagraph"/>
              <w:spacing w:line="256" w:lineRule="exact"/>
              <w:ind w:left="0" w:right="185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275" w:hRule="atLeast"/>
        </w:trPr>
        <w:tc>
          <w:tcPr>
            <w:tcW w:w="31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Foreign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Output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(eps_ystar)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28.99</w:t>
            </w:r>
          </w:p>
        </w:tc>
        <w:tc>
          <w:tcPr>
            <w:tcW w:w="1167" w:type="dxa"/>
          </w:tcPr>
          <w:p>
            <w:pPr>
              <w:pStyle w:val="TableParagraph"/>
              <w:spacing w:line="256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38.77</w:t>
            </w:r>
          </w:p>
        </w:tc>
        <w:tc>
          <w:tcPr>
            <w:tcW w:w="1082" w:type="dxa"/>
          </w:tcPr>
          <w:p>
            <w:pPr>
              <w:pStyle w:val="TableParagraph"/>
              <w:spacing w:line="256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1.49</w:t>
            </w:r>
          </w:p>
        </w:tc>
        <w:tc>
          <w:tcPr>
            <w:tcW w:w="1451" w:type="dxa"/>
          </w:tcPr>
          <w:p>
            <w:pPr>
              <w:pStyle w:val="TableParagraph"/>
              <w:spacing w:line="256" w:lineRule="exact"/>
              <w:ind w:left="563" w:right="30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53" w:type="dxa"/>
          </w:tcPr>
          <w:p>
            <w:pPr>
              <w:pStyle w:val="TableParagraph"/>
              <w:spacing w:line="256" w:lineRule="exact"/>
              <w:ind w:left="0" w:right="185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275" w:hRule="atLeast"/>
        </w:trPr>
        <w:tc>
          <w:tcPr>
            <w:tcW w:w="31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Foreign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Inflation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(eps_piistar)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3.91</w:t>
            </w:r>
          </w:p>
        </w:tc>
        <w:tc>
          <w:tcPr>
            <w:tcW w:w="1167" w:type="dxa"/>
          </w:tcPr>
          <w:p>
            <w:pPr>
              <w:pStyle w:val="TableParagraph"/>
              <w:spacing w:line="256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16.82</w:t>
            </w:r>
          </w:p>
        </w:tc>
        <w:tc>
          <w:tcPr>
            <w:tcW w:w="1082" w:type="dxa"/>
          </w:tcPr>
          <w:p>
            <w:pPr>
              <w:pStyle w:val="TableParagraph"/>
              <w:spacing w:line="256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29.07</w:t>
            </w:r>
          </w:p>
        </w:tc>
        <w:tc>
          <w:tcPr>
            <w:tcW w:w="1451" w:type="dxa"/>
          </w:tcPr>
          <w:p>
            <w:pPr>
              <w:pStyle w:val="TableParagraph"/>
              <w:spacing w:line="256" w:lineRule="exact"/>
              <w:ind w:left="563" w:right="30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53" w:type="dxa"/>
          </w:tcPr>
          <w:p>
            <w:pPr>
              <w:pStyle w:val="TableParagraph"/>
              <w:spacing w:line="256" w:lineRule="exact"/>
              <w:ind w:left="0" w:right="185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276" w:hRule="atLeast"/>
        </w:trPr>
        <w:tc>
          <w:tcPr>
            <w:tcW w:w="31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Foreign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2.66</w:t>
            </w:r>
          </w:p>
        </w:tc>
        <w:tc>
          <w:tcPr>
            <w:tcW w:w="1167" w:type="dxa"/>
          </w:tcPr>
          <w:p>
            <w:pPr>
              <w:pStyle w:val="TableParagraph"/>
              <w:spacing w:line="256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36.84</w:t>
            </w:r>
          </w:p>
        </w:tc>
        <w:tc>
          <w:tcPr>
            <w:tcW w:w="1082" w:type="dxa"/>
          </w:tcPr>
          <w:p>
            <w:pPr>
              <w:pStyle w:val="TableParagraph"/>
              <w:spacing w:line="256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61.95</w:t>
            </w:r>
          </w:p>
        </w:tc>
        <w:tc>
          <w:tcPr>
            <w:tcW w:w="1451" w:type="dxa"/>
          </w:tcPr>
          <w:p>
            <w:pPr>
              <w:pStyle w:val="TableParagraph"/>
              <w:spacing w:line="256" w:lineRule="exact"/>
              <w:ind w:left="563" w:right="30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53" w:type="dxa"/>
          </w:tcPr>
          <w:p>
            <w:pPr>
              <w:pStyle w:val="TableParagraph"/>
              <w:spacing w:line="256" w:lineRule="exact"/>
              <w:ind w:left="0" w:right="185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275" w:hRule="atLeast"/>
        </w:trPr>
        <w:tc>
          <w:tcPr>
            <w:tcW w:w="31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(eps_rstar)</w:t>
            </w:r>
          </w:p>
        </w:tc>
        <w:tc>
          <w:tcPr>
            <w:tcW w:w="91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31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Technology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Shock (eps_a)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67" w:type="dxa"/>
          </w:tcPr>
          <w:p>
            <w:pPr>
              <w:pStyle w:val="TableParagraph"/>
              <w:spacing w:line="256" w:lineRule="exact"/>
              <w:ind w:left="0" w:right="325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82" w:type="dxa"/>
          </w:tcPr>
          <w:p>
            <w:pPr>
              <w:pStyle w:val="TableParagraph"/>
              <w:spacing w:line="256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51" w:type="dxa"/>
          </w:tcPr>
          <w:p>
            <w:pPr>
              <w:pStyle w:val="TableParagraph"/>
              <w:spacing w:line="256" w:lineRule="exact"/>
              <w:ind w:left="563" w:right="30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53" w:type="dxa"/>
          </w:tcPr>
          <w:p>
            <w:pPr>
              <w:pStyle w:val="TableParagraph"/>
              <w:spacing w:line="256" w:lineRule="exact"/>
              <w:ind w:left="0" w:right="185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276" w:hRule="atLeast"/>
        </w:trPr>
        <w:tc>
          <w:tcPr>
            <w:tcW w:w="31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Tax Shock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(eps_taxx)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1167" w:type="dxa"/>
          </w:tcPr>
          <w:p>
            <w:pPr>
              <w:pStyle w:val="TableParagraph"/>
              <w:spacing w:line="256" w:lineRule="exact"/>
              <w:ind w:left="0" w:right="325"/>
              <w:jc w:val="right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  <w:tc>
          <w:tcPr>
            <w:tcW w:w="1082" w:type="dxa"/>
          </w:tcPr>
          <w:p>
            <w:pPr>
              <w:pStyle w:val="TableParagraph"/>
              <w:spacing w:line="256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  <w:tc>
          <w:tcPr>
            <w:tcW w:w="1451" w:type="dxa"/>
          </w:tcPr>
          <w:p>
            <w:pPr>
              <w:pStyle w:val="TableParagraph"/>
              <w:spacing w:line="256" w:lineRule="exact"/>
              <w:ind w:left="563" w:right="308"/>
              <w:jc w:val="center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  <w:tc>
          <w:tcPr>
            <w:tcW w:w="1053" w:type="dxa"/>
          </w:tcPr>
          <w:p>
            <w:pPr>
              <w:pStyle w:val="TableParagraph"/>
              <w:spacing w:line="256" w:lineRule="exact"/>
              <w:ind w:left="0" w:right="185"/>
              <w:jc w:val="right"/>
              <w:rPr>
                <w:sz w:val="24"/>
              </w:rPr>
            </w:pPr>
            <w:r>
              <w:rPr>
                <w:sz w:val="24"/>
              </w:rPr>
              <w:t>8.66</w:t>
            </w:r>
          </w:p>
        </w:tc>
      </w:tr>
      <w:tr>
        <w:trPr>
          <w:trHeight w:val="276" w:hRule="atLeast"/>
        </w:trPr>
        <w:tc>
          <w:tcPr>
            <w:tcW w:w="31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Transfer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payment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shock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67" w:type="dxa"/>
          </w:tcPr>
          <w:p>
            <w:pPr>
              <w:pStyle w:val="TableParagraph"/>
              <w:spacing w:line="256" w:lineRule="exact"/>
              <w:ind w:left="0" w:right="325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82" w:type="dxa"/>
          </w:tcPr>
          <w:p>
            <w:pPr>
              <w:pStyle w:val="TableParagraph"/>
              <w:spacing w:line="256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51" w:type="dxa"/>
          </w:tcPr>
          <w:p>
            <w:pPr>
              <w:pStyle w:val="TableParagraph"/>
              <w:spacing w:line="256" w:lineRule="exact"/>
              <w:ind w:left="563" w:right="30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53" w:type="dxa"/>
          </w:tcPr>
          <w:p>
            <w:pPr>
              <w:pStyle w:val="TableParagraph"/>
              <w:spacing w:line="256" w:lineRule="exact"/>
              <w:ind w:left="0" w:right="185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275" w:hRule="atLeast"/>
        </w:trPr>
        <w:tc>
          <w:tcPr>
            <w:tcW w:w="31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(eps_TP)</w:t>
            </w:r>
          </w:p>
        </w:tc>
        <w:tc>
          <w:tcPr>
            <w:tcW w:w="91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31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Inflation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shock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(e_piiD)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67" w:type="dxa"/>
          </w:tcPr>
          <w:p>
            <w:pPr>
              <w:pStyle w:val="TableParagraph"/>
              <w:spacing w:line="256" w:lineRule="exact"/>
              <w:ind w:left="0" w:right="325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82" w:type="dxa"/>
          </w:tcPr>
          <w:p>
            <w:pPr>
              <w:pStyle w:val="TableParagraph"/>
              <w:spacing w:line="256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51" w:type="dxa"/>
          </w:tcPr>
          <w:p>
            <w:pPr>
              <w:pStyle w:val="TableParagraph"/>
              <w:spacing w:line="256" w:lineRule="exact"/>
              <w:ind w:left="563" w:right="30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53" w:type="dxa"/>
          </w:tcPr>
          <w:p>
            <w:pPr>
              <w:pStyle w:val="TableParagraph"/>
              <w:spacing w:line="256" w:lineRule="exact"/>
              <w:ind w:left="0" w:right="185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276" w:hRule="atLeast"/>
        </w:trPr>
        <w:tc>
          <w:tcPr>
            <w:tcW w:w="31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Output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(e_y)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167" w:type="dxa"/>
          </w:tcPr>
          <w:p>
            <w:pPr>
              <w:pStyle w:val="TableParagraph"/>
              <w:spacing w:line="256" w:lineRule="exact"/>
              <w:ind w:left="0" w:right="325"/>
              <w:jc w:val="right"/>
              <w:rPr>
                <w:sz w:val="24"/>
              </w:rPr>
            </w:pPr>
            <w:r>
              <w:rPr>
                <w:sz w:val="24"/>
              </w:rPr>
              <w:t>1.19</w:t>
            </w:r>
          </w:p>
        </w:tc>
        <w:tc>
          <w:tcPr>
            <w:tcW w:w="1082" w:type="dxa"/>
          </w:tcPr>
          <w:p>
            <w:pPr>
              <w:pStyle w:val="TableParagraph"/>
              <w:spacing w:line="256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1.06</w:t>
            </w:r>
          </w:p>
        </w:tc>
        <w:tc>
          <w:tcPr>
            <w:tcW w:w="1451" w:type="dxa"/>
          </w:tcPr>
          <w:p>
            <w:pPr>
              <w:pStyle w:val="TableParagraph"/>
              <w:spacing w:line="256" w:lineRule="exact"/>
              <w:ind w:left="563" w:right="30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53" w:type="dxa"/>
          </w:tcPr>
          <w:p>
            <w:pPr>
              <w:pStyle w:val="TableParagraph"/>
              <w:spacing w:line="256" w:lineRule="exact"/>
              <w:ind w:left="0" w:right="185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275" w:hRule="atLeast"/>
        </w:trPr>
        <w:tc>
          <w:tcPr>
            <w:tcW w:w="31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Shock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seeking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4.72</w:t>
            </w:r>
          </w:p>
        </w:tc>
        <w:tc>
          <w:tcPr>
            <w:tcW w:w="1167" w:type="dxa"/>
          </w:tcPr>
          <w:p>
            <w:pPr>
              <w:pStyle w:val="TableParagraph"/>
              <w:spacing w:line="256" w:lineRule="exact"/>
              <w:ind w:left="0" w:right="325"/>
              <w:jc w:val="right"/>
              <w:rPr>
                <w:sz w:val="24"/>
              </w:rPr>
            </w:pPr>
            <w:r>
              <w:rPr>
                <w:sz w:val="24"/>
              </w:rPr>
              <w:t>5.65</w:t>
            </w:r>
          </w:p>
        </w:tc>
        <w:tc>
          <w:tcPr>
            <w:tcW w:w="1082" w:type="dxa"/>
          </w:tcPr>
          <w:p>
            <w:pPr>
              <w:pStyle w:val="TableParagraph"/>
              <w:spacing w:line="256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4.16</w:t>
            </w:r>
          </w:p>
        </w:tc>
        <w:tc>
          <w:tcPr>
            <w:tcW w:w="1451" w:type="dxa"/>
          </w:tcPr>
          <w:p>
            <w:pPr>
              <w:pStyle w:val="TableParagraph"/>
              <w:spacing w:line="256" w:lineRule="exact"/>
              <w:ind w:left="563" w:right="308"/>
              <w:jc w:val="center"/>
              <w:rPr>
                <w:sz w:val="24"/>
              </w:rPr>
            </w:pPr>
            <w:r>
              <w:rPr>
                <w:sz w:val="24"/>
              </w:rPr>
              <w:t>7.09</w:t>
            </w:r>
          </w:p>
        </w:tc>
        <w:tc>
          <w:tcPr>
            <w:tcW w:w="1053" w:type="dxa"/>
          </w:tcPr>
          <w:p>
            <w:pPr>
              <w:pStyle w:val="TableParagraph"/>
              <w:spacing w:line="256" w:lineRule="exact"/>
              <w:ind w:left="0" w:right="125"/>
              <w:jc w:val="right"/>
              <w:rPr>
                <w:sz w:val="24"/>
              </w:rPr>
            </w:pPr>
            <w:r>
              <w:rPr>
                <w:sz w:val="24"/>
              </w:rPr>
              <w:t>91.34</w:t>
            </w:r>
          </w:p>
        </w:tc>
      </w:tr>
      <w:tr>
        <w:trPr>
          <w:trHeight w:val="270" w:hRule="atLeast"/>
        </w:trPr>
        <w:tc>
          <w:tcPr>
            <w:tcW w:w="3136" w:type="dxa"/>
          </w:tcPr>
          <w:p>
            <w:pPr>
              <w:pStyle w:val="TableParagraph"/>
              <w:tabs>
                <w:tab w:pos="8804" w:val="left" w:leader="none"/>
              </w:tabs>
              <w:spacing w:line="251" w:lineRule="exact"/>
              <w:ind w:left="-15" w:right="-5674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(eps_rn)</w:t>
              <w:tab/>
            </w:r>
          </w:p>
        </w:tc>
        <w:tc>
          <w:tcPr>
            <w:tcW w:w="91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Heading1"/>
      </w:pPr>
      <w:r>
        <w:rPr/>
        <w:t>Model</w:t>
      </w:r>
      <w:r>
        <w:rPr>
          <w:spacing w:val="-3"/>
        </w:rPr>
        <w:t> </w:t>
      </w:r>
      <w:r>
        <w:rPr/>
        <w:t>Diagnostic</w:t>
      </w:r>
      <w:r>
        <w:rPr>
          <w:spacing w:val="-1"/>
        </w:rPr>
        <w:t> </w:t>
      </w:r>
      <w:r>
        <w:rPr/>
        <w:t>Testing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360" w:lineRule="auto"/>
        <w:ind w:left="500" w:right="497"/>
        <w:jc w:val="both"/>
      </w:pPr>
      <w:r>
        <w:rPr/>
        <w:t>The</w:t>
      </w:r>
      <w:r>
        <w:rPr>
          <w:spacing w:val="-5"/>
        </w:rPr>
        <w:t> </w:t>
      </w:r>
      <w:r>
        <w:rPr/>
        <w:t>estimated</w:t>
      </w:r>
      <w:r>
        <w:rPr>
          <w:spacing w:val="-4"/>
        </w:rPr>
        <w:t> </w:t>
      </w:r>
      <w:r>
        <w:rPr/>
        <w:t>model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small-scale</w:t>
      </w:r>
      <w:r>
        <w:rPr>
          <w:spacing w:val="-4"/>
        </w:rPr>
        <w:t> </w:t>
      </w:r>
      <w:r>
        <w:rPr/>
        <w:t>New</w:t>
      </w:r>
      <w:r>
        <w:rPr>
          <w:spacing w:val="-3"/>
        </w:rPr>
        <w:t> </w:t>
      </w:r>
      <w:r>
        <w:rPr/>
        <w:t>Keynesian</w:t>
      </w:r>
      <w:r>
        <w:rPr>
          <w:spacing w:val="-4"/>
        </w:rPr>
        <w:t> </w:t>
      </w:r>
      <w:r>
        <w:rPr/>
        <w:t>DSGE</w:t>
      </w:r>
      <w:r>
        <w:rPr>
          <w:spacing w:val="-3"/>
        </w:rPr>
        <w:t> </w:t>
      </w:r>
      <w:r>
        <w:rPr/>
        <w:t>model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system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27</w:t>
      </w:r>
      <w:r>
        <w:rPr>
          <w:spacing w:val="-2"/>
        </w:rPr>
        <w:t> </w:t>
      </w:r>
      <w:r>
        <w:rPr/>
        <w:t>equations</w:t>
      </w:r>
      <w:r>
        <w:rPr>
          <w:spacing w:val="-57"/>
        </w:rPr>
        <w:t> </w:t>
      </w:r>
      <w:r>
        <w:rPr/>
        <w:t>and 27 endogenous variables. The posterior moments of this model are computed by using the</w:t>
      </w:r>
      <w:r>
        <w:rPr>
          <w:spacing w:val="1"/>
        </w:rPr>
        <w:t> </w:t>
      </w:r>
      <w:r>
        <w:rPr/>
        <w:t>Metropolis-Hastings algorithm where 100,000 posterior draws of 5 parallel chains are generated,</w:t>
      </w:r>
      <w:r>
        <w:rPr>
          <w:spacing w:val="1"/>
        </w:rPr>
        <w:t> </w:t>
      </w:r>
      <w:r>
        <w:rPr/>
        <w:t>after the first 30,000 draws are discarded, in order to ensure convergence. In addition, the Monte-</w:t>
      </w:r>
      <w:r>
        <w:rPr>
          <w:spacing w:val="-57"/>
        </w:rPr>
        <w:t> </w:t>
      </w:r>
      <w:r>
        <w:rPr/>
        <w:t>Carlo based optimisation method is used to obtain the posterior mode. In this Section, therefore,</w:t>
      </w:r>
      <w:r>
        <w:rPr>
          <w:spacing w:val="1"/>
        </w:rPr>
        <w:t> </w:t>
      </w:r>
      <w:r>
        <w:rPr/>
        <w:t>the statistical validity of the estimated model is examined. This involves presenting graphs on the</w:t>
      </w:r>
      <w:r>
        <w:rPr>
          <w:spacing w:val="-57"/>
        </w:rPr>
        <w:t> </w:t>
      </w:r>
      <w:r>
        <w:rPr/>
        <w:t>numerical optimisation of the posterior kernel and the Metropolis-Hastings algorithm, in order to</w:t>
      </w:r>
      <w:r>
        <w:rPr>
          <w:spacing w:val="-57"/>
        </w:rPr>
        <w:t> </w:t>
      </w:r>
      <w:r>
        <w:rPr/>
        <w:t>detect</w:t>
      </w:r>
      <w:r>
        <w:rPr>
          <w:spacing w:val="-1"/>
        </w:rPr>
        <w:t> </w:t>
      </w:r>
      <w:r>
        <w:rPr/>
        <w:t>problems or</w:t>
      </w:r>
      <w:r>
        <w:rPr>
          <w:spacing w:val="-1"/>
        </w:rPr>
        <w:t> </w:t>
      </w:r>
      <w:r>
        <w:rPr/>
        <w:t>build</w:t>
      </w:r>
      <w:r>
        <w:rPr>
          <w:spacing w:val="2"/>
        </w:rPr>
        <w:t> </w:t>
      </w:r>
      <w:r>
        <w:rPr/>
        <w:t>confidence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results</w:t>
      </w:r>
      <w:r>
        <w:rPr>
          <w:spacing w:val="2"/>
        </w:rPr>
        <w:t> </w:t>
      </w:r>
      <w:r>
        <w:rPr/>
        <w:t>of the</w:t>
      </w:r>
      <w:r>
        <w:rPr>
          <w:spacing w:val="-2"/>
        </w:rPr>
        <w:t> </w:t>
      </w:r>
      <w:r>
        <w:rPr/>
        <w:t>estimated</w:t>
      </w:r>
      <w:r>
        <w:rPr>
          <w:spacing w:val="-1"/>
        </w:rPr>
        <w:t> </w:t>
      </w:r>
      <w:r>
        <w:rPr/>
        <w:t>model.</w:t>
      </w:r>
    </w:p>
    <w:p>
      <w:pPr>
        <w:pStyle w:val="Heading1"/>
        <w:numPr>
          <w:ilvl w:val="2"/>
          <w:numId w:val="31"/>
        </w:numPr>
        <w:tabs>
          <w:tab w:pos="1214" w:val="left" w:leader="none"/>
        </w:tabs>
        <w:spacing w:line="240" w:lineRule="auto" w:before="208" w:after="0"/>
        <w:ind w:left="1213" w:right="0" w:hanging="714"/>
        <w:jc w:val="left"/>
      </w:pPr>
      <w:bookmarkStart w:name="_TOC_250013" w:id="47"/>
      <w:r>
        <w:rPr/>
        <w:t>Stability 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bookmarkEnd w:id="47"/>
      <w:r>
        <w:rPr/>
        <w:t>Model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360" w:lineRule="auto"/>
        <w:ind w:left="500" w:right="498"/>
        <w:jc w:val="both"/>
      </w:pPr>
      <w:r>
        <w:rPr/>
        <w:t>This is about the existence and uniqueness of a solution to the adopted NK DSGE model. A</w:t>
      </w:r>
      <w:r>
        <w:rPr>
          <w:spacing w:val="1"/>
        </w:rPr>
        <w:t> </w:t>
      </w:r>
      <w:r>
        <w:rPr/>
        <w:t>solution exists when the number of equations equals the number of endogenous variables. In the</w:t>
      </w:r>
      <w:r>
        <w:rPr>
          <w:spacing w:val="1"/>
        </w:rPr>
        <w:t> </w:t>
      </w:r>
      <w:r>
        <w:rPr/>
        <w:t>case of this study, this condition is met such that there are 27 equations with 27 endogenous</w:t>
      </w:r>
      <w:r>
        <w:rPr>
          <w:spacing w:val="1"/>
        </w:rPr>
        <w:t> </w:t>
      </w:r>
      <w:r>
        <w:rPr/>
        <w:t>variables.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Blanchard-Kahn</w:t>
      </w:r>
      <w:r>
        <w:rPr>
          <w:spacing w:val="-3"/>
        </w:rPr>
        <w:t> </w:t>
      </w:r>
      <w:r>
        <w:rPr/>
        <w:t>condition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also</w:t>
      </w:r>
      <w:r>
        <w:rPr>
          <w:spacing w:val="-2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test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existence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unique</w:t>
      </w:r>
      <w:r>
        <w:rPr>
          <w:spacing w:val="-5"/>
        </w:rPr>
        <w:t> </w:t>
      </w:r>
      <w:r>
        <w:rPr/>
        <w:t>solution</w:t>
      </w:r>
      <w:r>
        <w:rPr>
          <w:spacing w:val="-57"/>
        </w:rPr>
        <w:t> </w:t>
      </w:r>
      <w:r>
        <w:rPr/>
        <w:t>to this model. The condition requires that the number of eigenvectors lying outside a unit root</w:t>
      </w:r>
      <w:r>
        <w:rPr>
          <w:spacing w:val="1"/>
        </w:rPr>
        <w:t> </w:t>
      </w:r>
      <w:r>
        <w:rPr/>
        <w:t>equals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number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forward-looking</w:t>
      </w:r>
      <w:r>
        <w:rPr>
          <w:spacing w:val="4"/>
        </w:rPr>
        <w:t> </w:t>
      </w:r>
      <w:r>
        <w:rPr/>
        <w:t>variables.</w:t>
      </w:r>
      <w:r>
        <w:rPr>
          <w:spacing w:val="9"/>
        </w:rPr>
        <w:t> </w:t>
      </w:r>
      <w:r>
        <w:rPr/>
        <w:t>The</w:t>
      </w:r>
      <w:r>
        <w:rPr>
          <w:spacing w:val="5"/>
        </w:rPr>
        <w:t> </w:t>
      </w:r>
      <w:r>
        <w:rPr/>
        <w:t>Blanchard-Kahn</w:t>
      </w:r>
      <w:r>
        <w:rPr>
          <w:spacing w:val="5"/>
        </w:rPr>
        <w:t> </w:t>
      </w:r>
      <w:r>
        <w:rPr/>
        <w:t>condition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estimated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line="360" w:lineRule="auto" w:before="74"/>
        <w:ind w:left="500" w:right="495"/>
        <w:jc w:val="both"/>
      </w:pPr>
      <w:r>
        <w:rPr/>
        <w:t>model is satisfied such that there are three eigenvalues larger than one in modulus as there are</w:t>
      </w:r>
      <w:r>
        <w:rPr>
          <w:spacing w:val="1"/>
        </w:rPr>
        <w:t> </w:t>
      </w:r>
      <w:r>
        <w:rPr/>
        <w:t>three forward-looking variables in the system. This depicts the existence of a unique solution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estimated system of equations.</w:t>
      </w:r>
    </w:p>
    <w:p>
      <w:pPr>
        <w:pStyle w:val="Heading1"/>
        <w:numPr>
          <w:ilvl w:val="2"/>
          <w:numId w:val="31"/>
        </w:numPr>
        <w:tabs>
          <w:tab w:pos="1214" w:val="left" w:leader="none"/>
        </w:tabs>
        <w:spacing w:line="240" w:lineRule="auto" w:before="206" w:after="0"/>
        <w:ind w:left="1213" w:right="0" w:hanging="714"/>
        <w:jc w:val="both"/>
      </w:pPr>
      <w:bookmarkStart w:name="_TOC_250012" w:id="48"/>
      <w:r>
        <w:rPr/>
        <w:t>Identification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Parameter</w:t>
      </w:r>
      <w:r>
        <w:rPr>
          <w:spacing w:val="-1"/>
        </w:rPr>
        <w:t> </w:t>
      </w:r>
      <w:bookmarkEnd w:id="48"/>
      <w:r>
        <w:rPr/>
        <w:t>Estimates</w:t>
      </w:r>
    </w:p>
    <w:p>
      <w:pPr>
        <w:pStyle w:val="BodyText"/>
        <w:spacing w:line="360" w:lineRule="auto" w:before="238"/>
        <w:ind w:left="500" w:right="493"/>
        <w:jc w:val="both"/>
      </w:pPr>
      <w:r>
        <w:rPr/>
        <w:t>The estimated parameters of the model are expected to be identified by the observed data. This</w:t>
      </w:r>
      <w:r>
        <w:rPr>
          <w:spacing w:val="1"/>
        </w:rPr>
        <w:t> </w:t>
      </w:r>
      <w:r>
        <w:rPr/>
        <w:t>means that the observed data provide sufficient information about the parameters. The criterion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gauge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distinctness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posterior</w:t>
      </w:r>
      <w:r>
        <w:rPr>
          <w:spacing w:val="1"/>
        </w:rPr>
        <w:t> </w:t>
      </w:r>
      <w:r>
        <w:rPr/>
        <w:t>distribution such that they are not the same. Identical prior and posterior distributions imply that</w:t>
      </w:r>
      <w:r>
        <w:rPr>
          <w:spacing w:val="1"/>
        </w:rPr>
        <w:t> </w:t>
      </w:r>
      <w:r>
        <w:rPr/>
        <w:t>the concerned parameter is only weakly identified and the data is uninformative. It can also mean</w:t>
      </w:r>
      <w:r>
        <w:rPr>
          <w:spacing w:val="-57"/>
        </w:rPr>
        <w:t> </w:t>
      </w:r>
      <w:r>
        <w:rPr/>
        <w:t>in a converse manner that the data provides perfectly accurate information about the parameter.</w:t>
      </w:r>
      <w:r>
        <w:rPr>
          <w:spacing w:val="1"/>
        </w:rPr>
        <w:t> </w:t>
      </w:r>
      <w:r>
        <w:rPr/>
        <w:t>Tables 5.1 to 5.4 show that the prior values are different from the posterior values for most of the</w:t>
      </w:r>
      <w:r>
        <w:rPr>
          <w:spacing w:val="-57"/>
        </w:rPr>
        <w:t> </w:t>
      </w:r>
      <w:r>
        <w:rPr/>
        <w:t>estimated</w:t>
      </w:r>
      <w:r>
        <w:rPr>
          <w:spacing w:val="-2"/>
        </w:rPr>
        <w:t> </w:t>
      </w:r>
      <w:r>
        <w:rPr/>
        <w:t>parameters.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also</w:t>
      </w:r>
      <w:r>
        <w:rPr>
          <w:spacing w:val="-1"/>
        </w:rPr>
        <w:t> </w:t>
      </w:r>
      <w:r>
        <w:rPr/>
        <w:t>corroborated</w:t>
      </w:r>
      <w:r>
        <w:rPr>
          <w:spacing w:val="-2"/>
        </w:rPr>
        <w:t> </w:t>
      </w:r>
      <w:r>
        <w:rPr/>
        <w:t>by</w:t>
      </w:r>
      <w:r>
        <w:rPr>
          <w:spacing w:val="-4"/>
        </w:rPr>
        <w:t> </w:t>
      </w:r>
      <w:r>
        <w:rPr/>
        <w:t>the plots</w:t>
      </w:r>
      <w:r>
        <w:rPr>
          <w:spacing w:val="-4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Figures</w:t>
      </w:r>
      <w:r>
        <w:rPr>
          <w:spacing w:val="-1"/>
        </w:rPr>
        <w:t> </w:t>
      </w:r>
      <w:r>
        <w:rPr/>
        <w:t>5.5a,</w:t>
      </w:r>
      <w:r>
        <w:rPr>
          <w:spacing w:val="-1"/>
        </w:rPr>
        <w:t> </w:t>
      </w:r>
      <w:r>
        <w:rPr/>
        <w:t>5.5b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in</w:t>
      </w:r>
      <w:r>
        <w:rPr>
          <w:spacing w:val="-57"/>
        </w:rPr>
        <w:t> </w:t>
      </w:r>
      <w:r>
        <w:rPr/>
        <w:t>Appendix nine, which shows that the prior distribution (grey line) is distinct from the posterior</w:t>
      </w:r>
      <w:r>
        <w:rPr>
          <w:spacing w:val="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(black line) for most of the parameters.</w:t>
      </w:r>
    </w:p>
    <w:p>
      <w:pPr>
        <w:pStyle w:val="BodyText"/>
        <w:spacing w:line="360" w:lineRule="auto" w:before="203"/>
        <w:ind w:left="500" w:right="494"/>
        <w:jc w:val="both"/>
      </w:pPr>
      <w:r>
        <w:rPr/>
        <w:t>Furthermore, the plots of posterior distribution (black curve) possess a near normal shape while,</w:t>
      </w:r>
      <w:r>
        <w:rPr>
          <w:spacing w:val="1"/>
        </w:rPr>
        <w:t> </w:t>
      </w:r>
      <w:r>
        <w:rPr/>
        <w:t>at the same time, the mode computed from the numerical optimization of the posterior kernel</w:t>
      </w:r>
      <w:r>
        <w:rPr>
          <w:spacing w:val="1"/>
        </w:rPr>
        <w:t> </w:t>
      </w:r>
      <w:r>
        <w:rPr/>
        <w:t>(green</w:t>
      </w:r>
      <w:r>
        <w:rPr>
          <w:spacing w:val="-9"/>
        </w:rPr>
        <w:t> </w:t>
      </w:r>
      <w:r>
        <w:rPr/>
        <w:t>vertical</w:t>
      </w:r>
      <w:r>
        <w:rPr>
          <w:spacing w:val="-10"/>
        </w:rPr>
        <w:t> </w:t>
      </w:r>
      <w:r>
        <w:rPr/>
        <w:t>line)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seen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be</w:t>
      </w:r>
      <w:r>
        <w:rPr>
          <w:spacing w:val="-12"/>
        </w:rPr>
        <w:t> </w:t>
      </w:r>
      <w:r>
        <w:rPr/>
        <w:t>close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peak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posterior</w:t>
      </w:r>
      <w:r>
        <w:rPr>
          <w:spacing w:val="-11"/>
        </w:rPr>
        <w:t> </w:t>
      </w:r>
      <w:r>
        <w:rPr/>
        <w:t>distribution</w:t>
      </w:r>
      <w:r>
        <w:rPr>
          <w:spacing w:val="-10"/>
        </w:rPr>
        <w:t> </w:t>
      </w:r>
      <w:r>
        <w:rPr/>
        <w:t>(black</w:t>
      </w:r>
      <w:r>
        <w:rPr>
          <w:spacing w:val="-8"/>
        </w:rPr>
        <w:t> </w:t>
      </w:r>
      <w:r>
        <w:rPr/>
        <w:t>curve).</w:t>
      </w:r>
      <w:r>
        <w:rPr>
          <w:spacing w:val="-12"/>
        </w:rPr>
        <w:t> </w:t>
      </w:r>
      <w:r>
        <w:rPr/>
        <w:t>These</w:t>
      </w:r>
      <w:r>
        <w:rPr>
          <w:spacing w:val="-57"/>
        </w:rPr>
        <w:t> </w:t>
      </w:r>
      <w:r>
        <w:rPr/>
        <w:t>two</w:t>
      </w:r>
      <w:r>
        <w:rPr>
          <w:spacing w:val="-1"/>
        </w:rPr>
        <w:t> </w:t>
      </w:r>
      <w:r>
        <w:rPr/>
        <w:t>additional features justify</w:t>
      </w:r>
      <w:r>
        <w:rPr>
          <w:spacing w:val="-5"/>
        </w:rPr>
        <w:t> </w:t>
      </w:r>
      <w:r>
        <w:rPr/>
        <w:t>further</w:t>
      </w:r>
      <w:r>
        <w:rPr>
          <w:spacing w:val="-1"/>
        </w:rPr>
        <w:t> </w:t>
      </w:r>
      <w:r>
        <w:rPr/>
        <w:t>confidence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output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estimated model.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1331"/>
        <w:rPr>
          <w:sz w:val="20"/>
        </w:rPr>
      </w:pPr>
      <w:r>
        <w:rPr>
          <w:sz w:val="20"/>
        </w:rPr>
        <w:drawing>
          <wp:inline distT="0" distB="0" distL="0" distR="0">
            <wp:extent cx="5308907" cy="4589145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907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1"/>
        <w:ind w:left="500"/>
      </w:pPr>
      <w:r>
        <w:rPr/>
        <w:t>Figure</w:t>
      </w:r>
      <w:r>
        <w:rPr>
          <w:spacing w:val="-3"/>
        </w:rPr>
        <w:t> </w:t>
      </w:r>
      <w:r>
        <w:rPr/>
        <w:t>5.5a:</w:t>
      </w:r>
      <w:r>
        <w:rPr>
          <w:spacing w:val="-1"/>
        </w:rPr>
        <w:t> </w:t>
      </w:r>
      <w:r>
        <w:rPr/>
        <w:t>Prior-Posterior</w:t>
      </w:r>
      <w:r>
        <w:rPr>
          <w:spacing w:val="-1"/>
        </w:rPr>
        <w:t> </w:t>
      </w:r>
      <w:r>
        <w:rPr/>
        <w:t>Plots</w:t>
      </w:r>
    </w:p>
    <w:p>
      <w:pPr>
        <w:spacing w:after="0"/>
        <w:sectPr>
          <w:pgSz w:w="12240" w:h="15840"/>
          <w:pgMar w:header="0" w:footer="935" w:top="1500" w:bottom="1200" w:left="940" w:right="940"/>
        </w:sect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ind w:left="1390"/>
        <w:rPr>
          <w:sz w:val="20"/>
        </w:rPr>
      </w:pPr>
      <w:r>
        <w:rPr>
          <w:sz w:val="20"/>
        </w:rPr>
        <w:drawing>
          <wp:inline distT="0" distB="0" distL="0" distR="0">
            <wp:extent cx="4525036" cy="4359687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036" cy="435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0"/>
        <w:ind w:left="500"/>
        <w:jc w:val="both"/>
      </w:pPr>
      <w:r>
        <w:rPr/>
        <w:t>Figure</w:t>
      </w:r>
      <w:r>
        <w:rPr>
          <w:spacing w:val="-3"/>
        </w:rPr>
        <w:t> </w:t>
      </w:r>
      <w:r>
        <w:rPr/>
        <w:t>5.5b:</w:t>
      </w:r>
      <w:r>
        <w:rPr>
          <w:spacing w:val="-1"/>
        </w:rPr>
        <w:t> </w:t>
      </w:r>
      <w:r>
        <w:rPr/>
        <w:t>Prior-Posterior Plots</w:t>
      </w:r>
    </w:p>
    <w:p>
      <w:pPr>
        <w:pStyle w:val="BodyText"/>
        <w:spacing w:before="10"/>
        <w:rPr>
          <w:sz w:val="29"/>
        </w:rPr>
      </w:pPr>
    </w:p>
    <w:p>
      <w:pPr>
        <w:pStyle w:val="Heading1"/>
        <w:numPr>
          <w:ilvl w:val="2"/>
          <w:numId w:val="31"/>
        </w:numPr>
        <w:tabs>
          <w:tab w:pos="1214" w:val="left" w:leader="none"/>
        </w:tabs>
        <w:spacing w:line="240" w:lineRule="auto" w:before="0" w:after="0"/>
        <w:ind w:left="1213" w:right="0" w:hanging="714"/>
        <w:jc w:val="both"/>
      </w:pPr>
      <w:bookmarkStart w:name="_TOC_250011" w:id="49"/>
      <w:r>
        <w:rPr/>
        <w:t>Mode</w:t>
      </w:r>
      <w:r>
        <w:rPr>
          <w:spacing w:val="-2"/>
        </w:rPr>
        <w:t> </w:t>
      </w:r>
      <w:bookmarkEnd w:id="49"/>
      <w:r>
        <w:rPr/>
        <w:t>Check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360" w:lineRule="auto" w:before="1"/>
        <w:ind w:left="500" w:right="497"/>
        <w:jc w:val="both"/>
      </w:pP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accuracy</w:t>
      </w:r>
      <w:r>
        <w:rPr>
          <w:spacing w:val="-15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Monte-Carlo</w:t>
      </w:r>
      <w:r>
        <w:rPr>
          <w:spacing w:val="-10"/>
        </w:rPr>
        <w:t> </w:t>
      </w:r>
      <w:r>
        <w:rPr/>
        <w:t>based</w:t>
      </w:r>
      <w:r>
        <w:rPr>
          <w:spacing w:val="-10"/>
        </w:rPr>
        <w:t> </w:t>
      </w:r>
      <w:r>
        <w:rPr/>
        <w:t>optimisation</w:t>
      </w:r>
      <w:r>
        <w:rPr>
          <w:spacing w:val="-10"/>
        </w:rPr>
        <w:t> </w:t>
      </w:r>
      <w:r>
        <w:rPr/>
        <w:t>routine</w:t>
      </w:r>
      <w:r>
        <w:rPr>
          <w:spacing w:val="-11"/>
        </w:rPr>
        <w:t> </w:t>
      </w:r>
      <w:r>
        <w:rPr/>
        <w:t>used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computing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posterior</w:t>
      </w:r>
      <w:r>
        <w:rPr>
          <w:spacing w:val="-11"/>
        </w:rPr>
        <w:t> </w:t>
      </w:r>
      <w:r>
        <w:rPr/>
        <w:t>mode</w:t>
      </w:r>
      <w:r>
        <w:rPr>
          <w:spacing w:val="-57"/>
        </w:rPr>
        <w:t> </w:t>
      </w:r>
      <w:r>
        <w:rPr>
          <w:spacing w:val="-1"/>
        </w:rPr>
        <w:t>is</w:t>
      </w:r>
      <w:r>
        <w:rPr>
          <w:spacing w:val="-9"/>
        </w:rPr>
        <w:t> </w:t>
      </w:r>
      <w:r>
        <w:rPr>
          <w:spacing w:val="-1"/>
        </w:rPr>
        <w:t>inspected</w:t>
      </w:r>
      <w:r>
        <w:rPr>
          <w:spacing w:val="-11"/>
        </w:rPr>
        <w:t> </w:t>
      </w:r>
      <w:r>
        <w:rPr>
          <w:spacing w:val="-1"/>
        </w:rPr>
        <w:t>using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mode</w:t>
      </w:r>
      <w:r>
        <w:rPr>
          <w:spacing w:val="-11"/>
        </w:rPr>
        <w:t> </w:t>
      </w:r>
      <w:r>
        <w:rPr/>
        <w:t>check</w:t>
      </w:r>
      <w:r>
        <w:rPr>
          <w:spacing w:val="-10"/>
        </w:rPr>
        <w:t> </w:t>
      </w:r>
      <w:r>
        <w:rPr/>
        <w:t>plots.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computed</w:t>
      </w:r>
      <w:r>
        <w:rPr>
          <w:spacing w:val="-10"/>
        </w:rPr>
        <w:t> </w:t>
      </w:r>
      <w:r>
        <w:rPr/>
        <w:t>mode</w:t>
      </w:r>
      <w:r>
        <w:rPr>
          <w:spacing w:val="-11"/>
        </w:rPr>
        <w:t> </w:t>
      </w:r>
      <w:r>
        <w:rPr/>
        <w:t>(green</w:t>
      </w:r>
      <w:r>
        <w:rPr>
          <w:spacing w:val="-10"/>
        </w:rPr>
        <w:t> </w:t>
      </w:r>
      <w:r>
        <w:rPr/>
        <w:t>line)</w:t>
      </w:r>
      <w:r>
        <w:rPr>
          <w:spacing w:val="-10"/>
        </w:rPr>
        <w:t> </w:t>
      </w:r>
      <w:r>
        <w:rPr/>
        <w:t>should</w:t>
      </w:r>
      <w:r>
        <w:rPr>
          <w:spacing w:val="-10"/>
        </w:rPr>
        <w:t> </w:t>
      </w:r>
      <w:r>
        <w:rPr/>
        <w:t>ideally</w:t>
      </w:r>
      <w:r>
        <w:rPr>
          <w:spacing w:val="-17"/>
        </w:rPr>
        <w:t> </w:t>
      </w:r>
      <w:r>
        <w:rPr/>
        <w:t>be</w:t>
      </w:r>
      <w:r>
        <w:rPr>
          <w:spacing w:val="-11"/>
        </w:rPr>
        <w:t> </w:t>
      </w:r>
      <w:r>
        <w:rPr/>
        <w:t>located</w:t>
      </w:r>
      <w:r>
        <w:rPr>
          <w:spacing w:val="-57"/>
        </w:rPr>
        <w:t> </w:t>
      </w:r>
      <w:r>
        <w:rPr/>
        <w:t>at the maximum of the posterior likelihood (blue line) for each parameter. There are possible</w:t>
      </w:r>
      <w:r>
        <w:rPr>
          <w:spacing w:val="1"/>
        </w:rPr>
        <w:t> </w:t>
      </w:r>
      <w:r>
        <w:rPr/>
        <w:t>problems</w:t>
      </w:r>
      <w:r>
        <w:rPr>
          <w:spacing w:val="3"/>
        </w:rPr>
        <w:t> </w:t>
      </w:r>
      <w:r>
        <w:rPr/>
        <w:t>with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optimization</w:t>
      </w:r>
      <w:r>
        <w:rPr>
          <w:spacing w:val="3"/>
        </w:rPr>
        <w:t> </w:t>
      </w:r>
      <w:r>
        <w:rPr/>
        <w:t>routine</w:t>
      </w:r>
      <w:r>
        <w:rPr>
          <w:spacing w:val="2"/>
        </w:rPr>
        <w:t> </w:t>
      </w:r>
      <w:r>
        <w:rPr/>
        <w:t>if this</w:t>
      </w:r>
      <w:r>
        <w:rPr>
          <w:spacing w:val="1"/>
        </w:rPr>
        <w:t> </w:t>
      </w:r>
      <w:r>
        <w:rPr/>
        <w:t>is</w:t>
      </w:r>
      <w:r>
        <w:rPr>
          <w:spacing w:val="4"/>
        </w:rPr>
        <w:t> </w:t>
      </w:r>
      <w:r>
        <w:rPr/>
        <w:t>not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case.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mode</w:t>
      </w:r>
      <w:r>
        <w:rPr>
          <w:spacing w:val="3"/>
        </w:rPr>
        <w:t> </w:t>
      </w:r>
      <w:r>
        <w:rPr/>
        <w:t>plots</w:t>
      </w:r>
      <w:r>
        <w:rPr>
          <w:spacing w:val="3"/>
        </w:rPr>
        <w:t> </w:t>
      </w:r>
      <w:r>
        <w:rPr/>
        <w:t>presented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Figure</w:t>
      </w:r>
    </w:p>
    <w:p>
      <w:pPr>
        <w:pStyle w:val="BodyText"/>
        <w:spacing w:line="360" w:lineRule="auto"/>
        <w:ind w:left="500" w:right="493"/>
        <w:jc w:val="both"/>
      </w:pPr>
      <w:r>
        <w:rPr/>
        <w:t>5.6 show that the estimated mode (green line) is close to the maximum of the posterior likelihood</w:t>
      </w:r>
      <w:r>
        <w:rPr>
          <w:spacing w:val="-57"/>
        </w:rPr>
        <w:t> </w:t>
      </w:r>
      <w:r>
        <w:rPr/>
        <w:t>(blue line). The implication is that the optimiser was able to compute a robust maximum for the</w:t>
      </w:r>
      <w:r>
        <w:rPr>
          <w:spacing w:val="1"/>
        </w:rPr>
        <w:t> </w:t>
      </w:r>
      <w:r>
        <w:rPr/>
        <w:t>posterior</w:t>
      </w:r>
      <w:r>
        <w:rPr>
          <w:spacing w:val="-7"/>
        </w:rPr>
        <w:t> </w:t>
      </w:r>
      <w:r>
        <w:rPr/>
        <w:t>mode.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deviations</w:t>
      </w:r>
      <w:r>
        <w:rPr>
          <w:spacing w:val="-5"/>
        </w:rPr>
        <w:t> </w:t>
      </w:r>
      <w:r>
        <w:rPr/>
        <w:t>between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red</w:t>
      </w:r>
      <w:r>
        <w:rPr>
          <w:spacing w:val="-5"/>
        </w:rPr>
        <w:t> </w:t>
      </w:r>
      <w:r>
        <w:rPr/>
        <w:t>line</w:t>
      </w:r>
      <w:r>
        <w:rPr>
          <w:spacing w:val="-7"/>
        </w:rPr>
        <w:t> </w:t>
      </w:r>
      <w:r>
        <w:rPr/>
        <w:t>(posterior</w:t>
      </w:r>
      <w:r>
        <w:rPr>
          <w:spacing w:val="-4"/>
        </w:rPr>
        <w:t> </w:t>
      </w:r>
      <w:r>
        <w:rPr/>
        <w:t>mode)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blue</w:t>
      </w:r>
      <w:r>
        <w:rPr>
          <w:spacing w:val="-6"/>
        </w:rPr>
        <w:t> </w:t>
      </w:r>
      <w:r>
        <w:rPr/>
        <w:t>line</w:t>
      </w:r>
      <w:r>
        <w:rPr>
          <w:spacing w:val="-5"/>
        </w:rPr>
        <w:t> </w:t>
      </w:r>
      <w:r>
        <w:rPr/>
        <w:t>(likelihood</w:t>
      </w:r>
      <w:r>
        <w:rPr>
          <w:spacing w:val="-57"/>
        </w:rPr>
        <w:t> </w:t>
      </w:r>
      <w:r>
        <w:rPr/>
        <w:t>function)</w:t>
      </w:r>
      <w:r>
        <w:rPr>
          <w:spacing w:val="-1"/>
        </w:rPr>
        <w:t> </w:t>
      </w:r>
      <w:r>
        <w:rPr/>
        <w:t>depict the influence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prior</w:t>
      </w:r>
      <w:r>
        <w:rPr>
          <w:spacing w:val="-1"/>
        </w:rPr>
        <w:t> </w:t>
      </w:r>
      <w:r>
        <w:rPr/>
        <w:t>on the likelihood function</w:t>
      </w:r>
      <w:r>
        <w:rPr>
          <w:spacing w:val="-1"/>
        </w:rPr>
        <w:t> </w:t>
      </w:r>
      <w:r>
        <w:rPr/>
        <w:t>(blue line).</w:t>
      </w:r>
    </w:p>
    <w:p>
      <w:pPr>
        <w:spacing w:after="0" w:line="360" w:lineRule="auto"/>
        <w:jc w:val="both"/>
        <w:sectPr>
          <w:pgSz w:w="12240" w:h="15840"/>
          <w:pgMar w:header="0" w:footer="935" w:top="1500" w:bottom="1200" w:left="94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1284"/>
        <w:rPr>
          <w:sz w:val="20"/>
        </w:rPr>
      </w:pPr>
      <w:r>
        <w:rPr>
          <w:sz w:val="20"/>
        </w:rPr>
        <w:drawing>
          <wp:inline distT="0" distB="0" distL="0" distR="0">
            <wp:extent cx="4882027" cy="4447794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027" cy="444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500"/>
      </w:pPr>
      <w:r>
        <w:rPr/>
        <w:t>Figure</w:t>
      </w:r>
      <w:r>
        <w:rPr>
          <w:spacing w:val="-3"/>
        </w:rPr>
        <w:t> </w:t>
      </w:r>
      <w:r>
        <w:rPr/>
        <w:t>5.6a:</w:t>
      </w:r>
      <w:r>
        <w:rPr>
          <w:spacing w:val="-1"/>
        </w:rPr>
        <w:t> </w:t>
      </w:r>
      <w:r>
        <w:rPr/>
        <w:t>Mode Check</w:t>
      </w:r>
      <w:r>
        <w:rPr>
          <w:spacing w:val="1"/>
        </w:rPr>
        <w:t> </w:t>
      </w:r>
      <w:r>
        <w:rPr/>
        <w:t>Plot</w:t>
      </w:r>
    </w:p>
    <w:p>
      <w:pPr>
        <w:spacing w:after="0"/>
        <w:sectPr>
          <w:pgSz w:w="12240" w:h="15840"/>
          <w:pgMar w:header="0" w:footer="935" w:top="1500" w:bottom="1200" w:left="940" w:right="940"/>
        </w:sectPr>
      </w:pPr>
    </w:p>
    <w:p>
      <w:pPr>
        <w:pStyle w:val="BodyText"/>
        <w:ind w:left="1254"/>
        <w:rPr>
          <w:sz w:val="20"/>
        </w:rPr>
      </w:pPr>
      <w:r>
        <w:rPr>
          <w:sz w:val="20"/>
        </w:rPr>
        <w:drawing>
          <wp:inline distT="0" distB="0" distL="0" distR="0">
            <wp:extent cx="4771211" cy="3421379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211" cy="342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18">
            <wp:simplePos x="0" y="0"/>
            <wp:positionH relativeFrom="page">
              <wp:posOffset>1253459</wp:posOffset>
            </wp:positionH>
            <wp:positionV relativeFrom="paragraph">
              <wp:posOffset>140207</wp:posOffset>
            </wp:positionV>
            <wp:extent cx="4770942" cy="4105655"/>
            <wp:effectExtent l="0" t="0" r="0" b="0"/>
            <wp:wrapTopAndBottom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942" cy="410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before="90"/>
        <w:ind w:left="500"/>
      </w:pPr>
      <w:r>
        <w:rPr/>
        <w:t>Figures</w:t>
      </w:r>
      <w:r>
        <w:rPr>
          <w:spacing w:val="-1"/>
        </w:rPr>
        <w:t> </w:t>
      </w:r>
      <w:r>
        <w:rPr/>
        <w:t>5.6b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c:</w:t>
      </w:r>
      <w:r>
        <w:rPr>
          <w:spacing w:val="-1"/>
        </w:rPr>
        <w:t> </w:t>
      </w:r>
      <w:r>
        <w:rPr/>
        <w:t>Mode</w:t>
      </w:r>
      <w:r>
        <w:rPr>
          <w:spacing w:val="-2"/>
        </w:rPr>
        <w:t> </w:t>
      </w:r>
      <w:r>
        <w:rPr/>
        <w:t>Check</w:t>
      </w:r>
      <w:r>
        <w:rPr>
          <w:spacing w:val="-1"/>
        </w:rPr>
        <w:t> </w:t>
      </w:r>
      <w:r>
        <w:rPr/>
        <w:t>Plots</w:t>
      </w:r>
    </w:p>
    <w:p>
      <w:pPr>
        <w:spacing w:after="0"/>
        <w:sectPr>
          <w:pgSz w:w="12240" w:h="15840"/>
          <w:pgMar w:header="0" w:footer="935" w:top="1440" w:bottom="1200" w:left="940" w:right="940"/>
        </w:sectPr>
      </w:pPr>
    </w:p>
    <w:p>
      <w:pPr>
        <w:pStyle w:val="Heading1"/>
        <w:numPr>
          <w:ilvl w:val="2"/>
          <w:numId w:val="31"/>
        </w:numPr>
        <w:tabs>
          <w:tab w:pos="1214" w:val="left" w:leader="none"/>
        </w:tabs>
        <w:spacing w:line="240" w:lineRule="auto" w:before="62" w:after="0"/>
        <w:ind w:left="1213" w:right="0" w:hanging="714"/>
        <w:jc w:val="left"/>
      </w:pPr>
      <w:bookmarkStart w:name="_TOC_250010" w:id="50"/>
      <w:r>
        <w:rPr/>
        <w:t>Univariate Convergence</w:t>
      </w:r>
      <w:r>
        <w:rPr>
          <w:spacing w:val="-3"/>
        </w:rPr>
        <w:t> </w:t>
      </w:r>
      <w:bookmarkEnd w:id="50"/>
      <w:r>
        <w:rPr/>
        <w:t>Statistics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360" w:lineRule="auto"/>
        <w:ind w:left="500" w:right="497"/>
        <w:jc w:val="both"/>
      </w:pPr>
      <w:r>
        <w:rPr/>
        <w:t>This is the Brooks and Gelman (1998) test used to monitor the convergence of the Metropolis-</w:t>
      </w:r>
      <w:r>
        <w:rPr>
          <w:spacing w:val="1"/>
        </w:rPr>
        <w:t> </w:t>
      </w:r>
      <w:r>
        <w:rPr/>
        <w:t>Hastings simulations. It requires that the iterations between and within the five distinct parallel</w:t>
      </w:r>
      <w:r>
        <w:rPr>
          <w:spacing w:val="1"/>
        </w:rPr>
        <w:t> </w:t>
      </w:r>
      <w:r>
        <w:rPr/>
        <w:t>chains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parameters.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convergence of the MH simulations can be assessed by observing the graphical output produced</w:t>
      </w:r>
      <w:r>
        <w:rPr>
          <w:spacing w:val="1"/>
        </w:rPr>
        <w:t> </w:t>
      </w:r>
      <w:r>
        <w:rPr/>
        <w:t>by Dynare. In each graph, the red line (within chain) and the blue line (between chain) should be</w:t>
      </w:r>
      <w:r>
        <w:rPr>
          <w:spacing w:val="1"/>
        </w:rPr>
        <w:t> </w:t>
      </w:r>
      <w:r>
        <w:rPr/>
        <w:t>close and stabilise horizontally for the moments, that is, the mean, variance and third moment of</w:t>
      </w:r>
      <w:r>
        <w:rPr>
          <w:spacing w:val="1"/>
        </w:rPr>
        <w:t> </w:t>
      </w:r>
      <w:r>
        <w:rPr/>
        <w:t>each</w:t>
      </w:r>
      <w:r>
        <w:rPr>
          <w:spacing w:val="-10"/>
        </w:rPr>
        <w:t> </w:t>
      </w:r>
      <w:r>
        <w:rPr/>
        <w:t>estimated</w:t>
      </w:r>
      <w:r>
        <w:rPr>
          <w:spacing w:val="-11"/>
        </w:rPr>
        <w:t> </w:t>
      </w:r>
      <w:r>
        <w:rPr/>
        <w:t>parameter.</w:t>
      </w:r>
      <w:r>
        <w:rPr>
          <w:spacing w:val="-11"/>
        </w:rPr>
        <w:t> </w:t>
      </w:r>
      <w:r>
        <w:rPr/>
        <w:t>Figures</w:t>
      </w:r>
      <w:r>
        <w:rPr>
          <w:spacing w:val="-11"/>
        </w:rPr>
        <w:t> </w:t>
      </w:r>
      <w:r>
        <w:rPr/>
        <w:t>5.7a,</w:t>
      </w:r>
      <w:r>
        <w:rPr>
          <w:spacing w:val="-11"/>
        </w:rPr>
        <w:t> </w:t>
      </w:r>
      <w:r>
        <w:rPr/>
        <w:t>b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Appendix</w:t>
      </w:r>
      <w:r>
        <w:rPr>
          <w:spacing w:val="-9"/>
        </w:rPr>
        <w:t> </w:t>
      </w:r>
      <w:r>
        <w:rPr/>
        <w:t>two</w:t>
      </w:r>
      <w:r>
        <w:rPr>
          <w:spacing w:val="-11"/>
        </w:rPr>
        <w:t> </w:t>
      </w:r>
      <w:r>
        <w:rPr/>
        <w:t>presents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result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Monte</w:t>
      </w:r>
      <w:r>
        <w:rPr>
          <w:spacing w:val="-12"/>
        </w:rPr>
        <w:t> </w:t>
      </w:r>
      <w:r>
        <w:rPr/>
        <w:t>Carlo</w:t>
      </w:r>
      <w:r>
        <w:rPr>
          <w:spacing w:val="-58"/>
        </w:rPr>
        <w:t> </w:t>
      </w:r>
      <w:r>
        <w:rPr/>
        <w:t>Markov Chains (MCMC) univariate diagnostics and shows convergence, that is, the red and blue</w:t>
      </w:r>
      <w:r>
        <w:rPr>
          <w:spacing w:val="-57"/>
        </w:rPr>
        <w:t> </w:t>
      </w:r>
      <w:r>
        <w:rPr/>
        <w:t>lines converge and are relatively stable, for most of the parameters. Grifolli (2013) highlights the</w:t>
      </w:r>
      <w:r>
        <w:rPr>
          <w:spacing w:val="-57"/>
        </w:rPr>
        <w:t> </w:t>
      </w:r>
      <w:r>
        <w:rPr/>
        <w:t>convergence and stability property of the Metropolis-Hastings iterations as the primary avenue to</w:t>
      </w:r>
      <w:r>
        <w:rPr>
          <w:spacing w:val="-57"/>
        </w:rPr>
        <w:t> </w:t>
      </w:r>
      <w:r>
        <w:rPr/>
        <w:t>justify</w:t>
      </w:r>
      <w:r>
        <w:rPr>
          <w:spacing w:val="-11"/>
        </w:rPr>
        <w:t> </w:t>
      </w:r>
      <w:r>
        <w:rPr/>
        <w:t>the</w:t>
      </w:r>
      <w:r>
        <w:rPr>
          <w:spacing w:val="-6"/>
        </w:rPr>
        <w:t> </w:t>
      </w:r>
      <w:r>
        <w:rPr/>
        <w:t>sensibility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estimation</w:t>
      </w:r>
      <w:r>
        <w:rPr>
          <w:spacing w:val="-5"/>
        </w:rPr>
        <w:t> </w:t>
      </w:r>
      <w:r>
        <w:rPr/>
        <w:t>results.</w:t>
      </w:r>
      <w:r>
        <w:rPr>
          <w:spacing w:val="-5"/>
        </w:rPr>
        <w:t> </w:t>
      </w:r>
      <w:r>
        <w:rPr/>
        <w:t>This,</w:t>
      </w:r>
      <w:r>
        <w:rPr>
          <w:spacing w:val="-5"/>
        </w:rPr>
        <w:t> </w:t>
      </w:r>
      <w:r>
        <w:rPr/>
        <w:t>therefore,</w:t>
      </w:r>
      <w:r>
        <w:rPr>
          <w:spacing w:val="-5"/>
        </w:rPr>
        <w:t> </w:t>
      </w:r>
      <w:r>
        <w:rPr/>
        <w:t>implies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estimated</w:t>
      </w:r>
      <w:r>
        <w:rPr>
          <w:spacing w:val="-5"/>
        </w:rPr>
        <w:t> </w:t>
      </w:r>
      <w:r>
        <w:rPr/>
        <w:t>results</w:t>
      </w:r>
      <w:r>
        <w:rPr>
          <w:spacing w:val="-5"/>
        </w:rPr>
        <w:t> </w:t>
      </w:r>
      <w:r>
        <w:rPr/>
        <w:t>in</w:t>
      </w:r>
      <w:r>
        <w:rPr>
          <w:spacing w:val="-57"/>
        </w:rPr>
        <w:t> </w:t>
      </w:r>
      <w:r>
        <w:rPr/>
        <w:t>this study</w:t>
      </w:r>
      <w:r>
        <w:rPr>
          <w:spacing w:val="-6"/>
        </w:rPr>
        <w:t> </w:t>
      </w:r>
      <w:r>
        <w:rPr/>
        <w:t>are</w:t>
      </w:r>
      <w:r>
        <w:rPr>
          <w:spacing w:val="-2"/>
        </w:rPr>
        <w:t> </w:t>
      </w:r>
      <w:r>
        <w:rPr/>
        <w:t>sensible.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19">
            <wp:simplePos x="0" y="0"/>
            <wp:positionH relativeFrom="page">
              <wp:posOffset>1404675</wp:posOffset>
            </wp:positionH>
            <wp:positionV relativeFrom="paragraph">
              <wp:posOffset>136053</wp:posOffset>
            </wp:positionV>
            <wp:extent cx="4830121" cy="3511296"/>
            <wp:effectExtent l="0" t="0" r="0" b="0"/>
            <wp:wrapTopAndBottom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121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7"/>
        <w:ind w:left="500"/>
        <w:jc w:val="both"/>
      </w:pPr>
      <w:r>
        <w:rPr/>
        <w:t>Figure</w:t>
      </w:r>
      <w:r>
        <w:rPr>
          <w:spacing w:val="-4"/>
        </w:rPr>
        <w:t> </w:t>
      </w:r>
      <w:r>
        <w:rPr/>
        <w:t>5.7a:</w:t>
      </w:r>
      <w:r>
        <w:rPr>
          <w:spacing w:val="-1"/>
        </w:rPr>
        <w:t> </w:t>
      </w:r>
      <w:r>
        <w:rPr/>
        <w:t>MCMC</w:t>
      </w:r>
      <w:r>
        <w:rPr>
          <w:spacing w:val="-1"/>
        </w:rPr>
        <w:t> </w:t>
      </w:r>
      <w:r>
        <w:rPr/>
        <w:t>Univariate</w:t>
      </w:r>
      <w:r>
        <w:rPr>
          <w:spacing w:val="-1"/>
        </w:rPr>
        <w:t> </w:t>
      </w:r>
      <w:r>
        <w:rPr/>
        <w:t>Diagnostics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parameters</w:t>
      </w:r>
    </w:p>
    <w:p>
      <w:pPr>
        <w:spacing w:after="0"/>
        <w:jc w:val="both"/>
        <w:sectPr>
          <w:pgSz w:w="12240" w:h="15840"/>
          <w:pgMar w:header="0" w:footer="935" w:top="1380" w:bottom="1200" w:left="94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8"/>
        </w:rPr>
      </w:pPr>
    </w:p>
    <w:p>
      <w:pPr>
        <w:pStyle w:val="BodyText"/>
        <w:ind w:left="1277"/>
        <w:rPr>
          <w:sz w:val="20"/>
        </w:rPr>
      </w:pPr>
      <w:r>
        <w:rPr>
          <w:sz w:val="20"/>
        </w:rPr>
        <w:drawing>
          <wp:inline distT="0" distB="0" distL="0" distR="0">
            <wp:extent cx="4832689" cy="3803904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689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90"/>
        <w:ind w:left="500"/>
        <w:jc w:val="both"/>
      </w:pPr>
      <w:r>
        <w:rPr/>
        <w:t>Figure</w:t>
      </w:r>
      <w:r>
        <w:rPr>
          <w:spacing w:val="-4"/>
        </w:rPr>
        <w:t> </w:t>
      </w:r>
      <w:r>
        <w:rPr/>
        <w:t>5.7b:</w:t>
      </w:r>
      <w:r>
        <w:rPr>
          <w:spacing w:val="-1"/>
        </w:rPr>
        <w:t> </w:t>
      </w:r>
      <w:r>
        <w:rPr/>
        <w:t>MCMC</w:t>
      </w:r>
      <w:r>
        <w:rPr>
          <w:spacing w:val="-2"/>
        </w:rPr>
        <w:t> </w:t>
      </w:r>
      <w:r>
        <w:rPr/>
        <w:t>Univariate</w:t>
      </w:r>
      <w:r>
        <w:rPr>
          <w:spacing w:val="-1"/>
        </w:rPr>
        <w:t> </w:t>
      </w:r>
      <w:r>
        <w:rPr/>
        <w:t>Diagnostics</w:t>
      </w:r>
      <w:r>
        <w:rPr>
          <w:spacing w:val="1"/>
        </w:rPr>
        <w:t> </w:t>
      </w:r>
      <w:r>
        <w:rPr/>
        <w:t>for</w:t>
      </w:r>
      <w:r>
        <w:rPr>
          <w:spacing w:val="-4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parameters</w:t>
      </w:r>
    </w:p>
    <w:p>
      <w:pPr>
        <w:pStyle w:val="BodyText"/>
        <w:spacing w:before="7"/>
        <w:rPr>
          <w:sz w:val="29"/>
        </w:rPr>
      </w:pPr>
    </w:p>
    <w:p>
      <w:pPr>
        <w:pStyle w:val="Heading1"/>
        <w:numPr>
          <w:ilvl w:val="2"/>
          <w:numId w:val="31"/>
        </w:numPr>
        <w:tabs>
          <w:tab w:pos="1214" w:val="left" w:leader="none"/>
        </w:tabs>
        <w:spacing w:line="240" w:lineRule="auto" w:before="1" w:after="0"/>
        <w:ind w:left="1213" w:right="0" w:hanging="714"/>
        <w:jc w:val="left"/>
      </w:pPr>
      <w:bookmarkStart w:name="_TOC_250009" w:id="51"/>
      <w:r>
        <w:rPr/>
        <w:t>Multivariate</w:t>
      </w:r>
      <w:r>
        <w:rPr>
          <w:spacing w:val="-2"/>
        </w:rPr>
        <w:t> </w:t>
      </w:r>
      <w:r>
        <w:rPr/>
        <w:t>Convergence</w:t>
      </w:r>
      <w:r>
        <w:rPr>
          <w:spacing w:val="1"/>
        </w:rPr>
        <w:t> </w:t>
      </w:r>
      <w:bookmarkEnd w:id="51"/>
      <w:r>
        <w:rPr/>
        <w:t>Diagnostic</w:t>
      </w:r>
    </w:p>
    <w:p>
      <w:pPr>
        <w:pStyle w:val="BodyText"/>
        <w:spacing w:line="360" w:lineRule="auto" w:before="240"/>
        <w:ind w:left="500" w:right="493"/>
        <w:jc w:val="both"/>
      </w:pPr>
      <w:r>
        <w:rPr/>
        <w:t>This statistic is a measure of the overall convergence of the aggregate parameters in the model.</w:t>
      </w:r>
      <w:r>
        <w:rPr>
          <w:spacing w:val="1"/>
        </w:rPr>
        <w:t> </w:t>
      </w:r>
      <w:r>
        <w:rPr/>
        <w:t>Just as in the case of the univariate statistics, it is also expected that the simulations within the</w:t>
      </w:r>
      <w:r>
        <w:rPr>
          <w:spacing w:val="1"/>
        </w:rPr>
        <w:t> </w:t>
      </w:r>
      <w:r>
        <w:rPr/>
        <w:t>chains should be similar and that those between the chains should be close, for convergence to be</w:t>
      </w:r>
      <w:r>
        <w:rPr>
          <w:spacing w:val="-57"/>
        </w:rPr>
        <w:t> </w:t>
      </w:r>
      <w:r>
        <w:rPr/>
        <w:t>reached.</w:t>
      </w:r>
      <w:r>
        <w:rPr>
          <w:spacing w:val="-4"/>
        </w:rPr>
        <w:t> </w:t>
      </w:r>
      <w:r>
        <w:rPr/>
        <w:t>Figure</w:t>
      </w:r>
      <w:r>
        <w:rPr>
          <w:spacing w:val="-8"/>
        </w:rPr>
        <w:t> </w:t>
      </w:r>
      <w:r>
        <w:rPr/>
        <w:t>5.8</w:t>
      </w:r>
      <w:r>
        <w:rPr>
          <w:spacing w:val="-5"/>
        </w:rPr>
        <w:t> </w:t>
      </w:r>
      <w:r>
        <w:rPr/>
        <w:t>shows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multivariate</w:t>
      </w:r>
      <w:r>
        <w:rPr>
          <w:spacing w:val="-7"/>
        </w:rPr>
        <w:t> </w:t>
      </w:r>
      <w:r>
        <w:rPr/>
        <w:t>convergence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model</w:t>
      </w:r>
      <w:r>
        <w:rPr>
          <w:spacing w:val="-6"/>
        </w:rPr>
        <w:t> </w:t>
      </w:r>
      <w:r>
        <w:rPr/>
        <w:t>exists</w:t>
      </w:r>
      <w:r>
        <w:rPr>
          <w:spacing w:val="-5"/>
        </w:rPr>
        <w:t> </w:t>
      </w:r>
      <w:r>
        <w:rPr/>
        <w:t>such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red</w:t>
      </w:r>
      <w:r>
        <w:rPr>
          <w:spacing w:val="-57"/>
        </w:rPr>
        <w:t> </w:t>
      </w:r>
      <w:r>
        <w:rPr/>
        <w:t>line</w:t>
      </w:r>
      <w:r>
        <w:rPr>
          <w:spacing w:val="-2"/>
        </w:rPr>
        <w:t> </w:t>
      </w:r>
      <w:r>
        <w:rPr/>
        <w:t>(within chain) and the</w:t>
      </w:r>
      <w:r>
        <w:rPr>
          <w:spacing w:val="-1"/>
        </w:rPr>
        <w:t> </w:t>
      </w:r>
      <w:r>
        <w:rPr/>
        <w:t>blue</w:t>
      </w:r>
      <w:r>
        <w:rPr>
          <w:spacing w:val="-1"/>
        </w:rPr>
        <w:t> </w:t>
      </w:r>
      <w:r>
        <w:rPr/>
        <w:t>line (between chains) are close</w:t>
      </w:r>
      <w:r>
        <w:rPr>
          <w:spacing w:val="-1"/>
        </w:rPr>
        <w:t> </w:t>
      </w:r>
      <w:r>
        <w:rPr/>
        <w:t>and flat.</w:t>
      </w:r>
    </w:p>
    <w:p>
      <w:pPr>
        <w:spacing w:after="0" w:line="360" w:lineRule="auto"/>
        <w:jc w:val="both"/>
        <w:sectPr>
          <w:pgSz w:w="12240" w:h="15840"/>
          <w:pgMar w:header="0" w:footer="935" w:top="1500" w:bottom="1200" w:left="94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359"/>
        <w:rPr>
          <w:sz w:val="20"/>
        </w:rPr>
      </w:pPr>
      <w:r>
        <w:rPr>
          <w:sz w:val="20"/>
        </w:rPr>
        <w:drawing>
          <wp:inline distT="0" distB="0" distL="0" distR="0">
            <wp:extent cx="5213720" cy="3511296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720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spacing w:before="90"/>
        <w:ind w:left="500"/>
        <w:jc w:val="both"/>
      </w:pPr>
      <w:r>
        <w:rPr/>
        <w:t>Figure</w:t>
      </w:r>
      <w:r>
        <w:rPr>
          <w:spacing w:val="-4"/>
        </w:rPr>
        <w:t> </w:t>
      </w:r>
      <w:r>
        <w:rPr/>
        <w:t>5.8:</w:t>
      </w:r>
      <w:r>
        <w:rPr>
          <w:spacing w:val="-1"/>
        </w:rPr>
        <w:t> </w:t>
      </w:r>
      <w:r>
        <w:rPr/>
        <w:t>Multivariate</w:t>
      </w:r>
      <w:r>
        <w:rPr>
          <w:spacing w:val="-1"/>
        </w:rPr>
        <w:t> </w:t>
      </w:r>
      <w:r>
        <w:rPr/>
        <w:t>Convergence</w:t>
      </w:r>
      <w:r>
        <w:rPr>
          <w:spacing w:val="-3"/>
        </w:rPr>
        <w:t> </w:t>
      </w:r>
      <w:r>
        <w:rPr/>
        <w:t>Diagnostic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  <w:numPr>
          <w:ilvl w:val="2"/>
          <w:numId w:val="31"/>
        </w:numPr>
        <w:tabs>
          <w:tab w:pos="1149" w:val="left" w:leader="none"/>
        </w:tabs>
        <w:spacing w:line="240" w:lineRule="auto" w:before="0" w:after="0"/>
        <w:ind w:left="1148" w:right="0" w:hanging="649"/>
        <w:jc w:val="left"/>
      </w:pPr>
      <w:bookmarkStart w:name="_TOC_250008" w:id="52"/>
      <w:r>
        <w:rPr/>
        <w:t>Historical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bookmarkEnd w:id="52"/>
      <w:r>
        <w:rPr/>
        <w:t>Smoothed variables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360" w:lineRule="auto"/>
        <w:ind w:left="500" w:right="498"/>
        <w:jc w:val="both"/>
      </w:pPr>
      <w:r>
        <w:rPr/>
        <w:t>The historical and smoothed variable graphs of the observed data are used to detect the presence</w:t>
      </w:r>
      <w:r>
        <w:rPr>
          <w:spacing w:val="1"/>
        </w:rPr>
        <w:t> </w:t>
      </w:r>
      <w:r>
        <w:rPr/>
        <w:t>of</w:t>
      </w:r>
      <w:r>
        <w:rPr>
          <w:spacing w:val="-12"/>
        </w:rPr>
        <w:t> </w:t>
      </w:r>
      <w:r>
        <w:rPr/>
        <w:t>measurement</w:t>
      </w:r>
      <w:r>
        <w:rPr>
          <w:spacing w:val="-11"/>
        </w:rPr>
        <w:t> </w:t>
      </w:r>
      <w:r>
        <w:rPr/>
        <w:t>errors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estimated</w:t>
      </w:r>
      <w:r>
        <w:rPr>
          <w:spacing w:val="-12"/>
        </w:rPr>
        <w:t> </w:t>
      </w:r>
      <w:r>
        <w:rPr/>
        <w:t>model.</w:t>
      </w:r>
      <w:r>
        <w:rPr>
          <w:spacing w:val="-11"/>
        </w:rPr>
        <w:t> </w:t>
      </w:r>
      <w:r>
        <w:rPr/>
        <w:t>Measurement</w:t>
      </w:r>
      <w:r>
        <w:rPr>
          <w:spacing w:val="-11"/>
        </w:rPr>
        <w:t> </w:t>
      </w:r>
      <w:r>
        <w:rPr/>
        <w:t>errors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absent</w:t>
      </w:r>
      <w:r>
        <w:rPr>
          <w:spacing w:val="-11"/>
        </w:rPr>
        <w:t> </w:t>
      </w:r>
      <w:r>
        <w:rPr/>
        <w:t>when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actual</w:t>
      </w:r>
      <w:r>
        <w:rPr>
          <w:spacing w:val="-10"/>
        </w:rPr>
        <w:t> </w:t>
      </w:r>
      <w:r>
        <w:rPr/>
        <w:t>data</w:t>
      </w:r>
      <w:r>
        <w:rPr>
          <w:spacing w:val="-58"/>
        </w:rPr>
        <w:t> </w:t>
      </w:r>
      <w:r>
        <w:rPr/>
        <w:t>and the smoothed data are identical. The plot of the historical and smoothed variable displayed in</w:t>
      </w:r>
      <w:r>
        <w:rPr>
          <w:spacing w:val="-57"/>
        </w:rPr>
        <w:t> </w:t>
      </w:r>
      <w:r>
        <w:rPr/>
        <w:t>Figure 5.9 shows the dotted black line (historical data) and the red line (smoothed data) overlap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each other.</w:t>
      </w:r>
    </w:p>
    <w:p>
      <w:pPr>
        <w:spacing w:after="0" w:line="360" w:lineRule="auto"/>
        <w:jc w:val="both"/>
        <w:sectPr>
          <w:pgSz w:w="12240" w:h="15840"/>
          <w:pgMar w:header="0" w:footer="935" w:top="1500" w:bottom="1200" w:left="94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ind w:left="1336"/>
        <w:rPr>
          <w:sz w:val="20"/>
        </w:rPr>
      </w:pPr>
      <w:r>
        <w:rPr>
          <w:sz w:val="20"/>
        </w:rPr>
        <w:drawing>
          <wp:inline distT="0" distB="0" distL="0" distR="0">
            <wp:extent cx="4676845" cy="3803904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845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500"/>
        <w:jc w:val="both"/>
      </w:pPr>
      <w:r>
        <w:rPr/>
        <w:t>Figure</w:t>
      </w:r>
      <w:r>
        <w:rPr>
          <w:spacing w:val="-4"/>
        </w:rPr>
        <w:t> </w:t>
      </w:r>
      <w:r>
        <w:rPr/>
        <w:t>5.9:</w:t>
      </w:r>
      <w:r>
        <w:rPr>
          <w:spacing w:val="-1"/>
        </w:rPr>
        <w:t> </w:t>
      </w:r>
      <w:r>
        <w:rPr/>
        <w:t>Historical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Smoothed</w:t>
      </w:r>
      <w:r>
        <w:rPr>
          <w:spacing w:val="-1"/>
        </w:rPr>
        <w:t> </w:t>
      </w:r>
      <w:r>
        <w:rPr/>
        <w:t>variables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2"/>
          <w:numId w:val="31"/>
        </w:numPr>
        <w:tabs>
          <w:tab w:pos="1149" w:val="left" w:leader="none"/>
        </w:tabs>
        <w:spacing w:line="240" w:lineRule="auto" w:before="1" w:after="0"/>
        <w:ind w:left="1148" w:right="0" w:hanging="649"/>
        <w:jc w:val="left"/>
      </w:pPr>
      <w:bookmarkStart w:name="_TOC_250007" w:id="53"/>
      <w:bookmarkEnd w:id="53"/>
      <w:r>
        <w:rPr/>
        <w:t>Smoothed Shocks</w:t>
      </w:r>
    </w:p>
    <w:p>
      <w:pPr>
        <w:pStyle w:val="BodyText"/>
        <w:spacing w:line="360" w:lineRule="auto" w:before="240"/>
        <w:ind w:left="500" w:right="493"/>
        <w:jc w:val="both"/>
      </w:pPr>
      <w:r>
        <w:rPr/>
        <w:t>The plot of the smoothed estimated shocks is expected to centre around zero. Figure 5.10 shows</w:t>
      </w:r>
      <w:r>
        <w:rPr>
          <w:spacing w:val="1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smoothed</w:t>
      </w:r>
      <w:r>
        <w:rPr>
          <w:spacing w:val="-4"/>
        </w:rPr>
        <w:t> </w:t>
      </w:r>
      <w:r>
        <w:rPr/>
        <w:t>shocks</w:t>
      </w:r>
      <w:r>
        <w:rPr>
          <w:spacing w:val="-3"/>
        </w:rPr>
        <w:t> </w:t>
      </w:r>
      <w:r>
        <w:rPr/>
        <w:t>processes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around</w:t>
      </w:r>
      <w:r>
        <w:rPr>
          <w:spacing w:val="-5"/>
        </w:rPr>
        <w:t> </w:t>
      </w:r>
      <w:r>
        <w:rPr/>
        <w:t>zero.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an</w:t>
      </w:r>
      <w:r>
        <w:rPr>
          <w:spacing w:val="-4"/>
        </w:rPr>
        <w:t> </w:t>
      </w:r>
      <w:r>
        <w:rPr/>
        <w:t>indication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statistical</w:t>
      </w:r>
      <w:r>
        <w:rPr>
          <w:spacing w:val="-3"/>
        </w:rPr>
        <w:t> </w:t>
      </w:r>
      <w:r>
        <w:rPr/>
        <w:t>validity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estimated model.</w:t>
      </w:r>
    </w:p>
    <w:p>
      <w:pPr>
        <w:spacing w:after="0" w:line="360" w:lineRule="auto"/>
        <w:jc w:val="both"/>
        <w:sectPr>
          <w:pgSz w:w="12240" w:h="15840"/>
          <w:pgMar w:header="0" w:footer="935" w:top="1500" w:bottom="1200" w:left="94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549"/>
        <w:rPr>
          <w:sz w:val="20"/>
        </w:rPr>
      </w:pPr>
      <w:r>
        <w:rPr>
          <w:sz w:val="20"/>
        </w:rPr>
        <w:drawing>
          <wp:inline distT="0" distB="0" distL="0" distR="0">
            <wp:extent cx="4475369" cy="3579780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369" cy="35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20">
            <wp:simplePos x="0" y="0"/>
            <wp:positionH relativeFrom="page">
              <wp:posOffset>1538792</wp:posOffset>
            </wp:positionH>
            <wp:positionV relativeFrom="paragraph">
              <wp:posOffset>221878</wp:posOffset>
            </wp:positionV>
            <wp:extent cx="2986599" cy="1229010"/>
            <wp:effectExtent l="0" t="0" r="0" b="0"/>
            <wp:wrapTopAndBottom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599" cy="122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</w:pPr>
    </w:p>
    <w:p>
      <w:pPr>
        <w:pStyle w:val="BodyText"/>
        <w:spacing w:before="90"/>
        <w:ind w:left="500"/>
        <w:jc w:val="both"/>
      </w:pPr>
      <w:r>
        <w:rPr/>
        <w:t>Figure</w:t>
      </w:r>
      <w:r>
        <w:rPr>
          <w:spacing w:val="-3"/>
        </w:rPr>
        <w:t> </w:t>
      </w:r>
      <w:r>
        <w:rPr/>
        <w:t>5.10:</w:t>
      </w:r>
      <w:r>
        <w:rPr>
          <w:spacing w:val="-1"/>
        </w:rPr>
        <w:t> </w:t>
      </w:r>
      <w:r>
        <w:rPr/>
        <w:t>Smoothed</w:t>
      </w:r>
      <w:r>
        <w:rPr>
          <w:spacing w:val="-1"/>
        </w:rPr>
        <w:t> </w:t>
      </w:r>
      <w:r>
        <w:rPr/>
        <w:t>Shocks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  <w:jc w:val="left"/>
      </w:pPr>
      <w:bookmarkStart w:name="_TOC_250006" w:id="54"/>
      <w:r>
        <w:rPr/>
        <w:t>5.3</w:t>
      </w:r>
      <w:r>
        <w:rPr>
          <w:spacing w:val="62"/>
        </w:rPr>
        <w:t> </w:t>
      </w:r>
      <w:r>
        <w:rPr/>
        <w:t>Nature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Fiscal and</w:t>
      </w:r>
      <w:r>
        <w:rPr>
          <w:spacing w:val="-2"/>
        </w:rPr>
        <w:t> </w:t>
      </w:r>
      <w:bookmarkEnd w:id="54"/>
      <w:r>
        <w:rPr/>
        <w:t>Monetary Policy Interactions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360" w:lineRule="auto"/>
        <w:ind w:left="500" w:right="497"/>
        <w:jc w:val="both"/>
      </w:pPr>
      <w:r>
        <w:rPr/>
        <w:t>In this sub-section, the interactions between fiscal and monetary policy are characterised. This</w:t>
      </w:r>
      <w:r>
        <w:rPr>
          <w:spacing w:val="1"/>
        </w:rPr>
        <w:t> </w:t>
      </w:r>
      <w:r>
        <w:rPr/>
        <w:t>encompassed obtaining the direction and magnitude of the correlation between both policies. The</w:t>
      </w:r>
      <w:r>
        <w:rPr>
          <w:spacing w:val="-57"/>
        </w:rPr>
        <w:t> </w:t>
      </w:r>
      <w:r>
        <w:rPr/>
        <w:t>impact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policy</w:t>
      </w:r>
      <w:r>
        <w:rPr>
          <w:spacing w:val="-13"/>
        </w:rPr>
        <w:t> </w:t>
      </w:r>
      <w:r>
        <w:rPr/>
        <w:t>interactions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macroeconomic</w:t>
      </w:r>
      <w:r>
        <w:rPr>
          <w:spacing w:val="-6"/>
        </w:rPr>
        <w:t> </w:t>
      </w:r>
      <w:r>
        <w:rPr/>
        <w:t>variables</w:t>
      </w:r>
      <w:r>
        <w:rPr>
          <w:spacing w:val="-7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output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inflation</w:t>
      </w:r>
      <w:r>
        <w:rPr>
          <w:spacing w:val="-5"/>
        </w:rPr>
        <w:t> </w:t>
      </w:r>
      <w:r>
        <w:rPr/>
        <w:t>are</w:t>
      </w:r>
      <w:r>
        <w:rPr>
          <w:spacing w:val="-8"/>
        </w:rPr>
        <w:t> </w:t>
      </w:r>
      <w:r>
        <w:rPr/>
        <w:t>also</w:t>
      </w:r>
      <w:r>
        <w:rPr>
          <w:spacing w:val="-58"/>
        </w:rPr>
        <w:t> </w:t>
      </w:r>
      <w:r>
        <w:rPr/>
        <w:t>examined.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end,</w:t>
      </w:r>
      <w:r>
        <w:rPr>
          <w:spacing w:val="1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simulations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Taylor</w:t>
      </w:r>
      <w:r>
        <w:rPr>
          <w:spacing w:val="1"/>
        </w:rPr>
        <w:t> </w:t>
      </w:r>
      <w:r>
        <w:rPr/>
        <w:t>approximation</w:t>
      </w:r>
      <w:r>
        <w:rPr>
          <w:spacing w:val="-9"/>
        </w:rPr>
        <w:t> </w:t>
      </w:r>
      <w:r>
        <w:rPr/>
        <w:t>method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system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log-linear</w:t>
      </w:r>
      <w:r>
        <w:rPr>
          <w:spacing w:val="-6"/>
        </w:rPr>
        <w:t> </w:t>
      </w:r>
      <w:r>
        <w:rPr/>
        <w:t>equations.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Dynare</w:t>
      </w:r>
      <w:r>
        <w:rPr>
          <w:spacing w:val="-9"/>
        </w:rPr>
        <w:t> </w:t>
      </w:r>
      <w:r>
        <w:rPr/>
        <w:t>software</w:t>
      </w:r>
      <w:r>
        <w:rPr>
          <w:spacing w:val="-9"/>
        </w:rPr>
        <w:t> </w:t>
      </w:r>
      <w:r>
        <w:rPr/>
        <w:t>is</w:t>
      </w:r>
      <w:r>
        <w:rPr>
          <w:spacing w:val="-7"/>
        </w:rPr>
        <w:t> </w:t>
      </w:r>
      <w:r>
        <w:rPr/>
        <w:t>used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carry</w:t>
      </w:r>
      <w:r>
        <w:rPr>
          <w:spacing w:val="-57"/>
        </w:rPr>
        <w:t> </w:t>
      </w:r>
      <w:r>
        <w:rPr/>
        <w:t>out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numerical</w:t>
      </w:r>
      <w:r>
        <w:rPr>
          <w:spacing w:val="-12"/>
        </w:rPr>
        <w:t> </w:t>
      </w:r>
      <w:r>
        <w:rPr/>
        <w:t>simulations.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outputs</w:t>
      </w:r>
      <w:r>
        <w:rPr>
          <w:spacing w:val="-12"/>
        </w:rPr>
        <w:t> </w:t>
      </w:r>
      <w:r>
        <w:rPr/>
        <w:t>from</w:t>
      </w:r>
      <w:r>
        <w:rPr>
          <w:spacing w:val="-11"/>
        </w:rPr>
        <w:t> </w:t>
      </w:r>
      <w:r>
        <w:rPr/>
        <w:t>Dynare,</w:t>
      </w:r>
      <w:r>
        <w:rPr>
          <w:spacing w:val="-12"/>
        </w:rPr>
        <w:t> </w:t>
      </w:r>
      <w:r>
        <w:rPr/>
        <w:t>as</w:t>
      </w:r>
      <w:r>
        <w:rPr>
          <w:spacing w:val="-11"/>
        </w:rPr>
        <w:t> </w:t>
      </w:r>
      <w:r>
        <w:rPr/>
        <w:t>presented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Table</w:t>
      </w:r>
      <w:r>
        <w:rPr>
          <w:spacing w:val="-13"/>
        </w:rPr>
        <w:t> </w:t>
      </w:r>
      <w:r>
        <w:rPr/>
        <w:t>5.8</w:t>
      </w:r>
      <w:r>
        <w:rPr>
          <w:spacing w:val="-11"/>
        </w:rPr>
        <w:t> </w:t>
      </w:r>
      <w:r>
        <w:rPr/>
        <w:t>show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matrix</w:t>
      </w:r>
    </w:p>
    <w:p>
      <w:pPr>
        <w:spacing w:after="0" w:line="360" w:lineRule="auto"/>
        <w:jc w:val="both"/>
        <w:sectPr>
          <w:pgSz w:w="12240" w:h="15840"/>
          <w:pgMar w:header="0" w:footer="935" w:top="1500" w:bottom="1200" w:left="940" w:right="940"/>
        </w:sectPr>
      </w:pPr>
    </w:p>
    <w:p>
      <w:pPr>
        <w:pStyle w:val="BodyText"/>
        <w:spacing w:before="74"/>
        <w:ind w:left="500"/>
      </w:pPr>
      <w:r>
        <w:rPr/>
        <w:t>of</w:t>
      </w:r>
      <w:r>
        <w:rPr>
          <w:spacing w:val="-7"/>
        </w:rPr>
        <w:t> </w:t>
      </w:r>
      <w:r>
        <w:rPr/>
        <w:t>covariance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shocks.</w:t>
      </w:r>
      <w:r>
        <w:rPr>
          <w:spacing w:val="-1"/>
        </w:rPr>
        <w:t> </w:t>
      </w:r>
      <w:r>
        <w:rPr/>
        <w:t>It</w:t>
      </w:r>
      <w:r>
        <w:rPr>
          <w:spacing w:val="-3"/>
        </w:rPr>
        <w:t> </w:t>
      </w:r>
      <w:r>
        <w:rPr/>
        <w:t>proves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existence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serial</w:t>
      </w:r>
      <w:r>
        <w:rPr>
          <w:spacing w:val="-3"/>
        </w:rPr>
        <w:t> </w:t>
      </w:r>
      <w:r>
        <w:rPr/>
        <w:t>correlations</w:t>
      </w:r>
      <w:r>
        <w:rPr>
          <w:spacing w:val="-5"/>
        </w:rPr>
        <w:t> </w:t>
      </w:r>
      <w:r>
        <w:rPr/>
        <w:t>among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shocks.</w:t>
      </w:r>
      <w:r>
        <w:rPr>
          <w:spacing w:val="-4"/>
        </w:rPr>
        <w:t> </w:t>
      </w:r>
      <w:r>
        <w:rPr/>
        <w:t>Tables</w:t>
      </w:r>
    </w:p>
    <w:p>
      <w:pPr>
        <w:pStyle w:val="BodyText"/>
        <w:spacing w:line="360" w:lineRule="auto" w:before="137"/>
        <w:ind w:left="500" w:right="498"/>
      </w:pPr>
      <w:r>
        <w:rPr/>
        <w:t>5.9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5.10</w:t>
      </w:r>
      <w:r>
        <w:rPr>
          <w:spacing w:val="-11"/>
        </w:rPr>
        <w:t> </w:t>
      </w:r>
      <w:r>
        <w:rPr/>
        <w:t>present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theoretical</w:t>
      </w:r>
      <w:r>
        <w:rPr>
          <w:spacing w:val="-11"/>
        </w:rPr>
        <w:t> </w:t>
      </w:r>
      <w:r>
        <w:rPr/>
        <w:t>moments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/>
        <w:t>coefficient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autocorrelation.</w:t>
      </w:r>
      <w:r>
        <w:rPr>
          <w:spacing w:val="-12"/>
        </w:rPr>
        <w:t> </w:t>
      </w:r>
      <w:r>
        <w:rPr/>
        <w:t>These</w:t>
      </w:r>
      <w:r>
        <w:rPr>
          <w:spacing w:val="-12"/>
        </w:rPr>
        <w:t> </w:t>
      </w:r>
      <w:r>
        <w:rPr/>
        <w:t>statistics</w:t>
      </w:r>
      <w:r>
        <w:rPr>
          <w:spacing w:val="-57"/>
        </w:rPr>
        <w:t> </w:t>
      </w:r>
      <w:r>
        <w:rPr/>
        <w:t>are</w:t>
      </w:r>
      <w:r>
        <w:rPr>
          <w:spacing w:val="-3"/>
        </w:rPr>
        <w:t> </w:t>
      </w:r>
      <w:r>
        <w:rPr/>
        <w:t>relevant to inspect the</w:t>
      </w:r>
      <w:r>
        <w:rPr>
          <w:spacing w:val="-1"/>
        </w:rPr>
        <w:t> </w:t>
      </w:r>
      <w:r>
        <w:rPr/>
        <w:t>results of the</w:t>
      </w:r>
      <w:r>
        <w:rPr>
          <w:spacing w:val="-1"/>
        </w:rPr>
        <w:t> </w:t>
      </w:r>
      <w:r>
        <w:rPr/>
        <w:t>numerical</w:t>
      </w:r>
      <w:r>
        <w:rPr>
          <w:spacing w:val="2"/>
        </w:rPr>
        <w:t> </w:t>
      </w:r>
      <w:r>
        <w:rPr/>
        <w:t>simulation.</w:t>
      </w:r>
    </w:p>
    <w:p>
      <w:pPr>
        <w:pStyle w:val="BodyText"/>
        <w:spacing w:before="200" w:after="4"/>
        <w:ind w:left="3124"/>
      </w:pPr>
      <w:r>
        <w:rPr/>
        <w:t>Table</w:t>
      </w:r>
      <w:r>
        <w:rPr>
          <w:spacing w:val="-1"/>
        </w:rPr>
        <w:t> </w:t>
      </w:r>
      <w:r>
        <w:rPr/>
        <w:t>5.8:</w:t>
      </w:r>
      <w:r>
        <w:rPr>
          <w:spacing w:val="-1"/>
        </w:rPr>
        <w:t> </w:t>
      </w:r>
      <w:r>
        <w:rPr/>
        <w:t>Matrix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Covariance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Shocks</w:t>
      </w: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6"/>
        <w:gridCol w:w="1327"/>
        <w:gridCol w:w="1343"/>
        <w:gridCol w:w="1199"/>
        <w:gridCol w:w="1199"/>
        <w:gridCol w:w="1228"/>
        <w:gridCol w:w="1212"/>
      </w:tblGrid>
      <w:tr>
        <w:trPr>
          <w:trHeight w:val="412" w:hRule="atLeast"/>
        </w:trPr>
        <w:tc>
          <w:tcPr>
            <w:tcW w:w="1106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Shocks</w:t>
            </w:r>
          </w:p>
        </w:tc>
        <w:tc>
          <w:tcPr>
            <w:tcW w:w="1327" w:type="dxa"/>
          </w:tcPr>
          <w:p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eps_g</w:t>
            </w:r>
          </w:p>
        </w:tc>
        <w:tc>
          <w:tcPr>
            <w:tcW w:w="1343" w:type="dxa"/>
          </w:tcPr>
          <w:p>
            <w:pPr>
              <w:pStyle w:val="TableParagraph"/>
              <w:spacing w:before="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eps_r</w:t>
            </w:r>
          </w:p>
        </w:tc>
        <w:tc>
          <w:tcPr>
            <w:tcW w:w="1199" w:type="dxa"/>
          </w:tcPr>
          <w:p>
            <w:pPr>
              <w:pStyle w:val="TableParagraph"/>
              <w:spacing w:before="3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e_piiD</w:t>
            </w:r>
          </w:p>
        </w:tc>
        <w:tc>
          <w:tcPr>
            <w:tcW w:w="1199" w:type="dxa"/>
          </w:tcPr>
          <w:p>
            <w:pPr>
              <w:pStyle w:val="TableParagraph"/>
              <w:spacing w:before="3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e_y</w:t>
            </w:r>
          </w:p>
        </w:tc>
        <w:tc>
          <w:tcPr>
            <w:tcW w:w="1228" w:type="dxa"/>
          </w:tcPr>
          <w:p>
            <w:pPr>
              <w:pStyle w:val="TableParagraph"/>
              <w:spacing w:before="3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eps_rn</w:t>
            </w:r>
          </w:p>
        </w:tc>
        <w:tc>
          <w:tcPr>
            <w:tcW w:w="1212" w:type="dxa"/>
          </w:tcPr>
          <w:p>
            <w:pPr>
              <w:pStyle w:val="TableParagraph"/>
              <w:spacing w:before="3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eps_com</w:t>
            </w:r>
          </w:p>
        </w:tc>
      </w:tr>
      <w:tr>
        <w:trPr>
          <w:trHeight w:val="414" w:hRule="atLeast"/>
        </w:trPr>
        <w:tc>
          <w:tcPr>
            <w:tcW w:w="1106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eps_g</w:t>
            </w:r>
          </w:p>
        </w:tc>
        <w:tc>
          <w:tcPr>
            <w:tcW w:w="1327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0.010000</w:t>
            </w:r>
          </w:p>
        </w:tc>
        <w:tc>
          <w:tcPr>
            <w:tcW w:w="13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9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9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2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106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eps_r</w:t>
            </w:r>
          </w:p>
        </w:tc>
        <w:tc>
          <w:tcPr>
            <w:tcW w:w="1327" w:type="dxa"/>
          </w:tcPr>
          <w:p>
            <w:pPr>
              <w:pStyle w:val="TableParagraph"/>
              <w:spacing w:line="274" w:lineRule="exact"/>
              <w:ind w:left="165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  <w:tc>
          <w:tcPr>
            <w:tcW w:w="1343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0.010000</w:t>
            </w:r>
          </w:p>
        </w:tc>
        <w:tc>
          <w:tcPr>
            <w:tcW w:w="119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9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2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1106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e_piiD</w:t>
            </w:r>
          </w:p>
        </w:tc>
        <w:tc>
          <w:tcPr>
            <w:tcW w:w="1327" w:type="dxa"/>
          </w:tcPr>
          <w:p>
            <w:pPr>
              <w:pStyle w:val="TableParagraph"/>
              <w:spacing w:line="274" w:lineRule="exact"/>
              <w:ind w:left="165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  <w:tc>
          <w:tcPr>
            <w:tcW w:w="1343" w:type="dxa"/>
          </w:tcPr>
          <w:p>
            <w:pPr>
              <w:pStyle w:val="TableParagraph"/>
              <w:spacing w:line="274" w:lineRule="exact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  <w:tc>
          <w:tcPr>
            <w:tcW w:w="1199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0.010000</w:t>
            </w:r>
          </w:p>
        </w:tc>
        <w:tc>
          <w:tcPr>
            <w:tcW w:w="119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2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1106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e_y</w:t>
            </w:r>
          </w:p>
        </w:tc>
        <w:tc>
          <w:tcPr>
            <w:tcW w:w="1327" w:type="dxa"/>
          </w:tcPr>
          <w:p>
            <w:pPr>
              <w:pStyle w:val="TableParagraph"/>
              <w:spacing w:before="1"/>
              <w:ind w:left="165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  <w:tc>
          <w:tcPr>
            <w:tcW w:w="1343" w:type="dxa"/>
          </w:tcPr>
          <w:p>
            <w:pPr>
              <w:pStyle w:val="TableParagraph"/>
              <w:spacing w:before="1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  <w:tc>
          <w:tcPr>
            <w:tcW w:w="1199" w:type="dxa"/>
          </w:tcPr>
          <w:p>
            <w:pPr>
              <w:pStyle w:val="TableParagraph"/>
              <w:spacing w:before="1"/>
              <w:ind w:left="169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  <w:tc>
          <w:tcPr>
            <w:tcW w:w="1199" w:type="dxa"/>
          </w:tcPr>
          <w:p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0.010000</w:t>
            </w:r>
          </w:p>
        </w:tc>
        <w:tc>
          <w:tcPr>
            <w:tcW w:w="122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106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eps_rn</w:t>
            </w:r>
          </w:p>
        </w:tc>
        <w:tc>
          <w:tcPr>
            <w:tcW w:w="1327" w:type="dxa"/>
          </w:tcPr>
          <w:p>
            <w:pPr>
              <w:pStyle w:val="TableParagraph"/>
              <w:spacing w:line="274" w:lineRule="exact"/>
              <w:ind w:left="165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  <w:tc>
          <w:tcPr>
            <w:tcW w:w="1343" w:type="dxa"/>
          </w:tcPr>
          <w:p>
            <w:pPr>
              <w:pStyle w:val="TableParagraph"/>
              <w:spacing w:line="274" w:lineRule="exact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  <w:tc>
          <w:tcPr>
            <w:tcW w:w="1199" w:type="dxa"/>
          </w:tcPr>
          <w:p>
            <w:pPr>
              <w:pStyle w:val="TableParagraph"/>
              <w:spacing w:line="274" w:lineRule="exact"/>
              <w:ind w:left="169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  <w:tc>
          <w:tcPr>
            <w:tcW w:w="1199" w:type="dxa"/>
          </w:tcPr>
          <w:p>
            <w:pPr>
              <w:pStyle w:val="TableParagraph"/>
              <w:spacing w:line="274" w:lineRule="exact"/>
              <w:ind w:left="171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  <w:tc>
          <w:tcPr>
            <w:tcW w:w="1228" w:type="dxa"/>
          </w:tcPr>
          <w:p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0.010000</w:t>
            </w:r>
          </w:p>
        </w:tc>
        <w:tc>
          <w:tcPr>
            <w:tcW w:w="121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106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eps_com</w:t>
            </w:r>
          </w:p>
        </w:tc>
        <w:tc>
          <w:tcPr>
            <w:tcW w:w="1327" w:type="dxa"/>
          </w:tcPr>
          <w:p>
            <w:pPr>
              <w:pStyle w:val="TableParagraph"/>
              <w:spacing w:line="274" w:lineRule="exact"/>
              <w:ind w:left="165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  <w:tc>
          <w:tcPr>
            <w:tcW w:w="1343" w:type="dxa"/>
          </w:tcPr>
          <w:p>
            <w:pPr>
              <w:pStyle w:val="TableParagraph"/>
              <w:spacing w:line="274" w:lineRule="exact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  <w:tc>
          <w:tcPr>
            <w:tcW w:w="1199" w:type="dxa"/>
          </w:tcPr>
          <w:p>
            <w:pPr>
              <w:pStyle w:val="TableParagraph"/>
              <w:spacing w:line="274" w:lineRule="exact"/>
              <w:ind w:left="169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  <w:tc>
          <w:tcPr>
            <w:tcW w:w="1199" w:type="dxa"/>
          </w:tcPr>
          <w:p>
            <w:pPr>
              <w:pStyle w:val="TableParagraph"/>
              <w:spacing w:line="274" w:lineRule="exact"/>
              <w:ind w:left="171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  <w:tc>
          <w:tcPr>
            <w:tcW w:w="1228" w:type="dxa"/>
          </w:tcPr>
          <w:p>
            <w:pPr>
              <w:pStyle w:val="TableParagraph"/>
              <w:spacing w:line="274" w:lineRule="exact"/>
              <w:ind w:left="172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  <w:tc>
          <w:tcPr>
            <w:tcW w:w="1212" w:type="dxa"/>
          </w:tcPr>
          <w:p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0.010000</w:t>
            </w:r>
          </w:p>
        </w:tc>
      </w:tr>
    </w:tbl>
    <w:p>
      <w:pPr>
        <w:pStyle w:val="BodyText"/>
        <w:spacing w:line="242" w:lineRule="auto"/>
        <w:ind w:left="500" w:right="714"/>
      </w:pPr>
      <w:r>
        <w:rPr/>
        <w:t>Where,</w:t>
      </w:r>
      <w:r>
        <w:rPr>
          <w:spacing w:val="-2"/>
        </w:rPr>
        <w:t> </w:t>
      </w:r>
      <w:r>
        <w:rPr/>
        <w:t>eps_g:</w:t>
      </w:r>
      <w:r>
        <w:rPr>
          <w:spacing w:val="-2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spending</w:t>
      </w:r>
      <w:r>
        <w:rPr>
          <w:spacing w:val="-4"/>
        </w:rPr>
        <w:t> </w:t>
      </w:r>
      <w:r>
        <w:rPr/>
        <w:t>shock;</w:t>
      </w:r>
      <w:r>
        <w:rPr>
          <w:spacing w:val="-2"/>
        </w:rPr>
        <w:t> </w:t>
      </w:r>
      <w:r>
        <w:rPr/>
        <w:t>eps_r:</w:t>
      </w:r>
      <w:r>
        <w:rPr>
          <w:spacing w:val="-1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rate</w:t>
      </w:r>
      <w:r>
        <w:rPr>
          <w:spacing w:val="-2"/>
        </w:rPr>
        <w:t> </w:t>
      </w:r>
      <w:r>
        <w:rPr/>
        <w:t>shock;</w:t>
      </w:r>
      <w:r>
        <w:rPr>
          <w:spacing w:val="-2"/>
        </w:rPr>
        <w:t> </w:t>
      </w:r>
      <w:r>
        <w:rPr/>
        <w:t>e_piiD: Inflation</w:t>
      </w:r>
      <w:r>
        <w:rPr>
          <w:spacing w:val="-1"/>
        </w:rPr>
        <w:t> </w:t>
      </w:r>
      <w:r>
        <w:rPr/>
        <w:t>shock;</w:t>
      </w:r>
      <w:r>
        <w:rPr>
          <w:spacing w:val="-57"/>
        </w:rPr>
        <w:t> </w:t>
      </w:r>
      <w:r>
        <w:rPr/>
        <w:t>e_y:</w:t>
      </w:r>
      <w:r>
        <w:rPr>
          <w:spacing w:val="-1"/>
        </w:rPr>
        <w:t> </w:t>
      </w:r>
      <w:r>
        <w:rPr/>
        <w:t>Output</w:t>
      </w:r>
      <w:r>
        <w:rPr>
          <w:spacing w:val="-1"/>
        </w:rPr>
        <w:t> </w:t>
      </w:r>
      <w:r>
        <w:rPr/>
        <w:t>shock;</w:t>
      </w:r>
      <w:r>
        <w:rPr>
          <w:spacing w:val="-1"/>
        </w:rPr>
        <w:t> </w:t>
      </w:r>
      <w:r>
        <w:rPr/>
        <w:t>eps_rn:</w:t>
      </w:r>
      <w:r>
        <w:rPr>
          <w:spacing w:val="-1"/>
        </w:rPr>
        <w:t> </w:t>
      </w:r>
      <w:r>
        <w:rPr/>
        <w:t>Shock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rent-seeking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eps_com:</w:t>
      </w:r>
      <w:r>
        <w:rPr>
          <w:spacing w:val="-1"/>
        </w:rPr>
        <w:t> </w:t>
      </w:r>
      <w:r>
        <w:rPr/>
        <w:t>Shock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variable</w:t>
      </w:r>
    </w:p>
    <w:p>
      <w:pPr>
        <w:pStyle w:val="BodyText"/>
        <w:rPr>
          <w:sz w:val="26"/>
        </w:rPr>
      </w:pPr>
    </w:p>
    <w:p>
      <w:pPr>
        <w:pStyle w:val="BodyText"/>
        <w:spacing w:before="166"/>
        <w:ind w:left="3615" w:right="3616"/>
        <w:jc w:val="center"/>
      </w:pPr>
      <w:r>
        <w:rPr/>
        <w:t>Table</w:t>
      </w:r>
      <w:r>
        <w:rPr>
          <w:spacing w:val="-2"/>
        </w:rPr>
        <w:t> </w:t>
      </w:r>
      <w:r>
        <w:rPr/>
        <w:t>5.9:</w:t>
      </w:r>
      <w:r>
        <w:rPr>
          <w:spacing w:val="-1"/>
        </w:rPr>
        <w:t> </w:t>
      </w:r>
      <w:r>
        <w:rPr/>
        <w:t>Theoretical</w:t>
      </w:r>
      <w:r>
        <w:rPr>
          <w:spacing w:val="-1"/>
        </w:rPr>
        <w:t> </w:t>
      </w:r>
      <w:r>
        <w:rPr/>
        <w:t>Moments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10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7"/>
        <w:gridCol w:w="3565"/>
        <w:gridCol w:w="989"/>
        <w:gridCol w:w="1107"/>
        <w:gridCol w:w="1302"/>
      </w:tblGrid>
      <w:tr>
        <w:trPr>
          <w:trHeight w:val="1240" w:hRule="atLeast"/>
        </w:trPr>
        <w:tc>
          <w:tcPr>
            <w:tcW w:w="126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175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3565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10"/>
              <w:ind w:left="0"/>
              <w:rPr>
                <w:sz w:val="21"/>
              </w:rPr>
            </w:pPr>
          </w:p>
          <w:p>
            <w:pPr>
              <w:pStyle w:val="TableParagraph"/>
              <w:ind w:left="1433"/>
              <w:rPr>
                <w:b/>
                <w:sz w:val="24"/>
              </w:rPr>
            </w:pPr>
            <w:r>
              <w:rPr>
                <w:b/>
                <w:sz w:val="24"/>
              </w:rPr>
              <w:t>Definition</w:t>
            </w:r>
          </w:p>
        </w:tc>
        <w:tc>
          <w:tcPr>
            <w:tcW w:w="989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10"/>
              <w:ind w:left="0"/>
              <w:rPr>
                <w:sz w:val="21"/>
              </w:rPr>
            </w:pPr>
          </w:p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10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175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S.t.d</w:t>
            </w:r>
          </w:p>
        </w:tc>
        <w:tc>
          <w:tcPr>
            <w:tcW w:w="130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175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Variance</w:t>
            </w:r>
          </w:p>
        </w:tc>
      </w:tr>
      <w:tr>
        <w:trPr>
          <w:trHeight w:val="4202" w:hRule="atLeast"/>
        </w:trPr>
        <w:tc>
          <w:tcPr>
            <w:tcW w:w="1267" w:type="dxa"/>
          </w:tcPr>
          <w:p>
            <w:pPr>
              <w:pStyle w:val="TableParagraph"/>
              <w:spacing w:line="415" w:lineRule="auto"/>
              <w:ind w:left="359" w:right="347" w:hanging="1"/>
              <w:jc w:val="center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pii_D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</w:t>
            </w:r>
          </w:p>
          <w:p>
            <w:pPr>
              <w:pStyle w:val="TableParagraph"/>
              <w:spacing w:line="415" w:lineRule="auto"/>
              <w:ind w:left="280" w:right="269"/>
              <w:jc w:val="center"/>
              <w:rPr>
                <w:sz w:val="24"/>
              </w:rPr>
            </w:pPr>
            <w:r>
              <w:rPr>
                <w:sz w:val="24"/>
              </w:rPr>
              <w:t>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ytilde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V_com</w:t>
            </w:r>
          </w:p>
        </w:tc>
        <w:tc>
          <w:tcPr>
            <w:tcW w:w="3565" w:type="dxa"/>
          </w:tcPr>
          <w:p>
            <w:pPr>
              <w:pStyle w:val="TableParagraph"/>
              <w:spacing w:line="415" w:lineRule="auto"/>
              <w:ind w:left="1212" w:right="1203" w:hanging="1"/>
              <w:jc w:val="center"/>
              <w:rPr>
                <w:sz w:val="24"/>
              </w:rPr>
            </w:pPr>
            <w:r>
              <w:rPr>
                <w:sz w:val="24"/>
              </w:rPr>
              <w:t>Output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Inflation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Interest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  <w:p>
            <w:pPr>
              <w:pStyle w:val="TableParagraph"/>
              <w:spacing w:line="415" w:lineRule="auto"/>
              <w:ind w:left="699" w:right="687"/>
              <w:jc w:val="center"/>
              <w:rPr>
                <w:sz w:val="24"/>
              </w:rPr>
            </w:pPr>
            <w:r>
              <w:rPr>
                <w:sz w:val="24"/>
              </w:rPr>
              <w:t>Government Spending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Output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gap</w:t>
            </w:r>
          </w:p>
          <w:p>
            <w:pPr>
              <w:pStyle w:val="TableParagraph"/>
              <w:spacing w:line="412" w:lineRule="auto"/>
              <w:ind w:left="819" w:right="812" w:firstLine="4"/>
              <w:jc w:val="center"/>
              <w:rPr>
                <w:sz w:val="24"/>
              </w:rPr>
            </w:pPr>
            <w:r>
              <w:rPr>
                <w:sz w:val="24"/>
              </w:rPr>
              <w:t>Rent seeking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Interaction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Variable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/>
              <w:ind w:left="160"/>
              <w:rPr>
                <w:sz w:val="24"/>
              </w:rPr>
            </w:pPr>
            <w:r>
              <w:rPr>
                <w:sz w:val="24"/>
              </w:rPr>
              <w:t>0.0000</w:t>
            </w:r>
          </w:p>
          <w:p>
            <w:pPr>
              <w:pStyle w:val="TableParagraph"/>
              <w:spacing w:before="201"/>
              <w:ind w:left="160"/>
              <w:rPr>
                <w:sz w:val="24"/>
              </w:rPr>
            </w:pPr>
            <w:r>
              <w:rPr>
                <w:sz w:val="24"/>
              </w:rPr>
              <w:t>0.0000</w:t>
            </w:r>
          </w:p>
          <w:p>
            <w:pPr>
              <w:pStyle w:val="TableParagraph"/>
              <w:spacing w:before="200"/>
              <w:ind w:left="160"/>
              <w:rPr>
                <w:sz w:val="24"/>
              </w:rPr>
            </w:pPr>
            <w:r>
              <w:rPr>
                <w:sz w:val="24"/>
              </w:rPr>
              <w:t>0.0000</w:t>
            </w:r>
          </w:p>
          <w:p>
            <w:pPr>
              <w:pStyle w:val="TableParagraph"/>
              <w:spacing w:before="199"/>
              <w:ind w:left="160"/>
              <w:rPr>
                <w:sz w:val="24"/>
              </w:rPr>
            </w:pPr>
            <w:r>
              <w:rPr>
                <w:sz w:val="24"/>
              </w:rPr>
              <w:t>0.0000</w:t>
            </w:r>
          </w:p>
          <w:p>
            <w:pPr>
              <w:pStyle w:val="TableParagraph"/>
              <w:spacing w:before="201"/>
              <w:ind w:left="160"/>
              <w:rPr>
                <w:sz w:val="24"/>
              </w:rPr>
            </w:pPr>
            <w:r>
              <w:rPr>
                <w:sz w:val="24"/>
              </w:rPr>
              <w:t>0.0000</w:t>
            </w:r>
          </w:p>
          <w:p>
            <w:pPr>
              <w:pStyle w:val="TableParagraph"/>
              <w:spacing w:before="200"/>
              <w:ind w:left="160"/>
              <w:rPr>
                <w:sz w:val="24"/>
              </w:rPr>
            </w:pPr>
            <w:r>
              <w:rPr>
                <w:sz w:val="24"/>
              </w:rPr>
              <w:t>0.0000</w:t>
            </w:r>
          </w:p>
          <w:p>
            <w:pPr>
              <w:pStyle w:val="TableParagraph"/>
              <w:spacing w:before="199"/>
              <w:ind w:left="160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1107" w:type="dxa"/>
          </w:tcPr>
          <w:p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1.6636</w:t>
            </w:r>
          </w:p>
          <w:p>
            <w:pPr>
              <w:pStyle w:val="TableParagraph"/>
              <w:spacing w:before="201"/>
              <w:ind w:left="220"/>
              <w:rPr>
                <w:sz w:val="24"/>
              </w:rPr>
            </w:pPr>
            <w:r>
              <w:rPr>
                <w:sz w:val="24"/>
              </w:rPr>
              <w:t>1.3052</w:t>
            </w:r>
          </w:p>
          <w:p>
            <w:pPr>
              <w:pStyle w:val="TableParagraph"/>
              <w:spacing w:before="200"/>
              <w:ind w:left="220"/>
              <w:rPr>
                <w:sz w:val="24"/>
              </w:rPr>
            </w:pPr>
            <w:r>
              <w:rPr>
                <w:sz w:val="24"/>
              </w:rPr>
              <w:t>0.1903</w:t>
            </w:r>
          </w:p>
          <w:p>
            <w:pPr>
              <w:pStyle w:val="TableParagraph"/>
              <w:spacing w:before="199"/>
              <w:ind w:left="220"/>
              <w:rPr>
                <w:sz w:val="24"/>
              </w:rPr>
            </w:pPr>
            <w:r>
              <w:rPr>
                <w:sz w:val="24"/>
              </w:rPr>
              <w:t>0.6110</w:t>
            </w:r>
          </w:p>
          <w:p>
            <w:pPr>
              <w:pStyle w:val="TableParagraph"/>
              <w:spacing w:before="201"/>
              <w:ind w:left="160"/>
              <w:rPr>
                <w:sz w:val="24"/>
              </w:rPr>
            </w:pPr>
            <w:r>
              <w:rPr>
                <w:sz w:val="24"/>
              </w:rPr>
              <w:t>11.2721</w:t>
            </w:r>
          </w:p>
          <w:p>
            <w:pPr>
              <w:pStyle w:val="TableParagraph"/>
              <w:spacing w:before="200"/>
              <w:ind w:left="249"/>
              <w:rPr>
                <w:sz w:val="24"/>
              </w:rPr>
            </w:pPr>
            <w:r>
              <w:rPr>
                <w:sz w:val="24"/>
              </w:rPr>
              <w:t>0.2023</w:t>
            </w:r>
          </w:p>
          <w:p>
            <w:pPr>
              <w:pStyle w:val="TableParagraph"/>
              <w:spacing w:before="199"/>
              <w:ind w:left="249"/>
              <w:rPr>
                <w:sz w:val="24"/>
              </w:rPr>
            </w:pPr>
            <w:r>
              <w:rPr>
                <w:sz w:val="24"/>
              </w:rPr>
              <w:t>0.2397</w:t>
            </w:r>
          </w:p>
        </w:tc>
        <w:tc>
          <w:tcPr>
            <w:tcW w:w="1302" w:type="dxa"/>
          </w:tcPr>
          <w:p>
            <w:pPr>
              <w:pStyle w:val="TableParagraph"/>
              <w:spacing w:line="270" w:lineRule="exact"/>
              <w:ind w:left="318"/>
              <w:rPr>
                <w:sz w:val="24"/>
              </w:rPr>
            </w:pPr>
            <w:r>
              <w:rPr>
                <w:sz w:val="24"/>
              </w:rPr>
              <w:t>2.7676</w:t>
            </w:r>
          </w:p>
          <w:p>
            <w:pPr>
              <w:pStyle w:val="TableParagraph"/>
              <w:spacing w:before="201"/>
              <w:ind w:left="318"/>
              <w:rPr>
                <w:sz w:val="24"/>
              </w:rPr>
            </w:pPr>
            <w:r>
              <w:rPr>
                <w:sz w:val="24"/>
              </w:rPr>
              <w:t>1.7036</w:t>
            </w:r>
          </w:p>
          <w:p>
            <w:pPr>
              <w:pStyle w:val="TableParagraph"/>
              <w:spacing w:before="200"/>
              <w:ind w:left="347"/>
              <w:rPr>
                <w:sz w:val="24"/>
              </w:rPr>
            </w:pPr>
            <w:r>
              <w:rPr>
                <w:sz w:val="24"/>
              </w:rPr>
              <w:t>0.0362</w:t>
            </w:r>
          </w:p>
          <w:p>
            <w:pPr>
              <w:pStyle w:val="TableParagraph"/>
              <w:spacing w:before="199"/>
              <w:ind w:left="318"/>
              <w:rPr>
                <w:sz w:val="24"/>
              </w:rPr>
            </w:pPr>
            <w:r>
              <w:rPr>
                <w:sz w:val="24"/>
              </w:rPr>
              <w:t>0.3733</w:t>
            </w:r>
          </w:p>
          <w:p>
            <w:pPr>
              <w:pStyle w:val="TableParagraph"/>
              <w:spacing w:before="201"/>
              <w:ind w:left="198"/>
              <w:rPr>
                <w:sz w:val="24"/>
              </w:rPr>
            </w:pPr>
            <w:r>
              <w:rPr>
                <w:sz w:val="24"/>
              </w:rPr>
              <w:t>127.0592</w:t>
            </w:r>
          </w:p>
          <w:p>
            <w:pPr>
              <w:pStyle w:val="TableParagraph"/>
              <w:spacing w:before="200"/>
              <w:ind w:left="318"/>
              <w:rPr>
                <w:sz w:val="24"/>
              </w:rPr>
            </w:pPr>
            <w:r>
              <w:rPr>
                <w:sz w:val="24"/>
              </w:rPr>
              <w:t>0.0409</w:t>
            </w:r>
          </w:p>
          <w:p>
            <w:pPr>
              <w:pStyle w:val="TableParagraph"/>
              <w:spacing w:before="199"/>
              <w:ind w:left="318"/>
              <w:rPr>
                <w:sz w:val="24"/>
              </w:rPr>
            </w:pPr>
            <w:r>
              <w:rPr>
                <w:sz w:val="24"/>
              </w:rPr>
              <w:t>0.0575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 w:after="8"/>
        <w:ind w:left="1335" w:right="1335"/>
        <w:jc w:val="center"/>
      </w:pPr>
      <w:r>
        <w:rPr/>
        <w:t>Table</w:t>
      </w:r>
      <w:r>
        <w:rPr>
          <w:spacing w:val="-2"/>
        </w:rPr>
        <w:t> </w:t>
      </w:r>
      <w:r>
        <w:rPr/>
        <w:t>5.10:</w:t>
      </w:r>
      <w:r>
        <w:rPr>
          <w:spacing w:val="-1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Autocorrelation</w:t>
      </w: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1608"/>
        <w:gridCol w:w="1195"/>
        <w:gridCol w:w="1090"/>
        <w:gridCol w:w="955"/>
        <w:gridCol w:w="1214"/>
        <w:gridCol w:w="1212"/>
      </w:tblGrid>
      <w:tr>
        <w:trPr>
          <w:trHeight w:val="414" w:hRule="atLeast"/>
        </w:trPr>
        <w:tc>
          <w:tcPr>
            <w:tcW w:w="116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60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Definition</w:t>
            </w:r>
          </w:p>
        </w:tc>
        <w:tc>
          <w:tcPr>
            <w:tcW w:w="119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4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2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12" w:hRule="atLeast"/>
        </w:trPr>
        <w:tc>
          <w:tcPr>
            <w:tcW w:w="116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60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Output</w:t>
            </w:r>
          </w:p>
        </w:tc>
        <w:tc>
          <w:tcPr>
            <w:tcW w:w="119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0.6005</w:t>
            </w:r>
          </w:p>
        </w:tc>
        <w:tc>
          <w:tcPr>
            <w:tcW w:w="109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0.3790</w:t>
            </w:r>
          </w:p>
        </w:tc>
        <w:tc>
          <w:tcPr>
            <w:tcW w:w="95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0.2407</w:t>
            </w:r>
          </w:p>
        </w:tc>
        <w:tc>
          <w:tcPr>
            <w:tcW w:w="1214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0.1528</w:t>
            </w:r>
          </w:p>
        </w:tc>
        <w:tc>
          <w:tcPr>
            <w:tcW w:w="1212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0.0964</w:t>
            </w:r>
          </w:p>
        </w:tc>
      </w:tr>
      <w:tr>
        <w:trPr>
          <w:trHeight w:val="414" w:hRule="atLeast"/>
        </w:trPr>
        <w:tc>
          <w:tcPr>
            <w:tcW w:w="116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pii_D</w:t>
            </w:r>
          </w:p>
        </w:tc>
        <w:tc>
          <w:tcPr>
            <w:tcW w:w="160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Inflation</w:t>
            </w:r>
          </w:p>
        </w:tc>
        <w:tc>
          <w:tcPr>
            <w:tcW w:w="119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0.0464</w:t>
            </w:r>
          </w:p>
        </w:tc>
        <w:tc>
          <w:tcPr>
            <w:tcW w:w="109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0.0293</w:t>
            </w:r>
          </w:p>
        </w:tc>
        <w:tc>
          <w:tcPr>
            <w:tcW w:w="95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0.0202</w:t>
            </w:r>
          </w:p>
        </w:tc>
        <w:tc>
          <w:tcPr>
            <w:tcW w:w="1214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0.0151</w:t>
            </w:r>
          </w:p>
        </w:tc>
        <w:tc>
          <w:tcPr>
            <w:tcW w:w="1212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0.0116</w:t>
            </w:r>
          </w:p>
        </w:tc>
      </w:tr>
      <w:tr>
        <w:trPr>
          <w:trHeight w:val="414" w:hRule="atLeast"/>
        </w:trPr>
        <w:tc>
          <w:tcPr>
            <w:tcW w:w="116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60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Interest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  <w:tc>
          <w:tcPr>
            <w:tcW w:w="119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0.8281</w:t>
            </w:r>
          </w:p>
        </w:tc>
        <w:tc>
          <w:tcPr>
            <w:tcW w:w="109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0.6439</w:t>
            </w:r>
          </w:p>
        </w:tc>
        <w:tc>
          <w:tcPr>
            <w:tcW w:w="95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0.4884</w:t>
            </w:r>
          </w:p>
        </w:tc>
        <w:tc>
          <w:tcPr>
            <w:tcW w:w="1214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0.3659</w:t>
            </w:r>
          </w:p>
        </w:tc>
        <w:tc>
          <w:tcPr>
            <w:tcW w:w="1212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0.2721</w:t>
            </w:r>
          </w:p>
        </w:tc>
      </w:tr>
      <w:tr>
        <w:trPr>
          <w:trHeight w:val="827" w:hRule="atLeast"/>
        </w:trPr>
        <w:tc>
          <w:tcPr>
            <w:tcW w:w="116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G</w:t>
            </w:r>
          </w:p>
        </w:tc>
        <w:tc>
          <w:tcPr>
            <w:tcW w:w="160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Government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spending</w:t>
            </w:r>
          </w:p>
        </w:tc>
        <w:tc>
          <w:tcPr>
            <w:tcW w:w="119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0.8132</w:t>
            </w:r>
          </w:p>
        </w:tc>
        <w:tc>
          <w:tcPr>
            <w:tcW w:w="109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0.6032</w:t>
            </w:r>
          </w:p>
        </w:tc>
        <w:tc>
          <w:tcPr>
            <w:tcW w:w="95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0.4324</w:t>
            </w:r>
          </w:p>
        </w:tc>
        <w:tc>
          <w:tcPr>
            <w:tcW w:w="1214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0.3057</w:t>
            </w:r>
          </w:p>
        </w:tc>
        <w:tc>
          <w:tcPr>
            <w:tcW w:w="1212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0.2149</w:t>
            </w:r>
          </w:p>
        </w:tc>
      </w:tr>
      <w:tr>
        <w:trPr>
          <w:trHeight w:val="412" w:hRule="atLeast"/>
        </w:trPr>
        <w:tc>
          <w:tcPr>
            <w:tcW w:w="116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Ytilde</w:t>
            </w:r>
          </w:p>
        </w:tc>
        <w:tc>
          <w:tcPr>
            <w:tcW w:w="160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Output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gap</w:t>
            </w:r>
          </w:p>
        </w:tc>
        <w:tc>
          <w:tcPr>
            <w:tcW w:w="119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0.0219</w:t>
            </w:r>
          </w:p>
        </w:tc>
        <w:tc>
          <w:tcPr>
            <w:tcW w:w="109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0.0156</w:t>
            </w:r>
          </w:p>
        </w:tc>
        <w:tc>
          <w:tcPr>
            <w:tcW w:w="95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0.0098</w:t>
            </w:r>
          </w:p>
        </w:tc>
        <w:tc>
          <w:tcPr>
            <w:tcW w:w="1214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0.0069</w:t>
            </w:r>
          </w:p>
        </w:tc>
        <w:tc>
          <w:tcPr>
            <w:tcW w:w="1212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0.0051</w:t>
            </w:r>
          </w:p>
        </w:tc>
      </w:tr>
      <w:tr>
        <w:trPr>
          <w:trHeight w:val="415" w:hRule="atLeast"/>
        </w:trPr>
        <w:tc>
          <w:tcPr>
            <w:tcW w:w="116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Rn</w:t>
            </w:r>
          </w:p>
        </w:tc>
        <w:tc>
          <w:tcPr>
            <w:tcW w:w="1608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Rent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seeking</w:t>
            </w:r>
          </w:p>
        </w:tc>
        <w:tc>
          <w:tcPr>
            <w:tcW w:w="1195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0.8264</w:t>
            </w:r>
          </w:p>
        </w:tc>
        <w:tc>
          <w:tcPr>
            <w:tcW w:w="109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0.6164</w:t>
            </w:r>
          </w:p>
        </w:tc>
        <w:tc>
          <w:tcPr>
            <w:tcW w:w="955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0.4429</w:t>
            </w:r>
          </w:p>
        </w:tc>
        <w:tc>
          <w:tcPr>
            <w:tcW w:w="121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0.3134</w:t>
            </w:r>
          </w:p>
        </w:tc>
        <w:tc>
          <w:tcPr>
            <w:tcW w:w="1212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0.2204</w:t>
            </w:r>
          </w:p>
        </w:tc>
      </w:tr>
      <w:tr>
        <w:trPr>
          <w:trHeight w:val="827" w:hRule="atLeast"/>
        </w:trPr>
        <w:tc>
          <w:tcPr>
            <w:tcW w:w="116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v_com</w:t>
            </w:r>
          </w:p>
        </w:tc>
        <w:tc>
          <w:tcPr>
            <w:tcW w:w="160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Interaction</w:t>
            </w:r>
          </w:p>
          <w:p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19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0.7701</w:t>
            </w:r>
          </w:p>
        </w:tc>
        <w:tc>
          <w:tcPr>
            <w:tcW w:w="109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0.5464</w:t>
            </w:r>
          </w:p>
        </w:tc>
        <w:tc>
          <w:tcPr>
            <w:tcW w:w="95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0.3753</w:t>
            </w:r>
          </w:p>
        </w:tc>
        <w:tc>
          <w:tcPr>
            <w:tcW w:w="1214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0.2541</w:t>
            </w:r>
          </w:p>
        </w:tc>
        <w:tc>
          <w:tcPr>
            <w:tcW w:w="1212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0.1708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60" w:lineRule="auto"/>
        <w:ind w:left="500" w:right="494"/>
        <w:jc w:val="both"/>
      </w:pPr>
      <w:r>
        <w:rPr/>
        <w:t>The</w:t>
      </w:r>
      <w:r>
        <w:rPr>
          <w:spacing w:val="-7"/>
        </w:rPr>
        <w:t> </w:t>
      </w:r>
      <w:r>
        <w:rPr/>
        <w:t>nature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interdependence</w:t>
      </w:r>
      <w:r>
        <w:rPr>
          <w:spacing w:val="-6"/>
        </w:rPr>
        <w:t> </w:t>
      </w:r>
      <w:r>
        <w:rPr/>
        <w:t>between</w:t>
      </w:r>
      <w:r>
        <w:rPr>
          <w:spacing w:val="-6"/>
        </w:rPr>
        <w:t> </w:t>
      </w:r>
      <w:r>
        <w:rPr/>
        <w:t>fiscal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monetary</w:t>
      </w:r>
      <w:r>
        <w:rPr>
          <w:spacing w:val="-13"/>
        </w:rPr>
        <w:t> </w:t>
      </w:r>
      <w:r>
        <w:rPr/>
        <w:t>policy</w:t>
      </w:r>
      <w:r>
        <w:rPr>
          <w:spacing w:val="-10"/>
        </w:rPr>
        <w:t> </w:t>
      </w:r>
      <w:r>
        <w:rPr/>
        <w:t>is</w:t>
      </w:r>
      <w:r>
        <w:rPr>
          <w:spacing w:val="-6"/>
        </w:rPr>
        <w:t> </w:t>
      </w:r>
      <w:r>
        <w:rPr/>
        <w:t>found</w:t>
      </w:r>
      <w:r>
        <w:rPr>
          <w:spacing w:val="-4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direction</w:t>
      </w:r>
      <w:r>
        <w:rPr>
          <w:spacing w:val="-5"/>
        </w:rPr>
        <w:t> </w:t>
      </w:r>
      <w:r>
        <w:rPr/>
        <w:t>and</w:t>
      </w:r>
      <w:r>
        <w:rPr>
          <w:spacing w:val="-58"/>
        </w:rPr>
        <w:t> </w:t>
      </w:r>
      <w:r>
        <w:rPr/>
        <w:t>magnitude of the correlation between both policy variables. The correlation matrix presented in</w:t>
      </w:r>
      <w:r>
        <w:rPr>
          <w:spacing w:val="1"/>
        </w:rPr>
        <w:t> </w:t>
      </w:r>
      <w:r>
        <w:rPr/>
        <w:t>Table 5.11, obtained from the dynamic simulation of the NK DSGE model, reveals a strong but</w:t>
      </w:r>
      <w:r>
        <w:rPr>
          <w:spacing w:val="1"/>
        </w:rPr>
        <w:t> </w:t>
      </w:r>
      <w:r>
        <w:rPr/>
        <w:t>negative correlation between fiscal and monetary policy. This shows that both policies are strong</w:t>
      </w:r>
      <w:r>
        <w:rPr>
          <w:spacing w:val="-57"/>
        </w:rPr>
        <w:t> </w:t>
      </w:r>
      <w:r>
        <w:rPr/>
        <w:t>substitutes.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result</w:t>
      </w:r>
      <w:r>
        <w:rPr>
          <w:spacing w:val="-2"/>
        </w:rPr>
        <w:t> </w:t>
      </w:r>
      <w:r>
        <w:rPr/>
        <w:t>negates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Chuku</w:t>
      </w:r>
      <w:r>
        <w:rPr>
          <w:spacing w:val="-3"/>
        </w:rPr>
        <w:t> </w:t>
      </w:r>
      <w:r>
        <w:rPr/>
        <w:t>(2010)</w:t>
      </w:r>
      <w:r>
        <w:rPr>
          <w:spacing w:val="-4"/>
        </w:rPr>
        <w:t> </w:t>
      </w:r>
      <w:r>
        <w:rPr/>
        <w:t>who</w:t>
      </w:r>
      <w:r>
        <w:rPr>
          <w:spacing w:val="-3"/>
        </w:rPr>
        <w:t> </w:t>
      </w:r>
      <w:r>
        <w:rPr/>
        <w:t>conclude</w:t>
      </w:r>
      <w:r>
        <w:rPr>
          <w:spacing w:val="-4"/>
        </w:rPr>
        <w:t> </w:t>
      </w:r>
      <w:r>
        <w:rPr/>
        <w:t>that</w:t>
      </w:r>
      <w:r>
        <w:rPr>
          <w:spacing w:val="-2"/>
        </w:rPr>
        <w:t> </w:t>
      </w:r>
      <w:r>
        <w:rPr/>
        <w:t>fiscal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monetary</w:t>
      </w:r>
      <w:r>
        <w:rPr>
          <w:spacing w:val="-8"/>
        </w:rPr>
        <w:t> </w:t>
      </w:r>
      <w:r>
        <w:rPr/>
        <w:t>policy</w:t>
      </w:r>
      <w:r>
        <w:rPr>
          <w:spacing w:val="-57"/>
        </w:rPr>
        <w:t> </w:t>
      </w:r>
      <w:r>
        <w:rPr/>
        <w:t>act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weak</w:t>
      </w:r>
      <w:r>
        <w:rPr>
          <w:spacing w:val="-1"/>
        </w:rPr>
        <w:t> </w:t>
      </w:r>
      <w:r>
        <w:rPr/>
        <w:t>substitutes.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Impulse</w:t>
      </w:r>
      <w:r>
        <w:rPr>
          <w:spacing w:val="-2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obtained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Bayesian</w:t>
      </w:r>
      <w:r>
        <w:rPr>
          <w:spacing w:val="-2"/>
        </w:rPr>
        <w:t> </w:t>
      </w:r>
      <w:r>
        <w:rPr/>
        <w:t>estimation</w:t>
      </w:r>
      <w:r>
        <w:rPr>
          <w:spacing w:val="-1"/>
        </w:rPr>
        <w:t> </w:t>
      </w:r>
      <w:r>
        <w:rPr/>
        <w:t>as</w:t>
      </w:r>
      <w:r>
        <w:rPr>
          <w:spacing w:val="-58"/>
        </w:rPr>
        <w:t> </w:t>
      </w:r>
      <w:r>
        <w:rPr/>
        <w:t>presented in Figure 5.2 also corroborates the findings of the correlation matrix. It is such that,</w:t>
      </w:r>
      <w:r>
        <w:rPr>
          <w:spacing w:val="1"/>
        </w:rPr>
        <w:t> </w:t>
      </w:r>
      <w:r>
        <w:rPr/>
        <w:t>although, fiscal and monetary policy acted as substitutes from period 1 to 7 and as complements</w:t>
      </w:r>
      <w:r>
        <w:rPr>
          <w:spacing w:val="1"/>
        </w:rPr>
        <w:t> </w:t>
      </w:r>
      <w:r>
        <w:rPr/>
        <w:t>from period 8 to 20, the magnitude of the negative interactions between both policies may have</w:t>
      </w:r>
      <w:r>
        <w:rPr>
          <w:spacing w:val="1"/>
        </w:rPr>
        <w:t> </w:t>
      </w:r>
      <w:r>
        <w:rPr/>
        <w:t>outweighed their complementary interactions. In an overall manner, over the sample period, both</w:t>
      </w:r>
      <w:r>
        <w:rPr>
          <w:spacing w:val="-57"/>
        </w:rPr>
        <w:t> </w:t>
      </w:r>
      <w:r>
        <w:rPr/>
        <w:t>fiscal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monetary</w:t>
      </w:r>
      <w:r>
        <w:rPr>
          <w:spacing w:val="-8"/>
        </w:rPr>
        <w:t> </w:t>
      </w:r>
      <w:r>
        <w:rPr/>
        <w:t>policies</w:t>
      </w:r>
      <w:r>
        <w:rPr>
          <w:spacing w:val="-5"/>
        </w:rPr>
        <w:t> </w:t>
      </w:r>
      <w:r>
        <w:rPr/>
        <w:t>interacted,</w:t>
      </w:r>
      <w:r>
        <w:rPr>
          <w:spacing w:val="-6"/>
        </w:rPr>
        <w:t> </w:t>
      </w:r>
      <w:r>
        <w:rPr/>
        <w:t>therefore,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strong</w:t>
      </w:r>
      <w:r>
        <w:rPr>
          <w:spacing w:val="-8"/>
        </w:rPr>
        <w:t> </w:t>
      </w:r>
      <w:r>
        <w:rPr/>
        <w:t>substitutes.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implies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when</w:t>
      </w:r>
      <w:r>
        <w:rPr>
          <w:spacing w:val="-5"/>
        </w:rPr>
        <w:t> </w:t>
      </w:r>
      <w:r>
        <w:rPr/>
        <w:t>the</w:t>
      </w:r>
      <w:r>
        <w:rPr>
          <w:spacing w:val="-57"/>
        </w:rPr>
        <w:t> </w:t>
      </w:r>
      <w:r>
        <w:rPr/>
        <w:t>fiscal</w:t>
      </w:r>
      <w:r>
        <w:rPr>
          <w:spacing w:val="1"/>
        </w:rPr>
        <w:t> </w:t>
      </w:r>
      <w:r>
        <w:rPr/>
        <w:t>(monetary)</w:t>
      </w:r>
      <w:r>
        <w:rPr>
          <w:spacing w:val="1"/>
        </w:rPr>
        <w:t> </w:t>
      </w:r>
      <w:r>
        <w:rPr/>
        <w:t>policymaker</w:t>
      </w:r>
      <w:r>
        <w:rPr>
          <w:spacing w:val="1"/>
        </w:rPr>
        <w:t> </w:t>
      </w:r>
      <w:r>
        <w:rPr/>
        <w:t>implements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expansionary</w:t>
      </w:r>
      <w:r>
        <w:rPr>
          <w:spacing w:val="1"/>
        </w:rPr>
        <w:t> </w:t>
      </w:r>
      <w:r>
        <w:rPr/>
        <w:t>measure,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monetary</w:t>
      </w:r>
      <w:r>
        <w:rPr>
          <w:spacing w:val="1"/>
        </w:rPr>
        <w:t> </w:t>
      </w:r>
      <w:r>
        <w:rPr/>
        <w:t>(fiscal)</w:t>
      </w:r>
      <w:r>
        <w:rPr>
          <w:spacing w:val="1"/>
        </w:rPr>
        <w:t> </w:t>
      </w:r>
      <w:r>
        <w:rPr/>
        <w:t>authority</w:t>
      </w:r>
      <w:r>
        <w:rPr>
          <w:spacing w:val="-6"/>
        </w:rPr>
        <w:t> </w:t>
      </w:r>
      <w:r>
        <w:rPr/>
        <w:t>counters this action using</w:t>
      </w:r>
      <w:r>
        <w:rPr>
          <w:spacing w:val="-3"/>
        </w:rPr>
        <w:t> </w:t>
      </w:r>
      <w:r>
        <w:rPr/>
        <w:t>contractionary policy.</w:t>
      </w:r>
    </w:p>
    <w:p>
      <w:pPr>
        <w:spacing w:after="0" w:line="360" w:lineRule="auto"/>
        <w:jc w:val="both"/>
        <w:sectPr>
          <w:pgSz w:w="12240" w:h="15840"/>
          <w:pgMar w:header="0" w:footer="935" w:top="1500" w:bottom="1200" w:left="940" w:right="940"/>
        </w:sectPr>
      </w:pPr>
    </w:p>
    <w:p>
      <w:pPr>
        <w:pStyle w:val="BodyText"/>
        <w:spacing w:before="74" w:after="47"/>
        <w:ind w:left="1334" w:right="1335"/>
        <w:jc w:val="center"/>
      </w:pPr>
      <w:r>
        <w:rPr/>
        <w:t>Table</w:t>
      </w:r>
      <w:r>
        <w:rPr>
          <w:spacing w:val="-2"/>
        </w:rPr>
        <w:t> </w:t>
      </w:r>
      <w:r>
        <w:rPr/>
        <w:t>5.11:</w:t>
      </w:r>
      <w:r>
        <w:rPr>
          <w:spacing w:val="-1"/>
        </w:rPr>
        <w:t> </w:t>
      </w:r>
      <w:r>
        <w:rPr/>
        <w:t>Correlation Matrix:</w:t>
      </w:r>
      <w:r>
        <w:rPr>
          <w:spacing w:val="-1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rate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spending</w:t>
      </w: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3"/>
        <w:gridCol w:w="2995"/>
        <w:gridCol w:w="2993"/>
      </w:tblGrid>
      <w:tr>
        <w:trPr>
          <w:trHeight w:val="594" w:hRule="atLeast"/>
        </w:trPr>
        <w:tc>
          <w:tcPr>
            <w:tcW w:w="2993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</w:p>
        </w:tc>
        <w:tc>
          <w:tcPr>
            <w:tcW w:w="2995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Nominal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Interest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Rate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(r)</w:t>
            </w:r>
          </w:p>
        </w:tc>
        <w:tc>
          <w:tcPr>
            <w:tcW w:w="2993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Government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Spending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(g)</w:t>
            </w:r>
          </w:p>
        </w:tc>
      </w:tr>
      <w:tr>
        <w:trPr>
          <w:trHeight w:val="414" w:hRule="atLeast"/>
        </w:trPr>
        <w:tc>
          <w:tcPr>
            <w:tcW w:w="2993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Nominal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Interest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Rate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(r)</w:t>
            </w:r>
          </w:p>
        </w:tc>
        <w:tc>
          <w:tcPr>
            <w:tcW w:w="299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  <w:tc>
          <w:tcPr>
            <w:tcW w:w="2993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-0.7727</w:t>
            </w:r>
          </w:p>
        </w:tc>
      </w:tr>
      <w:tr>
        <w:trPr>
          <w:trHeight w:val="594" w:hRule="atLeast"/>
        </w:trPr>
        <w:tc>
          <w:tcPr>
            <w:tcW w:w="2993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Government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Spending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(g)</w:t>
            </w:r>
          </w:p>
        </w:tc>
        <w:tc>
          <w:tcPr>
            <w:tcW w:w="299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-0.7727</w:t>
            </w:r>
          </w:p>
        </w:tc>
        <w:tc>
          <w:tcPr>
            <w:tcW w:w="2993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60" w:lineRule="auto"/>
        <w:ind w:left="500" w:right="496"/>
        <w:jc w:val="both"/>
      </w:pPr>
      <w:r>
        <w:rPr/>
        <w:t>The effect of the policy interactions on output and inflation are also discussed by examining the</w:t>
      </w:r>
      <w:r>
        <w:rPr>
          <w:spacing w:val="1"/>
        </w:rPr>
        <w:t> </w:t>
      </w:r>
      <w:r>
        <w:rPr/>
        <w:t>effect of nominal interest rate, government spending and a common interaction variable. The</w:t>
      </w:r>
      <w:r>
        <w:rPr>
          <w:spacing w:val="1"/>
        </w:rPr>
        <w:t> </w:t>
      </w:r>
      <w:r>
        <w:rPr/>
        <w:t>interaction variable is obtained by an additive function of both interest rate and government</w:t>
      </w:r>
      <w:r>
        <w:rPr>
          <w:spacing w:val="1"/>
        </w:rPr>
        <w:t> </w:t>
      </w:r>
      <w:r>
        <w:rPr/>
        <w:t>spending. It is used to approximate the existing interactions between both fiscal and monetary</w:t>
      </w:r>
      <w:r>
        <w:rPr>
          <w:spacing w:val="1"/>
        </w:rPr>
        <w:t> </w:t>
      </w:r>
      <w:r>
        <w:rPr/>
        <w:t>policies. Table 5.12 presents result that shows monetary policy has a positive correlation with</w:t>
      </w:r>
      <w:r>
        <w:rPr>
          <w:spacing w:val="1"/>
        </w:rPr>
        <w:t> </w:t>
      </w:r>
      <w:r>
        <w:rPr/>
        <w:t>output and inflation, while government spending negatively correlates with both macroeconomic</w:t>
      </w:r>
      <w:r>
        <w:rPr>
          <w:spacing w:val="1"/>
        </w:rPr>
        <w:t> </w:t>
      </w:r>
      <w:r>
        <w:rPr/>
        <w:t>variables,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is,</w:t>
      </w:r>
      <w:r>
        <w:rPr>
          <w:spacing w:val="-5"/>
        </w:rPr>
        <w:t> </w:t>
      </w:r>
      <w:r>
        <w:rPr/>
        <w:t>output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inflation</w:t>
      </w:r>
      <w:r>
        <w:rPr>
          <w:spacing w:val="-6"/>
        </w:rPr>
        <w:t> </w:t>
      </w:r>
      <w:r>
        <w:rPr/>
        <w:t>rate.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common</w:t>
      </w:r>
      <w:r>
        <w:rPr>
          <w:spacing w:val="-6"/>
        </w:rPr>
        <w:t> </w:t>
      </w:r>
      <w:r>
        <w:rPr/>
        <w:t>interaction</w:t>
      </w:r>
      <w:r>
        <w:rPr>
          <w:spacing w:val="-5"/>
        </w:rPr>
        <w:t> </w:t>
      </w:r>
      <w:r>
        <w:rPr/>
        <w:t>variable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also</w:t>
      </w:r>
      <w:r>
        <w:rPr>
          <w:spacing w:val="-5"/>
        </w:rPr>
        <w:t> </w:t>
      </w:r>
      <w:r>
        <w:rPr/>
        <w:t>seen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impact</w:t>
      </w:r>
      <w:r>
        <w:rPr>
          <w:spacing w:val="-58"/>
        </w:rPr>
        <w:t> </w:t>
      </w:r>
      <w:r>
        <w:rPr/>
        <w:t>negatively</w:t>
      </w:r>
      <w:r>
        <w:rPr>
          <w:spacing w:val="-5"/>
        </w:rPr>
        <w:t> </w:t>
      </w:r>
      <w:r>
        <w:rPr/>
        <w:t>on both output and inflation.</w:t>
      </w:r>
    </w:p>
    <w:p>
      <w:pPr>
        <w:spacing w:before="203" w:after="4"/>
        <w:ind w:left="956" w:right="0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5.12: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Correlation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Matrix-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Interaction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variable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Macroeconomic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outcome</w:t>
      </w: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5"/>
        <w:gridCol w:w="1352"/>
        <w:gridCol w:w="1621"/>
        <w:gridCol w:w="1441"/>
        <w:gridCol w:w="1350"/>
        <w:gridCol w:w="1357"/>
      </w:tblGrid>
      <w:tr>
        <w:trPr>
          <w:trHeight w:val="1243" w:hRule="atLeast"/>
        </w:trPr>
        <w:tc>
          <w:tcPr>
            <w:tcW w:w="2155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</w:p>
        </w:tc>
        <w:tc>
          <w:tcPr>
            <w:tcW w:w="1352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Nominal</w:t>
            </w:r>
          </w:p>
          <w:p>
            <w:pPr>
              <w:pStyle w:val="TableParagraph"/>
              <w:spacing w:line="410" w:lineRule="atLeast" w:before="5"/>
              <w:ind w:right="415"/>
              <w:rPr>
                <w:b/>
                <w:sz w:val="24"/>
              </w:rPr>
            </w:pPr>
            <w:r>
              <w:rPr>
                <w:b/>
                <w:sz w:val="24"/>
              </w:rPr>
              <w:t>Interest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Rate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(r)</w:t>
            </w:r>
          </w:p>
        </w:tc>
        <w:tc>
          <w:tcPr>
            <w:tcW w:w="1621" w:type="dxa"/>
          </w:tcPr>
          <w:p>
            <w:pPr>
              <w:pStyle w:val="TableParagraph"/>
              <w:spacing w:line="362" w:lineRule="auto"/>
              <w:ind w:left="105" w:right="192"/>
              <w:rPr>
                <w:b/>
                <w:sz w:val="24"/>
              </w:rPr>
            </w:pPr>
            <w:r>
              <w:rPr>
                <w:b/>
                <w:sz w:val="24"/>
              </w:rPr>
              <w:t>Government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Spending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(g)</w:t>
            </w:r>
          </w:p>
        </w:tc>
        <w:tc>
          <w:tcPr>
            <w:tcW w:w="1441" w:type="dxa"/>
          </w:tcPr>
          <w:p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Interaction</w:t>
            </w:r>
          </w:p>
          <w:p>
            <w:pPr>
              <w:pStyle w:val="TableParagraph"/>
              <w:spacing w:line="410" w:lineRule="atLeast" w:before="5"/>
              <w:ind w:left="104" w:right="413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(v_com)</w:t>
            </w:r>
          </w:p>
        </w:tc>
        <w:tc>
          <w:tcPr>
            <w:tcW w:w="1350" w:type="dxa"/>
          </w:tcPr>
          <w:p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Output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(y)</w:t>
            </w:r>
          </w:p>
        </w:tc>
        <w:tc>
          <w:tcPr>
            <w:tcW w:w="1357" w:type="dxa"/>
          </w:tcPr>
          <w:p>
            <w:pPr>
              <w:pStyle w:val="TableParagraph"/>
              <w:spacing w:line="362" w:lineRule="auto"/>
              <w:ind w:left="105"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Inflation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(piiD)</w:t>
            </w:r>
          </w:p>
        </w:tc>
      </w:tr>
      <w:tr>
        <w:trPr>
          <w:trHeight w:val="827" w:hRule="atLeast"/>
        </w:trPr>
        <w:tc>
          <w:tcPr>
            <w:tcW w:w="215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Nominal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Interest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(r)</w:t>
            </w:r>
          </w:p>
        </w:tc>
        <w:tc>
          <w:tcPr>
            <w:tcW w:w="135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  <w:tc>
          <w:tcPr>
            <w:tcW w:w="16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5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5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215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Government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Spending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35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-0.7727</w:t>
            </w:r>
          </w:p>
        </w:tc>
        <w:tc>
          <w:tcPr>
            <w:tcW w:w="1621" w:type="dxa"/>
          </w:tcPr>
          <w:p>
            <w:pPr>
              <w:pStyle w:val="TableParagraph"/>
              <w:spacing w:line="270" w:lineRule="exact"/>
              <w:ind w:left="0" w:right="723"/>
              <w:jc w:val="right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  <w:tc>
          <w:tcPr>
            <w:tcW w:w="144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5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5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215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Interaction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Variable(v_com)</w:t>
            </w:r>
          </w:p>
        </w:tc>
        <w:tc>
          <w:tcPr>
            <w:tcW w:w="135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-0.7727</w:t>
            </w:r>
          </w:p>
        </w:tc>
        <w:tc>
          <w:tcPr>
            <w:tcW w:w="1621" w:type="dxa"/>
          </w:tcPr>
          <w:p>
            <w:pPr>
              <w:pStyle w:val="TableParagraph"/>
              <w:spacing w:line="270" w:lineRule="exact"/>
              <w:ind w:left="0" w:right="783"/>
              <w:jc w:val="right"/>
              <w:rPr>
                <w:sz w:val="24"/>
              </w:rPr>
            </w:pPr>
            <w:r>
              <w:rPr>
                <w:sz w:val="24"/>
              </w:rPr>
              <w:t>0.9677</w:t>
            </w:r>
          </w:p>
        </w:tc>
        <w:tc>
          <w:tcPr>
            <w:tcW w:w="1441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  <w:tc>
          <w:tcPr>
            <w:tcW w:w="135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5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155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Output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(y)</w:t>
            </w:r>
          </w:p>
        </w:tc>
        <w:tc>
          <w:tcPr>
            <w:tcW w:w="1352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0.4461</w:t>
            </w:r>
          </w:p>
        </w:tc>
        <w:tc>
          <w:tcPr>
            <w:tcW w:w="1621" w:type="dxa"/>
          </w:tcPr>
          <w:p>
            <w:pPr>
              <w:pStyle w:val="TableParagraph"/>
              <w:spacing w:line="271" w:lineRule="exact"/>
              <w:ind w:left="0" w:right="764"/>
              <w:jc w:val="right"/>
              <w:rPr>
                <w:sz w:val="24"/>
              </w:rPr>
            </w:pPr>
            <w:r>
              <w:rPr>
                <w:sz w:val="24"/>
              </w:rPr>
              <w:t>-0.3957</w:t>
            </w:r>
          </w:p>
        </w:tc>
        <w:tc>
          <w:tcPr>
            <w:tcW w:w="1441" w:type="dxa"/>
          </w:tcPr>
          <w:p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-0.3273</w:t>
            </w:r>
          </w:p>
        </w:tc>
        <w:tc>
          <w:tcPr>
            <w:tcW w:w="1350" w:type="dxa"/>
          </w:tcPr>
          <w:p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  <w:tc>
          <w:tcPr>
            <w:tcW w:w="135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215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Inflation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(piiD)</w:t>
            </w:r>
          </w:p>
        </w:tc>
        <w:tc>
          <w:tcPr>
            <w:tcW w:w="135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0.4847</w:t>
            </w:r>
          </w:p>
        </w:tc>
        <w:tc>
          <w:tcPr>
            <w:tcW w:w="1621" w:type="dxa"/>
          </w:tcPr>
          <w:p>
            <w:pPr>
              <w:pStyle w:val="TableParagraph"/>
              <w:spacing w:line="270" w:lineRule="exact"/>
              <w:ind w:left="0" w:right="764"/>
              <w:jc w:val="right"/>
              <w:rPr>
                <w:sz w:val="24"/>
              </w:rPr>
            </w:pPr>
            <w:r>
              <w:rPr>
                <w:sz w:val="24"/>
              </w:rPr>
              <w:t>-0.2669</w:t>
            </w:r>
          </w:p>
        </w:tc>
        <w:tc>
          <w:tcPr>
            <w:tcW w:w="1441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-0.1477</w:t>
            </w:r>
          </w:p>
        </w:tc>
        <w:tc>
          <w:tcPr>
            <w:tcW w:w="1350" w:type="dxa"/>
          </w:tcPr>
          <w:p>
            <w:pPr>
              <w:pStyle w:val="TableParagraph"/>
              <w:spacing w:line="270" w:lineRule="exact"/>
              <w:ind w:left="163"/>
              <w:rPr>
                <w:sz w:val="24"/>
              </w:rPr>
            </w:pPr>
            <w:r>
              <w:rPr>
                <w:sz w:val="24"/>
              </w:rPr>
              <w:t>0.6267</w:t>
            </w:r>
          </w:p>
        </w:tc>
        <w:tc>
          <w:tcPr>
            <w:tcW w:w="1357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2240" w:h="15840"/>
          <w:pgMar w:header="0" w:footer="935" w:top="1360" w:bottom="1200" w:left="940" w:right="940"/>
        </w:sectPr>
      </w:pPr>
    </w:p>
    <w:p>
      <w:pPr>
        <w:pStyle w:val="Heading1"/>
        <w:numPr>
          <w:ilvl w:val="1"/>
          <w:numId w:val="32"/>
        </w:numPr>
        <w:tabs>
          <w:tab w:pos="1019" w:val="left" w:leader="none"/>
        </w:tabs>
        <w:spacing w:line="240" w:lineRule="auto" w:before="62" w:after="0"/>
        <w:ind w:left="1018" w:right="0" w:hanging="519"/>
        <w:jc w:val="left"/>
      </w:pPr>
      <w:bookmarkStart w:name="_TOC_250005" w:id="55"/>
      <w:r>
        <w:rPr/>
        <w:t>Optimal</w:t>
      </w:r>
      <w:r>
        <w:rPr>
          <w:spacing w:val="-2"/>
        </w:rPr>
        <w:t> </w:t>
      </w:r>
      <w:r>
        <w:rPr/>
        <w:t>Fiscal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Monetary</w:t>
      </w:r>
      <w:r>
        <w:rPr>
          <w:spacing w:val="2"/>
        </w:rPr>
        <w:t> </w:t>
      </w:r>
      <w:bookmarkEnd w:id="55"/>
      <w:r>
        <w:rPr/>
        <w:t>Policy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360" w:lineRule="auto"/>
        <w:ind w:left="500" w:right="495"/>
        <w:jc w:val="both"/>
      </w:pPr>
      <w:r>
        <w:rPr/>
        <w:t>In this Section, the optimal Ramsey and discretionary paths of fiscal and monetary policy are</w:t>
      </w:r>
      <w:r>
        <w:rPr>
          <w:spacing w:val="1"/>
        </w:rPr>
        <w:t> </w:t>
      </w:r>
      <w:r>
        <w:rPr/>
        <w:t>numerically investigated.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monetary policy 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</w:t>
      </w:r>
      <w:r>
        <w:rPr>
          <w:spacing w:val="-7"/>
        </w:rPr>
        <w:t> </w:t>
      </w:r>
      <w:r>
        <w:rPr/>
        <w:t>spending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nominal</w:t>
      </w:r>
      <w:r>
        <w:rPr>
          <w:spacing w:val="-6"/>
        </w:rPr>
        <w:t> </w:t>
      </w:r>
      <w:r>
        <w:rPr/>
        <w:t>interest</w:t>
      </w:r>
      <w:r>
        <w:rPr>
          <w:spacing w:val="-6"/>
        </w:rPr>
        <w:t> </w:t>
      </w:r>
      <w:r>
        <w:rPr/>
        <w:t>rates</w:t>
      </w:r>
      <w:r>
        <w:rPr>
          <w:spacing w:val="-4"/>
        </w:rPr>
        <w:t> </w:t>
      </w:r>
      <w:r>
        <w:rPr/>
        <w:t>that</w:t>
      </w:r>
      <w:r>
        <w:rPr>
          <w:spacing w:val="-6"/>
        </w:rPr>
        <w:t> </w:t>
      </w:r>
      <w:r>
        <w:rPr/>
        <w:t>minimise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welfare</w:t>
      </w:r>
      <w:r>
        <w:rPr>
          <w:spacing w:val="-5"/>
        </w:rPr>
        <w:t> </w:t>
      </w:r>
      <w:r>
        <w:rPr/>
        <w:t>loss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policymaker</w:t>
      </w:r>
      <w:r>
        <w:rPr>
          <w:spacing w:val="-58"/>
        </w:rPr>
        <w:t> </w:t>
      </w:r>
      <w:r>
        <w:rPr/>
        <w:t>given the constraints posed by the structural equations of the small open economy. The welfare</w:t>
      </w:r>
      <w:r>
        <w:rPr>
          <w:spacing w:val="1"/>
        </w:rPr>
        <w:t> </w:t>
      </w:r>
      <w:r>
        <w:rPr/>
        <w:t>function of the policymaker is such that both</w:t>
      </w:r>
      <w:r>
        <w:rPr>
          <w:spacing w:val="1"/>
        </w:rPr>
        <w:t> </w:t>
      </w:r>
      <w:r>
        <w:rPr/>
        <w:t>policy makers jointly desire to minimise the</w:t>
      </w:r>
      <w:r>
        <w:rPr>
          <w:spacing w:val="1"/>
        </w:rPr>
        <w:t> </w:t>
      </w:r>
      <w:r>
        <w:rPr/>
        <w:t>deviations of actual values of inflation, output and government spending from their target values.</w:t>
      </w:r>
      <w:r>
        <w:rPr>
          <w:spacing w:val="-57"/>
        </w:rPr>
        <w:t> </w:t>
      </w:r>
      <w:r>
        <w:rPr/>
        <w:t>The implication of various assumptions on the behaviour of fiscal policy such as rent-seeking,</w:t>
      </w:r>
      <w:r>
        <w:rPr>
          <w:spacing w:val="1"/>
        </w:rPr>
        <w:t> </w:t>
      </w:r>
      <w:r>
        <w:rPr/>
        <w:t>benevolent,</w:t>
      </w:r>
      <w:r>
        <w:rPr>
          <w:spacing w:val="-1"/>
        </w:rPr>
        <w:t> </w:t>
      </w:r>
      <w:r>
        <w:rPr/>
        <w:t>commitment</w:t>
      </w:r>
      <w:r>
        <w:rPr>
          <w:spacing w:val="-1"/>
        </w:rPr>
        <w:t> </w:t>
      </w:r>
      <w:r>
        <w:rPr/>
        <w:t>and discretionary,</w:t>
      </w:r>
      <w:r>
        <w:rPr>
          <w:spacing w:val="-1"/>
        </w:rPr>
        <w:t> </w:t>
      </w:r>
      <w:r>
        <w:rPr/>
        <w:t>on the optimal paths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specifically</w:t>
      </w:r>
      <w:r>
        <w:rPr>
          <w:spacing w:val="-4"/>
        </w:rPr>
        <w:t> </w:t>
      </w:r>
      <w:r>
        <w:rPr/>
        <w:t>examined.</w:t>
      </w:r>
    </w:p>
    <w:p>
      <w:pPr>
        <w:pStyle w:val="BodyText"/>
        <w:spacing w:line="360" w:lineRule="auto" w:before="200"/>
        <w:ind w:left="500" w:right="498"/>
        <w:jc w:val="both"/>
      </w:pPr>
      <w:r>
        <w:rPr/>
        <w:t>The</w:t>
      </w:r>
      <w:r>
        <w:rPr>
          <w:spacing w:val="-7"/>
        </w:rPr>
        <w:t> </w:t>
      </w:r>
      <w:r>
        <w:rPr/>
        <w:t>moments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optimal</w:t>
      </w:r>
      <w:r>
        <w:rPr>
          <w:spacing w:val="-5"/>
        </w:rPr>
        <w:t> </w:t>
      </w:r>
      <w:r>
        <w:rPr/>
        <w:t>policies</w:t>
      </w:r>
      <w:r>
        <w:rPr>
          <w:spacing w:val="-5"/>
        </w:rPr>
        <w:t> </w:t>
      </w:r>
      <w:r>
        <w:rPr/>
        <w:t>under</w:t>
      </w:r>
      <w:r>
        <w:rPr>
          <w:spacing w:val="-7"/>
        </w:rPr>
        <w:t> </w:t>
      </w:r>
      <w:r>
        <w:rPr/>
        <w:t>different</w:t>
      </w:r>
      <w:r>
        <w:rPr>
          <w:spacing w:val="-5"/>
        </w:rPr>
        <w:t> </w:t>
      </w:r>
      <w:r>
        <w:rPr/>
        <w:t>assumptions</w:t>
      </w:r>
      <w:r>
        <w:rPr>
          <w:spacing w:val="-5"/>
        </w:rPr>
        <w:t> </w:t>
      </w:r>
      <w:r>
        <w:rPr/>
        <w:t>are</w:t>
      </w:r>
      <w:r>
        <w:rPr>
          <w:spacing w:val="-7"/>
        </w:rPr>
        <w:t> </w:t>
      </w:r>
      <w:r>
        <w:rPr/>
        <w:t>presented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Table</w:t>
      </w:r>
      <w:r>
        <w:rPr>
          <w:spacing w:val="-7"/>
        </w:rPr>
        <w:t> </w:t>
      </w:r>
      <w:r>
        <w:rPr/>
        <w:t>5.13.</w:t>
      </w:r>
      <w:r>
        <w:rPr>
          <w:spacing w:val="-5"/>
        </w:rPr>
        <w:t> </w:t>
      </w:r>
      <w:r>
        <w:rPr/>
        <w:t>The</w:t>
      </w:r>
      <w:r>
        <w:rPr>
          <w:spacing w:val="-57"/>
        </w:rPr>
        <w:t> </w:t>
      </w:r>
      <w:r>
        <w:rPr>
          <w:spacing w:val="-1"/>
        </w:rPr>
        <w:t>moments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computed</w:t>
      </w:r>
      <w:r>
        <w:rPr>
          <w:spacing w:val="-15"/>
        </w:rPr>
        <w:t> </w:t>
      </w:r>
      <w:r>
        <w:rPr/>
        <w:t>from</w:t>
      </w:r>
      <w:r>
        <w:rPr>
          <w:spacing w:val="-14"/>
        </w:rPr>
        <w:t> </w:t>
      </w:r>
      <w:r>
        <w:rPr/>
        <w:t>dynamic</w:t>
      </w:r>
      <w:r>
        <w:rPr>
          <w:spacing w:val="-14"/>
        </w:rPr>
        <w:t> </w:t>
      </w:r>
      <w:r>
        <w:rPr/>
        <w:t>simulations,</w:t>
      </w:r>
      <w:r>
        <w:rPr>
          <w:spacing w:val="-14"/>
        </w:rPr>
        <w:t> </w:t>
      </w:r>
      <w:r>
        <w:rPr/>
        <w:t>specifically</w:t>
      </w:r>
      <w:r>
        <w:rPr>
          <w:spacing w:val="-19"/>
        </w:rPr>
        <w:t> </w:t>
      </w:r>
      <w:r>
        <w:rPr/>
        <w:t>using</w:t>
      </w:r>
      <w:r>
        <w:rPr>
          <w:spacing w:val="-17"/>
        </w:rPr>
        <w:t> </w:t>
      </w:r>
      <w:r>
        <w:rPr/>
        <w:t>the</w:t>
      </w:r>
      <w:r>
        <w:rPr>
          <w:spacing w:val="-11"/>
        </w:rPr>
        <w:t> </w:t>
      </w:r>
      <w:r>
        <w:rPr/>
        <w:t>Linear</w:t>
      </w:r>
      <w:r>
        <w:rPr>
          <w:spacing w:val="-13"/>
        </w:rPr>
        <w:t> </w:t>
      </w:r>
      <w:r>
        <w:rPr/>
        <w:t>Quadratic</w:t>
      </w:r>
      <w:r>
        <w:rPr>
          <w:spacing w:val="-16"/>
        </w:rPr>
        <w:t> </w:t>
      </w:r>
      <w:r>
        <w:rPr/>
        <w:t>method.</w:t>
      </w:r>
      <w:r>
        <w:rPr>
          <w:spacing w:val="-57"/>
        </w:rPr>
        <w:t> </w:t>
      </w:r>
      <w:r>
        <w:rPr/>
        <w:t>The</w:t>
      </w:r>
      <w:r>
        <w:rPr>
          <w:spacing w:val="-13"/>
        </w:rPr>
        <w:t> </w:t>
      </w:r>
      <w:r>
        <w:rPr/>
        <w:t>Linear</w:t>
      </w:r>
      <w:r>
        <w:rPr>
          <w:spacing w:val="-12"/>
        </w:rPr>
        <w:t> </w:t>
      </w:r>
      <w:r>
        <w:rPr/>
        <w:t>Quadratic</w:t>
      </w:r>
      <w:r>
        <w:rPr>
          <w:spacing w:val="-15"/>
        </w:rPr>
        <w:t> </w:t>
      </w:r>
      <w:r>
        <w:rPr/>
        <w:t>approach</w:t>
      </w:r>
      <w:r>
        <w:rPr>
          <w:spacing w:val="-13"/>
        </w:rPr>
        <w:t> </w:t>
      </w:r>
      <w:r>
        <w:rPr/>
        <w:t>takes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first-order</w:t>
      </w:r>
      <w:r>
        <w:rPr>
          <w:spacing w:val="-13"/>
        </w:rPr>
        <w:t> </w:t>
      </w:r>
      <w:r>
        <w:rPr/>
        <w:t>Taylor</w:t>
      </w:r>
      <w:r>
        <w:rPr>
          <w:spacing w:val="-12"/>
        </w:rPr>
        <w:t> </w:t>
      </w:r>
      <w:r>
        <w:rPr/>
        <w:t>approximation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constraint</w:t>
      </w:r>
      <w:r>
        <w:rPr>
          <w:spacing w:val="-13"/>
        </w:rPr>
        <w:t> </w:t>
      </w:r>
      <w:r>
        <w:rPr/>
        <w:t>equations</w:t>
      </w:r>
      <w:r>
        <w:rPr>
          <w:spacing w:val="-58"/>
        </w:rPr>
        <w:t> </w:t>
      </w:r>
      <w:r>
        <w:rPr/>
        <w:t>and a quadratic approximation to the objective function. To this end, Dynare 4.5.1 routines on</w:t>
      </w:r>
      <w:r>
        <w:rPr>
          <w:spacing w:val="1"/>
        </w:rPr>
        <w:t> </w:t>
      </w:r>
      <w:r>
        <w:rPr/>
        <w:t>Ramsey</w:t>
      </w:r>
      <w:r>
        <w:rPr>
          <w:spacing w:val="-4"/>
        </w:rPr>
        <w:t> </w:t>
      </w:r>
      <w:r>
        <w:rPr/>
        <w:t>and Discretionary</w:t>
      </w:r>
      <w:r>
        <w:rPr>
          <w:spacing w:val="-3"/>
        </w:rPr>
        <w:t> </w:t>
      </w:r>
      <w:r>
        <w:rPr/>
        <w:t>Policy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used for the numerical simulations</w:t>
      </w:r>
    </w:p>
    <w:p>
      <w:pPr>
        <w:spacing w:after="0" w:line="360" w:lineRule="auto"/>
        <w:jc w:val="both"/>
        <w:sectPr>
          <w:pgSz w:w="12240" w:h="15840"/>
          <w:pgMar w:header="0" w:footer="935" w:top="1380" w:bottom="1200" w:left="940" w:right="940"/>
        </w:sectPr>
      </w:pPr>
    </w:p>
    <w:p>
      <w:pPr>
        <w:pStyle w:val="Heading3"/>
        <w:spacing w:after="4"/>
        <w:ind w:left="1333" w:right="1335"/>
        <w:jc w:val="center"/>
      </w:pPr>
      <w:r>
        <w:rPr/>
        <w:t>Table</w:t>
      </w:r>
      <w:r>
        <w:rPr>
          <w:spacing w:val="-2"/>
        </w:rPr>
        <w:t> </w:t>
      </w:r>
      <w:r>
        <w:rPr/>
        <w:t>5.13:</w:t>
      </w:r>
      <w:r>
        <w:rPr>
          <w:spacing w:val="-4"/>
        </w:rPr>
        <w:t> </w:t>
      </w:r>
      <w:r>
        <w:rPr/>
        <w:t>Moments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Optimal Fiscal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Monetary Policy</w:t>
      </w: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1"/>
        <w:gridCol w:w="766"/>
        <w:gridCol w:w="1363"/>
        <w:gridCol w:w="257"/>
        <w:gridCol w:w="1875"/>
        <w:gridCol w:w="211"/>
        <w:gridCol w:w="1920"/>
      </w:tblGrid>
      <w:tr>
        <w:trPr>
          <w:trHeight w:val="275" w:hRule="atLeast"/>
        </w:trPr>
        <w:tc>
          <w:tcPr>
            <w:tcW w:w="8523" w:type="dxa"/>
            <w:gridSpan w:val="7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Ramsey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Benevolent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Fiscal Policy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(Benchmark)</w:t>
            </w:r>
          </w:p>
        </w:tc>
      </w:tr>
      <w:tr>
        <w:trPr>
          <w:trHeight w:val="551" w:hRule="atLeast"/>
        </w:trPr>
        <w:tc>
          <w:tcPr>
            <w:tcW w:w="2897" w:type="dxa"/>
            <w:gridSpan w:val="2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620" w:type="dxa"/>
            <w:gridSpan w:val="2"/>
          </w:tcPr>
          <w:p>
            <w:pPr>
              <w:pStyle w:val="TableParagraph"/>
              <w:spacing w:line="276" w:lineRule="exact"/>
              <w:ind w:left="108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deviation</w:t>
            </w:r>
          </w:p>
        </w:tc>
        <w:tc>
          <w:tcPr>
            <w:tcW w:w="2086" w:type="dxa"/>
            <w:gridSpan w:val="2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Autocorrelation</w:t>
            </w:r>
          </w:p>
        </w:tc>
        <w:tc>
          <w:tcPr>
            <w:tcW w:w="1920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Welfare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Loss</w:t>
            </w:r>
          </w:p>
        </w:tc>
      </w:tr>
      <w:tr>
        <w:trPr>
          <w:trHeight w:val="410" w:hRule="atLeast"/>
        </w:trPr>
        <w:tc>
          <w:tcPr>
            <w:tcW w:w="2897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Spending</w:t>
            </w:r>
          </w:p>
        </w:tc>
        <w:tc>
          <w:tcPr>
            <w:tcW w:w="162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0.138</w:t>
            </w:r>
          </w:p>
        </w:tc>
        <w:tc>
          <w:tcPr>
            <w:tcW w:w="2086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0.700</w:t>
            </w:r>
          </w:p>
        </w:tc>
        <w:tc>
          <w:tcPr>
            <w:tcW w:w="1920" w:type="dxa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0.176</w:t>
            </w:r>
          </w:p>
        </w:tc>
      </w:tr>
      <w:tr>
        <w:trPr>
          <w:trHeight w:val="903" w:hRule="atLeast"/>
        </w:trPr>
        <w:tc>
          <w:tcPr>
            <w:tcW w:w="2897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Nominal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  <w:tc>
          <w:tcPr>
            <w:tcW w:w="1620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0.034</w:t>
            </w:r>
          </w:p>
        </w:tc>
        <w:tc>
          <w:tcPr>
            <w:tcW w:w="2086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0.139</w:t>
            </w:r>
          </w:p>
        </w:tc>
        <w:tc>
          <w:tcPr>
            <w:tcW w:w="192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24" w:hRule="atLeast"/>
        </w:trPr>
        <w:tc>
          <w:tcPr>
            <w:tcW w:w="8523" w:type="dxa"/>
            <w:gridSpan w:val="7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Ramsey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seeking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Fiscal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Policy</w:t>
            </w:r>
          </w:p>
        </w:tc>
      </w:tr>
      <w:tr>
        <w:trPr>
          <w:trHeight w:val="551" w:hRule="atLeast"/>
        </w:trPr>
        <w:tc>
          <w:tcPr>
            <w:tcW w:w="2897" w:type="dxa"/>
            <w:gridSpan w:val="2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620" w:type="dxa"/>
            <w:gridSpan w:val="2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</w:p>
          <w:p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deviation</w:t>
            </w:r>
          </w:p>
        </w:tc>
        <w:tc>
          <w:tcPr>
            <w:tcW w:w="2086" w:type="dxa"/>
            <w:gridSpan w:val="2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Autocorrelation</w:t>
            </w:r>
          </w:p>
        </w:tc>
        <w:tc>
          <w:tcPr>
            <w:tcW w:w="1920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Welfare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Loss</w:t>
            </w:r>
          </w:p>
        </w:tc>
      </w:tr>
      <w:tr>
        <w:trPr>
          <w:trHeight w:val="411" w:hRule="atLeast"/>
        </w:trPr>
        <w:tc>
          <w:tcPr>
            <w:tcW w:w="2897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Spending</w:t>
            </w:r>
          </w:p>
        </w:tc>
        <w:tc>
          <w:tcPr>
            <w:tcW w:w="162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0.297</w:t>
            </w:r>
          </w:p>
        </w:tc>
        <w:tc>
          <w:tcPr>
            <w:tcW w:w="2086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0.621</w:t>
            </w:r>
          </w:p>
        </w:tc>
        <w:tc>
          <w:tcPr>
            <w:tcW w:w="1920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0.806</w:t>
            </w:r>
          </w:p>
        </w:tc>
      </w:tr>
      <w:tr>
        <w:trPr>
          <w:trHeight w:val="692" w:hRule="atLeast"/>
        </w:trPr>
        <w:tc>
          <w:tcPr>
            <w:tcW w:w="2897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Nominal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  <w:tc>
          <w:tcPr>
            <w:tcW w:w="1620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0.034</w:t>
            </w:r>
          </w:p>
        </w:tc>
        <w:tc>
          <w:tcPr>
            <w:tcW w:w="2086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0.128</w:t>
            </w:r>
          </w:p>
        </w:tc>
        <w:tc>
          <w:tcPr>
            <w:tcW w:w="192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21" w:hRule="atLeast"/>
        </w:trPr>
        <w:tc>
          <w:tcPr>
            <w:tcW w:w="8523" w:type="dxa"/>
            <w:gridSpan w:val="7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Discretionary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Benevolent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Fiscal Policy</w:t>
            </w:r>
          </w:p>
        </w:tc>
      </w:tr>
      <w:tr>
        <w:trPr>
          <w:trHeight w:val="553" w:hRule="atLeast"/>
        </w:trPr>
        <w:tc>
          <w:tcPr>
            <w:tcW w:w="2131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2129" w:type="dxa"/>
            <w:gridSpan w:val="2"/>
          </w:tcPr>
          <w:p>
            <w:pPr>
              <w:pStyle w:val="TableParagraph"/>
              <w:spacing w:line="276" w:lineRule="exact"/>
              <w:ind w:right="10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deviation</w:t>
            </w:r>
          </w:p>
        </w:tc>
        <w:tc>
          <w:tcPr>
            <w:tcW w:w="2132" w:type="dxa"/>
            <w:gridSpan w:val="2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Autocorrelation</w:t>
            </w:r>
          </w:p>
        </w:tc>
        <w:tc>
          <w:tcPr>
            <w:tcW w:w="2131" w:type="dxa"/>
            <w:gridSpan w:val="2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Welfare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Loss</w:t>
            </w:r>
          </w:p>
        </w:tc>
      </w:tr>
      <w:tr>
        <w:trPr>
          <w:trHeight w:val="272" w:hRule="atLeast"/>
        </w:trPr>
        <w:tc>
          <w:tcPr>
            <w:tcW w:w="2131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Government</w:t>
            </w:r>
          </w:p>
        </w:tc>
        <w:tc>
          <w:tcPr>
            <w:tcW w:w="212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0.139</w:t>
            </w:r>
          </w:p>
        </w:tc>
        <w:tc>
          <w:tcPr>
            <w:tcW w:w="213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0.698</w:t>
            </w:r>
          </w:p>
        </w:tc>
        <w:tc>
          <w:tcPr>
            <w:tcW w:w="213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0.179</w:t>
            </w:r>
          </w:p>
        </w:tc>
      </w:tr>
      <w:tr>
        <w:trPr>
          <w:trHeight w:val="414" w:hRule="atLeast"/>
        </w:trPr>
        <w:tc>
          <w:tcPr>
            <w:tcW w:w="21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Spending</w:t>
            </w:r>
          </w:p>
        </w:tc>
        <w:tc>
          <w:tcPr>
            <w:tcW w:w="212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21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133"/>
              <w:rPr>
                <w:sz w:val="24"/>
              </w:rPr>
            </w:pPr>
            <w:r>
              <w:rPr>
                <w:sz w:val="24"/>
              </w:rPr>
              <w:t>Nominal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Interest</w:t>
            </w:r>
          </w:p>
        </w:tc>
        <w:tc>
          <w:tcPr>
            <w:tcW w:w="212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133"/>
              <w:rPr>
                <w:sz w:val="24"/>
              </w:rPr>
            </w:pPr>
            <w:r>
              <w:rPr>
                <w:sz w:val="24"/>
              </w:rPr>
              <w:t>0.035</w:t>
            </w:r>
          </w:p>
        </w:tc>
        <w:tc>
          <w:tcPr>
            <w:tcW w:w="213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133"/>
              <w:ind w:left="108"/>
              <w:rPr>
                <w:sz w:val="24"/>
              </w:rPr>
            </w:pPr>
            <w:r>
              <w:rPr>
                <w:sz w:val="24"/>
              </w:rPr>
              <w:t>0.165</w:t>
            </w:r>
          </w:p>
        </w:tc>
        <w:tc>
          <w:tcPr>
            <w:tcW w:w="213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8" w:hRule="atLeast"/>
        </w:trPr>
        <w:tc>
          <w:tcPr>
            <w:tcW w:w="2131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Rate</w:t>
            </w:r>
          </w:p>
        </w:tc>
        <w:tc>
          <w:tcPr>
            <w:tcW w:w="2129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8523" w:type="dxa"/>
            <w:gridSpan w:val="7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Discretionary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seeking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Fiscal Policy</w:t>
            </w:r>
          </w:p>
        </w:tc>
      </w:tr>
      <w:tr>
        <w:trPr>
          <w:trHeight w:val="421" w:hRule="atLeast"/>
        </w:trPr>
        <w:tc>
          <w:tcPr>
            <w:tcW w:w="213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2129" w:type="dxa"/>
            <w:gridSpan w:val="2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Standard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deviation</w:t>
            </w:r>
          </w:p>
        </w:tc>
        <w:tc>
          <w:tcPr>
            <w:tcW w:w="2132" w:type="dxa"/>
            <w:gridSpan w:val="2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Autocorrelation</w:t>
            </w:r>
          </w:p>
        </w:tc>
        <w:tc>
          <w:tcPr>
            <w:tcW w:w="2131" w:type="dxa"/>
            <w:gridSpan w:val="2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Welfare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Loss</w:t>
            </w:r>
          </w:p>
        </w:tc>
      </w:tr>
      <w:tr>
        <w:trPr>
          <w:trHeight w:val="272" w:hRule="atLeast"/>
        </w:trPr>
        <w:tc>
          <w:tcPr>
            <w:tcW w:w="2131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Government</w:t>
            </w:r>
          </w:p>
        </w:tc>
        <w:tc>
          <w:tcPr>
            <w:tcW w:w="212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0.297</w:t>
            </w:r>
          </w:p>
        </w:tc>
        <w:tc>
          <w:tcPr>
            <w:tcW w:w="213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0.621</w:t>
            </w:r>
          </w:p>
        </w:tc>
        <w:tc>
          <w:tcPr>
            <w:tcW w:w="213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0.806</w:t>
            </w:r>
          </w:p>
        </w:tc>
      </w:tr>
      <w:tr>
        <w:trPr>
          <w:trHeight w:val="413" w:hRule="atLeast"/>
        </w:trPr>
        <w:tc>
          <w:tcPr>
            <w:tcW w:w="21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Spending</w:t>
            </w:r>
          </w:p>
        </w:tc>
        <w:tc>
          <w:tcPr>
            <w:tcW w:w="212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21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133"/>
              <w:rPr>
                <w:sz w:val="24"/>
              </w:rPr>
            </w:pPr>
            <w:r>
              <w:rPr>
                <w:sz w:val="24"/>
              </w:rPr>
              <w:t>Nominal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Interest</w:t>
            </w:r>
          </w:p>
        </w:tc>
        <w:tc>
          <w:tcPr>
            <w:tcW w:w="212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133"/>
              <w:rPr>
                <w:sz w:val="24"/>
              </w:rPr>
            </w:pPr>
            <w:r>
              <w:rPr>
                <w:sz w:val="24"/>
              </w:rPr>
              <w:t>0.034</w:t>
            </w:r>
          </w:p>
        </w:tc>
        <w:tc>
          <w:tcPr>
            <w:tcW w:w="213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133"/>
              <w:ind w:left="108"/>
              <w:rPr>
                <w:sz w:val="24"/>
              </w:rPr>
            </w:pPr>
            <w:r>
              <w:rPr>
                <w:sz w:val="24"/>
              </w:rPr>
              <w:t>0.128</w:t>
            </w:r>
          </w:p>
        </w:tc>
        <w:tc>
          <w:tcPr>
            <w:tcW w:w="213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81" w:hRule="atLeast"/>
        </w:trPr>
        <w:tc>
          <w:tcPr>
            <w:tcW w:w="2131" w:type="dxa"/>
            <w:tcBorders>
              <w:top w:val="nil"/>
            </w:tcBorders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Rate</w:t>
            </w:r>
          </w:p>
        </w:tc>
        <w:tc>
          <w:tcPr>
            <w:tcW w:w="2129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line="360" w:lineRule="auto"/>
        <w:ind w:left="500" w:right="496"/>
        <w:jc w:val="both"/>
      </w:pP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Ramsey</w:t>
      </w:r>
      <w:r>
        <w:rPr>
          <w:spacing w:val="-15"/>
        </w:rPr>
        <w:t> </w:t>
      </w:r>
      <w:r>
        <w:rPr/>
        <w:t>outcomes</w:t>
      </w:r>
      <w:r>
        <w:rPr>
          <w:spacing w:val="-7"/>
        </w:rPr>
        <w:t> </w:t>
      </w:r>
      <w:r>
        <w:rPr/>
        <w:t>show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dynamic</w:t>
      </w:r>
      <w:r>
        <w:rPr>
          <w:spacing w:val="-9"/>
        </w:rPr>
        <w:t> </w:t>
      </w:r>
      <w:r>
        <w:rPr/>
        <w:t>properties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optimal</w:t>
      </w:r>
      <w:r>
        <w:rPr>
          <w:spacing w:val="-7"/>
        </w:rPr>
        <w:t> </w:t>
      </w:r>
      <w:r>
        <w:rPr/>
        <w:t>policy</w:t>
      </w:r>
      <w:r>
        <w:rPr>
          <w:spacing w:val="-15"/>
        </w:rPr>
        <w:t> </w:t>
      </w:r>
      <w:r>
        <w:rPr/>
        <w:t>when</w:t>
      </w:r>
      <w:r>
        <w:rPr>
          <w:spacing w:val="-4"/>
        </w:rPr>
        <w:t> </w:t>
      </w:r>
      <w:r>
        <w:rPr/>
        <w:t>policymakers</w:t>
      </w:r>
      <w:r>
        <w:rPr>
          <w:spacing w:val="-8"/>
        </w:rPr>
        <w:t> </w:t>
      </w:r>
      <w:r>
        <w:rPr/>
        <w:t>commit</w:t>
      </w:r>
      <w:r>
        <w:rPr>
          <w:spacing w:val="-58"/>
        </w:rPr>
        <w:t> </w:t>
      </w:r>
      <w:r>
        <w:rPr/>
        <w:t>to</w:t>
      </w:r>
      <w:r>
        <w:rPr>
          <w:spacing w:val="-2"/>
        </w:rPr>
        <w:t> </w:t>
      </w:r>
      <w:r>
        <w:rPr/>
        <w:t>specified</w:t>
      </w:r>
      <w:r>
        <w:rPr>
          <w:spacing w:val="-2"/>
        </w:rPr>
        <w:t> </w:t>
      </w:r>
      <w:r>
        <w:rPr/>
        <w:t>rules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current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future</w:t>
      </w:r>
      <w:r>
        <w:rPr>
          <w:spacing w:val="-3"/>
        </w:rPr>
        <w:t> </w:t>
      </w:r>
      <w:r>
        <w:rPr/>
        <w:t>dates.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benchmark</w:t>
      </w:r>
      <w:r>
        <w:rPr>
          <w:spacing w:val="-1"/>
        </w:rPr>
        <w:t> </w:t>
      </w:r>
      <w:r>
        <w:rPr/>
        <w:t>model, government</w:t>
      </w:r>
      <w:r>
        <w:rPr>
          <w:spacing w:val="-2"/>
        </w:rPr>
        <w:t> </w:t>
      </w:r>
      <w:r>
        <w:rPr/>
        <w:t>spending</w:t>
      </w:r>
      <w:r>
        <w:rPr>
          <w:spacing w:val="-1"/>
        </w:rPr>
        <w:t> </w:t>
      </w:r>
      <w:r>
        <w:rPr/>
        <w:t>and</w:t>
      </w:r>
      <w:r>
        <w:rPr>
          <w:spacing w:val="-58"/>
        </w:rPr>
        <w:t> </w:t>
      </w:r>
      <w:r>
        <w:rPr/>
        <w:t>interest</w:t>
      </w:r>
      <w:r>
        <w:rPr>
          <w:spacing w:val="-4"/>
        </w:rPr>
        <w:t> </w:t>
      </w:r>
      <w:r>
        <w:rPr/>
        <w:t>rates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13.8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3.4</w:t>
      </w:r>
      <w:r>
        <w:rPr>
          <w:spacing w:val="-4"/>
        </w:rPr>
        <w:t> </w:t>
      </w:r>
      <w:r>
        <w:rPr/>
        <w:t>percentage</w:t>
      </w:r>
      <w:r>
        <w:rPr>
          <w:spacing w:val="-6"/>
        </w:rPr>
        <w:t> </w:t>
      </w:r>
      <w:r>
        <w:rPr/>
        <w:t>points</w:t>
      </w:r>
      <w:r>
        <w:rPr>
          <w:spacing w:val="-4"/>
        </w:rPr>
        <w:t> </w:t>
      </w:r>
      <w:r>
        <w:rPr/>
        <w:t>volatile.</w:t>
      </w:r>
      <w:r>
        <w:rPr>
          <w:spacing w:val="-4"/>
        </w:rPr>
        <w:t> </w:t>
      </w:r>
      <w:r>
        <w:rPr/>
        <w:t>Government</w:t>
      </w:r>
      <w:r>
        <w:rPr>
          <w:spacing w:val="-4"/>
        </w:rPr>
        <w:t> </w:t>
      </w:r>
      <w:r>
        <w:rPr/>
        <w:t>spending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also</w:t>
      </w:r>
      <w:r>
        <w:rPr>
          <w:spacing w:val="-4"/>
        </w:rPr>
        <w:t> </w:t>
      </w:r>
      <w:r>
        <w:rPr/>
        <w:t>found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58"/>
        </w:rPr>
        <w:t> </w:t>
      </w:r>
      <w:r>
        <w:rPr/>
        <w:t>more</w:t>
      </w:r>
      <w:r>
        <w:rPr>
          <w:spacing w:val="1"/>
        </w:rPr>
        <w:t> </w:t>
      </w:r>
      <w:r>
        <w:rPr/>
        <w:t>persistent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nominal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rate.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welfare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0.176.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(B,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Ramsey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benevolent</w:t>
      </w:r>
      <w:r>
        <w:rPr>
          <w:spacing w:val="1"/>
        </w:rPr>
        <w:t> </w:t>
      </w:r>
      <w:r>
        <w:rPr/>
        <w:t>government</w:t>
      </w:r>
      <w:r>
        <w:rPr>
          <w:spacing w:val="-9"/>
        </w:rPr>
        <w:t> </w:t>
      </w:r>
      <w:r>
        <w:rPr/>
        <w:t>has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least</w:t>
      </w:r>
      <w:r>
        <w:rPr>
          <w:spacing w:val="-8"/>
        </w:rPr>
        <w:t> </w:t>
      </w:r>
      <w:r>
        <w:rPr/>
        <w:t>volatile</w:t>
      </w:r>
      <w:r>
        <w:rPr>
          <w:spacing w:val="-10"/>
        </w:rPr>
        <w:t> </w:t>
      </w:r>
      <w:r>
        <w:rPr/>
        <w:t>paths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both</w:t>
      </w:r>
      <w:r>
        <w:rPr>
          <w:spacing w:val="-8"/>
        </w:rPr>
        <w:t> </w:t>
      </w:r>
      <w:r>
        <w:rPr/>
        <w:t>fiscal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monetary</w:t>
      </w:r>
      <w:r>
        <w:rPr>
          <w:spacing w:val="-13"/>
        </w:rPr>
        <w:t> </w:t>
      </w:r>
      <w:r>
        <w:rPr/>
        <w:t>policy</w:t>
      </w:r>
      <w:r>
        <w:rPr>
          <w:spacing w:val="-14"/>
        </w:rPr>
        <w:t> </w:t>
      </w:r>
      <w:r>
        <w:rPr/>
        <w:t>instruments.</w:t>
      </w:r>
      <w:r>
        <w:rPr>
          <w:spacing w:val="-6"/>
        </w:rPr>
        <w:t> </w:t>
      </w:r>
      <w:r>
        <w:rPr/>
        <w:t>It</w:t>
      </w:r>
      <w:r>
        <w:rPr>
          <w:spacing w:val="-8"/>
        </w:rPr>
        <w:t> </w:t>
      </w:r>
      <w:r>
        <w:rPr/>
        <w:t>can</w:t>
      </w:r>
      <w:r>
        <w:rPr>
          <w:spacing w:val="-9"/>
        </w:rPr>
        <w:t> </w:t>
      </w:r>
      <w:r>
        <w:rPr/>
        <w:t>then</w:t>
      </w:r>
      <w:r>
        <w:rPr>
          <w:spacing w:val="-58"/>
        </w:rPr>
        <w:t> </w:t>
      </w:r>
      <w:r>
        <w:rPr/>
        <w:t>be</w:t>
      </w:r>
      <w:r>
        <w:rPr>
          <w:spacing w:val="24"/>
        </w:rPr>
        <w:t> </w:t>
      </w:r>
      <w:r>
        <w:rPr/>
        <w:t>adjudged</w:t>
      </w:r>
      <w:r>
        <w:rPr>
          <w:spacing w:val="24"/>
        </w:rPr>
        <w:t> </w:t>
      </w:r>
      <w:r>
        <w:rPr/>
        <w:t>to</w:t>
      </w:r>
      <w:r>
        <w:rPr>
          <w:spacing w:val="26"/>
        </w:rPr>
        <w:t> </w:t>
      </w:r>
      <w:r>
        <w:rPr/>
        <w:t>have</w:t>
      </w:r>
      <w:r>
        <w:rPr>
          <w:spacing w:val="24"/>
        </w:rPr>
        <w:t> </w:t>
      </w:r>
      <w:r>
        <w:rPr/>
        <w:t>the</w:t>
      </w:r>
      <w:r>
        <w:rPr>
          <w:spacing w:val="27"/>
        </w:rPr>
        <w:t> </w:t>
      </w:r>
      <w:r>
        <w:rPr/>
        <w:t>most</w:t>
      </w:r>
      <w:r>
        <w:rPr>
          <w:spacing w:val="26"/>
        </w:rPr>
        <w:t> </w:t>
      </w:r>
      <w:r>
        <w:rPr/>
        <w:t>macroeconomic</w:t>
      </w:r>
      <w:r>
        <w:rPr>
          <w:spacing w:val="25"/>
        </w:rPr>
        <w:t> </w:t>
      </w:r>
      <w:r>
        <w:rPr/>
        <w:t>stable</w:t>
      </w:r>
      <w:r>
        <w:rPr>
          <w:spacing w:val="24"/>
        </w:rPr>
        <w:t> </w:t>
      </w:r>
      <w:r>
        <w:rPr/>
        <w:t>property.</w:t>
      </w:r>
      <w:r>
        <w:rPr>
          <w:spacing w:val="25"/>
        </w:rPr>
        <w:t> </w:t>
      </w:r>
      <w:r>
        <w:rPr/>
        <w:t>Table</w:t>
      </w:r>
      <w:r>
        <w:rPr>
          <w:spacing w:val="25"/>
        </w:rPr>
        <w:t> </w:t>
      </w:r>
      <w:r>
        <w:rPr/>
        <w:t>5.13</w:t>
      </w:r>
      <w:r>
        <w:rPr>
          <w:spacing w:val="25"/>
        </w:rPr>
        <w:t> </w:t>
      </w:r>
      <w:r>
        <w:rPr/>
        <w:t>also</w:t>
      </w:r>
      <w:r>
        <w:rPr>
          <w:spacing w:val="26"/>
        </w:rPr>
        <w:t> </w:t>
      </w:r>
      <w:r>
        <w:rPr/>
        <w:t>reveals</w:t>
      </w:r>
      <w:r>
        <w:rPr>
          <w:spacing w:val="25"/>
        </w:rPr>
        <w:t> </w:t>
      </w:r>
      <w:r>
        <w:rPr/>
        <w:t>that</w:t>
      </w:r>
      <w:r>
        <w:rPr>
          <w:spacing w:val="26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line="360" w:lineRule="auto" w:before="74"/>
        <w:ind w:left="500" w:right="498"/>
        <w:jc w:val="both"/>
      </w:pPr>
      <w:r>
        <w:rPr/>
        <w:t>optimal policies are more volatile in models with rent-seeking assumptions. This implies that the</w:t>
      </w:r>
      <w:r>
        <w:rPr>
          <w:spacing w:val="1"/>
        </w:rPr>
        <w:t> </w:t>
      </w:r>
      <w:r>
        <w:rPr/>
        <w:t>rent-seeking tendencies of government can be a source of volatility. It can also be deduced from</w:t>
      </w:r>
      <w:r>
        <w:rPr>
          <w:spacing w:val="1"/>
        </w:rPr>
        <w:t> </w:t>
      </w:r>
      <w:r>
        <w:rPr/>
        <w:t>the</w:t>
      </w:r>
      <w:r>
        <w:rPr>
          <w:spacing w:val="-8"/>
        </w:rPr>
        <w:t> </w:t>
      </w:r>
      <w:r>
        <w:rPr/>
        <w:t>table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discretionary</w:t>
      </w:r>
      <w:r>
        <w:rPr>
          <w:spacing w:val="-11"/>
        </w:rPr>
        <w:t> </w:t>
      </w:r>
      <w:r>
        <w:rPr/>
        <w:t>form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policy</w:t>
      </w:r>
      <w:r>
        <w:rPr>
          <w:spacing w:val="-10"/>
        </w:rPr>
        <w:t> </w:t>
      </w:r>
      <w:r>
        <w:rPr/>
        <w:t>has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trivial</w:t>
      </w:r>
      <w:r>
        <w:rPr>
          <w:spacing w:val="-8"/>
        </w:rPr>
        <w:t> </w:t>
      </w:r>
      <w:r>
        <w:rPr/>
        <w:t>impact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sequence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optimal</w:t>
      </w:r>
      <w:r>
        <w:rPr>
          <w:spacing w:val="-8"/>
        </w:rPr>
        <w:t> </w:t>
      </w:r>
      <w:r>
        <w:rPr/>
        <w:t>fiscal</w:t>
      </w:r>
      <w:r>
        <w:rPr>
          <w:spacing w:val="-57"/>
        </w:rPr>
        <w:t> </w:t>
      </w:r>
      <w:r>
        <w:rPr/>
        <w:t>and monetary</w:t>
      </w:r>
      <w:r>
        <w:rPr>
          <w:spacing w:val="-6"/>
        </w:rPr>
        <w:t> </w:t>
      </w:r>
      <w:r>
        <w:rPr/>
        <w:t>policy.</w:t>
      </w:r>
    </w:p>
    <w:p>
      <w:pPr>
        <w:pStyle w:val="BodyText"/>
        <w:spacing w:line="360" w:lineRule="auto" w:before="200"/>
        <w:ind w:left="500" w:right="495"/>
        <w:jc w:val="both"/>
      </w:pPr>
      <w:r>
        <w:rPr/>
        <w:t>Furthermore, the value of the loss function of the policymakers at 0.806 is higher in models with</w:t>
      </w:r>
      <w:r>
        <w:rPr>
          <w:spacing w:val="1"/>
        </w:rPr>
        <w:t> </w:t>
      </w:r>
      <w:r>
        <w:rPr/>
        <w:t>rent-seeking assumptions than in the model with benevolent government at 0.176 and 0.179. This</w:t>
      </w:r>
      <w:r>
        <w:rPr>
          <w:spacing w:val="-57"/>
        </w:rPr>
        <w:t> </w:t>
      </w:r>
      <w:r>
        <w:rPr/>
        <w:t>means model economies with rent-seeking tendencies are more welfare-reducing than those of</w:t>
      </w:r>
      <w:r>
        <w:rPr>
          <w:spacing w:val="1"/>
        </w:rPr>
        <w:t> </w:t>
      </w:r>
      <w:r>
        <w:rPr/>
        <w:t>economies with a benevolent government. In summary, the benchmark model, that is, Ramsey</w:t>
      </w:r>
      <w:r>
        <w:rPr>
          <w:spacing w:val="1"/>
        </w:rPr>
        <w:t> </w:t>
      </w:r>
      <w:r>
        <w:rPr/>
        <w:t>Policy with benevolent government has the most desirable path for optimal fiscal and monetary</w:t>
      </w:r>
      <w:r>
        <w:rPr>
          <w:spacing w:val="1"/>
        </w:rPr>
        <w:t> </w:t>
      </w:r>
      <w:r>
        <w:rPr/>
        <w:t>policy.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economic</w:t>
      </w:r>
      <w:r>
        <w:rPr>
          <w:spacing w:val="-5"/>
        </w:rPr>
        <w:t> </w:t>
      </w:r>
      <w:r>
        <w:rPr/>
        <w:t>implication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result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government</w:t>
      </w:r>
      <w:r>
        <w:rPr>
          <w:spacing w:val="-4"/>
        </w:rPr>
        <w:t> </w:t>
      </w:r>
      <w:r>
        <w:rPr/>
        <w:t>ought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commit</w:t>
      </w:r>
      <w:r>
        <w:rPr>
          <w:spacing w:val="-6"/>
        </w:rPr>
        <w:t> </w:t>
      </w:r>
      <w:r>
        <w:rPr/>
        <w:t>to</w:t>
      </w:r>
      <w:r>
        <w:rPr>
          <w:spacing w:val="-58"/>
        </w:rPr>
        <w:t> </w:t>
      </w:r>
      <w:r>
        <w:rPr/>
        <w:t>policy rules and should implement policies that are expected to maximise economic welfare for</w:t>
      </w:r>
      <w:r>
        <w:rPr>
          <w:spacing w:val="1"/>
        </w:rPr>
        <w:t> </w:t>
      </w:r>
      <w:r>
        <w:rPr/>
        <w:t>all,</w:t>
      </w:r>
      <w:r>
        <w:rPr>
          <w:spacing w:val="-1"/>
        </w:rPr>
        <w:t> </w:t>
      </w:r>
      <w:r>
        <w:rPr/>
        <w:t>not just a subset of its</w:t>
      </w:r>
      <w:r>
        <w:rPr>
          <w:spacing w:val="-3"/>
        </w:rPr>
        <w:t> </w:t>
      </w:r>
      <w:r>
        <w:rPr/>
        <w:t>citizens.</w:t>
      </w:r>
    </w:p>
    <w:p>
      <w:pPr>
        <w:pStyle w:val="Heading1"/>
        <w:numPr>
          <w:ilvl w:val="1"/>
          <w:numId w:val="32"/>
        </w:numPr>
        <w:tabs>
          <w:tab w:pos="955" w:val="left" w:leader="none"/>
        </w:tabs>
        <w:spacing w:line="240" w:lineRule="auto" w:before="208" w:after="0"/>
        <w:ind w:left="954" w:right="0" w:hanging="455"/>
        <w:jc w:val="both"/>
      </w:pPr>
      <w:r>
        <w:rPr/>
        <w:t>Implication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Findings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360" w:lineRule="auto"/>
        <w:ind w:left="500" w:right="704"/>
        <w:jc w:val="both"/>
      </w:pPr>
      <w:r>
        <w:rPr/>
        <w:t>A New Keynesian DSGE model has been simulated and estimated in this chapter using Dynare</w:t>
      </w:r>
      <w:r>
        <w:rPr>
          <w:spacing w:val="-57"/>
        </w:rPr>
        <w:t> </w:t>
      </w:r>
      <w:r>
        <w:rPr/>
        <w:t>codes.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model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system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27</w:t>
      </w:r>
      <w:r>
        <w:rPr>
          <w:spacing w:val="-1"/>
        </w:rPr>
        <w:t> </w:t>
      </w:r>
      <w:r>
        <w:rPr/>
        <w:t>equations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27</w:t>
      </w:r>
      <w:r>
        <w:rPr>
          <w:spacing w:val="-2"/>
        </w:rPr>
        <w:t> </w:t>
      </w:r>
      <w:r>
        <w:rPr/>
        <w:t>endogenous</w:t>
      </w:r>
      <w:r>
        <w:rPr>
          <w:spacing w:val="-1"/>
        </w:rPr>
        <w:t> </w:t>
      </w:r>
      <w:r>
        <w:rPr/>
        <w:t>variables and</w:t>
      </w:r>
      <w:r>
        <w:rPr>
          <w:spacing w:val="-2"/>
        </w:rPr>
        <w:t> </w:t>
      </w:r>
      <w:r>
        <w:rPr/>
        <w:t>coincidentally,</w:t>
      </w:r>
      <w:r>
        <w:rPr>
          <w:spacing w:val="-57"/>
        </w:rPr>
        <w:t> </w:t>
      </w:r>
      <w:r>
        <w:rPr/>
        <w:t>27</w:t>
      </w:r>
      <w:r>
        <w:rPr>
          <w:spacing w:val="-1"/>
        </w:rPr>
        <w:t> </w:t>
      </w:r>
      <w:r>
        <w:rPr/>
        <w:t>parameters were</w:t>
      </w:r>
      <w:r>
        <w:rPr>
          <w:spacing w:val="-2"/>
        </w:rPr>
        <w:t> </w:t>
      </w:r>
      <w:r>
        <w:rPr/>
        <w:t>calibrated to mimic</w:t>
      </w:r>
      <w:r>
        <w:rPr>
          <w:spacing w:val="-1"/>
        </w:rPr>
        <w:t> </w:t>
      </w:r>
      <w:r>
        <w:rPr/>
        <w:t>the Nigerian economy.</w:t>
      </w:r>
    </w:p>
    <w:p>
      <w:pPr>
        <w:pStyle w:val="BodyText"/>
        <w:spacing w:before="198"/>
        <w:ind w:left="500"/>
        <w:jc w:val="both"/>
      </w:pPr>
      <w:r>
        <w:rPr/>
        <w:t>The</w:t>
      </w:r>
      <w:r>
        <w:rPr>
          <w:spacing w:val="-3"/>
        </w:rPr>
        <w:t> </w:t>
      </w:r>
      <w:r>
        <w:rPr/>
        <w:t>main results obtained from this study</w:t>
      </w:r>
      <w:r>
        <w:rPr>
          <w:spacing w:val="-5"/>
        </w:rPr>
        <w:t> </w:t>
      </w:r>
      <w:r>
        <w:rPr/>
        <w:t>include: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33"/>
        </w:numPr>
        <w:tabs>
          <w:tab w:pos="847" w:val="left" w:leader="none"/>
        </w:tabs>
        <w:spacing w:line="367" w:lineRule="auto" w:before="1" w:after="0"/>
        <w:ind w:left="500" w:right="495" w:firstLine="0"/>
        <w:jc w:val="both"/>
        <w:rPr>
          <w:sz w:val="24"/>
        </w:rPr>
      </w:pPr>
      <w:r>
        <w:rPr>
          <w:sz w:val="24"/>
        </w:rPr>
        <w:t>The parameter value of the reaction of inflation to the changes in interest rate </w:t>
      </w:r>
      <w:r>
        <w:rPr>
          <w:rFonts w:ascii="Cambria Math" w:hAnsi="Cambria Math"/>
          <w:sz w:val="24"/>
        </w:rPr>
        <w:t>(υ</w:t>
      </w:r>
      <w:r>
        <w:rPr>
          <w:rFonts w:ascii="Cambria Math" w:hAnsi="Cambria Math"/>
          <w:sz w:val="24"/>
          <w:vertAlign w:val="subscript"/>
        </w:rPr>
        <w:t>π</w:t>
      </w:r>
      <w:r>
        <w:rPr>
          <w:rFonts w:ascii="Cambria Math" w:hAnsi="Cambria Math"/>
          <w:sz w:val="24"/>
          <w:vertAlign w:val="baseline"/>
        </w:rPr>
        <w:t>) </w:t>
      </w:r>
      <w:r>
        <w:rPr>
          <w:sz w:val="24"/>
          <w:vertAlign w:val="baseline"/>
        </w:rPr>
        <w:t>is less than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one,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while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reaction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output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Taylor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rule</w:t>
      </w:r>
      <w:r>
        <w:rPr>
          <w:spacing w:val="-1"/>
          <w:sz w:val="24"/>
          <w:vertAlign w:val="baseline"/>
        </w:rPr>
        <w:t> </w:t>
      </w:r>
      <w:r>
        <w:rPr>
          <w:rFonts w:ascii="Cambria Math" w:hAnsi="Cambria Math"/>
          <w:sz w:val="24"/>
          <w:vertAlign w:val="baseline"/>
        </w:rPr>
        <w:t>(υ</w:t>
      </w:r>
      <w:r>
        <w:rPr>
          <w:rFonts w:ascii="Cambria Math" w:hAnsi="Cambria Math"/>
          <w:sz w:val="24"/>
          <w:vertAlign w:val="subscript"/>
        </w:rPr>
        <w:t>y</w:t>
      </w:r>
      <w:r>
        <w:rPr>
          <w:rFonts w:ascii="Cambria Math" w:hAnsi="Cambria Math"/>
          <w:sz w:val="24"/>
          <w:vertAlign w:val="baseline"/>
        </w:rPr>
        <w:t>)</w:t>
      </w:r>
      <w:r>
        <w:rPr>
          <w:rFonts w:ascii="Cambria Math" w:hAnsi="Cambria Math"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has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higher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magnitude.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This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indicates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58"/>
          <w:sz w:val="24"/>
          <w:vertAlign w:val="baseline"/>
        </w:rPr>
        <w:t> </w:t>
      </w:r>
      <w:r>
        <w:rPr>
          <w:sz w:val="24"/>
          <w:vertAlign w:val="baseline"/>
        </w:rPr>
        <w:t>existence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passive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monetary</w:t>
      </w:r>
      <w:r>
        <w:rPr>
          <w:spacing w:val="-12"/>
          <w:sz w:val="24"/>
          <w:vertAlign w:val="baseline"/>
        </w:rPr>
        <w:t> </w:t>
      </w:r>
      <w:r>
        <w:rPr>
          <w:sz w:val="24"/>
          <w:vertAlign w:val="baseline"/>
        </w:rPr>
        <w:t>policy</w:t>
      </w:r>
      <w:r>
        <w:rPr>
          <w:spacing w:val="-12"/>
          <w:sz w:val="24"/>
          <w:vertAlign w:val="baseline"/>
        </w:rPr>
        <w:t> </w:t>
      </w:r>
      <w:r>
        <w:rPr>
          <w:sz w:val="24"/>
          <w:vertAlign w:val="baseline"/>
        </w:rPr>
        <w:t>such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that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Central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Bank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has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adjust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its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policy</w:t>
      </w:r>
      <w:r>
        <w:rPr>
          <w:spacing w:val="-15"/>
          <w:sz w:val="24"/>
          <w:vertAlign w:val="baseline"/>
        </w:rPr>
        <w:t> </w:t>
      </w:r>
      <w:r>
        <w:rPr>
          <w:sz w:val="24"/>
          <w:vertAlign w:val="baseline"/>
        </w:rPr>
        <w:t>decisions</w:t>
      </w:r>
      <w:r>
        <w:rPr>
          <w:spacing w:val="-58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suit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fiscal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behaviour.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second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implication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this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result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that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Central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Bank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has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not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been</w:t>
      </w:r>
      <w:r>
        <w:rPr>
          <w:spacing w:val="-58"/>
          <w:sz w:val="24"/>
          <w:vertAlign w:val="baseline"/>
        </w:rPr>
        <w:t> </w:t>
      </w:r>
      <w:r>
        <w:rPr>
          <w:sz w:val="24"/>
          <w:vertAlign w:val="baseline"/>
        </w:rPr>
        <w:t>primarily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implementing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policies for price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stability,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but for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output stability.</w:t>
      </w:r>
    </w:p>
    <w:p>
      <w:pPr>
        <w:pStyle w:val="ListParagraph"/>
        <w:numPr>
          <w:ilvl w:val="0"/>
          <w:numId w:val="33"/>
        </w:numPr>
        <w:tabs>
          <w:tab w:pos="847" w:val="left" w:leader="none"/>
        </w:tabs>
        <w:spacing w:line="360" w:lineRule="auto" w:before="193" w:after="0"/>
        <w:ind w:left="500" w:right="499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parameter</w:t>
      </w:r>
      <w:r>
        <w:rPr>
          <w:spacing w:val="-4"/>
          <w:sz w:val="24"/>
        </w:rPr>
        <w:t> </w:t>
      </w:r>
      <w:r>
        <w:rPr>
          <w:sz w:val="24"/>
        </w:rPr>
        <w:t>value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degree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rent-seeking</w:t>
      </w:r>
      <w:r>
        <w:rPr>
          <w:spacing w:val="-5"/>
          <w:sz w:val="24"/>
        </w:rPr>
        <w:t> </w:t>
      </w:r>
      <w:r>
        <w:rPr>
          <w:sz w:val="20"/>
        </w:rPr>
        <w:t>(</w:t>
      </w:r>
      <w:r>
        <w:rPr>
          <w:rFonts w:ascii="Cambria Math" w:eastAsia="Cambria Math"/>
          <w:sz w:val="20"/>
        </w:rPr>
        <w:t/>
      </w:r>
      <w:r>
        <w:rPr>
          <w:sz w:val="20"/>
        </w:rPr>
        <w:t>)</w:t>
      </w:r>
      <w:r>
        <w:rPr>
          <w:spacing w:val="-4"/>
          <w:sz w:val="20"/>
        </w:rPr>
        <w:t> </w:t>
      </w:r>
      <w:r>
        <w:rPr>
          <w:sz w:val="24"/>
        </w:rPr>
        <w:t>suggests</w:t>
      </w:r>
      <w:r>
        <w:rPr>
          <w:spacing w:val="-6"/>
          <w:sz w:val="24"/>
        </w:rPr>
        <w:t> </w:t>
      </w:r>
      <w:r>
        <w:rPr>
          <w:sz w:val="24"/>
        </w:rPr>
        <w:t>that</w:t>
      </w:r>
      <w:r>
        <w:rPr>
          <w:spacing w:val="-5"/>
          <w:sz w:val="24"/>
        </w:rPr>
        <w:t> </w:t>
      </w:r>
      <w:r>
        <w:rPr>
          <w:sz w:val="24"/>
        </w:rPr>
        <w:t>only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trivial</w:t>
      </w:r>
      <w:r>
        <w:rPr>
          <w:spacing w:val="-5"/>
          <w:sz w:val="24"/>
        </w:rPr>
        <w:t> </w:t>
      </w:r>
      <w:r>
        <w:rPr>
          <w:sz w:val="24"/>
        </w:rPr>
        <w:t>proportion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8"/>
          <w:sz w:val="24"/>
        </w:rPr>
        <w:t> </w:t>
      </w:r>
      <w:r>
        <w:rPr>
          <w:sz w:val="24"/>
        </w:rPr>
        <w:t>government expenditure was actually expended for welfare-enhancing projects, the remainder is</w:t>
      </w:r>
      <w:r>
        <w:rPr>
          <w:spacing w:val="1"/>
          <w:sz w:val="24"/>
        </w:rPr>
        <w:t> </w:t>
      </w:r>
      <w:r>
        <w:rPr>
          <w:sz w:val="24"/>
        </w:rPr>
        <w:t>suspected</w:t>
      </w:r>
      <w:r>
        <w:rPr>
          <w:spacing w:val="-1"/>
          <w:sz w:val="24"/>
        </w:rPr>
        <w:t> </w:t>
      </w:r>
      <w:r>
        <w:rPr>
          <w:sz w:val="24"/>
        </w:rPr>
        <w:t>to have</w:t>
      </w:r>
      <w:r>
        <w:rPr>
          <w:spacing w:val="-1"/>
          <w:sz w:val="24"/>
        </w:rPr>
        <w:t> </w:t>
      </w:r>
      <w:r>
        <w:rPr>
          <w:sz w:val="24"/>
        </w:rPr>
        <w:t>been wasted, misused or</w:t>
      </w:r>
      <w:r>
        <w:rPr>
          <w:spacing w:val="-2"/>
          <w:sz w:val="24"/>
        </w:rPr>
        <w:t> </w:t>
      </w:r>
      <w:r>
        <w:rPr>
          <w:sz w:val="24"/>
        </w:rPr>
        <w:t>stolen.</w:t>
      </w:r>
    </w:p>
    <w:p>
      <w:pPr>
        <w:pStyle w:val="ListParagraph"/>
        <w:numPr>
          <w:ilvl w:val="0"/>
          <w:numId w:val="33"/>
        </w:numPr>
        <w:tabs>
          <w:tab w:pos="847" w:val="left" w:leader="none"/>
        </w:tabs>
        <w:spacing w:line="360" w:lineRule="auto" w:before="200" w:after="0"/>
        <w:ind w:left="500" w:right="497" w:firstLine="0"/>
        <w:jc w:val="both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study</w:t>
      </w:r>
      <w:r>
        <w:rPr>
          <w:spacing w:val="-20"/>
          <w:sz w:val="24"/>
        </w:rPr>
        <w:t> </w:t>
      </w:r>
      <w:r>
        <w:rPr>
          <w:sz w:val="24"/>
        </w:rPr>
        <w:t>also</w:t>
      </w:r>
      <w:r>
        <w:rPr>
          <w:spacing w:val="-14"/>
          <w:sz w:val="24"/>
        </w:rPr>
        <w:t> </w:t>
      </w:r>
      <w:r>
        <w:rPr>
          <w:sz w:val="24"/>
        </w:rPr>
        <w:t>found</w:t>
      </w:r>
      <w:r>
        <w:rPr>
          <w:spacing w:val="-16"/>
          <w:sz w:val="24"/>
        </w:rPr>
        <w:t> </w:t>
      </w:r>
      <w:r>
        <w:rPr>
          <w:sz w:val="24"/>
        </w:rPr>
        <w:t>that</w:t>
      </w:r>
      <w:r>
        <w:rPr>
          <w:spacing w:val="-14"/>
          <w:sz w:val="24"/>
        </w:rPr>
        <w:t> </w:t>
      </w:r>
      <w:r>
        <w:rPr>
          <w:sz w:val="24"/>
        </w:rPr>
        <w:t>both</w:t>
      </w:r>
      <w:r>
        <w:rPr>
          <w:spacing w:val="-14"/>
          <w:sz w:val="24"/>
        </w:rPr>
        <w:t> </w:t>
      </w:r>
      <w:r>
        <w:rPr>
          <w:sz w:val="24"/>
        </w:rPr>
        <w:t>fiscal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15"/>
          <w:sz w:val="24"/>
        </w:rPr>
        <w:t> </w:t>
      </w:r>
      <w:r>
        <w:rPr>
          <w:sz w:val="24"/>
        </w:rPr>
        <w:t>monetary</w:t>
      </w:r>
      <w:r>
        <w:rPr>
          <w:spacing w:val="-19"/>
          <w:sz w:val="24"/>
        </w:rPr>
        <w:t> </w:t>
      </w:r>
      <w:r>
        <w:rPr>
          <w:sz w:val="24"/>
        </w:rPr>
        <w:t>policies</w:t>
      </w:r>
      <w:r>
        <w:rPr>
          <w:spacing w:val="-15"/>
          <w:sz w:val="24"/>
        </w:rPr>
        <w:t> </w:t>
      </w:r>
      <w:r>
        <w:rPr>
          <w:sz w:val="24"/>
        </w:rPr>
        <w:t>act</w:t>
      </w:r>
      <w:r>
        <w:rPr>
          <w:spacing w:val="-14"/>
          <w:sz w:val="24"/>
        </w:rPr>
        <w:t> </w:t>
      </w:r>
      <w:r>
        <w:rPr>
          <w:sz w:val="24"/>
        </w:rPr>
        <w:t>as</w:t>
      </w:r>
      <w:r>
        <w:rPr>
          <w:spacing w:val="-15"/>
          <w:sz w:val="24"/>
        </w:rPr>
        <w:t> </w:t>
      </w:r>
      <w:r>
        <w:rPr>
          <w:sz w:val="24"/>
        </w:rPr>
        <w:t>strong</w:t>
      </w:r>
      <w:r>
        <w:rPr>
          <w:spacing w:val="-16"/>
          <w:sz w:val="24"/>
        </w:rPr>
        <w:t> </w:t>
      </w:r>
      <w:r>
        <w:rPr>
          <w:sz w:val="24"/>
        </w:rPr>
        <w:t>substitutes.</w:t>
      </w:r>
      <w:r>
        <w:rPr>
          <w:spacing w:val="-15"/>
          <w:sz w:val="24"/>
        </w:rPr>
        <w:t> </w:t>
      </w:r>
      <w:r>
        <w:rPr>
          <w:sz w:val="24"/>
        </w:rPr>
        <w:t>This</w:t>
      </w:r>
      <w:r>
        <w:rPr>
          <w:spacing w:val="-14"/>
          <w:sz w:val="24"/>
        </w:rPr>
        <w:t> </w:t>
      </w:r>
      <w:r>
        <w:rPr>
          <w:sz w:val="24"/>
        </w:rPr>
        <w:t>means</w:t>
      </w:r>
      <w:r>
        <w:rPr>
          <w:spacing w:val="-58"/>
          <w:sz w:val="24"/>
        </w:rPr>
        <w:t> </w:t>
      </w:r>
      <w:r>
        <w:rPr>
          <w:sz w:val="24"/>
        </w:rPr>
        <w:t>that</w:t>
      </w:r>
      <w:r>
        <w:rPr>
          <w:spacing w:val="15"/>
          <w:sz w:val="24"/>
        </w:rPr>
        <w:t> </w:t>
      </w:r>
      <w:r>
        <w:rPr>
          <w:sz w:val="24"/>
        </w:rPr>
        <w:t>when</w:t>
      </w:r>
      <w:r>
        <w:rPr>
          <w:spacing w:val="15"/>
          <w:sz w:val="24"/>
        </w:rPr>
        <w:t> </w:t>
      </w:r>
      <w:r>
        <w:rPr>
          <w:sz w:val="24"/>
        </w:rPr>
        <w:t>one</w:t>
      </w:r>
      <w:r>
        <w:rPr>
          <w:spacing w:val="14"/>
          <w:sz w:val="24"/>
        </w:rPr>
        <w:t> </w:t>
      </w:r>
      <w:r>
        <w:rPr>
          <w:sz w:val="24"/>
        </w:rPr>
        <w:t>policymaker</w:t>
      </w:r>
      <w:r>
        <w:rPr>
          <w:spacing w:val="14"/>
          <w:sz w:val="24"/>
        </w:rPr>
        <w:t> </w:t>
      </w:r>
      <w:r>
        <w:rPr>
          <w:sz w:val="24"/>
        </w:rPr>
        <w:t>implements</w:t>
      </w:r>
      <w:r>
        <w:rPr>
          <w:spacing w:val="16"/>
          <w:sz w:val="24"/>
        </w:rPr>
        <w:t> </w:t>
      </w:r>
      <w:r>
        <w:rPr>
          <w:sz w:val="24"/>
        </w:rPr>
        <w:t>an</w:t>
      </w:r>
      <w:r>
        <w:rPr>
          <w:spacing w:val="15"/>
          <w:sz w:val="24"/>
        </w:rPr>
        <w:t> </w:t>
      </w:r>
      <w:r>
        <w:rPr>
          <w:sz w:val="24"/>
        </w:rPr>
        <w:t>expansionary</w:t>
      </w:r>
      <w:r>
        <w:rPr>
          <w:spacing w:val="10"/>
          <w:sz w:val="24"/>
        </w:rPr>
        <w:t> </w:t>
      </w:r>
      <w:r>
        <w:rPr>
          <w:sz w:val="24"/>
        </w:rPr>
        <w:t>measure,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other</w:t>
      </w:r>
      <w:r>
        <w:rPr>
          <w:spacing w:val="14"/>
          <w:sz w:val="24"/>
        </w:rPr>
        <w:t> </w:t>
      </w:r>
      <w:r>
        <w:rPr>
          <w:sz w:val="24"/>
        </w:rPr>
        <w:t>counters</w:t>
      </w:r>
      <w:r>
        <w:rPr>
          <w:spacing w:val="15"/>
          <w:sz w:val="24"/>
        </w:rPr>
        <w:t> </w:t>
      </w:r>
      <w:r>
        <w:rPr>
          <w:sz w:val="24"/>
        </w:rPr>
        <w:t>this</w:t>
      </w:r>
      <w:r>
        <w:rPr>
          <w:spacing w:val="15"/>
          <w:sz w:val="24"/>
        </w:rPr>
        <w:t> </w:t>
      </w:r>
      <w:r>
        <w:rPr>
          <w:sz w:val="24"/>
        </w:rPr>
        <w:t>action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line="360" w:lineRule="auto" w:before="74"/>
        <w:ind w:left="500" w:right="496"/>
        <w:jc w:val="both"/>
      </w:pPr>
      <w:r>
        <w:rPr/>
        <w:t>using contractionary policy. This contrasts with Chuku (2010) who used the Markov-switching</w:t>
      </w:r>
      <w:r>
        <w:rPr>
          <w:spacing w:val="1"/>
        </w:rPr>
        <w:t> </w:t>
      </w:r>
      <w:r>
        <w:rPr/>
        <w:t>model</w:t>
      </w:r>
      <w:r>
        <w:rPr>
          <w:spacing w:val="-1"/>
        </w:rPr>
        <w:t> </w:t>
      </w:r>
      <w:r>
        <w:rPr/>
        <w:t>and find that fiscal</w:t>
      </w:r>
      <w:r>
        <w:rPr>
          <w:spacing w:val="2"/>
        </w:rPr>
        <w:t> </w:t>
      </w:r>
      <w:r>
        <w:rPr/>
        <w:t>and monetary</w:t>
      </w:r>
      <w:r>
        <w:rPr>
          <w:spacing w:val="-5"/>
        </w:rPr>
        <w:t> </w:t>
      </w:r>
      <w:r>
        <w:rPr/>
        <w:t>policy</w:t>
      </w:r>
      <w:r>
        <w:rPr>
          <w:spacing w:val="-5"/>
        </w:rPr>
        <w:t> </w:t>
      </w:r>
      <w:r>
        <w:rPr/>
        <w:t>act</w:t>
      </w:r>
      <w:r>
        <w:rPr>
          <w:spacing w:val="2"/>
        </w:rPr>
        <w:t> </w:t>
      </w:r>
      <w:r>
        <w:rPr/>
        <w:t>as weak substitutes</w:t>
      </w:r>
    </w:p>
    <w:p>
      <w:pPr>
        <w:pStyle w:val="ListParagraph"/>
        <w:numPr>
          <w:ilvl w:val="0"/>
          <w:numId w:val="33"/>
        </w:numPr>
        <w:tabs>
          <w:tab w:pos="847" w:val="left" w:leader="none"/>
        </w:tabs>
        <w:spacing w:line="360" w:lineRule="auto" w:before="200" w:after="0"/>
        <w:ind w:left="500" w:right="494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common</w:t>
      </w:r>
      <w:r>
        <w:rPr>
          <w:spacing w:val="1"/>
          <w:sz w:val="24"/>
        </w:rPr>
        <w:t> </w:t>
      </w:r>
      <w:r>
        <w:rPr>
          <w:sz w:val="24"/>
        </w:rPr>
        <w:t>variable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explicitly</w:t>
      </w:r>
      <w:r>
        <w:rPr>
          <w:spacing w:val="1"/>
          <w:sz w:val="24"/>
        </w:rPr>
        <w:t> </w:t>
      </w:r>
      <w:r>
        <w:rPr>
          <w:sz w:val="24"/>
        </w:rPr>
        <w:t>captures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interaction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fiscal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monetary policy shows that the joint process of both policies has a weak but negative effect on</w:t>
      </w:r>
      <w:r>
        <w:rPr>
          <w:spacing w:val="1"/>
          <w:sz w:val="24"/>
        </w:rPr>
        <w:t> </w:t>
      </w:r>
      <w:r>
        <w:rPr>
          <w:sz w:val="24"/>
        </w:rPr>
        <w:t>output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inflation.</w:t>
      </w:r>
      <w:r>
        <w:rPr>
          <w:spacing w:val="-4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result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interpreted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two</w:t>
      </w:r>
      <w:r>
        <w:rPr>
          <w:spacing w:val="-4"/>
          <w:sz w:val="24"/>
        </w:rPr>
        <w:t> </w:t>
      </w:r>
      <w:r>
        <w:rPr>
          <w:sz w:val="24"/>
        </w:rPr>
        <w:t>ways.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first</w:t>
      </w:r>
      <w:r>
        <w:rPr>
          <w:spacing w:val="-3"/>
          <w:sz w:val="24"/>
        </w:rPr>
        <w:t> </w:t>
      </w:r>
      <w:r>
        <w:rPr>
          <w:sz w:val="24"/>
        </w:rPr>
        <w:t>implication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3"/>
          <w:sz w:val="24"/>
        </w:rPr>
        <w:t> </w:t>
      </w:r>
      <w:r>
        <w:rPr>
          <w:sz w:val="24"/>
        </w:rPr>
        <w:t>actual</w:t>
      </w:r>
      <w:r>
        <w:rPr>
          <w:spacing w:val="-58"/>
          <w:sz w:val="24"/>
        </w:rPr>
        <w:t> </w:t>
      </w:r>
      <w:r>
        <w:rPr>
          <w:sz w:val="24"/>
        </w:rPr>
        <w:t>policy implementation in Nigeria that captures the rent seeking and discretionary nature of the</w:t>
      </w:r>
      <w:r>
        <w:rPr>
          <w:spacing w:val="1"/>
          <w:sz w:val="24"/>
        </w:rPr>
        <w:t> </w:t>
      </w:r>
      <w:r>
        <w:rPr>
          <w:sz w:val="24"/>
        </w:rPr>
        <w:t>federal government coupled with existing weak policy coordination, have sub-optimal impact on</w:t>
      </w:r>
      <w:r>
        <w:rPr>
          <w:spacing w:val="1"/>
          <w:sz w:val="24"/>
        </w:rPr>
        <w:t> </w:t>
      </w:r>
      <w:r>
        <w:rPr>
          <w:sz w:val="24"/>
        </w:rPr>
        <w:t>the Nigerian economy. The result also shows on the other hand, that stabilisation policies may be</w:t>
      </w:r>
      <w:r>
        <w:rPr>
          <w:spacing w:val="-57"/>
          <w:sz w:val="24"/>
        </w:rPr>
        <w:t> </w:t>
      </w:r>
      <w:r>
        <w:rPr>
          <w:sz w:val="24"/>
        </w:rPr>
        <w:t>inadequate</w:t>
      </w:r>
      <w:r>
        <w:rPr>
          <w:spacing w:val="-1"/>
          <w:sz w:val="24"/>
        </w:rPr>
        <w:t> </w:t>
      </w:r>
      <w:r>
        <w:rPr>
          <w:sz w:val="24"/>
        </w:rPr>
        <w:t>in influencing the</w:t>
      </w:r>
      <w:r>
        <w:rPr>
          <w:spacing w:val="-1"/>
          <w:sz w:val="24"/>
        </w:rPr>
        <w:t> </w:t>
      </w:r>
      <w:r>
        <w:rPr>
          <w:sz w:val="24"/>
        </w:rPr>
        <w:t>outcomes of output</w:t>
      </w:r>
      <w:r>
        <w:rPr>
          <w:spacing w:val="-1"/>
          <w:sz w:val="24"/>
        </w:rPr>
        <w:t> </w:t>
      </w:r>
      <w:r>
        <w:rPr>
          <w:sz w:val="24"/>
        </w:rPr>
        <w:t>and inflation in Nigeria.</w:t>
      </w:r>
    </w:p>
    <w:p>
      <w:pPr>
        <w:pStyle w:val="ListParagraph"/>
        <w:numPr>
          <w:ilvl w:val="0"/>
          <w:numId w:val="33"/>
        </w:numPr>
        <w:tabs>
          <w:tab w:pos="847" w:val="left" w:leader="none"/>
        </w:tabs>
        <w:spacing w:line="360" w:lineRule="auto" w:before="201" w:after="0"/>
        <w:ind w:left="500" w:right="494" w:firstLine="0"/>
        <w:jc w:val="both"/>
        <w:rPr>
          <w:sz w:val="24"/>
        </w:rPr>
      </w:pPr>
      <w:r>
        <w:rPr>
          <w:sz w:val="24"/>
        </w:rPr>
        <w:t>The optimal fiscal and monetary policy are characterised by a regime where the fiscal policy</w:t>
      </w:r>
      <w:r>
        <w:rPr>
          <w:spacing w:val="1"/>
          <w:sz w:val="24"/>
        </w:rPr>
        <w:t> </w:t>
      </w:r>
      <w:r>
        <w:rPr>
          <w:sz w:val="24"/>
        </w:rPr>
        <w:t>maker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benevolent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commits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policy</w:t>
      </w:r>
      <w:r>
        <w:rPr>
          <w:spacing w:val="-9"/>
          <w:sz w:val="24"/>
        </w:rPr>
        <w:t> </w:t>
      </w:r>
      <w:r>
        <w:rPr>
          <w:sz w:val="24"/>
        </w:rPr>
        <w:t>rule</w:t>
      </w:r>
      <w:r>
        <w:rPr>
          <w:spacing w:val="-2"/>
          <w:sz w:val="24"/>
        </w:rPr>
        <w:t> </w:t>
      </w:r>
      <w:r>
        <w:rPr>
          <w:sz w:val="24"/>
        </w:rPr>
        <w:t>while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Central</w:t>
      </w:r>
      <w:r>
        <w:rPr>
          <w:spacing w:val="-2"/>
          <w:sz w:val="24"/>
        </w:rPr>
        <w:t> </w:t>
      </w:r>
      <w:r>
        <w:rPr>
          <w:sz w:val="24"/>
        </w:rPr>
        <w:t>Bank</w:t>
      </w:r>
      <w:r>
        <w:rPr>
          <w:spacing w:val="-4"/>
          <w:sz w:val="24"/>
        </w:rPr>
        <w:t> </w:t>
      </w:r>
      <w:r>
        <w:rPr>
          <w:sz w:val="24"/>
        </w:rPr>
        <w:t>commits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its</w:t>
      </w:r>
      <w:r>
        <w:rPr>
          <w:spacing w:val="-2"/>
          <w:sz w:val="24"/>
        </w:rPr>
        <w:t> </w:t>
      </w:r>
      <w:r>
        <w:rPr>
          <w:sz w:val="24"/>
        </w:rPr>
        <w:t>monetary</w:t>
      </w:r>
      <w:r>
        <w:rPr>
          <w:spacing w:val="-58"/>
          <w:sz w:val="24"/>
        </w:rPr>
        <w:t> </w:t>
      </w:r>
      <w:r>
        <w:rPr>
          <w:sz w:val="24"/>
        </w:rPr>
        <w:t>policy rule. Rent seeking activities considerably reduces welfare by over 357 percent when</w:t>
      </w:r>
      <w:r>
        <w:rPr>
          <w:spacing w:val="1"/>
          <w:sz w:val="24"/>
        </w:rPr>
        <w:t> </w:t>
      </w:r>
      <w:r>
        <w:rPr>
          <w:sz w:val="24"/>
        </w:rPr>
        <w:t>compared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welfare</w:t>
      </w:r>
      <w:r>
        <w:rPr>
          <w:spacing w:val="-4"/>
          <w:sz w:val="24"/>
        </w:rPr>
        <w:t> </w:t>
      </w:r>
      <w:r>
        <w:rPr>
          <w:sz w:val="24"/>
        </w:rPr>
        <w:t>loss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benevolent government.</w:t>
      </w:r>
      <w:r>
        <w:rPr>
          <w:spacing w:val="-2"/>
          <w:sz w:val="24"/>
        </w:rPr>
        <w:t> </w:t>
      </w:r>
      <w:r>
        <w:rPr>
          <w:sz w:val="24"/>
        </w:rPr>
        <w:t>Therefore,</w:t>
      </w:r>
      <w:r>
        <w:rPr>
          <w:spacing w:val="1"/>
          <w:sz w:val="24"/>
        </w:rPr>
        <w:t> </w:t>
      </w:r>
      <w:r>
        <w:rPr>
          <w:sz w:val="24"/>
        </w:rPr>
        <w:t>rent-</w:t>
      </w:r>
      <w:r>
        <w:rPr>
          <w:spacing w:val="-3"/>
          <w:sz w:val="24"/>
        </w:rPr>
        <w:t> </w:t>
      </w:r>
      <w:r>
        <w:rPr>
          <w:sz w:val="24"/>
        </w:rPr>
        <w:t>seeking</w:t>
      </w:r>
      <w:r>
        <w:rPr>
          <w:spacing w:val="-4"/>
          <w:sz w:val="24"/>
        </w:rPr>
        <w:t> </w:t>
      </w:r>
      <w:r>
        <w:rPr>
          <w:sz w:val="24"/>
        </w:rPr>
        <w:t>activities</w:t>
      </w:r>
      <w:r>
        <w:rPr>
          <w:spacing w:val="-58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non-trivial implication for the</w:t>
      </w:r>
      <w:r>
        <w:rPr>
          <w:spacing w:val="-3"/>
          <w:sz w:val="24"/>
        </w:rPr>
        <w:t> </w:t>
      </w:r>
      <w:r>
        <w:rPr>
          <w:sz w:val="24"/>
        </w:rPr>
        <w:t>path of optimal fiscal and monetary</w:t>
      </w:r>
      <w:r>
        <w:rPr>
          <w:spacing w:val="-4"/>
          <w:sz w:val="24"/>
        </w:rPr>
        <w:t> </w:t>
      </w:r>
      <w:r>
        <w:rPr>
          <w:sz w:val="24"/>
        </w:rPr>
        <w:t>policy.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spacing w:line="549" w:lineRule="auto" w:before="91"/>
        <w:ind w:left="3023" w:right="3016" w:firstLine="1408"/>
        <w:jc w:val="left"/>
        <w:rPr>
          <w:b/>
          <w:sz w:val="22"/>
        </w:rPr>
      </w:pPr>
      <w:r>
        <w:rPr>
          <w:b/>
          <w:sz w:val="22"/>
        </w:rPr>
        <w:t>CHAPTER SIX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CONCLUSION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RECOMMENDATION</w:t>
      </w:r>
    </w:p>
    <w:p>
      <w:pPr>
        <w:pStyle w:val="Heading1"/>
        <w:numPr>
          <w:ilvl w:val="1"/>
          <w:numId w:val="34"/>
        </w:numPr>
        <w:tabs>
          <w:tab w:pos="1277" w:val="left" w:leader="none"/>
          <w:tab w:pos="1279" w:val="left" w:leader="none"/>
        </w:tabs>
        <w:spacing w:line="240" w:lineRule="auto" w:before="5" w:after="0"/>
        <w:ind w:left="1278" w:right="0" w:hanging="779"/>
        <w:jc w:val="left"/>
      </w:pPr>
      <w:bookmarkStart w:name="_TOC_250004" w:id="56"/>
      <w:bookmarkEnd w:id="56"/>
      <w:r>
        <w:rPr/>
        <w:t>Summary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360" w:lineRule="auto"/>
        <w:ind w:left="500" w:right="496"/>
        <w:jc w:val="both"/>
      </w:pPr>
      <w:r>
        <w:rPr/>
        <w:t>The</w:t>
      </w:r>
      <w:r>
        <w:rPr>
          <w:spacing w:val="1"/>
        </w:rPr>
        <w:t> </w:t>
      </w:r>
      <w:r>
        <w:rPr/>
        <w:t>renewed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policymakers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stabilisation,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aftermath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2008/2009</w:t>
      </w:r>
      <w:r>
        <w:rPr>
          <w:spacing w:val="-3"/>
        </w:rPr>
        <w:t> </w:t>
      </w:r>
      <w:r>
        <w:rPr/>
        <w:t>global</w:t>
      </w:r>
      <w:r>
        <w:rPr>
          <w:spacing w:val="-6"/>
        </w:rPr>
        <w:t> </w:t>
      </w:r>
      <w:r>
        <w:rPr/>
        <w:t>financial</w:t>
      </w:r>
      <w:r>
        <w:rPr>
          <w:spacing w:val="-4"/>
        </w:rPr>
        <w:t> </w:t>
      </w:r>
      <w:r>
        <w:rPr/>
        <w:t>crisis,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sparked</w:t>
      </w:r>
      <w:r>
        <w:rPr>
          <w:spacing w:val="-4"/>
        </w:rPr>
        <w:t> </w:t>
      </w:r>
      <w:r>
        <w:rPr/>
        <w:t>attention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>
          <w:spacing w:val="-1"/>
        </w:rPr>
        <w:t>issue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fiscal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/>
        <w:t>monetary</w:t>
      </w:r>
      <w:r>
        <w:rPr>
          <w:spacing w:val="-15"/>
        </w:rPr>
        <w:t> </w:t>
      </w:r>
      <w:r>
        <w:rPr/>
        <w:t>policy</w:t>
      </w:r>
      <w:r>
        <w:rPr>
          <w:spacing w:val="-15"/>
        </w:rPr>
        <w:t> </w:t>
      </w:r>
      <w:r>
        <w:rPr/>
        <w:t>interactions.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Nigeria,</w:t>
      </w:r>
      <w:r>
        <w:rPr>
          <w:spacing w:val="-10"/>
        </w:rPr>
        <w:t> </w:t>
      </w:r>
      <w:r>
        <w:rPr/>
        <w:t>policymakers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also</w:t>
      </w:r>
      <w:r>
        <w:rPr>
          <w:spacing w:val="-9"/>
        </w:rPr>
        <w:t> </w:t>
      </w:r>
      <w:r>
        <w:rPr/>
        <w:t>concerned</w:t>
      </w:r>
      <w:r>
        <w:rPr>
          <w:spacing w:val="-8"/>
        </w:rPr>
        <w:t> </w:t>
      </w:r>
      <w:r>
        <w:rPr/>
        <w:t>about</w:t>
      </w:r>
      <w:r>
        <w:rPr>
          <w:spacing w:val="-57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alignment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fiscal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monetary</w:t>
      </w:r>
      <w:r>
        <w:rPr>
          <w:spacing w:val="-20"/>
        </w:rPr>
        <w:t> </w:t>
      </w:r>
      <w:r>
        <w:rPr/>
        <w:t>policy</w:t>
      </w:r>
      <w:r>
        <w:rPr>
          <w:spacing w:val="-16"/>
        </w:rPr>
        <w:t> </w:t>
      </w:r>
      <w:r>
        <w:rPr/>
        <w:t>coupled</w:t>
      </w:r>
      <w:r>
        <w:rPr>
          <w:spacing w:val="-15"/>
        </w:rPr>
        <w:t> </w:t>
      </w:r>
      <w:r>
        <w:rPr/>
        <w:t>with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consistent</w:t>
      </w:r>
      <w:r>
        <w:rPr>
          <w:spacing w:val="-15"/>
        </w:rPr>
        <w:t> </w:t>
      </w:r>
      <w:r>
        <w:rPr/>
        <w:t>policy</w:t>
      </w:r>
      <w:r>
        <w:rPr>
          <w:spacing w:val="-14"/>
        </w:rPr>
        <w:t> </w:t>
      </w:r>
      <w:r>
        <w:rPr/>
        <w:t>design.</w:t>
      </w:r>
      <w:r>
        <w:rPr>
          <w:spacing w:val="-14"/>
        </w:rPr>
        <w:t> </w:t>
      </w:r>
      <w:r>
        <w:rPr/>
        <w:t>Chuku</w:t>
      </w:r>
      <w:r>
        <w:rPr>
          <w:spacing w:val="-12"/>
        </w:rPr>
        <w:t> </w:t>
      </w:r>
      <w:r>
        <w:rPr/>
        <w:t>(2010);</w:t>
      </w:r>
      <w:r>
        <w:rPr>
          <w:spacing w:val="-57"/>
        </w:rPr>
        <w:t> </w:t>
      </w:r>
      <w:r>
        <w:rPr/>
        <w:t>Musa </w:t>
      </w:r>
      <w:r>
        <w:rPr>
          <w:i/>
        </w:rPr>
        <w:t>et al., </w:t>
      </w:r>
      <w:r>
        <w:rPr/>
        <w:t>(2013) and Adeboye (2015) have investigated the interactions between fiscal and</w:t>
      </w:r>
      <w:r>
        <w:rPr>
          <w:spacing w:val="1"/>
        </w:rPr>
        <w:t> </w:t>
      </w:r>
      <w:r>
        <w:rPr/>
        <w:t>monetary policy in Nigeria. However, existing evidence on government's fiscal behaviour shows</w:t>
      </w:r>
      <w:r>
        <w:rPr>
          <w:spacing w:val="1"/>
        </w:rPr>
        <w:t> </w:t>
      </w:r>
      <w:r>
        <w:rPr/>
        <w:t>that conventional assumptions such as benevolent spending, rule-based fiscal process and policy</w:t>
      </w:r>
      <w:r>
        <w:rPr>
          <w:spacing w:val="1"/>
        </w:rPr>
        <w:t> </w:t>
      </w:r>
      <w:r>
        <w:rPr/>
        <w:t>coordination, should be modified in line with the political economy literature (Fragetta and</w:t>
      </w:r>
      <w:r>
        <w:rPr>
          <w:spacing w:val="1"/>
        </w:rPr>
        <w:t> </w:t>
      </w:r>
      <w:r>
        <w:rPr>
          <w:spacing w:val="-1"/>
        </w:rPr>
        <w:t>Kirsanova,</w:t>
      </w:r>
      <w:r>
        <w:rPr>
          <w:spacing w:val="-12"/>
        </w:rPr>
        <w:t> </w:t>
      </w:r>
      <w:r>
        <w:rPr>
          <w:spacing w:val="-1"/>
        </w:rPr>
        <w:t>2010;</w:t>
      </w:r>
      <w:r>
        <w:rPr>
          <w:spacing w:val="-12"/>
        </w:rPr>
        <w:t> </w:t>
      </w:r>
      <w:r>
        <w:rPr>
          <w:spacing w:val="-1"/>
        </w:rPr>
        <w:t>Dimakou,</w:t>
      </w:r>
      <w:r>
        <w:rPr>
          <w:spacing w:val="-12"/>
        </w:rPr>
        <w:t> </w:t>
      </w:r>
      <w:r>
        <w:rPr/>
        <w:t>2015;</w:t>
      </w:r>
      <w:r>
        <w:rPr>
          <w:spacing w:val="-12"/>
        </w:rPr>
        <w:t> </w:t>
      </w:r>
      <w:r>
        <w:rPr/>
        <w:t>Miller,</w:t>
      </w:r>
      <w:r>
        <w:rPr>
          <w:spacing w:val="-13"/>
        </w:rPr>
        <w:t> </w:t>
      </w:r>
      <w:r>
        <w:rPr/>
        <w:t>2016).</w:t>
      </w:r>
      <w:r>
        <w:rPr>
          <w:spacing w:val="-14"/>
        </w:rPr>
        <w:t> </w:t>
      </w:r>
      <w:r>
        <w:rPr/>
        <w:t>This</w:t>
      </w:r>
      <w:r>
        <w:rPr>
          <w:spacing w:val="-12"/>
        </w:rPr>
        <w:t> </w:t>
      </w:r>
      <w:r>
        <w:rPr/>
        <w:t>study,</w:t>
      </w:r>
      <w:r>
        <w:rPr>
          <w:spacing w:val="-11"/>
        </w:rPr>
        <w:t> </w:t>
      </w:r>
      <w:r>
        <w:rPr/>
        <w:t>therefore,</w:t>
      </w:r>
      <w:r>
        <w:rPr>
          <w:spacing w:val="-12"/>
        </w:rPr>
        <w:t> </w:t>
      </w:r>
      <w:r>
        <w:rPr/>
        <w:t>argued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rent-seeking</w:t>
      </w:r>
      <w:r>
        <w:rPr>
          <w:spacing w:val="-57"/>
        </w:rPr>
        <w:t> </w:t>
      </w:r>
      <w:r>
        <w:rPr/>
        <w:t>tendency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policymakers,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discretionary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weak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coordination have implications in accounting for the interaction between fiscal and monetary</w:t>
      </w:r>
      <w:r>
        <w:rPr>
          <w:spacing w:val="1"/>
        </w:rPr>
        <w:t> </w:t>
      </w:r>
      <w:r>
        <w:rPr/>
        <w:t>policies.</w:t>
      </w:r>
    </w:p>
    <w:p>
      <w:pPr>
        <w:pStyle w:val="BodyText"/>
        <w:spacing w:line="360" w:lineRule="auto" w:before="200"/>
        <w:ind w:left="500" w:right="498"/>
        <w:jc w:val="both"/>
      </w:pPr>
      <w:r>
        <w:rPr/>
        <w:t>Following this background, the study sought to examine fiscal and monetary policy interaction</w:t>
      </w:r>
      <w:r>
        <w:rPr>
          <w:spacing w:val="1"/>
        </w:rPr>
        <w:t> </w:t>
      </w:r>
      <w:r>
        <w:rPr>
          <w:spacing w:val="-1"/>
        </w:rPr>
        <w:t>under</w:t>
      </w:r>
      <w:r>
        <w:rPr>
          <w:spacing w:val="-11"/>
        </w:rPr>
        <w:t> </w:t>
      </w:r>
      <w:r>
        <w:rPr>
          <w:spacing w:val="-1"/>
        </w:rPr>
        <w:t>alternative</w:t>
      </w:r>
      <w:r>
        <w:rPr>
          <w:spacing w:val="-11"/>
        </w:rPr>
        <w:t> </w:t>
      </w:r>
      <w:r>
        <w:rPr/>
        <w:t>assumptions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rent-seeking</w:t>
      </w:r>
      <w:r>
        <w:rPr>
          <w:spacing w:val="-10"/>
        </w:rPr>
        <w:t> </w:t>
      </w:r>
      <w:r>
        <w:rPr/>
        <w:t>government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follows</w:t>
      </w:r>
      <w:r>
        <w:rPr>
          <w:spacing w:val="-10"/>
        </w:rPr>
        <w:t> </w:t>
      </w:r>
      <w:r>
        <w:rPr/>
        <w:t>discretionary</w:t>
      </w:r>
      <w:r>
        <w:rPr>
          <w:spacing w:val="-14"/>
        </w:rPr>
        <w:t> </w:t>
      </w:r>
      <w:r>
        <w:rPr/>
        <w:t>policies</w:t>
      </w:r>
      <w:r>
        <w:rPr>
          <w:spacing w:val="-10"/>
        </w:rPr>
        <w:t> </w:t>
      </w:r>
      <w:r>
        <w:rPr/>
        <w:t>and</w:t>
      </w:r>
      <w:r>
        <w:rPr>
          <w:spacing w:val="-58"/>
        </w:rPr>
        <w:t> </w:t>
      </w:r>
      <w:r>
        <w:rPr/>
        <w:t>where no economic policy coordination exists. Its specific objectives were to assess the nature of</w:t>
      </w:r>
      <w:r>
        <w:rPr>
          <w:spacing w:val="-57"/>
        </w:rPr>
        <w:t> </w:t>
      </w:r>
      <w:r>
        <w:rPr/>
        <w:t>fiscal policy interactions with monetary policy in Nigeria; examine the transmission effect of the</w:t>
      </w:r>
      <w:r>
        <w:rPr>
          <w:spacing w:val="1"/>
        </w:rPr>
        <w:t> </w:t>
      </w:r>
      <w:r>
        <w:rPr/>
        <w:t>policy interactions on output and inflation and investigate the optimal fiscal and monetary policy</w:t>
      </w:r>
      <w:r>
        <w:rPr>
          <w:spacing w:val="1"/>
        </w:rPr>
        <w:t> </w:t>
      </w:r>
      <w:r>
        <w:rPr/>
        <w:t>mix</w:t>
      </w:r>
      <w:r>
        <w:rPr>
          <w:spacing w:val="-7"/>
        </w:rPr>
        <w:t> </w:t>
      </w:r>
      <w:r>
        <w:rPr/>
        <w:t>that</w:t>
      </w:r>
      <w:r>
        <w:rPr>
          <w:spacing w:val="-8"/>
        </w:rPr>
        <w:t> </w:t>
      </w:r>
      <w:r>
        <w:rPr/>
        <w:t>guarantees</w:t>
      </w:r>
      <w:r>
        <w:rPr>
          <w:spacing w:val="-7"/>
        </w:rPr>
        <w:t> </w:t>
      </w:r>
      <w:r>
        <w:rPr/>
        <w:t>economic</w:t>
      </w:r>
      <w:r>
        <w:rPr>
          <w:spacing w:val="-9"/>
        </w:rPr>
        <w:t> </w:t>
      </w:r>
      <w:r>
        <w:rPr/>
        <w:t>stability</w:t>
      </w:r>
      <w:r>
        <w:rPr>
          <w:spacing w:val="-12"/>
        </w:rPr>
        <w:t> </w:t>
      </w:r>
      <w:r>
        <w:rPr/>
        <w:t>in</w:t>
      </w:r>
      <w:r>
        <w:rPr>
          <w:spacing w:val="-7"/>
        </w:rPr>
        <w:t> </w:t>
      </w:r>
      <w:r>
        <w:rPr/>
        <w:t>Nigeria.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this</w:t>
      </w:r>
      <w:r>
        <w:rPr>
          <w:spacing w:val="-7"/>
        </w:rPr>
        <w:t> </w:t>
      </w:r>
      <w:r>
        <w:rPr/>
        <w:t>end,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study</w:t>
      </w:r>
      <w:r>
        <w:rPr>
          <w:spacing w:val="-12"/>
        </w:rPr>
        <w:t> </w:t>
      </w:r>
      <w:r>
        <w:rPr/>
        <w:t>tested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null</w:t>
      </w:r>
      <w:r>
        <w:rPr>
          <w:spacing w:val="-8"/>
        </w:rPr>
        <w:t> </w:t>
      </w:r>
      <w:r>
        <w:rPr/>
        <w:t>hypotheses</w:t>
      </w:r>
      <w:r>
        <w:rPr>
          <w:spacing w:val="-57"/>
        </w:rPr>
        <w:t> </w:t>
      </w:r>
      <w:r>
        <w:rPr/>
        <w:t>that include: (1) Fiscal policy has no interaction with monetary policy in Nigeria; (2) There is no</w:t>
      </w:r>
      <w:r>
        <w:rPr>
          <w:spacing w:val="1"/>
        </w:rPr>
        <w:t> </w:t>
      </w:r>
      <w:r>
        <w:rPr/>
        <w:t>transmission</w:t>
      </w:r>
      <w:r>
        <w:rPr>
          <w:spacing w:val="22"/>
        </w:rPr>
        <w:t> </w:t>
      </w:r>
      <w:r>
        <w:rPr/>
        <w:t>effect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policy</w:t>
      </w:r>
      <w:r>
        <w:rPr>
          <w:spacing w:val="17"/>
        </w:rPr>
        <w:t> </w:t>
      </w:r>
      <w:r>
        <w:rPr/>
        <w:t>interaction</w:t>
      </w:r>
      <w:r>
        <w:rPr>
          <w:spacing w:val="22"/>
        </w:rPr>
        <w:t> </w:t>
      </w:r>
      <w:r>
        <w:rPr/>
        <w:t>on</w:t>
      </w:r>
      <w:r>
        <w:rPr>
          <w:spacing w:val="23"/>
        </w:rPr>
        <w:t> </w:t>
      </w:r>
      <w:r>
        <w:rPr/>
        <w:t>output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inflation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Nigeria;</w:t>
      </w:r>
      <w:r>
        <w:rPr>
          <w:spacing w:val="23"/>
        </w:rPr>
        <w:t> </w:t>
      </w:r>
      <w:r>
        <w:rPr/>
        <w:t>(3)</w:t>
      </w:r>
      <w:r>
        <w:rPr>
          <w:spacing w:val="21"/>
        </w:rPr>
        <w:t> </w:t>
      </w:r>
      <w:r>
        <w:rPr/>
        <w:t>There</w:t>
      </w:r>
      <w:r>
        <w:rPr>
          <w:spacing w:val="22"/>
        </w:rPr>
        <w:t> </w:t>
      </w:r>
      <w:r>
        <w:rPr/>
        <w:t>is</w:t>
      </w:r>
      <w:r>
        <w:rPr>
          <w:spacing w:val="23"/>
        </w:rPr>
        <w:t> </w:t>
      </w:r>
      <w:r>
        <w:rPr/>
        <w:t>no</w:t>
      </w:r>
    </w:p>
    <w:p>
      <w:pPr>
        <w:spacing w:after="0" w:line="360" w:lineRule="auto"/>
        <w:jc w:val="both"/>
        <w:sectPr>
          <w:pgSz w:w="12240" w:h="15840"/>
          <w:pgMar w:header="0" w:footer="935" w:top="1500" w:bottom="1200" w:left="940" w:right="940"/>
        </w:sectPr>
      </w:pPr>
    </w:p>
    <w:p>
      <w:pPr>
        <w:pStyle w:val="BodyText"/>
        <w:spacing w:line="360" w:lineRule="auto" w:before="74"/>
        <w:ind w:left="500" w:right="502"/>
        <w:jc w:val="both"/>
      </w:pPr>
      <w:r>
        <w:rPr/>
        <w:t>optimal fiscal and monetary policy mix for output and inflation stability in Nigeria over the</w:t>
      </w:r>
      <w:r>
        <w:rPr>
          <w:spacing w:val="1"/>
        </w:rPr>
        <w:t> </w:t>
      </w:r>
      <w:r>
        <w:rPr/>
        <w:t>quarterly</w:t>
      </w:r>
      <w:r>
        <w:rPr>
          <w:spacing w:val="-5"/>
        </w:rPr>
        <w:t> </w:t>
      </w:r>
      <w:r>
        <w:rPr/>
        <w:t>period of</w:t>
      </w:r>
      <w:r>
        <w:rPr>
          <w:spacing w:val="-1"/>
        </w:rPr>
        <w:t> </w:t>
      </w:r>
      <w:r>
        <w:rPr/>
        <w:t>1961Q1 to 2016Q4.</w:t>
      </w:r>
    </w:p>
    <w:p>
      <w:pPr>
        <w:pStyle w:val="BodyText"/>
        <w:spacing w:line="360" w:lineRule="auto" w:before="200"/>
        <w:ind w:left="500" w:right="497"/>
        <w:jc w:val="both"/>
      </w:pPr>
      <w:r>
        <w:rPr/>
        <w:t>The</w:t>
      </w:r>
      <w:r>
        <w:rPr>
          <w:spacing w:val="-7"/>
        </w:rPr>
        <w:t> </w:t>
      </w:r>
      <w:r>
        <w:rPr/>
        <w:t>study</w:t>
      </w:r>
      <w:r>
        <w:rPr>
          <w:spacing w:val="-8"/>
        </w:rPr>
        <w:t> </w:t>
      </w:r>
      <w:r>
        <w:rPr/>
        <w:t>hinged</w:t>
      </w:r>
      <w:r>
        <w:rPr>
          <w:spacing w:val="-6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New</w:t>
      </w:r>
      <w:r>
        <w:rPr>
          <w:spacing w:val="-6"/>
        </w:rPr>
        <w:t> </w:t>
      </w:r>
      <w:r>
        <w:rPr/>
        <w:t>Keynesian</w:t>
      </w:r>
      <w:r>
        <w:rPr>
          <w:spacing w:val="-7"/>
        </w:rPr>
        <w:t> </w:t>
      </w:r>
      <w:r>
        <w:rPr/>
        <w:t>School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economic</w:t>
      </w:r>
      <w:r>
        <w:rPr>
          <w:spacing w:val="-4"/>
        </w:rPr>
        <w:t> </w:t>
      </w:r>
      <w:r>
        <w:rPr/>
        <w:t>thought.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New</w:t>
      </w:r>
      <w:r>
        <w:rPr>
          <w:spacing w:val="-6"/>
        </w:rPr>
        <w:t> </w:t>
      </w:r>
      <w:r>
        <w:rPr/>
        <w:t>Keynesian</w:t>
      </w:r>
      <w:r>
        <w:rPr>
          <w:spacing w:val="-7"/>
        </w:rPr>
        <w:t> </w:t>
      </w:r>
      <w:r>
        <w:rPr/>
        <w:t>model</w:t>
      </w:r>
      <w:r>
        <w:rPr>
          <w:spacing w:val="-57"/>
        </w:rPr>
        <w:t> </w:t>
      </w:r>
      <w:r>
        <w:rPr/>
        <w:t>maintains traditional Keynesian postulations such as imperfect competition and sticky prices. 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propose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micro-founded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assume</w:t>
      </w:r>
      <w:r>
        <w:rPr>
          <w:spacing w:val="1"/>
        </w:rPr>
        <w:t> </w:t>
      </w:r>
      <w:r>
        <w:rPr/>
        <w:t>forward-looking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optimising</w:t>
      </w:r>
      <w:r>
        <w:rPr>
          <w:spacing w:val="-6"/>
        </w:rPr>
        <w:t> </w:t>
      </w:r>
      <w:r>
        <w:rPr/>
        <w:t>economic</w:t>
      </w:r>
      <w:r>
        <w:rPr>
          <w:spacing w:val="-5"/>
        </w:rPr>
        <w:t> </w:t>
      </w:r>
      <w:r>
        <w:rPr/>
        <w:t>agents.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study,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end,</w:t>
      </w:r>
      <w:r>
        <w:rPr>
          <w:spacing w:val="-3"/>
        </w:rPr>
        <w:t> </w:t>
      </w:r>
      <w:r>
        <w:rPr/>
        <w:t>adopted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use</w:t>
      </w:r>
      <w:r>
        <w:rPr>
          <w:spacing w:val="-5"/>
        </w:rPr>
        <w:t> </w:t>
      </w:r>
      <w:r>
        <w:rPr/>
        <w:t>of a</w:t>
      </w:r>
      <w:r>
        <w:rPr>
          <w:spacing w:val="-6"/>
        </w:rPr>
        <w:t> </w:t>
      </w:r>
      <w:r>
        <w:rPr/>
        <w:t>New</w:t>
      </w:r>
      <w:r>
        <w:rPr>
          <w:spacing w:val="-4"/>
        </w:rPr>
        <w:t> </w:t>
      </w:r>
      <w:r>
        <w:rPr/>
        <w:t>Keynesian</w:t>
      </w:r>
      <w:r>
        <w:rPr>
          <w:spacing w:val="-3"/>
        </w:rPr>
        <w:t> </w:t>
      </w:r>
      <w:r>
        <w:rPr/>
        <w:t>dynamic</w:t>
      </w:r>
      <w:r>
        <w:rPr>
          <w:spacing w:val="-58"/>
        </w:rPr>
        <w:t> </w:t>
      </w:r>
      <w:r>
        <w:rPr/>
        <w:t>general equilibrium model. Features such as habit formation, Non-Ricardian households and a</w:t>
      </w:r>
      <w:r>
        <w:rPr>
          <w:spacing w:val="1"/>
        </w:rPr>
        <w:t> </w:t>
      </w:r>
      <w:r>
        <w:rPr/>
        <w:t>discretionary rent seeking fiscal behaviour were added to the canonical New Keynesian Dynamic</w:t>
      </w:r>
      <w:r>
        <w:rPr>
          <w:spacing w:val="-57"/>
        </w:rPr>
        <w:t> </w:t>
      </w:r>
      <w:r>
        <w:rPr/>
        <w:t>Stochastic</w:t>
      </w:r>
      <w:r>
        <w:rPr>
          <w:spacing w:val="-2"/>
        </w:rPr>
        <w:t> </w:t>
      </w:r>
      <w:r>
        <w:rPr/>
        <w:t>General</w:t>
      </w:r>
      <w:r>
        <w:rPr>
          <w:spacing w:val="-1"/>
        </w:rPr>
        <w:t> </w:t>
      </w:r>
      <w:r>
        <w:rPr/>
        <w:t>Equilibrium</w:t>
      </w:r>
      <w:r>
        <w:rPr>
          <w:spacing w:val="-1"/>
        </w:rPr>
        <w:t> </w:t>
      </w:r>
      <w:r>
        <w:rPr/>
        <w:t>model,</w:t>
      </w:r>
      <w:r>
        <w:rPr>
          <w:spacing w:val="-1"/>
        </w:rPr>
        <w:t> </w:t>
      </w:r>
      <w:r>
        <w:rPr/>
        <w:t>in order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adapt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Nigerian economy.</w:t>
      </w:r>
    </w:p>
    <w:p>
      <w:pPr>
        <w:pStyle w:val="BodyText"/>
        <w:spacing w:line="360" w:lineRule="auto" w:before="201"/>
        <w:ind w:left="500" w:right="495"/>
        <w:jc w:val="both"/>
      </w:pPr>
      <w:r>
        <w:rPr/>
        <w:t>To</w:t>
      </w:r>
      <w:r>
        <w:rPr>
          <w:spacing w:val="-7"/>
        </w:rPr>
        <w:t> </w:t>
      </w:r>
      <w:r>
        <w:rPr/>
        <w:t>achieve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three</w:t>
      </w:r>
      <w:r>
        <w:rPr>
          <w:spacing w:val="-7"/>
        </w:rPr>
        <w:t> </w:t>
      </w:r>
      <w:r>
        <w:rPr/>
        <w:t>specific</w:t>
      </w:r>
      <w:r>
        <w:rPr>
          <w:spacing w:val="-7"/>
        </w:rPr>
        <w:t> </w:t>
      </w:r>
      <w:r>
        <w:rPr/>
        <w:t>objectives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study,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Bayesian</w:t>
      </w:r>
      <w:r>
        <w:rPr>
          <w:spacing w:val="-7"/>
        </w:rPr>
        <w:t> </w:t>
      </w:r>
      <w:r>
        <w:rPr/>
        <w:t>estimation</w:t>
      </w:r>
      <w:r>
        <w:rPr>
          <w:spacing w:val="-6"/>
        </w:rPr>
        <w:t> </w:t>
      </w:r>
      <w:r>
        <w:rPr/>
        <w:t>method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used.</w:t>
      </w:r>
      <w:r>
        <w:rPr>
          <w:spacing w:val="-4"/>
        </w:rPr>
        <w:t> </w:t>
      </w:r>
      <w:r>
        <w:rPr/>
        <w:t>In</w:t>
      </w:r>
      <w:r>
        <w:rPr>
          <w:spacing w:val="-58"/>
        </w:rPr>
        <w:t> </w:t>
      </w:r>
      <w:r>
        <w:rPr/>
        <w:t>addition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it,</w:t>
      </w:r>
      <w:r>
        <w:rPr>
          <w:spacing w:val="-13"/>
        </w:rPr>
        <w:t> </w:t>
      </w:r>
      <w:r>
        <w:rPr/>
        <w:t>numeric</w:t>
      </w:r>
      <w:r>
        <w:rPr>
          <w:spacing w:val="-13"/>
        </w:rPr>
        <w:t> </w:t>
      </w:r>
      <w:r>
        <w:rPr/>
        <w:t>simulations</w:t>
      </w:r>
      <w:r>
        <w:rPr>
          <w:spacing w:val="-12"/>
        </w:rPr>
        <w:t> </w:t>
      </w:r>
      <w:r>
        <w:rPr/>
        <w:t>based</w:t>
      </w:r>
      <w:r>
        <w:rPr>
          <w:spacing w:val="-13"/>
        </w:rPr>
        <w:t> </w:t>
      </w:r>
      <w:r>
        <w:rPr/>
        <w:t>on</w:t>
      </w:r>
      <w:r>
        <w:rPr>
          <w:spacing w:val="-12"/>
        </w:rPr>
        <w:t> </w:t>
      </w:r>
      <w:r>
        <w:rPr/>
        <w:t>log-linear</w:t>
      </w:r>
      <w:r>
        <w:rPr>
          <w:spacing w:val="-12"/>
        </w:rPr>
        <w:t> </w:t>
      </w:r>
      <w:r>
        <w:rPr/>
        <w:t>Taylor</w:t>
      </w:r>
      <w:r>
        <w:rPr>
          <w:spacing w:val="-10"/>
        </w:rPr>
        <w:t> </w:t>
      </w:r>
      <w:r>
        <w:rPr/>
        <w:t>approximation</w:t>
      </w:r>
      <w:r>
        <w:rPr>
          <w:spacing w:val="-12"/>
        </w:rPr>
        <w:t> </w:t>
      </w:r>
      <w:r>
        <w:rPr/>
        <w:t>method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linear</w:t>
      </w:r>
      <w:r>
        <w:rPr>
          <w:spacing w:val="-58"/>
        </w:rPr>
        <w:t> </w:t>
      </w:r>
      <w:r>
        <w:rPr/>
        <w:t>quadratic technique were adopted. The Bayesian method was used to test the quarterly empirical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States,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1961Q1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2016Q4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>
          <w:spacing w:val="-1"/>
        </w:rPr>
        <w:t>macroeconomic</w:t>
      </w:r>
      <w:r>
        <w:rPr>
          <w:spacing w:val="-11"/>
        </w:rPr>
        <w:t> </w:t>
      </w:r>
      <w:r>
        <w:rPr/>
        <w:t>policy</w:t>
      </w:r>
      <w:r>
        <w:rPr>
          <w:spacing w:val="-15"/>
        </w:rPr>
        <w:t> </w:t>
      </w:r>
      <w:r>
        <w:rPr/>
        <w:t>variables.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relevant</w:t>
      </w:r>
      <w:r>
        <w:rPr>
          <w:spacing w:val="-6"/>
        </w:rPr>
        <w:t> </w:t>
      </w:r>
      <w:r>
        <w:rPr/>
        <w:t>variables</w:t>
      </w:r>
      <w:r>
        <w:rPr>
          <w:spacing w:val="-10"/>
        </w:rPr>
        <w:t> </w:t>
      </w:r>
      <w:r>
        <w:rPr/>
        <w:t>include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Real</w:t>
      </w:r>
      <w:r>
        <w:rPr>
          <w:spacing w:val="-6"/>
        </w:rPr>
        <w:t> </w:t>
      </w:r>
      <w:r>
        <w:rPr/>
        <w:t>Gross</w:t>
      </w:r>
      <w:r>
        <w:rPr>
          <w:spacing w:val="-9"/>
        </w:rPr>
        <w:t> </w:t>
      </w:r>
      <w:r>
        <w:rPr/>
        <w:t>Domestic</w:t>
      </w:r>
      <w:r>
        <w:rPr>
          <w:spacing w:val="-11"/>
        </w:rPr>
        <w:t> </w:t>
      </w:r>
      <w:r>
        <w:rPr/>
        <w:t>Product,</w:t>
      </w:r>
      <w:r>
        <w:rPr>
          <w:spacing w:val="-58"/>
        </w:rPr>
        <w:t> </w:t>
      </w:r>
      <w:r>
        <w:rPr/>
        <w:t>Consumer Price Index, Terms of trade, Nominal interest rate, Government Expenditure. Also, the</w:t>
      </w:r>
      <w:r>
        <w:rPr>
          <w:spacing w:val="-58"/>
        </w:rPr>
        <w:t> </w:t>
      </w:r>
      <w:r>
        <w:rPr/>
        <w:t>Real Gross Domestic Product (RGDP) series for the United States was used as proxy for the</w:t>
      </w:r>
      <w:r>
        <w:rPr>
          <w:spacing w:val="1"/>
        </w:rPr>
        <w:t> </w:t>
      </w:r>
      <w:r>
        <w:rPr/>
        <w:t>foreign</w:t>
      </w:r>
      <w:r>
        <w:rPr>
          <w:spacing w:val="-1"/>
        </w:rPr>
        <w:t> </w:t>
      </w:r>
      <w:r>
        <w:rPr/>
        <w:t>economy.</w:t>
      </w:r>
    </w:p>
    <w:p>
      <w:pPr>
        <w:pStyle w:val="BodyText"/>
        <w:spacing w:line="360" w:lineRule="auto" w:before="200"/>
        <w:ind w:left="500" w:right="495"/>
        <w:jc w:val="both"/>
      </w:pPr>
      <w:r>
        <w:rPr/>
        <w:t>The</w:t>
      </w:r>
      <w:r>
        <w:rPr>
          <w:spacing w:val="-6"/>
        </w:rPr>
        <w:t> </w:t>
      </w:r>
      <w:r>
        <w:rPr/>
        <w:t>Bayesian</w:t>
      </w:r>
      <w:r>
        <w:rPr>
          <w:spacing w:val="-4"/>
        </w:rPr>
        <w:t> </w:t>
      </w:r>
      <w:r>
        <w:rPr/>
        <w:t>method</w:t>
      </w:r>
      <w:r>
        <w:rPr>
          <w:spacing w:val="-3"/>
        </w:rPr>
        <w:t> </w:t>
      </w:r>
      <w:r>
        <w:rPr/>
        <w:t>was</w:t>
      </w:r>
      <w:r>
        <w:rPr>
          <w:spacing w:val="-4"/>
        </w:rPr>
        <w:t> </w:t>
      </w:r>
      <w:r>
        <w:rPr/>
        <w:t>employed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estimate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New</w:t>
      </w:r>
      <w:r>
        <w:rPr>
          <w:spacing w:val="-2"/>
        </w:rPr>
        <w:t> </w:t>
      </w:r>
      <w:r>
        <w:rPr/>
        <w:t>Keynesian</w:t>
      </w:r>
      <w:r>
        <w:rPr>
          <w:spacing w:val="-4"/>
        </w:rPr>
        <w:t> </w:t>
      </w:r>
      <w:r>
        <w:rPr/>
        <w:t>Dynamic</w:t>
      </w:r>
      <w:r>
        <w:rPr>
          <w:spacing w:val="-4"/>
        </w:rPr>
        <w:t> </w:t>
      </w:r>
      <w:r>
        <w:rPr/>
        <w:t>Stochastic</w:t>
      </w:r>
      <w:r>
        <w:rPr>
          <w:spacing w:val="-5"/>
        </w:rPr>
        <w:t> </w:t>
      </w:r>
      <w:r>
        <w:rPr/>
        <w:t>General</w:t>
      </w:r>
      <w:r>
        <w:rPr>
          <w:spacing w:val="-58"/>
        </w:rPr>
        <w:t> </w:t>
      </w:r>
      <w:r>
        <w:rPr/>
        <w:t>Equilibrium model. Numerical simulations were also used to empirically characterise the nature</w:t>
      </w:r>
      <w:r>
        <w:rPr>
          <w:spacing w:val="1"/>
        </w:rPr>
        <w:t> </w:t>
      </w:r>
      <w:r>
        <w:rPr/>
        <w:t>of policy interactions and measure the effect of this interaction on output and inflation. The</w:t>
      </w:r>
      <w:r>
        <w:rPr>
          <w:spacing w:val="1"/>
        </w:rPr>
        <w:t> </w:t>
      </w:r>
      <w:r>
        <w:rPr/>
        <w:t>dynamic</w:t>
      </w:r>
      <w:r>
        <w:rPr>
          <w:spacing w:val="-6"/>
        </w:rPr>
        <w:t> </w:t>
      </w:r>
      <w:r>
        <w:rPr/>
        <w:t>simulation</w:t>
      </w:r>
      <w:r>
        <w:rPr>
          <w:spacing w:val="-5"/>
        </w:rPr>
        <w:t> </w:t>
      </w:r>
      <w:r>
        <w:rPr/>
        <w:t>essentially</w:t>
      </w:r>
      <w:r>
        <w:rPr>
          <w:spacing w:val="-11"/>
        </w:rPr>
        <w:t> </w:t>
      </w:r>
      <w:r>
        <w:rPr/>
        <w:t>the</w:t>
      </w:r>
      <w:r>
        <w:rPr>
          <w:spacing w:val="-6"/>
        </w:rPr>
        <w:t> </w:t>
      </w:r>
      <w:r>
        <w:rPr/>
        <w:t>linear</w:t>
      </w:r>
      <w:r>
        <w:rPr>
          <w:spacing w:val="-6"/>
        </w:rPr>
        <w:t> </w:t>
      </w:r>
      <w:r>
        <w:rPr/>
        <w:t>quadratic</w:t>
      </w:r>
      <w:r>
        <w:rPr>
          <w:spacing w:val="-5"/>
        </w:rPr>
        <w:t> </w:t>
      </w:r>
      <w:r>
        <w:rPr/>
        <w:t>approach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Ramsey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discretionary</w:t>
      </w:r>
      <w:r>
        <w:rPr>
          <w:spacing w:val="-10"/>
        </w:rPr>
        <w:t> </w:t>
      </w:r>
      <w:r>
        <w:rPr/>
        <w:t>optimal</w:t>
      </w:r>
      <w:r>
        <w:rPr>
          <w:spacing w:val="-57"/>
        </w:rPr>
        <w:t> </w:t>
      </w:r>
      <w:r>
        <w:rPr/>
        <w:t>policy</w:t>
      </w:r>
      <w:r>
        <w:rPr>
          <w:spacing w:val="-11"/>
        </w:rPr>
        <w:t> </w:t>
      </w:r>
      <w:r>
        <w:rPr/>
        <w:t>was</w:t>
      </w:r>
      <w:r>
        <w:rPr>
          <w:spacing w:val="-5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obtain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optimal</w:t>
      </w:r>
      <w:r>
        <w:rPr>
          <w:spacing w:val="-5"/>
        </w:rPr>
        <w:t> </w:t>
      </w:r>
      <w:r>
        <w:rPr/>
        <w:t>paths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both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fiscal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monetary</w:t>
      </w:r>
      <w:r>
        <w:rPr>
          <w:spacing w:val="-9"/>
        </w:rPr>
        <w:t> </w:t>
      </w:r>
      <w:r>
        <w:rPr/>
        <w:t>policy.</w:t>
      </w:r>
      <w:r>
        <w:rPr>
          <w:spacing w:val="-5"/>
        </w:rPr>
        <w:t> </w:t>
      </w:r>
      <w:r>
        <w:rPr/>
        <w:t>Answers</w:t>
      </w:r>
      <w:r>
        <w:rPr>
          <w:spacing w:val="-7"/>
        </w:rPr>
        <w:t> </w:t>
      </w:r>
      <w:r>
        <w:rPr/>
        <w:t>found</w:t>
      </w:r>
      <w:r>
        <w:rPr>
          <w:spacing w:val="-57"/>
        </w:rPr>
        <w:t> </w:t>
      </w:r>
      <w:r>
        <w:rPr>
          <w:spacing w:val="-1"/>
        </w:rPr>
        <w:t>using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estimation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simulation</w:t>
      </w:r>
      <w:r>
        <w:rPr>
          <w:spacing w:val="-12"/>
        </w:rPr>
        <w:t> </w:t>
      </w:r>
      <w:r>
        <w:rPr/>
        <w:t>techniques</w:t>
      </w:r>
      <w:r>
        <w:rPr>
          <w:spacing w:val="-12"/>
        </w:rPr>
        <w:t> </w:t>
      </w:r>
      <w:r>
        <w:rPr/>
        <w:t>established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significance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study.</w:t>
      </w:r>
      <w:r>
        <w:rPr>
          <w:spacing w:val="-11"/>
        </w:rPr>
        <w:t> </w:t>
      </w:r>
      <w:r>
        <w:rPr/>
        <w:t>Therefore,</w:t>
      </w:r>
      <w:r>
        <w:rPr>
          <w:spacing w:val="-58"/>
        </w:rPr>
        <w:t> </w:t>
      </w:r>
      <w:r>
        <w:rPr/>
        <w:t>the study was able to characterise the interrelation between both fiscal and monetary policies.</w:t>
      </w:r>
      <w:r>
        <w:rPr>
          <w:spacing w:val="1"/>
        </w:rPr>
        <w:t> </w:t>
      </w:r>
      <w:r>
        <w:rPr/>
        <w:t>Secondly, it was able to identify the transmission effects of fiscal actions on monetary policy and</w:t>
      </w:r>
      <w:r>
        <w:rPr>
          <w:spacing w:val="-57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aggregate</w:t>
      </w:r>
      <w:r>
        <w:rPr>
          <w:spacing w:val="-13"/>
        </w:rPr>
        <w:t> </w:t>
      </w:r>
      <w:r>
        <w:rPr>
          <w:spacing w:val="-1"/>
        </w:rPr>
        <w:t>economy.</w:t>
      </w:r>
      <w:r>
        <w:rPr>
          <w:spacing w:val="-10"/>
        </w:rPr>
        <w:t> </w:t>
      </w:r>
      <w:r>
        <w:rPr/>
        <w:t>Consequently,</w:t>
      </w:r>
      <w:r>
        <w:rPr>
          <w:spacing w:val="-11"/>
        </w:rPr>
        <w:t> </w:t>
      </w:r>
      <w:r>
        <w:rPr/>
        <w:t>this</w:t>
      </w:r>
      <w:r>
        <w:rPr>
          <w:spacing w:val="-12"/>
        </w:rPr>
        <w:t> </w:t>
      </w:r>
      <w:r>
        <w:rPr/>
        <w:t>study</w:t>
      </w:r>
      <w:r>
        <w:rPr>
          <w:spacing w:val="-17"/>
        </w:rPr>
        <w:t> </w:t>
      </w:r>
      <w:r>
        <w:rPr/>
        <w:t>was</w:t>
      </w:r>
      <w:r>
        <w:rPr>
          <w:spacing w:val="-11"/>
        </w:rPr>
        <w:t> </w:t>
      </w:r>
      <w:r>
        <w:rPr/>
        <w:t>novel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testing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implication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alternative</w:t>
      </w:r>
      <w:r>
        <w:rPr>
          <w:spacing w:val="-57"/>
        </w:rPr>
        <w:t> </w:t>
      </w:r>
      <w:r>
        <w:rPr/>
        <w:t>assumptions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fiscal-monetary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interactions.</w:t>
      </w:r>
      <w:r>
        <w:rPr>
          <w:spacing w:val="1"/>
        </w:rPr>
        <w:t> </w:t>
      </w:r>
      <w:r>
        <w:rPr/>
        <w:t>Secondly,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constructing an interacting variable in order to explicitly measure the interaction between both</w:t>
      </w:r>
      <w:r>
        <w:rPr>
          <w:spacing w:val="1"/>
        </w:rPr>
        <w:t> </w:t>
      </w:r>
      <w:r>
        <w:rPr/>
        <w:t>policies.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Heading1"/>
        <w:numPr>
          <w:ilvl w:val="1"/>
          <w:numId w:val="34"/>
        </w:numPr>
        <w:tabs>
          <w:tab w:pos="1019" w:val="left" w:leader="none"/>
        </w:tabs>
        <w:spacing w:line="240" w:lineRule="auto" w:before="62" w:after="0"/>
        <w:ind w:left="1018" w:right="0" w:hanging="519"/>
        <w:jc w:val="left"/>
      </w:pPr>
      <w:bookmarkStart w:name="_TOC_250003" w:id="57"/>
      <w:r>
        <w:rPr/>
        <w:t>Major</w:t>
      </w:r>
      <w:r>
        <w:rPr>
          <w:spacing w:val="1"/>
        </w:rPr>
        <w:t> </w:t>
      </w:r>
      <w:r>
        <w:rPr/>
        <w:t>Findings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bookmarkEnd w:id="57"/>
      <w:r>
        <w:rPr/>
        <w:t>Study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360" w:lineRule="auto"/>
        <w:ind w:left="500" w:right="498"/>
        <w:jc w:val="both"/>
      </w:pPr>
      <w:r>
        <w:rPr/>
        <w:t>Chapters 3 and 5 are the primary source of findings in this study. Using the requisite descriptive</w:t>
      </w:r>
      <w:r>
        <w:rPr>
          <w:spacing w:val="1"/>
        </w:rPr>
        <w:t> </w:t>
      </w:r>
      <w:r>
        <w:rPr/>
        <w:t>statistics,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stylised</w:t>
      </w:r>
      <w:r>
        <w:rPr>
          <w:spacing w:val="-9"/>
        </w:rPr>
        <w:t> </w:t>
      </w:r>
      <w:r>
        <w:rPr/>
        <w:t>facts</w:t>
      </w:r>
      <w:r>
        <w:rPr>
          <w:spacing w:val="-9"/>
        </w:rPr>
        <w:t> </w:t>
      </w:r>
      <w:r>
        <w:rPr/>
        <w:t>established</w:t>
      </w:r>
      <w:r>
        <w:rPr>
          <w:spacing w:val="-9"/>
        </w:rPr>
        <w:t> </w:t>
      </w:r>
      <w:r>
        <w:rPr/>
        <w:t>among</w:t>
      </w:r>
      <w:r>
        <w:rPr>
          <w:spacing w:val="-11"/>
        </w:rPr>
        <w:t> </w:t>
      </w:r>
      <w:r>
        <w:rPr/>
        <w:t>other</w:t>
      </w:r>
      <w:r>
        <w:rPr>
          <w:spacing w:val="-11"/>
        </w:rPr>
        <w:t> </w:t>
      </w:r>
      <w:r>
        <w:rPr/>
        <w:t>facts,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there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positive</w:t>
      </w:r>
      <w:r>
        <w:rPr>
          <w:spacing w:val="-12"/>
        </w:rPr>
        <w:t> </w:t>
      </w:r>
      <w:r>
        <w:rPr/>
        <w:t>correlation</w:t>
      </w:r>
      <w:r>
        <w:rPr>
          <w:spacing w:val="-11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fiscal and monetary policy. It also found that there are indications for rent-seeking in Nigeria. In</w:t>
      </w:r>
      <w:r>
        <w:rPr>
          <w:spacing w:val="1"/>
        </w:rPr>
        <w:t> </w:t>
      </w:r>
      <w:r>
        <w:rPr/>
        <w:t>addition, fiscal and monetary policies were seen to have been weakly coordinated in Nigeria and</w:t>
      </w:r>
      <w:r>
        <w:rPr>
          <w:spacing w:val="1"/>
        </w:rPr>
        <w:t> </w:t>
      </w:r>
      <w:r>
        <w:rPr/>
        <w:t>finally, it found evidence of discretionary fiscal policy in Nigeria. The study also presented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results.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Bayesian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simulations were used to answer the first research question ‘To what extent does fiscal policy</w:t>
      </w:r>
      <w:r>
        <w:rPr>
          <w:spacing w:val="1"/>
        </w:rPr>
        <w:t> </w:t>
      </w:r>
      <w:r>
        <w:rPr/>
        <w:t>interacts with monetary policy in Nigeria?’ The results show, contrary to findings of the stylised</w:t>
      </w:r>
      <w:r>
        <w:rPr>
          <w:spacing w:val="1"/>
        </w:rPr>
        <w:t> </w:t>
      </w:r>
      <w:r>
        <w:rPr/>
        <w:t>facts that fiscal policy</w:t>
      </w:r>
      <w:r>
        <w:rPr>
          <w:spacing w:val="-3"/>
        </w:rPr>
        <w:t> </w:t>
      </w:r>
      <w:r>
        <w:rPr/>
        <w:t>correlates strongly</w:t>
      </w:r>
      <w:r>
        <w:rPr>
          <w:spacing w:val="-4"/>
        </w:rPr>
        <w:t> </w:t>
      </w:r>
      <w:r>
        <w:rPr/>
        <w:t>but negatively</w:t>
      </w:r>
      <w:r>
        <w:rPr>
          <w:spacing w:val="-5"/>
        </w:rPr>
        <w:t> </w:t>
      </w:r>
      <w:r>
        <w:rPr/>
        <w:t>with monetary</w:t>
      </w:r>
      <w:r>
        <w:rPr>
          <w:spacing w:val="-5"/>
        </w:rPr>
        <w:t> </w:t>
      </w:r>
      <w:r>
        <w:rPr/>
        <w:t>policy</w:t>
      </w:r>
      <w:r>
        <w:rPr>
          <w:spacing w:val="-4"/>
        </w:rPr>
        <w:t> </w:t>
      </w:r>
      <w:r>
        <w:rPr/>
        <w:t>in Nigeria.</w:t>
      </w:r>
    </w:p>
    <w:p>
      <w:pPr>
        <w:pStyle w:val="BodyText"/>
        <w:spacing w:line="360" w:lineRule="auto" w:before="201"/>
        <w:ind w:left="500" w:right="496"/>
        <w:jc w:val="both"/>
      </w:pPr>
      <w:r>
        <w:rPr/>
        <w:t>A numeric simulation using the log-linearisation method was used to answer the second research</w:t>
      </w:r>
      <w:r>
        <w:rPr>
          <w:spacing w:val="1"/>
        </w:rPr>
        <w:t> </w:t>
      </w:r>
      <w:r>
        <w:rPr/>
        <w:t>question ‘What is the transmission effect of the policy interaction on output and inflation in</w:t>
      </w:r>
      <w:r>
        <w:rPr>
          <w:spacing w:val="1"/>
        </w:rPr>
        <w:t> </w:t>
      </w:r>
      <w:r>
        <w:rPr/>
        <w:t>Nigeria?’ To answer this question, a common interaction variable was constructed to explicitly</w:t>
      </w:r>
      <w:r>
        <w:rPr>
          <w:spacing w:val="1"/>
        </w:rPr>
        <w:t> </w:t>
      </w:r>
      <w:r>
        <w:rPr/>
        <w:t>capture fiscal-monetary policy interactions. The study found out that the joint process of both</w:t>
      </w:r>
      <w:r>
        <w:rPr>
          <w:spacing w:val="1"/>
        </w:rPr>
        <w:t> </w:t>
      </w:r>
      <w:r>
        <w:rPr/>
        <w:t>policies had a weak but negative effect on output and inflation. Finally, a dynamic simulation</w:t>
      </w:r>
      <w:r>
        <w:rPr>
          <w:spacing w:val="1"/>
        </w:rPr>
        <w:t> </w:t>
      </w:r>
      <w:r>
        <w:rPr/>
        <w:t>applying the Linear Quadratic approximation method was employed to address the third research</w:t>
      </w:r>
      <w:r>
        <w:rPr>
          <w:spacing w:val="-57"/>
        </w:rPr>
        <w:t> </w:t>
      </w:r>
      <w:r>
        <w:rPr/>
        <w:t>question ‘How should fiscal and monetary policy be optimally combined for output and inflation</w:t>
      </w:r>
      <w:r>
        <w:rPr>
          <w:spacing w:val="1"/>
        </w:rPr>
        <w:t> </w:t>
      </w:r>
      <w:r>
        <w:rPr>
          <w:spacing w:val="-1"/>
        </w:rPr>
        <w:t>stability</w:t>
      </w:r>
      <w:r>
        <w:rPr>
          <w:spacing w:val="-20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Nigeria?’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result</w:t>
      </w:r>
      <w:r>
        <w:rPr>
          <w:spacing w:val="-12"/>
        </w:rPr>
        <w:t> </w:t>
      </w:r>
      <w:r>
        <w:rPr/>
        <w:t>showed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optimal</w:t>
      </w:r>
      <w:r>
        <w:rPr>
          <w:spacing w:val="-12"/>
        </w:rPr>
        <w:t> </w:t>
      </w:r>
      <w:r>
        <w:rPr/>
        <w:t>fiscal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monetary</w:t>
      </w:r>
      <w:r>
        <w:rPr>
          <w:spacing w:val="-15"/>
        </w:rPr>
        <w:t> </w:t>
      </w:r>
      <w:r>
        <w:rPr/>
        <w:t>policy</w:t>
      </w:r>
      <w:r>
        <w:rPr>
          <w:spacing w:val="-16"/>
        </w:rPr>
        <w:t> </w:t>
      </w:r>
      <w:r>
        <w:rPr/>
        <w:t>is</w:t>
      </w:r>
      <w:r>
        <w:rPr>
          <w:spacing w:val="-12"/>
        </w:rPr>
        <w:t> </w:t>
      </w:r>
      <w:r>
        <w:rPr/>
        <w:t>characterised</w:t>
      </w:r>
      <w:r>
        <w:rPr>
          <w:spacing w:val="-57"/>
        </w:rPr>
        <w:t> </w:t>
      </w:r>
      <w:r>
        <w:rPr/>
        <w:t>by a regime where the fiscal policy maker is benevolent and commits to a policy rule while the</w:t>
      </w:r>
      <w:r>
        <w:rPr>
          <w:spacing w:val="1"/>
        </w:rPr>
        <w:t> </w:t>
      </w:r>
      <w:r>
        <w:rPr/>
        <w:t>Central Bank commits to its monetary policy rule. Other major results from the study shows that</w:t>
      </w:r>
      <w:r>
        <w:rPr>
          <w:spacing w:val="1"/>
        </w:rPr>
        <w:t> </w:t>
      </w:r>
      <w:r>
        <w:rPr/>
        <w:t>the</w:t>
      </w:r>
      <w:r>
        <w:rPr>
          <w:spacing w:val="-10"/>
        </w:rPr>
        <w:t> </w:t>
      </w:r>
      <w:r>
        <w:rPr/>
        <w:t>parameter</w:t>
      </w:r>
      <w:r>
        <w:rPr>
          <w:spacing w:val="-9"/>
        </w:rPr>
        <w:t> </w:t>
      </w:r>
      <w:r>
        <w:rPr/>
        <w:t>value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reaction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inflation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changes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interest</w:t>
      </w:r>
      <w:r>
        <w:rPr>
          <w:spacing w:val="-8"/>
        </w:rPr>
        <w:t> </w:t>
      </w:r>
      <w:r>
        <w:rPr/>
        <w:t>rate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less</w:t>
      </w:r>
      <w:r>
        <w:rPr>
          <w:spacing w:val="-11"/>
        </w:rPr>
        <w:t> </w:t>
      </w:r>
      <w:r>
        <w:rPr/>
        <w:t>than</w:t>
      </w:r>
      <w:r>
        <w:rPr>
          <w:spacing w:val="-9"/>
        </w:rPr>
        <w:t> </w:t>
      </w:r>
      <w:r>
        <w:rPr/>
        <w:t>one,</w:t>
      </w:r>
      <w:r>
        <w:rPr>
          <w:spacing w:val="-9"/>
        </w:rPr>
        <w:t> </w:t>
      </w:r>
      <w:r>
        <w:rPr/>
        <w:t>while</w:t>
      </w:r>
      <w:r>
        <w:rPr>
          <w:spacing w:val="-58"/>
        </w:rPr>
        <w:t> </w:t>
      </w:r>
      <w:r>
        <w:rPr/>
        <w:t>the reaction of output to the Taylor rule has a higher magnitude. Furthermore, a low parameter</w:t>
      </w:r>
      <w:r>
        <w:rPr>
          <w:spacing w:val="1"/>
        </w:rPr>
        <w:t> </w:t>
      </w:r>
      <w:r>
        <w:rPr/>
        <w:t>value for the degree of rent-seeking suggests a high rate of rent-seeking among politicians and</w:t>
      </w:r>
      <w:r>
        <w:rPr>
          <w:spacing w:val="1"/>
        </w:rPr>
        <w:t> </w:t>
      </w:r>
      <w:r>
        <w:rPr/>
        <w:t>bureaucrats.</w:t>
      </w:r>
    </w:p>
    <w:p>
      <w:pPr>
        <w:pStyle w:val="Heading1"/>
        <w:numPr>
          <w:ilvl w:val="1"/>
          <w:numId w:val="34"/>
        </w:numPr>
        <w:tabs>
          <w:tab w:pos="890" w:val="left" w:leader="none"/>
        </w:tabs>
        <w:spacing w:line="240" w:lineRule="auto" w:before="209" w:after="0"/>
        <w:ind w:left="889" w:right="0" w:hanging="390"/>
        <w:jc w:val="left"/>
      </w:pPr>
      <w:bookmarkStart w:name="_TOC_250002" w:id="58"/>
      <w:bookmarkEnd w:id="58"/>
      <w:r>
        <w:rPr/>
        <w:t>Recommendations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360" w:lineRule="auto" w:before="1"/>
        <w:ind w:left="500" w:right="501"/>
        <w:jc w:val="both"/>
      </w:pPr>
      <w:r>
        <w:rPr/>
        <w:t>To</w:t>
      </w:r>
      <w:r>
        <w:rPr>
          <w:spacing w:val="-9"/>
        </w:rPr>
        <w:t> </w:t>
      </w:r>
      <w:r>
        <w:rPr/>
        <w:t>reiterate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main</w:t>
      </w:r>
      <w:r>
        <w:rPr>
          <w:spacing w:val="-9"/>
        </w:rPr>
        <w:t> </w:t>
      </w:r>
      <w:r>
        <w:rPr/>
        <w:t>findings:</w:t>
      </w:r>
      <w:r>
        <w:rPr>
          <w:spacing w:val="-8"/>
        </w:rPr>
        <w:t> </w:t>
      </w:r>
      <w:r>
        <w:rPr/>
        <w:t>Firstly,</w:t>
      </w:r>
      <w:r>
        <w:rPr>
          <w:spacing w:val="-9"/>
        </w:rPr>
        <w:t> </w:t>
      </w:r>
      <w:r>
        <w:rPr/>
        <w:t>there</w:t>
      </w:r>
      <w:r>
        <w:rPr>
          <w:spacing w:val="-10"/>
        </w:rPr>
        <w:t> </w:t>
      </w:r>
      <w:r>
        <w:rPr/>
        <w:t>is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strong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negative</w:t>
      </w:r>
      <w:r>
        <w:rPr>
          <w:spacing w:val="-10"/>
        </w:rPr>
        <w:t> </w:t>
      </w:r>
      <w:r>
        <w:rPr/>
        <w:t>correlation</w:t>
      </w:r>
      <w:r>
        <w:rPr>
          <w:spacing w:val="-8"/>
        </w:rPr>
        <w:t> </w:t>
      </w:r>
      <w:r>
        <w:rPr/>
        <w:t>between</w:t>
      </w:r>
      <w:r>
        <w:rPr>
          <w:spacing w:val="-8"/>
        </w:rPr>
        <w:t> </w:t>
      </w:r>
      <w:r>
        <w:rPr/>
        <w:t>fiscal</w:t>
      </w:r>
      <w:r>
        <w:rPr>
          <w:spacing w:val="-8"/>
        </w:rPr>
        <w:t> </w:t>
      </w:r>
      <w:r>
        <w:rPr/>
        <w:t>and</w:t>
      </w:r>
      <w:r>
        <w:rPr>
          <w:spacing w:val="-58"/>
        </w:rPr>
        <w:t> </w:t>
      </w:r>
      <w:r>
        <w:rPr/>
        <w:t>monetary</w:t>
      </w:r>
      <w:r>
        <w:rPr>
          <w:spacing w:val="1"/>
        </w:rPr>
        <w:t> </w:t>
      </w:r>
      <w:r>
        <w:rPr/>
        <w:t>policy;</w:t>
      </w:r>
      <w:r>
        <w:rPr>
          <w:spacing w:val="1"/>
        </w:rPr>
        <w:t> </w:t>
      </w:r>
      <w:r>
        <w:rPr/>
        <w:t>secondly,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weak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macroeconomy.</w:t>
      </w:r>
      <w:r>
        <w:rPr>
          <w:spacing w:val="15"/>
        </w:rPr>
        <w:t> </w:t>
      </w:r>
      <w:r>
        <w:rPr/>
        <w:t>Thirdly,</w:t>
      </w:r>
      <w:r>
        <w:rPr>
          <w:spacing w:val="16"/>
        </w:rPr>
        <w:t> </w:t>
      </w:r>
      <w:r>
        <w:rPr/>
        <w:t>the</w:t>
      </w:r>
      <w:r>
        <w:rPr>
          <w:spacing w:val="12"/>
        </w:rPr>
        <w:t> </w:t>
      </w:r>
      <w:r>
        <w:rPr/>
        <w:t>most</w:t>
      </w:r>
      <w:r>
        <w:rPr>
          <w:spacing w:val="15"/>
        </w:rPr>
        <w:t> </w:t>
      </w:r>
      <w:r>
        <w:rPr/>
        <w:t>desirable</w:t>
      </w:r>
      <w:r>
        <w:rPr>
          <w:spacing w:val="12"/>
        </w:rPr>
        <w:t> </w:t>
      </w:r>
      <w:r>
        <w:rPr/>
        <w:t>nature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fiscal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monetary</w:t>
      </w:r>
      <w:r>
        <w:rPr>
          <w:spacing w:val="10"/>
        </w:rPr>
        <w:t> </w:t>
      </w:r>
      <w:r>
        <w:rPr/>
        <w:t>policy</w:t>
      </w:r>
      <w:r>
        <w:rPr>
          <w:spacing w:val="9"/>
        </w:rPr>
        <w:t> </w:t>
      </w:r>
      <w:r>
        <w:rPr/>
        <w:t>is</w:t>
      </w:r>
      <w:r>
        <w:rPr>
          <w:spacing w:val="13"/>
        </w:rPr>
        <w:t> </w:t>
      </w:r>
      <w:r>
        <w:rPr/>
        <w:t>one</w:t>
      </w:r>
      <w:r>
        <w:rPr>
          <w:spacing w:val="13"/>
        </w:rPr>
        <w:t> </w:t>
      </w:r>
      <w:r>
        <w:rPr/>
        <w:t>where</w:t>
      </w:r>
      <w:r>
        <w:rPr>
          <w:spacing w:val="12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2240" w:h="15840"/>
          <w:pgMar w:header="0" w:footer="935" w:top="1380" w:bottom="1200" w:left="940" w:right="940"/>
        </w:sectPr>
      </w:pPr>
    </w:p>
    <w:p>
      <w:pPr>
        <w:pStyle w:val="BodyText"/>
        <w:spacing w:line="360" w:lineRule="auto" w:before="74"/>
        <w:ind w:left="500" w:right="499"/>
        <w:jc w:val="both"/>
      </w:pPr>
      <w:r>
        <w:rPr/>
        <w:t>benevolent government commits to policy rule and where the central bank also commits to its</w:t>
      </w:r>
      <w:r>
        <w:rPr>
          <w:spacing w:val="1"/>
        </w:rPr>
        <w:t> </w:t>
      </w:r>
      <w:r>
        <w:rPr/>
        <w:t>Taylor</w:t>
      </w:r>
      <w:r>
        <w:rPr>
          <w:spacing w:val="-1"/>
        </w:rPr>
        <w:t> </w:t>
      </w:r>
      <w:r>
        <w:rPr/>
        <w:t>rule.</w:t>
      </w:r>
    </w:p>
    <w:p>
      <w:pPr>
        <w:pStyle w:val="BodyText"/>
        <w:spacing w:line="360" w:lineRule="auto" w:before="200"/>
        <w:ind w:left="500" w:right="494"/>
        <w:jc w:val="both"/>
      </w:pPr>
      <w:r>
        <w:rPr/>
        <w:t>A political</w:t>
      </w:r>
      <w:r>
        <w:rPr>
          <w:spacing w:val="1"/>
        </w:rPr>
        <w:t> </w:t>
      </w:r>
      <w:r>
        <w:rPr/>
        <w:t>economic implication</w:t>
      </w:r>
      <w:r>
        <w:rPr>
          <w:spacing w:val="1"/>
        </w:rPr>
        <w:t> </w:t>
      </w:r>
      <w:r>
        <w:rPr/>
        <w:t>of the strong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negative correlation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monetary</w:t>
      </w:r>
      <w:r>
        <w:rPr>
          <w:spacing w:val="-12"/>
        </w:rPr>
        <w:t> </w:t>
      </w:r>
      <w:r>
        <w:rPr/>
        <w:t>policies</w:t>
      </w:r>
      <w:r>
        <w:rPr>
          <w:spacing w:val="-5"/>
        </w:rPr>
        <w:t> </w:t>
      </w:r>
      <w:r>
        <w:rPr/>
        <w:t>means</w:t>
      </w:r>
      <w:r>
        <w:rPr>
          <w:spacing w:val="-2"/>
        </w:rPr>
        <w:t> </w:t>
      </w:r>
      <w:r>
        <w:rPr/>
        <w:t>that</w:t>
      </w:r>
      <w:r>
        <w:rPr>
          <w:spacing w:val="-6"/>
        </w:rPr>
        <w:t> </w:t>
      </w:r>
      <w:r>
        <w:rPr/>
        <w:t>both</w:t>
      </w:r>
      <w:r>
        <w:rPr>
          <w:spacing w:val="-6"/>
        </w:rPr>
        <w:t> </w:t>
      </w:r>
      <w:r>
        <w:rPr/>
        <w:t>fiscal</w:t>
      </w:r>
      <w:r>
        <w:rPr>
          <w:spacing w:val="-6"/>
        </w:rPr>
        <w:t> </w:t>
      </w:r>
      <w:r>
        <w:rPr/>
        <w:t>policy</w:t>
      </w:r>
      <w:r>
        <w:rPr>
          <w:spacing w:val="-10"/>
        </w:rPr>
        <w:t> </w:t>
      </w:r>
      <w:r>
        <w:rPr/>
        <w:t>and</w:t>
      </w:r>
      <w:r>
        <w:rPr>
          <w:spacing w:val="-7"/>
        </w:rPr>
        <w:t> </w:t>
      </w:r>
      <w:r>
        <w:rPr/>
        <w:t>monetary</w:t>
      </w:r>
      <w:r>
        <w:rPr>
          <w:spacing w:val="-9"/>
        </w:rPr>
        <w:t> </w:t>
      </w:r>
      <w:r>
        <w:rPr/>
        <w:t>policy</w:t>
      </w:r>
      <w:r>
        <w:rPr>
          <w:spacing w:val="-12"/>
        </w:rPr>
        <w:t> </w:t>
      </w:r>
      <w:r>
        <w:rPr/>
        <w:t>act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strong</w:t>
      </w:r>
      <w:r>
        <w:rPr>
          <w:spacing w:val="-8"/>
        </w:rPr>
        <w:t> </w:t>
      </w:r>
      <w:r>
        <w:rPr/>
        <w:t>substitutes.</w:t>
      </w:r>
      <w:r>
        <w:rPr>
          <w:spacing w:val="-7"/>
        </w:rPr>
        <w:t> </w:t>
      </w:r>
      <w:r>
        <w:rPr/>
        <w:t>This</w:t>
      </w:r>
      <w:r>
        <w:rPr>
          <w:spacing w:val="-58"/>
        </w:rPr>
        <w:t> </w:t>
      </w:r>
      <w:r>
        <w:rPr/>
        <w:t>indicates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when</w:t>
      </w:r>
      <w:r>
        <w:rPr>
          <w:spacing w:val="-6"/>
        </w:rPr>
        <w:t> </w:t>
      </w:r>
      <w:r>
        <w:rPr/>
        <w:t>one</w:t>
      </w:r>
      <w:r>
        <w:rPr>
          <w:spacing w:val="-7"/>
        </w:rPr>
        <w:t> </w:t>
      </w:r>
      <w:r>
        <w:rPr/>
        <w:t>policymaker</w:t>
      </w:r>
      <w:r>
        <w:rPr>
          <w:spacing w:val="-8"/>
        </w:rPr>
        <w:t> </w:t>
      </w:r>
      <w:r>
        <w:rPr/>
        <w:t>implements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expansionary</w:t>
      </w:r>
      <w:r>
        <w:rPr>
          <w:spacing w:val="-13"/>
        </w:rPr>
        <w:t> </w:t>
      </w:r>
      <w:r>
        <w:rPr/>
        <w:t>measure,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other</w:t>
      </w:r>
      <w:r>
        <w:rPr>
          <w:spacing w:val="-7"/>
        </w:rPr>
        <w:t> </w:t>
      </w:r>
      <w:r>
        <w:rPr/>
        <w:t>counters</w:t>
      </w:r>
      <w:r>
        <w:rPr>
          <w:spacing w:val="-6"/>
        </w:rPr>
        <w:t> </w:t>
      </w:r>
      <w:r>
        <w:rPr/>
        <w:t>this</w:t>
      </w:r>
      <w:r>
        <w:rPr>
          <w:spacing w:val="-58"/>
        </w:rPr>
        <w:t> </w:t>
      </w:r>
      <w:r>
        <w:rPr/>
        <w:t>action using contractionary policy. It, therefore, implies that policymakers have in the past,</w:t>
      </w:r>
      <w:r>
        <w:rPr>
          <w:spacing w:val="1"/>
        </w:rPr>
        <w:t> </w:t>
      </w:r>
      <w:r>
        <w:rPr/>
        <w:t>implemented</w:t>
      </w:r>
      <w:r>
        <w:rPr>
          <w:spacing w:val="-5"/>
        </w:rPr>
        <w:t> </w:t>
      </w:r>
      <w:r>
        <w:rPr/>
        <w:t>conflicting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uncoordinated</w:t>
      </w:r>
      <w:r>
        <w:rPr>
          <w:spacing w:val="-1"/>
        </w:rPr>
        <w:t> </w:t>
      </w:r>
      <w:r>
        <w:rPr/>
        <w:t>fiscal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monetary</w:t>
      </w:r>
      <w:r>
        <w:rPr>
          <w:spacing w:val="-7"/>
        </w:rPr>
        <w:t> </w:t>
      </w:r>
      <w:r>
        <w:rPr/>
        <w:t>measures.</w:t>
      </w:r>
      <w:r>
        <w:rPr>
          <w:spacing w:val="-1"/>
        </w:rPr>
        <w:t> </w:t>
      </w:r>
      <w:r>
        <w:rPr/>
        <w:t>This</w:t>
      </w:r>
      <w:r>
        <w:rPr>
          <w:spacing w:val="-3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potential</w:t>
      </w:r>
      <w:r>
        <w:rPr>
          <w:spacing w:val="-58"/>
        </w:rPr>
        <w:t> </w:t>
      </w:r>
      <w:r>
        <w:rPr/>
        <w:t>source of instability to the economy. This conflicting form of policy implementation occurred in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divergent</w:t>
      </w:r>
      <w:r>
        <w:rPr>
          <w:spacing w:val="-4"/>
        </w:rPr>
        <w:t> </w:t>
      </w:r>
      <w:r>
        <w:rPr/>
        <w:t>response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Federal</w:t>
      </w:r>
      <w:r>
        <w:rPr>
          <w:spacing w:val="-4"/>
        </w:rPr>
        <w:t> </w:t>
      </w:r>
      <w:r>
        <w:rPr/>
        <w:t>Government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Central</w:t>
      </w:r>
      <w:r>
        <w:rPr>
          <w:spacing w:val="-4"/>
        </w:rPr>
        <w:t> </w:t>
      </w:r>
      <w:r>
        <w:rPr/>
        <w:t>Bank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recent</w:t>
      </w:r>
      <w:r>
        <w:rPr>
          <w:spacing w:val="-4"/>
        </w:rPr>
        <w:t> </w:t>
      </w:r>
      <w:r>
        <w:rPr/>
        <w:t>recessionary</w:t>
      </w:r>
      <w:r>
        <w:rPr>
          <w:spacing w:val="-58"/>
        </w:rPr>
        <w:t> </w:t>
      </w:r>
      <w:r>
        <w:rPr/>
        <w:t>episode in 2016. In this instance, the Federal Government adopted an easy fiscal stance by</w:t>
      </w:r>
      <w:r>
        <w:rPr>
          <w:spacing w:val="1"/>
        </w:rPr>
        <w:t> </w:t>
      </w:r>
      <w:r>
        <w:rPr/>
        <w:t>increasing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amount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budget</w:t>
      </w:r>
      <w:r>
        <w:rPr>
          <w:spacing w:val="-4"/>
        </w:rPr>
        <w:t> </w:t>
      </w:r>
      <w:r>
        <w:rPr/>
        <w:t>deficit,</w:t>
      </w:r>
      <w:r>
        <w:rPr>
          <w:spacing w:val="-6"/>
        </w:rPr>
        <w:t> </w:t>
      </w:r>
      <w:r>
        <w:rPr/>
        <w:t>while,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Central</w:t>
      </w:r>
      <w:r>
        <w:rPr>
          <w:spacing w:val="-3"/>
        </w:rPr>
        <w:t> </w:t>
      </w:r>
      <w:r>
        <w:rPr/>
        <w:t>Bank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Nigeria</w:t>
      </w:r>
      <w:r>
        <w:rPr>
          <w:spacing w:val="-5"/>
        </w:rPr>
        <w:t> </w:t>
      </w:r>
      <w:r>
        <w:rPr/>
        <w:t>tightened</w:t>
      </w:r>
      <w:r>
        <w:rPr>
          <w:spacing w:val="-4"/>
        </w:rPr>
        <w:t> </w:t>
      </w:r>
      <w:r>
        <w:rPr/>
        <w:t>its</w:t>
      </w:r>
      <w:r>
        <w:rPr>
          <w:spacing w:val="-5"/>
        </w:rPr>
        <w:t> </w:t>
      </w:r>
      <w:r>
        <w:rPr/>
        <w:t>monetary</w:t>
      </w:r>
      <w:r>
        <w:rPr>
          <w:spacing w:val="-58"/>
        </w:rPr>
        <w:t> </w:t>
      </w:r>
      <w:r>
        <w:rPr/>
        <w:t>stance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raising</w:t>
      </w:r>
      <w:r>
        <w:rPr>
          <w:spacing w:val="-3"/>
        </w:rPr>
        <w:t> </w:t>
      </w:r>
      <w:r>
        <w:rPr/>
        <w:t>the Monetary</w:t>
      </w:r>
      <w:r>
        <w:rPr>
          <w:spacing w:val="-5"/>
        </w:rPr>
        <w:t> </w:t>
      </w:r>
      <w:r>
        <w:rPr/>
        <w:t>Policy</w:t>
      </w:r>
      <w:r>
        <w:rPr>
          <w:spacing w:val="-5"/>
        </w:rPr>
        <w:t> </w:t>
      </w:r>
      <w:r>
        <w:rPr/>
        <w:t>Rate.</w:t>
      </w:r>
    </w:p>
    <w:p>
      <w:pPr>
        <w:pStyle w:val="BodyText"/>
        <w:spacing w:line="360" w:lineRule="auto" w:before="200"/>
        <w:ind w:left="500" w:right="493"/>
        <w:jc w:val="both"/>
      </w:pPr>
      <w:r>
        <w:rPr/>
        <w:t>The negative effect of the joint policy interaction on inflation and output implies that the overall</w:t>
      </w:r>
      <w:r>
        <w:rPr>
          <w:spacing w:val="1"/>
        </w:rPr>
        <w:t> </w:t>
      </w:r>
      <w:r>
        <w:rPr/>
        <w:t>impact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policy</w:t>
      </w:r>
      <w:r>
        <w:rPr>
          <w:spacing w:val="-10"/>
        </w:rPr>
        <w:t> </w:t>
      </w:r>
      <w:r>
        <w:rPr/>
        <w:t>interaction</w:t>
      </w:r>
      <w:r>
        <w:rPr>
          <w:spacing w:val="-6"/>
        </w:rPr>
        <w:t> </w:t>
      </w:r>
      <w:r>
        <w:rPr/>
        <w:t>negatively</w:t>
      </w:r>
      <w:r>
        <w:rPr>
          <w:spacing w:val="-8"/>
        </w:rPr>
        <w:t> </w:t>
      </w:r>
      <w:r>
        <w:rPr/>
        <w:t>affects</w:t>
      </w:r>
      <w:r>
        <w:rPr>
          <w:spacing w:val="-6"/>
        </w:rPr>
        <w:t> </w:t>
      </w:r>
      <w:r>
        <w:rPr/>
        <w:t>both</w:t>
      </w:r>
      <w:r>
        <w:rPr>
          <w:spacing w:val="-5"/>
        </w:rPr>
        <w:t> </w:t>
      </w:r>
      <w:r>
        <w:rPr/>
        <w:t>long</w:t>
      </w:r>
      <w:r>
        <w:rPr>
          <w:spacing w:val="-8"/>
        </w:rPr>
        <w:t> </w:t>
      </w:r>
      <w:r>
        <w:rPr/>
        <w:t>run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short</w:t>
      </w:r>
      <w:r>
        <w:rPr>
          <w:spacing w:val="-6"/>
        </w:rPr>
        <w:t> </w:t>
      </w:r>
      <w:r>
        <w:rPr/>
        <w:t>run</w:t>
      </w:r>
      <w:r>
        <w:rPr>
          <w:spacing w:val="-4"/>
        </w:rPr>
        <w:t> </w:t>
      </w:r>
      <w:r>
        <w:rPr/>
        <w:t>economic</w:t>
      </w:r>
      <w:r>
        <w:rPr>
          <w:spacing w:val="-7"/>
        </w:rPr>
        <w:t> </w:t>
      </w:r>
      <w:r>
        <w:rPr/>
        <w:t>outcomes.</w:t>
      </w:r>
      <w:r>
        <w:rPr>
          <w:spacing w:val="-3"/>
        </w:rPr>
        <w:t> </w:t>
      </w:r>
      <w:r>
        <w:rPr/>
        <w:t>Its</w:t>
      </w:r>
      <w:r>
        <w:rPr>
          <w:spacing w:val="-58"/>
        </w:rPr>
        <w:t> </w:t>
      </w:r>
      <w:r>
        <w:rPr>
          <w:spacing w:val="-1"/>
        </w:rPr>
        <w:t>weak</w:t>
      </w:r>
      <w:r>
        <w:rPr>
          <w:spacing w:val="-8"/>
        </w:rPr>
        <w:t> </w:t>
      </w:r>
      <w:r>
        <w:rPr>
          <w:spacing w:val="-1"/>
        </w:rPr>
        <w:t>effect</w:t>
      </w:r>
      <w:r>
        <w:rPr>
          <w:spacing w:val="-7"/>
        </w:rPr>
        <w:t> </w:t>
      </w:r>
      <w:r>
        <w:rPr/>
        <w:t>also</w:t>
      </w:r>
      <w:r>
        <w:rPr>
          <w:spacing w:val="-8"/>
        </w:rPr>
        <w:t> </w:t>
      </w:r>
      <w:r>
        <w:rPr/>
        <w:t>signals</w:t>
      </w:r>
      <w:r>
        <w:rPr>
          <w:spacing w:val="-9"/>
        </w:rPr>
        <w:t> </w:t>
      </w:r>
      <w:r>
        <w:rPr/>
        <w:t>that</w:t>
      </w:r>
      <w:r>
        <w:rPr>
          <w:spacing w:val="-7"/>
        </w:rPr>
        <w:t> </w:t>
      </w:r>
      <w:r>
        <w:rPr/>
        <w:t>actual</w:t>
      </w:r>
      <w:r>
        <w:rPr>
          <w:spacing w:val="-10"/>
        </w:rPr>
        <w:t> </w:t>
      </w:r>
      <w:r>
        <w:rPr/>
        <w:t>policy</w:t>
      </w:r>
      <w:r>
        <w:rPr>
          <w:spacing w:val="-15"/>
        </w:rPr>
        <w:t> </w:t>
      </w:r>
      <w:r>
        <w:rPr/>
        <w:t>implementation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Nigeria</w:t>
      </w:r>
      <w:r>
        <w:rPr>
          <w:spacing w:val="-10"/>
        </w:rPr>
        <w:t> </w:t>
      </w:r>
      <w:r>
        <w:rPr/>
        <w:t>that</w:t>
      </w:r>
      <w:r>
        <w:rPr>
          <w:spacing w:val="-8"/>
        </w:rPr>
        <w:t> </w:t>
      </w:r>
      <w:r>
        <w:rPr/>
        <w:t>captures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rent-seeking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discretionary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coupled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weak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coordination, have sub-optimal impact on the Nigerian economy. Furthermore, the result shows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-15"/>
        </w:rPr>
        <w:t> </w:t>
      </w:r>
      <w:r>
        <w:rPr>
          <w:spacing w:val="-1"/>
        </w:rPr>
        <w:t>asides</w:t>
      </w:r>
      <w:r>
        <w:rPr>
          <w:spacing w:val="-15"/>
        </w:rPr>
        <w:t> </w:t>
      </w:r>
      <w:r>
        <w:rPr/>
        <w:t>stabilisation</w:t>
      </w:r>
      <w:r>
        <w:rPr>
          <w:spacing w:val="-14"/>
        </w:rPr>
        <w:t> </w:t>
      </w:r>
      <w:r>
        <w:rPr/>
        <w:t>policies,</w:t>
      </w:r>
      <w:r>
        <w:rPr>
          <w:spacing w:val="-15"/>
        </w:rPr>
        <w:t> </w:t>
      </w:r>
      <w:r>
        <w:rPr/>
        <w:t>other</w:t>
      </w:r>
      <w:r>
        <w:rPr>
          <w:spacing w:val="-15"/>
        </w:rPr>
        <w:t> </w:t>
      </w:r>
      <w:r>
        <w:rPr/>
        <w:t>measures</w:t>
      </w:r>
      <w:r>
        <w:rPr>
          <w:spacing w:val="-12"/>
        </w:rPr>
        <w:t> </w:t>
      </w:r>
      <w:r>
        <w:rPr/>
        <w:t>such</w:t>
      </w:r>
      <w:r>
        <w:rPr>
          <w:spacing w:val="-14"/>
        </w:rPr>
        <w:t> </w:t>
      </w:r>
      <w:r>
        <w:rPr/>
        <w:t>as</w:t>
      </w:r>
      <w:r>
        <w:rPr>
          <w:spacing w:val="-15"/>
        </w:rPr>
        <w:t> </w:t>
      </w:r>
      <w:r>
        <w:rPr/>
        <w:t>structural</w:t>
      </w:r>
      <w:r>
        <w:rPr>
          <w:spacing w:val="-14"/>
        </w:rPr>
        <w:t> </w:t>
      </w:r>
      <w:r>
        <w:rPr/>
        <w:t>policies</w:t>
      </w:r>
      <w:r>
        <w:rPr>
          <w:spacing w:val="-12"/>
        </w:rPr>
        <w:t> </w:t>
      </w:r>
      <w:r>
        <w:rPr/>
        <w:t>are,</w:t>
      </w:r>
      <w:r>
        <w:rPr>
          <w:spacing w:val="-15"/>
        </w:rPr>
        <w:t> </w:t>
      </w:r>
      <w:r>
        <w:rPr/>
        <w:t>therefore,</w:t>
      </w:r>
      <w:r>
        <w:rPr>
          <w:spacing w:val="-14"/>
        </w:rPr>
        <w:t> </w:t>
      </w:r>
      <w:r>
        <w:rPr/>
        <w:t>suspected</w:t>
      </w:r>
      <w:r>
        <w:rPr>
          <w:spacing w:val="-58"/>
        </w:rPr>
        <w:t> </w:t>
      </w:r>
      <w:r>
        <w:rPr/>
        <w:t>to significantly account for the outcomes in output and inflation. These structural policies include</w:t>
      </w:r>
      <w:r>
        <w:rPr>
          <w:spacing w:val="-57"/>
        </w:rPr>
        <w:t> </w:t>
      </w:r>
      <w:r>
        <w:rPr/>
        <w:t>but are not limited to trade policy and financial policy. The result on the optimal fiscal-monetary</w:t>
      </w:r>
      <w:r>
        <w:rPr>
          <w:spacing w:val="1"/>
        </w:rPr>
        <w:t> </w:t>
      </w:r>
      <w:r>
        <w:rPr/>
        <w:t>combination points out that politicians and bureaucrats in government should take caution on</w:t>
      </w:r>
      <w:r>
        <w:rPr>
          <w:spacing w:val="1"/>
        </w:rPr>
        <w:t> </w:t>
      </w:r>
      <w:r>
        <w:rPr/>
        <w:t>policy reversals by committing to policy rules and at the same time, should implement policies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enhance</w:t>
      </w:r>
      <w:r>
        <w:rPr>
          <w:spacing w:val="-1"/>
        </w:rPr>
        <w:t> </w:t>
      </w:r>
      <w:r>
        <w:rPr/>
        <w:t>the welfare of the</w:t>
      </w:r>
      <w:r>
        <w:rPr>
          <w:spacing w:val="-2"/>
        </w:rPr>
        <w:t> </w:t>
      </w:r>
      <w:r>
        <w:rPr/>
        <w:t>entire</w:t>
      </w:r>
      <w:r>
        <w:rPr>
          <w:spacing w:val="-1"/>
        </w:rPr>
        <w:t> </w:t>
      </w:r>
      <w:r>
        <w:rPr/>
        <w:t>citizens, not</w:t>
      </w:r>
      <w:r>
        <w:rPr>
          <w:spacing w:val="-2"/>
        </w:rPr>
        <w:t> </w:t>
      </w:r>
      <w:r>
        <w:rPr/>
        <w:t>just a</w:t>
      </w:r>
      <w:r>
        <w:rPr>
          <w:spacing w:val="-1"/>
        </w:rPr>
        <w:t> </w:t>
      </w:r>
      <w:r>
        <w:rPr/>
        <w:t>subset of</w:t>
      </w:r>
      <w:r>
        <w:rPr>
          <w:spacing w:val="-2"/>
        </w:rPr>
        <w:t> </w:t>
      </w:r>
      <w:r>
        <w:rPr/>
        <w:t>the citizens.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500" w:right="496"/>
        <w:jc w:val="both"/>
      </w:pPr>
      <w:r>
        <w:rPr/>
        <w:t>Furthermore, the parameter estimates of the coefficients in the Taylor rule indicate the existence</w:t>
      </w:r>
      <w:r>
        <w:rPr>
          <w:spacing w:val="1"/>
        </w:rPr>
        <w:t> </w:t>
      </w:r>
      <w:r>
        <w:rPr/>
        <w:t>of a passive monetary policy regime. It means that the Central Bank has to adjust its policy</w:t>
      </w:r>
      <w:r>
        <w:rPr>
          <w:spacing w:val="1"/>
        </w:rPr>
        <w:t> </w:t>
      </w:r>
      <w:r>
        <w:rPr/>
        <w:t>decisions to suit government's fiscal decisions. The second implication of this result is that the</w:t>
      </w:r>
      <w:r>
        <w:rPr>
          <w:spacing w:val="1"/>
        </w:rPr>
        <w:t> </w:t>
      </w:r>
      <w:r>
        <w:rPr/>
        <w:t>Central Bank has not primarily implemented policies for price stability, but for output stability.</w:t>
      </w:r>
      <w:r>
        <w:rPr>
          <w:spacing w:val="1"/>
        </w:rPr>
        <w:t> </w:t>
      </w:r>
      <w:r>
        <w:rPr/>
        <w:t>This may also be viewed from the perspective that the Central Bank of Nigeria may not have</w:t>
      </w:r>
      <w:r>
        <w:rPr>
          <w:spacing w:val="1"/>
        </w:rPr>
        <w:t> </w:t>
      </w:r>
      <w:r>
        <w:rPr/>
        <w:t>adopted</w:t>
      </w:r>
      <w:r>
        <w:rPr>
          <w:spacing w:val="9"/>
        </w:rPr>
        <w:t> </w:t>
      </w:r>
      <w:r>
        <w:rPr/>
        <w:t>policy</w:t>
      </w:r>
      <w:r>
        <w:rPr>
          <w:spacing w:val="5"/>
        </w:rPr>
        <w:t> </w:t>
      </w:r>
      <w:r>
        <w:rPr/>
        <w:t>measures</w:t>
      </w:r>
      <w:r>
        <w:rPr>
          <w:spacing w:val="13"/>
        </w:rPr>
        <w:t> </w:t>
      </w:r>
      <w:r>
        <w:rPr/>
        <w:t>that</w:t>
      </w:r>
      <w:r>
        <w:rPr>
          <w:spacing w:val="9"/>
        </w:rPr>
        <w:t> </w:t>
      </w:r>
      <w:r>
        <w:rPr/>
        <w:t>effectively</w:t>
      </w:r>
      <w:r>
        <w:rPr>
          <w:spacing w:val="5"/>
        </w:rPr>
        <w:t> </w:t>
      </w:r>
      <w:r>
        <w:rPr/>
        <w:t>transmit</w:t>
      </w:r>
      <w:r>
        <w:rPr>
          <w:spacing w:val="11"/>
        </w:rPr>
        <w:t> </w:t>
      </w:r>
      <w:r>
        <w:rPr/>
        <w:t>into</w:t>
      </w:r>
      <w:r>
        <w:rPr>
          <w:spacing w:val="9"/>
        </w:rPr>
        <w:t> </w:t>
      </w:r>
      <w:r>
        <w:rPr/>
        <w:t>affecting</w:t>
      </w:r>
      <w:r>
        <w:rPr>
          <w:spacing w:val="8"/>
        </w:rPr>
        <w:t> </w:t>
      </w:r>
      <w:r>
        <w:rPr/>
        <w:t>domestic</w:t>
      </w:r>
      <w:r>
        <w:rPr>
          <w:spacing w:val="9"/>
        </w:rPr>
        <w:t> </w:t>
      </w:r>
      <w:r>
        <w:rPr/>
        <w:t>prices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economy.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line="360" w:lineRule="auto" w:before="74"/>
        <w:ind w:left="500" w:right="493"/>
        <w:jc w:val="both"/>
      </w:pPr>
      <w:r>
        <w:rPr/>
        <w:t>The</w:t>
      </w:r>
      <w:r>
        <w:rPr>
          <w:spacing w:val="-5"/>
        </w:rPr>
        <w:t> </w:t>
      </w:r>
      <w:r>
        <w:rPr/>
        <w:t>economic</w:t>
      </w:r>
      <w:r>
        <w:rPr>
          <w:spacing w:val="-4"/>
        </w:rPr>
        <w:t> </w:t>
      </w:r>
      <w:r>
        <w:rPr/>
        <w:t>implication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high</w:t>
      </w:r>
      <w:r>
        <w:rPr>
          <w:spacing w:val="-4"/>
        </w:rPr>
        <w:t> </w:t>
      </w:r>
      <w:r>
        <w:rPr/>
        <w:t>degree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rent-seeking</w:t>
      </w:r>
      <w:r>
        <w:rPr>
          <w:spacing w:val="-5"/>
        </w:rPr>
        <w:t> </w:t>
      </w:r>
      <w:r>
        <w:rPr/>
        <w:t>among</w:t>
      </w:r>
      <w:r>
        <w:rPr>
          <w:spacing w:val="-5"/>
        </w:rPr>
        <w:t> </w:t>
      </w:r>
      <w:r>
        <w:rPr/>
        <w:t>politicians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bureaucrats</w:t>
      </w:r>
      <w:r>
        <w:rPr>
          <w:spacing w:val="-2"/>
        </w:rPr>
        <w:t> </w:t>
      </w:r>
      <w:r>
        <w:rPr/>
        <w:t>is</w:t>
      </w:r>
      <w:r>
        <w:rPr>
          <w:spacing w:val="-58"/>
        </w:rPr>
        <w:t> </w:t>
      </w:r>
      <w:r>
        <w:rPr/>
        <w:t>that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trivial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expenditure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actually</w:t>
      </w:r>
      <w:r>
        <w:rPr>
          <w:spacing w:val="1"/>
        </w:rPr>
        <w:t> </w:t>
      </w:r>
      <w:r>
        <w:rPr/>
        <w:t>expended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welfare-</w:t>
      </w:r>
      <w:r>
        <w:rPr>
          <w:spacing w:val="-57"/>
        </w:rPr>
        <w:t> </w:t>
      </w:r>
      <w:r>
        <w:rPr/>
        <w:t>enhancing projects, the remainder is wasted, misused or stolen. For instance, the Minister of</w:t>
      </w:r>
      <w:r>
        <w:rPr>
          <w:spacing w:val="1"/>
        </w:rPr>
        <w:t> </w:t>
      </w:r>
      <w:r>
        <w:rPr/>
        <w:t>Information, Lai Mohammed, argued that a sizeable proportion of stolen public funds by former</w:t>
      </w:r>
      <w:r>
        <w:rPr>
          <w:spacing w:val="1"/>
        </w:rPr>
        <w:t> </w:t>
      </w:r>
      <w:r>
        <w:rPr/>
        <w:t>politicians and bureaucrats between 2006 and 2013, could have provided 635.18 kilometres of</w:t>
      </w:r>
      <w:r>
        <w:rPr>
          <w:spacing w:val="1"/>
        </w:rPr>
        <w:t> </w:t>
      </w:r>
      <w:r>
        <w:rPr/>
        <w:t>road; built thirty-six ultra-modern hospitals; erected 183 schools; educated 3,974 children from</w:t>
      </w:r>
      <w:r>
        <w:rPr>
          <w:spacing w:val="1"/>
        </w:rPr>
        <w:t> </w:t>
      </w:r>
      <w:r>
        <w:rPr/>
        <w:t>primary school to University; and provided 20,062 units of 2-bedroom houses, in order to ease</w:t>
      </w:r>
      <w:r>
        <w:rPr>
          <w:spacing w:val="1"/>
        </w:rPr>
        <w:t> </w:t>
      </w:r>
      <w:r>
        <w:rPr/>
        <w:t>accommodation.</w:t>
      </w:r>
    </w:p>
    <w:p>
      <w:pPr>
        <w:pStyle w:val="BodyText"/>
        <w:spacing w:line="360" w:lineRule="auto" w:before="201"/>
        <w:ind w:left="500" w:right="496"/>
        <w:jc w:val="both"/>
      </w:pPr>
      <w:r>
        <w:rPr/>
        <w:t>Based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implications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major</w:t>
      </w:r>
      <w:r>
        <w:rPr>
          <w:spacing w:val="-9"/>
        </w:rPr>
        <w:t> </w:t>
      </w:r>
      <w:r>
        <w:rPr/>
        <w:t>findings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study,</w:t>
      </w:r>
      <w:r>
        <w:rPr>
          <w:spacing w:val="-9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necessary</w:t>
      </w:r>
      <w:r>
        <w:rPr>
          <w:spacing w:val="-11"/>
        </w:rPr>
        <w:t> </w:t>
      </w:r>
      <w:r>
        <w:rPr/>
        <w:t>that</w:t>
      </w:r>
      <w:r>
        <w:rPr>
          <w:spacing w:val="-8"/>
        </w:rPr>
        <w:t> </w:t>
      </w:r>
      <w:r>
        <w:rPr/>
        <w:t>political</w:t>
      </w:r>
      <w:r>
        <w:rPr>
          <w:spacing w:val="-8"/>
        </w:rPr>
        <w:t> </w:t>
      </w:r>
      <w:r>
        <w:rPr/>
        <w:t>economy</w:t>
      </w:r>
      <w:r>
        <w:rPr>
          <w:spacing w:val="-58"/>
        </w:rPr>
        <w:t> </w:t>
      </w:r>
      <w:r>
        <w:rPr/>
        <w:t>scholars</w:t>
      </w:r>
      <w:r>
        <w:rPr>
          <w:spacing w:val="-1"/>
        </w:rPr>
        <w:t> </w:t>
      </w:r>
      <w:r>
        <w:rPr/>
        <w:t>and the</w:t>
      </w:r>
      <w:r>
        <w:rPr>
          <w:spacing w:val="1"/>
        </w:rPr>
        <w:t> </w:t>
      </w:r>
      <w:r>
        <w:rPr/>
        <w:t>government consider 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measures:</w:t>
      </w:r>
    </w:p>
    <w:p>
      <w:pPr>
        <w:pStyle w:val="ListParagraph"/>
        <w:numPr>
          <w:ilvl w:val="2"/>
          <w:numId w:val="34"/>
        </w:numPr>
        <w:tabs>
          <w:tab w:pos="1221" w:val="left" w:leader="none"/>
        </w:tabs>
        <w:spacing w:line="360" w:lineRule="auto" w:before="201" w:after="0"/>
        <w:ind w:left="1220" w:right="500" w:hanging="360"/>
        <w:jc w:val="both"/>
        <w:rPr>
          <w:sz w:val="24"/>
        </w:rPr>
      </w:pPr>
      <w:r>
        <w:rPr>
          <w:sz w:val="24"/>
        </w:rPr>
        <w:t>The Central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of Nigeria and</w:t>
      </w:r>
      <w:r>
        <w:rPr>
          <w:spacing w:val="1"/>
          <w:sz w:val="24"/>
        </w:rPr>
        <w:t> </w:t>
      </w:r>
      <w:r>
        <w:rPr>
          <w:sz w:val="24"/>
        </w:rPr>
        <w:t>Federal Ministry of Finance can</w:t>
      </w:r>
      <w:r>
        <w:rPr>
          <w:spacing w:val="1"/>
          <w:sz w:val="24"/>
        </w:rPr>
        <w:t> </w:t>
      </w:r>
      <w:r>
        <w:rPr>
          <w:sz w:val="24"/>
        </w:rPr>
        <w:t>improve existing</w:t>
      </w:r>
      <w:r>
        <w:rPr>
          <w:spacing w:val="1"/>
          <w:sz w:val="24"/>
        </w:rPr>
        <w:t> </w:t>
      </w:r>
      <w:r>
        <w:rPr>
          <w:sz w:val="24"/>
        </w:rPr>
        <w:t>coordination</w:t>
      </w:r>
      <w:r>
        <w:rPr>
          <w:spacing w:val="1"/>
          <w:sz w:val="24"/>
        </w:rPr>
        <w:t> </w:t>
      </w:r>
      <w:r>
        <w:rPr>
          <w:sz w:val="24"/>
        </w:rPr>
        <w:t>mechanisms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evidence-based</w:t>
      </w:r>
      <w:r>
        <w:rPr>
          <w:spacing w:val="1"/>
          <w:sz w:val="24"/>
        </w:rPr>
        <w:t> </w:t>
      </w:r>
      <w:r>
        <w:rPr>
          <w:sz w:val="24"/>
        </w:rPr>
        <w:t>planning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forecasting through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adoption of sophisticated economic models such as the Dynamic Stochastic General</w:t>
      </w:r>
      <w:r>
        <w:rPr>
          <w:spacing w:val="1"/>
          <w:sz w:val="24"/>
        </w:rPr>
        <w:t> </w:t>
      </w:r>
      <w:r>
        <w:rPr>
          <w:sz w:val="24"/>
        </w:rPr>
        <w:t>Models.</w:t>
      </w:r>
    </w:p>
    <w:p>
      <w:pPr>
        <w:pStyle w:val="ListParagraph"/>
        <w:numPr>
          <w:ilvl w:val="2"/>
          <w:numId w:val="34"/>
        </w:numPr>
        <w:tabs>
          <w:tab w:pos="1221" w:val="left" w:leader="none"/>
        </w:tabs>
        <w:spacing w:line="360" w:lineRule="auto" w:before="0" w:after="0"/>
        <w:ind w:left="1220" w:right="498" w:hanging="360"/>
        <w:jc w:val="both"/>
        <w:rPr>
          <w:sz w:val="24"/>
        </w:rPr>
      </w:pPr>
      <w:r>
        <w:rPr>
          <w:sz w:val="24"/>
        </w:rPr>
        <w:t>In relation to (a), the Central Bank of Nigeria and Federal Ministry of Finance can</w:t>
      </w:r>
      <w:r>
        <w:rPr>
          <w:spacing w:val="1"/>
          <w:sz w:val="24"/>
        </w:rPr>
        <w:t> </w:t>
      </w:r>
      <w:r>
        <w:rPr>
          <w:sz w:val="24"/>
        </w:rPr>
        <w:t>harmonise their policy decisions by mutually adopting the same economic model and/ or</w:t>
      </w:r>
      <w:r>
        <w:rPr>
          <w:spacing w:val="1"/>
          <w:sz w:val="24"/>
        </w:rPr>
        <w:t> </w:t>
      </w:r>
      <w:r>
        <w:rPr>
          <w:sz w:val="24"/>
        </w:rPr>
        <w:t>assumptions</w:t>
      </w:r>
      <w:r>
        <w:rPr>
          <w:spacing w:val="-1"/>
          <w:sz w:val="24"/>
        </w:rPr>
        <w:t> </w:t>
      </w:r>
      <w:r>
        <w:rPr>
          <w:sz w:val="24"/>
        </w:rPr>
        <w:t>to guide the planning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forecasting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their target values.</w:t>
      </w:r>
    </w:p>
    <w:p>
      <w:pPr>
        <w:pStyle w:val="ListParagraph"/>
        <w:numPr>
          <w:ilvl w:val="2"/>
          <w:numId w:val="34"/>
        </w:numPr>
        <w:tabs>
          <w:tab w:pos="1221" w:val="left" w:leader="none"/>
        </w:tabs>
        <w:spacing w:line="360" w:lineRule="auto" w:before="0" w:after="0"/>
        <w:ind w:left="1220" w:right="497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show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stabilisation</w:t>
      </w:r>
      <w:r>
        <w:rPr>
          <w:spacing w:val="1"/>
          <w:sz w:val="24"/>
        </w:rPr>
        <w:t> </w:t>
      </w:r>
      <w:r>
        <w:rPr>
          <w:sz w:val="24"/>
        </w:rPr>
        <w:t>policies,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is,</w:t>
      </w:r>
      <w:r>
        <w:rPr>
          <w:spacing w:val="1"/>
          <w:sz w:val="24"/>
        </w:rPr>
        <w:t> </w:t>
      </w:r>
      <w:r>
        <w:rPr>
          <w:sz w:val="24"/>
        </w:rPr>
        <w:t>fiscal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monetary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inadequate</w:t>
      </w:r>
      <w:r>
        <w:rPr>
          <w:spacing w:val="-4"/>
          <w:sz w:val="24"/>
        </w:rPr>
        <w:t> </w:t>
      </w:r>
      <w:r>
        <w:rPr>
          <w:sz w:val="24"/>
        </w:rPr>
        <w:t>towards</w:t>
      </w:r>
      <w:r>
        <w:rPr>
          <w:spacing w:val="-1"/>
          <w:sz w:val="24"/>
        </w:rPr>
        <w:t> </w:t>
      </w:r>
      <w:r>
        <w:rPr>
          <w:sz w:val="24"/>
        </w:rPr>
        <w:t>guiding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macroeconomy. These</w:t>
      </w:r>
      <w:r>
        <w:rPr>
          <w:spacing w:val="-5"/>
          <w:sz w:val="24"/>
        </w:rPr>
        <w:t> </w:t>
      </w:r>
      <w:r>
        <w:rPr>
          <w:sz w:val="24"/>
        </w:rPr>
        <w:t>policies</w:t>
      </w:r>
      <w:r>
        <w:rPr>
          <w:spacing w:val="-4"/>
          <w:sz w:val="24"/>
        </w:rPr>
        <w:t> </w:t>
      </w:r>
      <w:r>
        <w:rPr>
          <w:sz w:val="24"/>
        </w:rPr>
        <w:t>ought to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complemented</w:t>
      </w:r>
      <w:r>
        <w:rPr>
          <w:spacing w:val="-58"/>
          <w:sz w:val="24"/>
        </w:rPr>
        <w:t> </w:t>
      </w:r>
      <w:r>
        <w:rPr>
          <w:sz w:val="24"/>
        </w:rPr>
        <w:t>with structural policies such as trade policy and financial policy. A study considering and</w:t>
      </w:r>
      <w:r>
        <w:rPr>
          <w:spacing w:val="-57"/>
          <w:sz w:val="24"/>
        </w:rPr>
        <w:t> </w:t>
      </w:r>
      <w:r>
        <w:rPr>
          <w:sz w:val="24"/>
        </w:rPr>
        <w:t>comparing</w:t>
      </w:r>
      <w:r>
        <w:rPr>
          <w:spacing w:val="-4"/>
          <w:sz w:val="24"/>
        </w:rPr>
        <w:t> </w:t>
      </w:r>
      <w:r>
        <w:rPr>
          <w:sz w:val="24"/>
        </w:rPr>
        <w:t>the impact of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variant of policy</w:t>
      </w:r>
      <w:r>
        <w:rPr>
          <w:spacing w:val="-5"/>
          <w:sz w:val="24"/>
        </w:rPr>
        <w:t> </w:t>
      </w:r>
      <w:r>
        <w:rPr>
          <w:sz w:val="24"/>
        </w:rPr>
        <w:t>is,</w:t>
      </w:r>
      <w:r>
        <w:rPr>
          <w:spacing w:val="1"/>
          <w:sz w:val="24"/>
        </w:rPr>
        <w:t> </w:t>
      </w:r>
      <w:r>
        <w:rPr>
          <w:sz w:val="24"/>
        </w:rPr>
        <w:t>therefore, suggested</w:t>
      </w:r>
    </w:p>
    <w:p>
      <w:pPr>
        <w:pStyle w:val="ListParagraph"/>
        <w:numPr>
          <w:ilvl w:val="2"/>
          <w:numId w:val="34"/>
        </w:numPr>
        <w:tabs>
          <w:tab w:pos="1221" w:val="left" w:leader="none"/>
        </w:tabs>
        <w:spacing w:line="360" w:lineRule="auto" w:before="0" w:after="0"/>
        <w:ind w:left="1220" w:right="498" w:hanging="360"/>
        <w:jc w:val="both"/>
        <w:rPr>
          <w:sz w:val="24"/>
        </w:rPr>
      </w:pPr>
      <w:r>
        <w:rPr>
          <w:spacing w:val="-1"/>
          <w:sz w:val="24"/>
        </w:rPr>
        <w:t>Politicians,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bureaucrats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4"/>
          <w:sz w:val="24"/>
        </w:rPr>
        <w:t> </w:t>
      </w:r>
      <w:r>
        <w:rPr>
          <w:sz w:val="24"/>
        </w:rPr>
        <w:t>legislators</w:t>
      </w:r>
      <w:r>
        <w:rPr>
          <w:spacing w:val="-12"/>
          <w:sz w:val="24"/>
        </w:rPr>
        <w:t> </w:t>
      </w:r>
      <w:r>
        <w:rPr>
          <w:sz w:val="24"/>
        </w:rPr>
        <w:t>alike,</w:t>
      </w:r>
      <w:r>
        <w:rPr>
          <w:spacing w:val="-14"/>
          <w:sz w:val="24"/>
        </w:rPr>
        <w:t> </w:t>
      </w:r>
      <w:r>
        <w:rPr>
          <w:sz w:val="24"/>
        </w:rPr>
        <w:t>should</w:t>
      </w:r>
      <w:r>
        <w:rPr>
          <w:spacing w:val="-14"/>
          <w:sz w:val="24"/>
        </w:rPr>
        <w:t> </w:t>
      </w:r>
      <w:r>
        <w:rPr>
          <w:sz w:val="24"/>
        </w:rPr>
        <w:t>evaluate</w:t>
      </w:r>
      <w:r>
        <w:rPr>
          <w:spacing w:val="-13"/>
          <w:sz w:val="24"/>
        </w:rPr>
        <w:t> </w:t>
      </w:r>
      <w:r>
        <w:rPr>
          <w:sz w:val="24"/>
        </w:rPr>
        <w:t>policies</w:t>
      </w:r>
      <w:r>
        <w:rPr>
          <w:spacing w:val="-10"/>
          <w:sz w:val="24"/>
        </w:rPr>
        <w:t> </w:t>
      </w:r>
      <w:r>
        <w:rPr>
          <w:sz w:val="24"/>
        </w:rPr>
        <w:t>using</w:t>
      </w:r>
      <w:r>
        <w:rPr>
          <w:spacing w:val="-14"/>
          <w:sz w:val="24"/>
        </w:rPr>
        <w:t> </w:t>
      </w:r>
      <w:r>
        <w:rPr>
          <w:sz w:val="24"/>
        </w:rPr>
        <w:t>evidence-based</w:t>
      </w:r>
      <w:r>
        <w:rPr>
          <w:spacing w:val="-58"/>
          <w:sz w:val="24"/>
        </w:rPr>
        <w:t> </w:t>
      </w:r>
      <w:r>
        <w:rPr>
          <w:sz w:val="24"/>
        </w:rPr>
        <w:t>models before deciding on policy reversals. Moreover, more effective and non-partisan</w:t>
      </w:r>
      <w:r>
        <w:rPr>
          <w:spacing w:val="1"/>
          <w:sz w:val="24"/>
        </w:rPr>
        <w:t> </w:t>
      </w:r>
      <w:r>
        <w:rPr>
          <w:sz w:val="24"/>
        </w:rPr>
        <w:t>anti-corruption</w:t>
      </w:r>
      <w:r>
        <w:rPr>
          <w:spacing w:val="-1"/>
          <w:sz w:val="24"/>
        </w:rPr>
        <w:t> </w:t>
      </w:r>
      <w:r>
        <w:rPr>
          <w:sz w:val="24"/>
        </w:rPr>
        <w:t>programs</w:t>
      </w:r>
      <w:r>
        <w:rPr>
          <w:spacing w:val="2"/>
          <w:sz w:val="24"/>
        </w:rPr>
        <w:t> </w:t>
      </w:r>
      <w:r>
        <w:rPr>
          <w:sz w:val="24"/>
        </w:rPr>
        <w:t>should be</w:t>
      </w:r>
      <w:r>
        <w:rPr>
          <w:spacing w:val="-2"/>
          <w:sz w:val="24"/>
        </w:rPr>
        <w:t> </w:t>
      </w:r>
      <w:r>
        <w:rPr>
          <w:sz w:val="24"/>
        </w:rPr>
        <w:t>adopted, in order,</w:t>
      </w:r>
      <w:r>
        <w:rPr>
          <w:spacing w:val="-1"/>
          <w:sz w:val="24"/>
        </w:rPr>
        <w:t> </w:t>
      </w:r>
      <w:r>
        <w:rPr>
          <w:sz w:val="24"/>
        </w:rPr>
        <w:t>to discourage</w:t>
      </w:r>
      <w:r>
        <w:rPr>
          <w:spacing w:val="-1"/>
          <w:sz w:val="24"/>
        </w:rPr>
        <w:t> </w:t>
      </w:r>
      <w:r>
        <w:rPr>
          <w:sz w:val="24"/>
        </w:rPr>
        <w:t>rent-seeking.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35" w:top="1360" w:bottom="1200" w:left="940" w:right="940"/>
        </w:sectPr>
      </w:pPr>
    </w:p>
    <w:p>
      <w:pPr>
        <w:pStyle w:val="Heading1"/>
        <w:numPr>
          <w:ilvl w:val="1"/>
          <w:numId w:val="34"/>
        </w:numPr>
        <w:tabs>
          <w:tab w:pos="1019" w:val="left" w:leader="none"/>
        </w:tabs>
        <w:spacing w:line="240" w:lineRule="auto" w:before="62" w:after="0"/>
        <w:ind w:left="1018" w:right="0" w:hanging="519"/>
        <w:jc w:val="left"/>
      </w:pPr>
      <w:bookmarkStart w:name="_TOC_250001" w:id="59"/>
      <w:r>
        <w:rPr/>
        <w:t>Contributions</w:t>
      </w:r>
      <w:r>
        <w:rPr>
          <w:spacing w:val="-2"/>
        </w:rPr>
        <w:t> </w:t>
      </w:r>
      <w:bookmarkEnd w:id="59"/>
      <w:r>
        <w:rPr/>
        <w:t>to Knowledge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360" w:lineRule="auto"/>
        <w:ind w:left="500" w:right="495"/>
        <w:jc w:val="both"/>
      </w:pPr>
      <w:r>
        <w:rPr/>
        <w:t>It</w:t>
      </w:r>
      <w:r>
        <w:rPr>
          <w:spacing w:val="-12"/>
        </w:rPr>
        <w:t> </w:t>
      </w:r>
      <w:r>
        <w:rPr/>
        <w:t>is</w:t>
      </w:r>
      <w:r>
        <w:rPr>
          <w:spacing w:val="-10"/>
        </w:rPr>
        <w:t> </w:t>
      </w:r>
      <w:r>
        <w:rPr/>
        <w:t>worthy</w:t>
      </w:r>
      <w:r>
        <w:rPr>
          <w:spacing w:val="-16"/>
        </w:rPr>
        <w:t> </w:t>
      </w:r>
      <w:r>
        <w:rPr/>
        <w:t>of</w:t>
      </w:r>
      <w:r>
        <w:rPr>
          <w:spacing w:val="-13"/>
        </w:rPr>
        <w:t> </w:t>
      </w:r>
      <w:r>
        <w:rPr/>
        <w:t>note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this</w:t>
      </w:r>
      <w:r>
        <w:rPr>
          <w:spacing w:val="-12"/>
        </w:rPr>
        <w:t> </w:t>
      </w:r>
      <w:r>
        <w:rPr/>
        <w:t>study</w:t>
      </w:r>
      <w:r>
        <w:rPr>
          <w:spacing w:val="-14"/>
        </w:rPr>
        <w:t> </w:t>
      </w:r>
      <w:r>
        <w:rPr/>
        <w:t>contributed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knowledge,</w:t>
      </w:r>
      <w:r>
        <w:rPr>
          <w:spacing w:val="-12"/>
        </w:rPr>
        <w:t> </w:t>
      </w:r>
      <w:r>
        <w:rPr/>
        <w:t>by</w:t>
      </w:r>
      <w:r>
        <w:rPr>
          <w:spacing w:val="-15"/>
        </w:rPr>
        <w:t> </w:t>
      </w:r>
      <w:r>
        <w:rPr/>
        <w:t>filling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following</w:t>
      </w:r>
      <w:r>
        <w:rPr>
          <w:spacing w:val="-13"/>
        </w:rPr>
        <w:t> </w:t>
      </w:r>
      <w:r>
        <w:rPr/>
        <w:t>research</w:t>
      </w:r>
      <w:r>
        <w:rPr>
          <w:spacing w:val="-8"/>
        </w:rPr>
        <w:t> </w:t>
      </w:r>
      <w:r>
        <w:rPr/>
        <w:t>gaps:</w:t>
      </w:r>
      <w:r>
        <w:rPr>
          <w:spacing w:val="-58"/>
        </w:rPr>
        <w:t> </w:t>
      </w:r>
      <w:r>
        <w:rPr/>
        <w:t>Firstly, the study explicitly modelled alternative fiscal assumptions within a DSGE model for</w:t>
      </w:r>
      <w:r>
        <w:rPr>
          <w:spacing w:val="1"/>
        </w:rPr>
        <w:t> </w:t>
      </w:r>
      <w:r>
        <w:rPr/>
        <w:t>Nigeria. This is important to reflect the political economic reality of policymaking and then,</w:t>
      </w:r>
      <w:r>
        <w:rPr>
          <w:spacing w:val="1"/>
        </w:rPr>
        <w:t> </w:t>
      </w:r>
      <w:r>
        <w:rPr>
          <w:spacing w:val="-1"/>
        </w:rPr>
        <w:t>explore</w:t>
      </w:r>
      <w:r>
        <w:rPr>
          <w:spacing w:val="-14"/>
        </w:rPr>
        <w:t> </w:t>
      </w:r>
      <w:r>
        <w:rPr>
          <w:spacing w:val="-1"/>
        </w:rPr>
        <w:t>how</w:t>
      </w:r>
      <w:r>
        <w:rPr>
          <w:spacing w:val="-13"/>
        </w:rPr>
        <w:t> </w:t>
      </w:r>
      <w:r>
        <w:rPr>
          <w:spacing w:val="-1"/>
        </w:rPr>
        <w:t>it</w:t>
      </w:r>
      <w:r>
        <w:rPr>
          <w:spacing w:val="-12"/>
        </w:rPr>
        <w:t> </w:t>
      </w:r>
      <w:r>
        <w:rPr/>
        <w:t>affects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interaction</w:t>
      </w:r>
      <w:r>
        <w:rPr>
          <w:spacing w:val="-12"/>
        </w:rPr>
        <w:t> </w:t>
      </w:r>
      <w:r>
        <w:rPr/>
        <w:t>between</w:t>
      </w:r>
      <w:r>
        <w:rPr>
          <w:spacing w:val="-12"/>
        </w:rPr>
        <w:t> </w:t>
      </w:r>
      <w:r>
        <w:rPr/>
        <w:t>fiscal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monetary</w:t>
      </w:r>
      <w:r>
        <w:rPr>
          <w:spacing w:val="-17"/>
        </w:rPr>
        <w:t> </w:t>
      </w:r>
      <w:r>
        <w:rPr/>
        <w:t>policy.</w:t>
      </w:r>
      <w:r>
        <w:rPr>
          <w:spacing w:val="-12"/>
        </w:rPr>
        <w:t> </w:t>
      </w:r>
      <w:r>
        <w:rPr/>
        <w:t>This</w:t>
      </w:r>
      <w:r>
        <w:rPr>
          <w:spacing w:val="-12"/>
        </w:rPr>
        <w:t> </w:t>
      </w:r>
      <w:r>
        <w:rPr/>
        <w:t>meant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study</w:t>
      </w:r>
      <w:r>
        <w:rPr>
          <w:spacing w:val="-57"/>
        </w:rPr>
        <w:t> </w:t>
      </w:r>
      <w:r>
        <w:rPr/>
        <w:t>adopted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political</w:t>
      </w:r>
      <w:r>
        <w:rPr>
          <w:spacing w:val="-8"/>
        </w:rPr>
        <w:t> </w:t>
      </w:r>
      <w:r>
        <w:rPr/>
        <w:t>economy</w:t>
      </w:r>
      <w:r>
        <w:rPr>
          <w:spacing w:val="-13"/>
        </w:rPr>
        <w:t> </w:t>
      </w:r>
      <w:r>
        <w:rPr/>
        <w:t>approach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economic</w:t>
      </w:r>
      <w:r>
        <w:rPr>
          <w:spacing w:val="-10"/>
        </w:rPr>
        <w:t> </w:t>
      </w:r>
      <w:r>
        <w:rPr/>
        <w:t>policymaking.</w:t>
      </w:r>
      <w:r>
        <w:rPr>
          <w:spacing w:val="-8"/>
        </w:rPr>
        <w:t> </w:t>
      </w:r>
      <w:r>
        <w:rPr/>
        <w:t>Secondly,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study</w:t>
      </w:r>
      <w:r>
        <w:rPr>
          <w:spacing w:val="-13"/>
        </w:rPr>
        <w:t> </w:t>
      </w:r>
      <w:r>
        <w:rPr/>
        <w:t>constructed</w:t>
      </w:r>
      <w:r>
        <w:rPr>
          <w:spacing w:val="-58"/>
        </w:rPr>
        <w:t> </w:t>
      </w:r>
      <w:r>
        <w:rPr/>
        <w:t>a</w:t>
      </w:r>
      <w:r>
        <w:rPr>
          <w:spacing w:val="-6"/>
        </w:rPr>
        <w:t> </w:t>
      </w:r>
      <w:r>
        <w:rPr/>
        <w:t>common</w:t>
      </w:r>
      <w:r>
        <w:rPr>
          <w:spacing w:val="-5"/>
        </w:rPr>
        <w:t> </w:t>
      </w:r>
      <w:r>
        <w:rPr/>
        <w:t>variable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order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explicitly</w:t>
      </w:r>
      <w:r>
        <w:rPr>
          <w:spacing w:val="-12"/>
        </w:rPr>
        <w:t> </w:t>
      </w:r>
      <w:r>
        <w:rPr/>
        <w:t>measure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joint</w:t>
      </w:r>
      <w:r>
        <w:rPr>
          <w:spacing w:val="-5"/>
        </w:rPr>
        <w:t> </w:t>
      </w:r>
      <w:r>
        <w:rPr/>
        <w:t>processes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fiscal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monetary</w:t>
      </w:r>
      <w:r>
        <w:rPr>
          <w:spacing w:val="-10"/>
        </w:rPr>
        <w:t> </w:t>
      </w:r>
      <w:r>
        <w:rPr/>
        <w:t>policy</w:t>
      </w:r>
      <w:r>
        <w:rPr>
          <w:spacing w:val="-57"/>
        </w:rPr>
        <w:t> </w:t>
      </w:r>
      <w:r>
        <w:rPr/>
        <w:t>interactions. This is to enable the measurement of the transmitted effect of policy interaction on</w:t>
      </w:r>
      <w:r>
        <w:rPr>
          <w:spacing w:val="1"/>
        </w:rPr>
        <w:t> </w:t>
      </w:r>
      <w:r>
        <w:rPr/>
        <w:t>both</w:t>
      </w:r>
      <w:r>
        <w:rPr>
          <w:spacing w:val="-1"/>
        </w:rPr>
        <w:t> </w:t>
      </w:r>
      <w:r>
        <w:rPr/>
        <w:t>inflation and output.</w:t>
      </w:r>
    </w:p>
    <w:p>
      <w:pPr>
        <w:pStyle w:val="BodyText"/>
        <w:spacing w:line="360" w:lineRule="auto" w:before="200"/>
        <w:ind w:left="500" w:right="494"/>
        <w:jc w:val="both"/>
      </w:pPr>
      <w:r>
        <w:rPr/>
        <w:t>In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dimension,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by adding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>
          <w:spacing w:val="-1"/>
        </w:rPr>
        <w:t>unexplored</w:t>
      </w:r>
      <w:r>
        <w:rPr>
          <w:spacing w:val="-15"/>
        </w:rPr>
        <w:t> </w:t>
      </w:r>
      <w:r>
        <w:rPr/>
        <w:t>literature</w:t>
      </w:r>
      <w:r>
        <w:rPr>
          <w:spacing w:val="-15"/>
        </w:rPr>
        <w:t> </w:t>
      </w:r>
      <w:r>
        <w:rPr/>
        <w:t>on</w:t>
      </w:r>
      <w:r>
        <w:rPr>
          <w:spacing w:val="-14"/>
        </w:rPr>
        <w:t> </w:t>
      </w:r>
      <w:r>
        <w:rPr/>
        <w:t>fiscal-monetary</w:t>
      </w:r>
      <w:r>
        <w:rPr>
          <w:spacing w:val="-19"/>
        </w:rPr>
        <w:t> </w:t>
      </w:r>
      <w:r>
        <w:rPr/>
        <w:t>policy</w:t>
      </w:r>
      <w:r>
        <w:rPr>
          <w:spacing w:val="-19"/>
        </w:rPr>
        <w:t> </w:t>
      </w:r>
      <w:r>
        <w:rPr/>
        <w:t>interaction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Nigeria,</w:t>
      </w:r>
      <w:r>
        <w:rPr>
          <w:spacing w:val="-14"/>
        </w:rPr>
        <w:t> </w:t>
      </w:r>
      <w:r>
        <w:rPr/>
        <w:t>especially</w:t>
      </w:r>
      <w:r>
        <w:rPr>
          <w:spacing w:val="-19"/>
        </w:rPr>
        <w:t> </w:t>
      </w:r>
      <w:r>
        <w:rPr/>
        <w:t>within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context</w:t>
      </w:r>
      <w:r>
        <w:rPr>
          <w:spacing w:val="-58"/>
        </w:rPr>
        <w:t> </w:t>
      </w:r>
      <w:r>
        <w:rPr/>
        <w:t>of</w:t>
      </w:r>
      <w:r>
        <w:rPr>
          <w:spacing w:val="-9"/>
        </w:rPr>
        <w:t> </w:t>
      </w:r>
      <w:r>
        <w:rPr/>
        <w:t>modelling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fiscal</w:t>
      </w:r>
      <w:r>
        <w:rPr>
          <w:spacing w:val="-7"/>
        </w:rPr>
        <w:t> </w:t>
      </w:r>
      <w:r>
        <w:rPr/>
        <w:t>behaviour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government</w:t>
      </w:r>
      <w:r>
        <w:rPr>
          <w:spacing w:val="-8"/>
        </w:rPr>
        <w:t> </w:t>
      </w:r>
      <w:r>
        <w:rPr/>
        <w:t>using</w:t>
      </w:r>
      <w:r>
        <w:rPr>
          <w:spacing w:val="-10"/>
        </w:rPr>
        <w:t> </w:t>
      </w:r>
      <w:r>
        <w:rPr/>
        <w:t>realistic</w:t>
      </w:r>
      <w:r>
        <w:rPr>
          <w:spacing w:val="-10"/>
        </w:rPr>
        <w:t> </w:t>
      </w:r>
      <w:r>
        <w:rPr/>
        <w:t>assumptions</w:t>
      </w:r>
      <w:r>
        <w:rPr>
          <w:spacing w:val="-5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application</w:t>
      </w:r>
      <w:r>
        <w:rPr>
          <w:spacing w:val="-8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Dynamic</w:t>
      </w:r>
      <w:r>
        <w:rPr>
          <w:spacing w:val="-2"/>
        </w:rPr>
        <w:t> </w:t>
      </w:r>
      <w:r>
        <w:rPr/>
        <w:t>Stochastic General</w:t>
      </w:r>
      <w:r>
        <w:rPr>
          <w:spacing w:val="-1"/>
        </w:rPr>
        <w:t> </w:t>
      </w:r>
      <w:r>
        <w:rPr/>
        <w:t>Equilibrium</w:t>
      </w:r>
      <w:r>
        <w:rPr>
          <w:spacing w:val="-1"/>
        </w:rPr>
        <w:t> </w:t>
      </w:r>
      <w:r>
        <w:rPr/>
        <w:t>framework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Small</w:t>
      </w:r>
      <w:r>
        <w:rPr>
          <w:spacing w:val="-1"/>
        </w:rPr>
        <w:t> </w:t>
      </w:r>
      <w:r>
        <w:rPr/>
        <w:t>Open</w:t>
      </w:r>
      <w:r>
        <w:rPr>
          <w:spacing w:val="1"/>
        </w:rPr>
        <w:t> </w:t>
      </w:r>
      <w:r>
        <w:rPr/>
        <w:t>economy</w:t>
      </w:r>
      <w:r>
        <w:rPr>
          <w:spacing w:val="-6"/>
        </w:rPr>
        <w:t> </w:t>
      </w:r>
      <w:r>
        <w:rPr/>
        <w:t>environment.</w:t>
      </w:r>
    </w:p>
    <w:p>
      <w:pPr>
        <w:pStyle w:val="Heading1"/>
        <w:numPr>
          <w:ilvl w:val="1"/>
          <w:numId w:val="34"/>
        </w:numPr>
        <w:tabs>
          <w:tab w:pos="1083" w:val="left" w:leader="none"/>
          <w:tab w:pos="1084" w:val="left" w:leader="none"/>
        </w:tabs>
        <w:spacing w:line="240" w:lineRule="auto" w:before="210" w:after="0"/>
        <w:ind w:left="1083" w:right="0" w:hanging="584"/>
        <w:jc w:val="left"/>
      </w:pPr>
      <w:r>
        <w:rPr/>
        <w:t>Suggestions</w:t>
      </w:r>
      <w:r>
        <w:rPr>
          <w:spacing w:val="-3"/>
        </w:rPr>
        <w:t> </w:t>
      </w:r>
      <w:r>
        <w:rPr/>
        <w:t>for</w:t>
      </w:r>
      <w:r>
        <w:rPr>
          <w:spacing w:val="1"/>
        </w:rPr>
        <w:t> </w:t>
      </w:r>
      <w:r>
        <w:rPr/>
        <w:t>Further</w:t>
      </w:r>
      <w:r>
        <w:rPr>
          <w:spacing w:val="-3"/>
        </w:rPr>
        <w:t> </w:t>
      </w:r>
      <w:r>
        <w:rPr/>
        <w:t>Research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360" w:lineRule="auto"/>
        <w:ind w:left="500" w:right="494"/>
        <w:jc w:val="both"/>
      </w:pPr>
      <w:r>
        <w:rPr/>
        <w:t>In a political economy environment typified by rent-seeking, a discretionary pattern of policy</w:t>
      </w:r>
      <w:r>
        <w:rPr>
          <w:spacing w:val="1"/>
        </w:rPr>
        <w:t> </w:t>
      </w:r>
      <w:r>
        <w:rPr/>
        <w:t>actions and weak policy coordination, it is expected that these factors will be relevant in altering</w:t>
      </w:r>
      <w:r>
        <w:rPr>
          <w:spacing w:val="1"/>
        </w:rPr>
        <w:t> </w:t>
      </w:r>
      <w:r>
        <w:rPr/>
        <w:t>the overall impact of macroeconomic policies. In line with this, some parameter estimates in this</w:t>
      </w:r>
      <w:r>
        <w:rPr>
          <w:spacing w:val="1"/>
        </w:rPr>
        <w:t> </w:t>
      </w:r>
      <w:r>
        <w:rPr/>
        <w:t>study were somewhat inconsistent with Adegboye (2015), who consider fiscal-monetary policy</w:t>
      </w:r>
      <w:r>
        <w:rPr>
          <w:spacing w:val="1"/>
        </w:rPr>
        <w:t> </w:t>
      </w:r>
      <w:r>
        <w:rPr/>
        <w:t>interactions</w:t>
      </w:r>
      <w:r>
        <w:rPr>
          <w:spacing w:val="-11"/>
        </w:rPr>
        <w:t> </w:t>
      </w:r>
      <w:r>
        <w:rPr/>
        <w:t>under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conventional</w:t>
      </w:r>
      <w:r>
        <w:rPr>
          <w:spacing w:val="-11"/>
        </w:rPr>
        <w:t> </w:t>
      </w:r>
      <w:r>
        <w:rPr/>
        <w:t>assumptions.</w:t>
      </w:r>
      <w:r>
        <w:rPr>
          <w:spacing w:val="-11"/>
        </w:rPr>
        <w:t> </w:t>
      </w:r>
      <w:r>
        <w:rPr/>
        <w:t>Future</w:t>
      </w:r>
      <w:r>
        <w:rPr>
          <w:spacing w:val="-12"/>
        </w:rPr>
        <w:t> </w:t>
      </w:r>
      <w:r>
        <w:rPr/>
        <w:t>studies</w:t>
      </w:r>
      <w:r>
        <w:rPr>
          <w:spacing w:val="-11"/>
        </w:rPr>
        <w:t> </w:t>
      </w:r>
      <w:r>
        <w:rPr/>
        <w:t>can,</w:t>
      </w:r>
      <w:r>
        <w:rPr>
          <w:spacing w:val="-11"/>
        </w:rPr>
        <w:t> </w:t>
      </w:r>
      <w:r>
        <w:rPr/>
        <w:t>therefore,</w:t>
      </w:r>
      <w:r>
        <w:rPr>
          <w:spacing w:val="-11"/>
        </w:rPr>
        <w:t> </w:t>
      </w:r>
      <w:r>
        <w:rPr/>
        <w:t>compare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results</w:t>
      </w:r>
      <w:r>
        <w:rPr>
          <w:spacing w:val="-58"/>
        </w:rPr>
        <w:t> </w:t>
      </w:r>
      <w:r>
        <w:rPr/>
        <w:t>of policy interaction, using both diverging conventional and alternative assumptions. Secondly,</w:t>
      </w:r>
      <w:r>
        <w:rPr>
          <w:spacing w:val="1"/>
        </w:rPr>
        <w:t> </w:t>
      </w:r>
      <w:r>
        <w:rPr/>
        <w:t>since both fiscal and monetary policies are found to have a weak effect on the economy, future</w:t>
      </w:r>
      <w:r>
        <w:rPr>
          <w:spacing w:val="1"/>
        </w:rPr>
        <w:t> </w:t>
      </w:r>
      <w:r>
        <w:rPr/>
        <w:t>studies can investigate and compare the magnitude of structuralist policies vis-a-vis stabilisation</w:t>
      </w:r>
      <w:r>
        <w:rPr>
          <w:spacing w:val="1"/>
        </w:rPr>
        <w:t> </w:t>
      </w:r>
      <w:r>
        <w:rPr/>
        <w:t>policies.</w:t>
      </w:r>
    </w:p>
    <w:p>
      <w:pPr>
        <w:pStyle w:val="BodyText"/>
        <w:spacing w:line="360" w:lineRule="auto" w:before="202"/>
        <w:ind w:left="500" w:right="498"/>
        <w:jc w:val="both"/>
      </w:pPr>
      <w:r>
        <w:rPr/>
        <w:t>Moreover,</w:t>
      </w:r>
      <w:r>
        <w:rPr>
          <w:spacing w:val="-5"/>
        </w:rPr>
        <w:t> </w:t>
      </w:r>
      <w:r>
        <w:rPr/>
        <w:t>subsequent</w:t>
      </w:r>
      <w:r>
        <w:rPr>
          <w:spacing w:val="-4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can</w:t>
      </w:r>
      <w:r>
        <w:rPr>
          <w:spacing w:val="-5"/>
        </w:rPr>
        <w:t> </w:t>
      </w:r>
      <w:r>
        <w:rPr/>
        <w:t>examine</w:t>
      </w:r>
      <w:r>
        <w:rPr>
          <w:spacing w:val="-7"/>
        </w:rPr>
        <w:t> </w:t>
      </w:r>
      <w:r>
        <w:rPr/>
        <w:t>Markov-switching</w:t>
      </w:r>
      <w:r>
        <w:rPr>
          <w:spacing w:val="-6"/>
        </w:rPr>
        <w:t> </w:t>
      </w:r>
      <w:r>
        <w:rPr/>
        <w:t>fiscal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monetary</w:t>
      </w:r>
      <w:r>
        <w:rPr>
          <w:spacing w:val="-11"/>
        </w:rPr>
        <w:t> </w:t>
      </w:r>
      <w:r>
        <w:rPr/>
        <w:t>policies.</w:t>
      </w:r>
      <w:r>
        <w:rPr>
          <w:spacing w:val="-4"/>
        </w:rPr>
        <w:t> </w:t>
      </w:r>
      <w:r>
        <w:rPr/>
        <w:t>This</w:t>
      </w:r>
      <w:r>
        <w:rPr>
          <w:spacing w:val="-57"/>
        </w:rPr>
        <w:t> </w:t>
      </w:r>
      <w:r>
        <w:rPr/>
        <w:t>captures richer dynamics in the behaviour of these policies since it shows that policy parameters</w:t>
      </w:r>
      <w:r>
        <w:rPr>
          <w:spacing w:val="1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1"/>
        </w:rPr>
        <w:t> </w:t>
      </w:r>
      <w:r>
        <w:rPr/>
        <w:t>constant</w:t>
      </w:r>
      <w:r>
        <w:rPr>
          <w:spacing w:val="-2"/>
        </w:rPr>
        <w:t> </w:t>
      </w:r>
      <w:r>
        <w:rPr/>
        <w:t>over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horizon</w:t>
      </w:r>
      <w:r>
        <w:rPr>
          <w:spacing w:val="-4"/>
        </w:rPr>
        <w:t> </w:t>
      </w:r>
      <w:r>
        <w:rPr/>
        <w:t>but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vary</w:t>
      </w:r>
      <w:r>
        <w:rPr>
          <w:spacing w:val="-9"/>
        </w:rPr>
        <w:t> </w:t>
      </w:r>
      <w:r>
        <w:rPr/>
        <w:t>over time.</w:t>
      </w:r>
      <w:r>
        <w:rPr>
          <w:spacing w:val="-4"/>
        </w:rPr>
        <w:t> </w:t>
      </w:r>
      <w:r>
        <w:rPr/>
        <w:t>Furthermore,</w:t>
      </w:r>
      <w:r>
        <w:rPr>
          <w:spacing w:val="-4"/>
        </w:rPr>
        <w:t> </w:t>
      </w:r>
      <w:r>
        <w:rPr/>
        <w:t>the Linear</w:t>
      </w:r>
      <w:r>
        <w:rPr>
          <w:spacing w:val="-5"/>
        </w:rPr>
        <w:t> </w:t>
      </w:r>
      <w:r>
        <w:rPr/>
        <w:t>Quadratic</w:t>
      </w:r>
      <w:r>
        <w:rPr>
          <w:spacing w:val="-4"/>
        </w:rPr>
        <w:t> </w:t>
      </w:r>
      <w:r>
        <w:rPr/>
        <w:t>method</w:t>
      </w:r>
      <w:r>
        <w:rPr>
          <w:spacing w:val="-58"/>
        </w:rPr>
        <w:t> </w:t>
      </w:r>
      <w:r>
        <w:rPr>
          <w:spacing w:val="-1"/>
        </w:rPr>
        <w:t>finds</w:t>
      </w:r>
      <w:r>
        <w:rPr>
          <w:spacing w:val="-12"/>
        </w:rPr>
        <w:t> </w:t>
      </w:r>
      <w:r>
        <w:rPr>
          <w:spacing w:val="-1"/>
        </w:rPr>
        <w:t>zero</w:t>
      </w:r>
      <w:r>
        <w:rPr>
          <w:spacing w:val="-13"/>
        </w:rPr>
        <w:t> </w:t>
      </w:r>
      <w:r>
        <w:rPr>
          <w:spacing w:val="-1"/>
        </w:rPr>
        <w:t>mean</w:t>
      </w:r>
      <w:r>
        <w:rPr>
          <w:spacing w:val="-10"/>
        </w:rPr>
        <w:t> </w:t>
      </w:r>
      <w:r>
        <w:rPr/>
        <w:t>values</w:t>
      </w:r>
      <w:r>
        <w:rPr>
          <w:spacing w:val="-10"/>
        </w:rPr>
        <w:t> </w:t>
      </w:r>
      <w:r>
        <w:rPr/>
        <w:t>for</w:t>
      </w:r>
      <w:r>
        <w:rPr>
          <w:spacing w:val="-13"/>
        </w:rPr>
        <w:t> </w:t>
      </w:r>
      <w:r>
        <w:rPr/>
        <w:t>variables,</w:t>
      </w:r>
      <w:r>
        <w:rPr>
          <w:spacing w:val="-13"/>
        </w:rPr>
        <w:t> </w:t>
      </w:r>
      <w:r>
        <w:rPr/>
        <w:t>therefore,</w:t>
      </w:r>
      <w:r>
        <w:rPr>
          <w:spacing w:val="-12"/>
        </w:rPr>
        <w:t> </w:t>
      </w:r>
      <w:r>
        <w:rPr/>
        <w:t>the</w:t>
      </w:r>
      <w:r>
        <w:rPr>
          <w:spacing w:val="-7"/>
        </w:rPr>
        <w:t> </w:t>
      </w:r>
      <w:r>
        <w:rPr/>
        <w:t>actual</w:t>
      </w:r>
      <w:r>
        <w:rPr>
          <w:spacing w:val="-12"/>
        </w:rPr>
        <w:t> </w:t>
      </w:r>
      <w:r>
        <w:rPr/>
        <w:t>values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optimal</w:t>
      </w:r>
      <w:r>
        <w:rPr>
          <w:spacing w:val="-12"/>
        </w:rPr>
        <w:t> </w:t>
      </w:r>
      <w:r>
        <w:rPr/>
        <w:t>policy</w:t>
      </w:r>
      <w:r>
        <w:rPr>
          <w:spacing w:val="-17"/>
        </w:rPr>
        <w:t> </w:t>
      </w:r>
      <w:r>
        <w:rPr/>
        <w:t>variables</w:t>
      </w:r>
      <w:r>
        <w:rPr>
          <w:spacing w:val="-11"/>
        </w:rPr>
        <w:t> </w:t>
      </w:r>
      <w:r>
        <w:rPr/>
        <w:t>cannot</w:t>
      </w:r>
      <w:r>
        <w:rPr>
          <w:spacing w:val="-57"/>
        </w:rPr>
        <w:t> </w:t>
      </w:r>
      <w:r>
        <w:rPr/>
        <w:t>be measured. Hence, subsequent studies can consider optimal fiscal and monetary policy using a</w:t>
      </w:r>
      <w:r>
        <w:rPr>
          <w:spacing w:val="1"/>
        </w:rPr>
        <w:t> </w:t>
      </w:r>
      <w:r>
        <w:rPr/>
        <w:t>non-linear</w:t>
      </w:r>
      <w:r>
        <w:rPr>
          <w:spacing w:val="16"/>
        </w:rPr>
        <w:t> </w:t>
      </w:r>
      <w:r>
        <w:rPr/>
        <w:t>system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equations,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order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overcome</w:t>
      </w:r>
      <w:r>
        <w:rPr>
          <w:spacing w:val="16"/>
        </w:rPr>
        <w:t> </w:t>
      </w:r>
      <w:r>
        <w:rPr/>
        <w:t>this</w:t>
      </w:r>
      <w:r>
        <w:rPr>
          <w:spacing w:val="18"/>
        </w:rPr>
        <w:t> </w:t>
      </w:r>
      <w:r>
        <w:rPr/>
        <w:t>fallout.</w:t>
      </w:r>
      <w:r>
        <w:rPr>
          <w:spacing w:val="17"/>
        </w:rPr>
        <w:t> </w:t>
      </w:r>
      <w:r>
        <w:rPr/>
        <w:t>Finally,</w:t>
      </w:r>
      <w:r>
        <w:rPr>
          <w:spacing w:val="19"/>
        </w:rPr>
        <w:t> </w:t>
      </w:r>
      <w:r>
        <w:rPr/>
        <w:t>other</w:t>
      </w:r>
      <w:r>
        <w:rPr>
          <w:spacing w:val="16"/>
        </w:rPr>
        <w:t> </w:t>
      </w:r>
      <w:r>
        <w:rPr/>
        <w:t>researchers</w:t>
      </w:r>
      <w:r>
        <w:rPr>
          <w:spacing w:val="16"/>
        </w:rPr>
        <w:t> </w:t>
      </w:r>
      <w:r>
        <w:rPr/>
        <w:t>can</w:t>
      </w:r>
    </w:p>
    <w:p>
      <w:pPr>
        <w:spacing w:after="0" w:line="360" w:lineRule="auto"/>
        <w:jc w:val="both"/>
        <w:sectPr>
          <w:pgSz w:w="12240" w:h="15840"/>
          <w:pgMar w:header="0" w:footer="935" w:top="1380" w:bottom="1200" w:left="940" w:right="940"/>
        </w:sectPr>
      </w:pPr>
    </w:p>
    <w:p>
      <w:pPr>
        <w:pStyle w:val="BodyText"/>
        <w:spacing w:line="360" w:lineRule="auto" w:before="74"/>
        <w:ind w:left="500" w:right="496"/>
        <w:jc w:val="both"/>
      </w:pPr>
      <w:r>
        <w:rPr/>
        <w:t>also</w:t>
      </w:r>
      <w:r>
        <w:rPr>
          <w:spacing w:val="-2"/>
        </w:rPr>
        <w:t> </w:t>
      </w:r>
      <w:r>
        <w:rPr/>
        <w:t>examine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interactions</w:t>
      </w:r>
      <w:r>
        <w:rPr>
          <w:spacing w:val="-2"/>
        </w:rPr>
        <w:t> </w:t>
      </w:r>
      <w:r>
        <w:rPr/>
        <w:t>between</w:t>
      </w:r>
      <w:r>
        <w:rPr>
          <w:spacing w:val="-3"/>
        </w:rPr>
        <w:t> </w:t>
      </w:r>
      <w:r>
        <w:rPr/>
        <w:t>fiscal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monetary</w:t>
      </w:r>
      <w:r>
        <w:rPr>
          <w:spacing w:val="-8"/>
        </w:rPr>
        <w:t> </w:t>
      </w:r>
      <w:r>
        <w:rPr/>
        <w:t>policies</w:t>
      </w:r>
      <w:r>
        <w:rPr>
          <w:spacing w:val="-3"/>
        </w:rPr>
        <w:t> </w:t>
      </w:r>
      <w:r>
        <w:rPr/>
        <w:t>using</w:t>
      </w:r>
      <w:r>
        <w:rPr>
          <w:spacing w:val="-5"/>
        </w:rPr>
        <w:t> </w:t>
      </w:r>
      <w:r>
        <w:rPr/>
        <w:t>data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sub-national</w:t>
      </w:r>
      <w:r>
        <w:rPr>
          <w:spacing w:val="-57"/>
        </w:rPr>
        <w:t> </w:t>
      </w:r>
      <w:r>
        <w:rPr/>
        <w:t>government such as states in the Nigerian Federation. This is because the fiscal decisions of state</w:t>
      </w:r>
      <w:r>
        <w:rPr>
          <w:spacing w:val="-57"/>
        </w:rPr>
        <w:t> </w:t>
      </w:r>
      <w:r>
        <w:rPr/>
        <w:t>governments</w:t>
      </w:r>
      <w:r>
        <w:rPr>
          <w:spacing w:val="-1"/>
        </w:rPr>
        <w:t> </w:t>
      </w:r>
      <w:r>
        <w:rPr/>
        <w:t>can</w:t>
      </w:r>
      <w:r>
        <w:rPr>
          <w:spacing w:val="2"/>
        </w:rPr>
        <w:t> </w:t>
      </w:r>
      <w:r>
        <w:rPr/>
        <w:t>also be</w:t>
      </w:r>
      <w:r>
        <w:rPr>
          <w:spacing w:val="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aggregate economy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Heading3"/>
        <w:spacing w:before="79"/>
        <w:ind w:left="3615" w:right="3615"/>
        <w:jc w:val="center"/>
      </w:pPr>
      <w:bookmarkStart w:name="_TOC_250000" w:id="60"/>
      <w:bookmarkEnd w:id="60"/>
      <w:r>
        <w:rPr/>
        <w:t>REFERENCES</w:t>
      </w:r>
    </w:p>
    <w:p>
      <w:pPr>
        <w:pStyle w:val="BodyText"/>
        <w:spacing w:before="2"/>
        <w:rPr>
          <w:b/>
          <w:sz w:val="32"/>
        </w:rPr>
      </w:pPr>
    </w:p>
    <w:p>
      <w:pPr>
        <w:pStyle w:val="BodyText"/>
        <w:ind w:left="500" w:right="498"/>
      </w:pPr>
      <w:r>
        <w:rPr/>
        <w:t>Adams,</w:t>
      </w:r>
      <w:r>
        <w:rPr>
          <w:spacing w:val="-7"/>
        </w:rPr>
        <w:t> </w:t>
      </w:r>
      <w:r>
        <w:rPr/>
        <w:t>K.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Billi,</w:t>
      </w:r>
      <w:r>
        <w:rPr>
          <w:spacing w:val="-6"/>
        </w:rPr>
        <w:t> </w:t>
      </w:r>
      <w:r>
        <w:rPr/>
        <w:t>R.</w:t>
      </w:r>
      <w:r>
        <w:rPr>
          <w:spacing w:val="-6"/>
        </w:rPr>
        <w:t> </w:t>
      </w:r>
      <w:r>
        <w:rPr/>
        <w:t>M.</w:t>
      </w:r>
      <w:r>
        <w:rPr>
          <w:spacing w:val="-6"/>
        </w:rPr>
        <w:t> </w:t>
      </w:r>
      <w:r>
        <w:rPr/>
        <w:t>(2008).</w:t>
      </w:r>
      <w:r>
        <w:rPr>
          <w:spacing w:val="-7"/>
        </w:rPr>
        <w:t> </w:t>
      </w:r>
      <w:r>
        <w:rPr/>
        <w:t>Monetary</w:t>
      </w:r>
      <w:r>
        <w:rPr>
          <w:spacing w:val="-12"/>
        </w:rPr>
        <w:t> </w:t>
      </w:r>
      <w:r>
        <w:rPr/>
        <w:t>conservatism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fiscal</w:t>
      </w:r>
      <w:r>
        <w:rPr>
          <w:spacing w:val="-6"/>
        </w:rPr>
        <w:t> </w:t>
      </w:r>
      <w:r>
        <w:rPr/>
        <w:t>policy.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Federal</w:t>
      </w:r>
      <w:r>
        <w:rPr>
          <w:spacing w:val="-6"/>
        </w:rPr>
        <w:t> </w:t>
      </w:r>
      <w:r>
        <w:rPr/>
        <w:t>Reserve</w:t>
      </w:r>
      <w:r>
        <w:rPr>
          <w:spacing w:val="-57"/>
        </w:rPr>
        <w:t> </w:t>
      </w:r>
      <w:r>
        <w:rPr/>
        <w:t>Bank Economics Research Department Working Paper 07-01. Available from:</w:t>
      </w:r>
      <w:r>
        <w:rPr>
          <w:spacing w:val="1"/>
        </w:rPr>
        <w:t> </w:t>
      </w:r>
      <w:hyperlink r:id="rId29">
        <w:r>
          <w:rPr>
            <w:color w:val="0000FF"/>
            <w:u w:val="single" w:color="0000FF"/>
          </w:rPr>
          <w:t>https://pdfs.semanticscholar.org/94cc/54ef8abe1a2d9eaa95b82398d4412ee7c147.pdf</w:t>
        </w:r>
      </w:hyperlink>
      <w:r>
        <w:rPr/>
        <w:t>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00" w:right="496"/>
      </w:pPr>
      <w:r>
        <w:rPr/>
        <w:t>Adebiyi, M. A. and Mordi, C. N. O. (2010). Estimating small scale macroeconometric model</w:t>
      </w:r>
      <w:r>
        <w:rPr>
          <w:spacing w:val="1"/>
        </w:rPr>
        <w:t> </w:t>
      </w:r>
      <w:r>
        <w:rPr/>
        <w:t>(SSMM)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Nigeria: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/>
        <w:t>dynamic</w:t>
      </w:r>
      <w:r>
        <w:rPr>
          <w:spacing w:val="4"/>
        </w:rPr>
        <w:t> </w:t>
      </w:r>
      <w:r>
        <w:rPr/>
        <w:t>stochastic</w:t>
      </w:r>
      <w:r>
        <w:rPr>
          <w:spacing w:val="5"/>
        </w:rPr>
        <w:t> </w:t>
      </w:r>
      <w:r>
        <w:rPr/>
        <w:t>general</w:t>
      </w:r>
      <w:r>
        <w:rPr>
          <w:spacing w:val="5"/>
        </w:rPr>
        <w:t> </w:t>
      </w:r>
      <w:r>
        <w:rPr/>
        <w:t>equilibrium</w:t>
      </w:r>
      <w:r>
        <w:rPr>
          <w:spacing w:val="4"/>
        </w:rPr>
        <w:t> </w:t>
      </w:r>
      <w:r>
        <w:rPr/>
        <w:t>(DSGE)</w:t>
      </w:r>
      <w:r>
        <w:rPr>
          <w:spacing w:val="4"/>
        </w:rPr>
        <w:t> </w:t>
      </w:r>
      <w:r>
        <w:rPr/>
        <w:t>approach.</w:t>
      </w:r>
      <w:r>
        <w:rPr>
          <w:spacing w:val="10"/>
        </w:rPr>
        <w:t> </w:t>
      </w:r>
      <w:r>
        <w:rPr/>
        <w:t>Central</w:t>
      </w:r>
      <w:r>
        <w:rPr>
          <w:spacing w:val="5"/>
        </w:rPr>
        <w:t> </w:t>
      </w:r>
      <w:r>
        <w:rPr/>
        <w:t>Bank</w:t>
      </w:r>
      <w:r>
        <w:rPr>
          <w:spacing w:val="-57"/>
        </w:rPr>
        <w:t> </w:t>
      </w:r>
      <w:r>
        <w:rPr/>
        <w:t>of Nigeria Occasional Paper, 39:1-45. Available from:</w:t>
      </w:r>
      <w:r>
        <w:rPr>
          <w:spacing w:val="1"/>
        </w:rPr>
        <w:t> </w:t>
      </w:r>
      <w:hyperlink r:id="rId30">
        <w:r>
          <w:rPr>
            <w:color w:val="0000FF"/>
            <w:u w:val="single" w:color="0000FF"/>
          </w:rPr>
          <w:t>https://ecomod.net/sites/default/files/document-conference/ecomod2010/1066.doc</w:t>
        </w:r>
        <w:r>
          <w:rPr/>
          <w:t>.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2441" w:val="left" w:leader="none"/>
          <w:tab w:pos="3899" w:val="left" w:leader="none"/>
          <w:tab w:pos="5157" w:val="left" w:leader="none"/>
          <w:tab w:pos="6109" w:val="left" w:leader="none"/>
          <w:tab w:pos="7640" w:val="left" w:leader="none"/>
          <w:tab w:pos="9321" w:val="left" w:leader="none"/>
        </w:tabs>
        <w:spacing w:before="90"/>
        <w:ind w:left="500" w:right="496"/>
        <w:jc w:val="both"/>
        <w:rPr>
          <w:i/>
        </w:rPr>
      </w:pPr>
      <w:r>
        <w:rPr/>
        <w:t>Adebiyi, M.A. and Mordi, C.N.O. (2016). A dynamic stochastic general equilibrium (DSGE)</w:t>
      </w:r>
      <w:r>
        <w:rPr>
          <w:spacing w:val="1"/>
        </w:rPr>
        <w:t> </w:t>
      </w:r>
      <w:r>
        <w:rPr/>
        <w:t>model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exchange</w:t>
      </w:r>
      <w:r>
        <w:rPr>
          <w:spacing w:val="-10"/>
        </w:rPr>
        <w:t> </w:t>
      </w:r>
      <w:r>
        <w:rPr/>
        <w:t>rate</w:t>
      </w:r>
      <w:r>
        <w:rPr>
          <w:spacing w:val="-9"/>
        </w:rPr>
        <w:t> </w:t>
      </w:r>
      <w:r>
        <w:rPr/>
        <w:t>pass-through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domestic</w:t>
      </w:r>
      <w:r>
        <w:rPr>
          <w:spacing w:val="-12"/>
        </w:rPr>
        <w:t> </w:t>
      </w:r>
      <w:r>
        <w:rPr/>
        <w:t>prices</w:t>
      </w:r>
      <w:r>
        <w:rPr>
          <w:spacing w:val="-11"/>
        </w:rPr>
        <w:t> </w:t>
      </w:r>
      <w:r>
        <w:rPr/>
        <w:t>in</w:t>
      </w:r>
      <w:r>
        <w:rPr>
          <w:spacing w:val="-8"/>
        </w:rPr>
        <w:t> </w:t>
      </w:r>
      <w:r>
        <w:rPr/>
        <w:t>Nigeria.</w:t>
      </w:r>
      <w:r>
        <w:rPr>
          <w:spacing w:val="-9"/>
        </w:rPr>
        <w:t> </w:t>
      </w:r>
      <w:r>
        <w:rPr/>
        <w:t>Occasional</w:t>
      </w:r>
      <w:r>
        <w:rPr>
          <w:spacing w:val="-11"/>
        </w:rPr>
        <w:t> </w:t>
      </w:r>
      <w:r>
        <w:rPr/>
        <w:t>Paper</w:t>
      </w:r>
      <w:r>
        <w:rPr>
          <w:spacing w:val="-10"/>
        </w:rPr>
        <w:t> </w:t>
      </w:r>
      <w:r>
        <w:rPr/>
        <w:t>59,</w:t>
      </w:r>
      <w:r>
        <w:rPr>
          <w:spacing w:val="-7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Department,</w:t>
        <w:tab/>
        <w:t>Central</w:t>
        <w:tab/>
        <w:t>Bank</w:t>
        <w:tab/>
        <w:t>of</w:t>
        <w:tab/>
        <w:t>Nigeria.</w:t>
        <w:tab/>
        <w:t>Available</w:t>
        <w:tab/>
        <w:t>from:</w:t>
      </w:r>
      <w:r>
        <w:rPr>
          <w:spacing w:val="-58"/>
        </w:rPr>
        <w:t> </w:t>
      </w:r>
      <w:hyperlink r:id="rId31">
        <w:r>
          <w:rPr>
            <w:color w:val="0000FF"/>
            <w:u w:val="single" w:color="0000FF"/>
          </w:rPr>
          <w:t>https://www.cbn.gov.ng/out/2017/rsd/occasional%20paper,%2059%20combined.pdf</w:t>
        </w:r>
      </w:hyperlink>
      <w:r>
        <w:rPr>
          <w:i/>
        </w:rPr>
        <w:t>.</w:t>
      </w:r>
    </w:p>
    <w:p>
      <w:pPr>
        <w:pStyle w:val="BodyText"/>
        <w:spacing w:before="3"/>
        <w:rPr>
          <w:i/>
          <w:sz w:val="16"/>
        </w:rPr>
      </w:pPr>
    </w:p>
    <w:p>
      <w:pPr>
        <w:pStyle w:val="BodyText"/>
        <w:spacing w:before="90"/>
        <w:ind w:left="500" w:right="496"/>
      </w:pPr>
      <w:r>
        <w:rPr/>
        <w:t>Adegboye,</w:t>
      </w:r>
      <w:r>
        <w:rPr>
          <w:spacing w:val="-6"/>
        </w:rPr>
        <w:t> </w:t>
      </w:r>
      <w:r>
        <w:rPr/>
        <w:t>A.</w:t>
      </w:r>
      <w:r>
        <w:rPr>
          <w:spacing w:val="-7"/>
        </w:rPr>
        <w:t> </w:t>
      </w:r>
      <w:r>
        <w:rPr/>
        <w:t>A.</w:t>
      </w:r>
      <w:r>
        <w:rPr>
          <w:spacing w:val="-7"/>
        </w:rPr>
        <w:t> </w:t>
      </w:r>
      <w:r>
        <w:rPr/>
        <w:t>(2015).</w:t>
      </w:r>
      <w:r>
        <w:rPr>
          <w:spacing w:val="-4"/>
        </w:rPr>
        <w:t> </w:t>
      </w:r>
      <w:r>
        <w:rPr/>
        <w:t>Effects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fiscal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monetary</w:t>
      </w:r>
      <w:r>
        <w:rPr>
          <w:spacing w:val="-11"/>
        </w:rPr>
        <w:t> </w:t>
      </w:r>
      <w:r>
        <w:rPr/>
        <w:t>policy</w:t>
      </w:r>
      <w:r>
        <w:rPr>
          <w:spacing w:val="-13"/>
        </w:rPr>
        <w:t> </w:t>
      </w:r>
      <w:r>
        <w:rPr/>
        <w:t>interactions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inflation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output</w:t>
      </w:r>
      <w:r>
        <w:rPr>
          <w:spacing w:val="-57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</w:t>
      </w:r>
      <w:r>
        <w:rPr>
          <w:spacing w:val="-2"/>
        </w:rPr>
        <w:t> </w:t>
      </w:r>
      <w:r>
        <w:rPr/>
        <w:t>(1961-2011)</w:t>
      </w:r>
      <w:r>
        <w:rPr>
          <w:spacing w:val="-2"/>
        </w:rPr>
        <w:t> </w:t>
      </w:r>
      <w:r>
        <w:rPr/>
        <w:t>(Doctoral</w:t>
      </w:r>
      <w:r>
        <w:rPr>
          <w:spacing w:val="-1"/>
        </w:rPr>
        <w:t> </w:t>
      </w:r>
      <w:r>
        <w:rPr/>
        <w:t>dissertation).</w:t>
      </w:r>
      <w:r>
        <w:rPr>
          <w:spacing w:val="-1"/>
        </w:rPr>
        <w:t> </w:t>
      </w:r>
      <w:r>
        <w:rPr/>
        <w:t>Obafemi</w:t>
      </w:r>
      <w:r>
        <w:rPr>
          <w:spacing w:val="-2"/>
        </w:rPr>
        <w:t> </w:t>
      </w:r>
      <w:r>
        <w:rPr/>
        <w:t>Awolowo</w:t>
      </w:r>
      <w:r>
        <w:rPr>
          <w:spacing w:val="-1"/>
        </w:rPr>
        <w:t> </w:t>
      </w:r>
      <w:r>
        <w:rPr/>
        <w:t>University,</w:t>
      </w:r>
      <w:r>
        <w:rPr>
          <w:spacing w:val="2"/>
        </w:rPr>
        <w:t> </w:t>
      </w:r>
      <w:r>
        <w:rPr/>
        <w:t>Ile-Ife,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</w:pPr>
    </w:p>
    <w:p>
      <w:pPr>
        <w:pStyle w:val="BodyText"/>
        <w:ind w:left="500" w:right="490"/>
      </w:pPr>
      <w:r>
        <w:rPr/>
        <w:t>Agu, C. (2007). What does the central bank of Nigeria target? An analysis of monetary policy</w:t>
      </w:r>
      <w:r>
        <w:rPr>
          <w:spacing w:val="1"/>
        </w:rPr>
        <w:t> </w:t>
      </w:r>
      <w:r>
        <w:rPr/>
        <w:t>reaction function in Nigeria. In: Biannual Research Workshop of the African Economic Research</w:t>
      </w:r>
      <w:r>
        <w:rPr>
          <w:spacing w:val="-57"/>
        </w:rPr>
        <w:t> </w:t>
      </w:r>
      <w:r>
        <w:rPr/>
        <w:t>Consortium,</w:t>
      </w:r>
      <w:r>
        <w:rPr>
          <w:spacing w:val="-1"/>
        </w:rPr>
        <w:t> </w:t>
      </w:r>
      <w:r>
        <w:rPr/>
        <w:t>Arusha</w:t>
      </w:r>
      <w:r>
        <w:rPr>
          <w:spacing w:val="-1"/>
        </w:rPr>
        <w:t> </w:t>
      </w:r>
      <w:r>
        <w:rPr/>
        <w:t>Tanzania, October</w:t>
      </w:r>
      <w:r>
        <w:rPr>
          <w:spacing w:val="-2"/>
        </w:rPr>
        <w:t> </w:t>
      </w:r>
      <w:r>
        <w:rPr/>
        <w:t>2007.</w:t>
      </w:r>
    </w:p>
    <w:p>
      <w:pPr>
        <w:pStyle w:val="BodyText"/>
      </w:pPr>
    </w:p>
    <w:p>
      <w:pPr>
        <w:pStyle w:val="BodyText"/>
        <w:ind w:left="500" w:right="497"/>
      </w:pPr>
      <w:r>
        <w:rPr/>
        <w:t>Ajayi,</w:t>
      </w:r>
      <w:r>
        <w:rPr>
          <w:spacing w:val="11"/>
        </w:rPr>
        <w:t> </w:t>
      </w:r>
      <w:r>
        <w:rPr/>
        <w:t>S.</w:t>
      </w:r>
      <w:r>
        <w:rPr>
          <w:spacing w:val="10"/>
        </w:rPr>
        <w:t> </w:t>
      </w:r>
      <w:r>
        <w:rPr/>
        <w:t>I.</w:t>
      </w:r>
      <w:r>
        <w:rPr>
          <w:spacing w:val="8"/>
        </w:rPr>
        <w:t> </w:t>
      </w:r>
      <w:r>
        <w:rPr/>
        <w:t>(1974).</w:t>
      </w:r>
      <w:r>
        <w:rPr>
          <w:spacing w:val="8"/>
        </w:rPr>
        <w:t> </w:t>
      </w:r>
      <w:r>
        <w:rPr/>
        <w:t>An</w:t>
      </w:r>
      <w:r>
        <w:rPr>
          <w:spacing w:val="10"/>
        </w:rPr>
        <w:t> </w:t>
      </w:r>
      <w:r>
        <w:rPr/>
        <w:t>econometric</w:t>
      </w:r>
      <w:r>
        <w:rPr>
          <w:spacing w:val="10"/>
        </w:rPr>
        <w:t> </w:t>
      </w:r>
      <w:r>
        <w:rPr/>
        <w:t>case</w:t>
      </w:r>
      <w:r>
        <w:rPr>
          <w:spacing w:val="10"/>
        </w:rPr>
        <w:t> </w:t>
      </w:r>
      <w:r>
        <w:rPr/>
        <w:t>study</w:t>
      </w:r>
      <w:r>
        <w:rPr>
          <w:spacing w:val="5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relative</w:t>
      </w:r>
      <w:r>
        <w:rPr>
          <w:spacing w:val="7"/>
        </w:rPr>
        <w:t> </w:t>
      </w:r>
      <w:r>
        <w:rPr/>
        <w:t>importance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monetary</w:t>
      </w:r>
      <w:r>
        <w:rPr>
          <w:spacing w:val="5"/>
        </w:rPr>
        <w:t> </w:t>
      </w:r>
      <w:r>
        <w:rPr/>
        <w:t>and</w:t>
      </w:r>
      <w:r>
        <w:rPr>
          <w:spacing w:val="11"/>
        </w:rPr>
        <w:t> </w:t>
      </w:r>
      <w:r>
        <w:rPr/>
        <w:t>fiscal</w:t>
      </w:r>
      <w:r>
        <w:rPr>
          <w:spacing w:val="-57"/>
        </w:rPr>
        <w:t> </w:t>
      </w:r>
      <w:r>
        <w:rPr/>
        <w:t>policy</w:t>
      </w:r>
      <w:r>
        <w:rPr>
          <w:spacing w:val="-6"/>
        </w:rPr>
        <w:t> </w:t>
      </w:r>
      <w:r>
        <w:rPr/>
        <w:t>in Nigeria.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Bangladesh Economic</w:t>
      </w:r>
      <w:r>
        <w:rPr>
          <w:i/>
          <w:spacing w:val="-1"/>
        </w:rPr>
        <w:t> </w:t>
      </w:r>
      <w:r>
        <w:rPr>
          <w:i/>
        </w:rPr>
        <w:t>Review,</w:t>
      </w:r>
      <w:r>
        <w:rPr>
          <w:i/>
          <w:spacing w:val="2"/>
        </w:rPr>
        <w:t> </w:t>
      </w:r>
      <w:r>
        <w:rPr/>
        <w:t>2(2):559-576.</w:t>
      </w:r>
    </w:p>
    <w:p>
      <w:pPr>
        <w:pStyle w:val="BodyText"/>
      </w:pPr>
    </w:p>
    <w:p>
      <w:pPr>
        <w:spacing w:before="0"/>
        <w:ind w:left="500" w:right="492" w:firstLine="0"/>
        <w:jc w:val="both"/>
        <w:rPr>
          <w:sz w:val="24"/>
        </w:rPr>
      </w:pPr>
      <w:r>
        <w:rPr>
          <w:spacing w:val="-1"/>
          <w:sz w:val="24"/>
        </w:rPr>
        <w:t>Ajisafe,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R.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A.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Folorunso,</w:t>
      </w:r>
      <w:r>
        <w:rPr>
          <w:spacing w:val="-12"/>
          <w:sz w:val="24"/>
        </w:rPr>
        <w:t> </w:t>
      </w:r>
      <w:r>
        <w:rPr>
          <w:sz w:val="24"/>
        </w:rPr>
        <w:t>B.</w:t>
      </w:r>
      <w:r>
        <w:rPr>
          <w:spacing w:val="-12"/>
          <w:sz w:val="24"/>
        </w:rPr>
        <w:t> </w:t>
      </w:r>
      <w:r>
        <w:rPr>
          <w:sz w:val="24"/>
        </w:rPr>
        <w:t>A.</w:t>
      </w:r>
      <w:r>
        <w:rPr>
          <w:spacing w:val="-13"/>
          <w:sz w:val="24"/>
        </w:rPr>
        <w:t> </w:t>
      </w:r>
      <w:r>
        <w:rPr>
          <w:sz w:val="24"/>
        </w:rPr>
        <w:t>(2002).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relative</w:t>
      </w:r>
      <w:r>
        <w:rPr>
          <w:spacing w:val="-12"/>
          <w:sz w:val="24"/>
        </w:rPr>
        <w:t> </w:t>
      </w:r>
      <w:r>
        <w:rPr>
          <w:sz w:val="24"/>
        </w:rPr>
        <w:t>effectiveness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fiscal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monetary</w:t>
      </w:r>
      <w:r>
        <w:rPr>
          <w:spacing w:val="-17"/>
          <w:sz w:val="24"/>
        </w:rPr>
        <w:t> </w:t>
      </w:r>
      <w:r>
        <w:rPr>
          <w:sz w:val="24"/>
        </w:rPr>
        <w:t>policy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macroeconomic</w:t>
      </w:r>
      <w:r>
        <w:rPr>
          <w:spacing w:val="-7"/>
          <w:sz w:val="24"/>
        </w:rPr>
        <w:t> </w:t>
      </w:r>
      <w:r>
        <w:rPr>
          <w:sz w:val="24"/>
        </w:rPr>
        <w:t>management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Nigeria.</w:t>
      </w:r>
      <w:r>
        <w:rPr>
          <w:spacing w:val="-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Review,</w:t>
      </w:r>
      <w:r>
        <w:rPr>
          <w:i/>
          <w:spacing w:val="-4"/>
          <w:sz w:val="24"/>
        </w:rPr>
        <w:t> </w:t>
      </w:r>
      <w:r>
        <w:rPr>
          <w:sz w:val="24"/>
        </w:rPr>
        <w:t>3(1):</w:t>
      </w:r>
      <w:r>
        <w:rPr>
          <w:spacing w:val="-6"/>
          <w:sz w:val="24"/>
        </w:rPr>
        <w:t> </w:t>
      </w:r>
      <w:r>
        <w:rPr>
          <w:sz w:val="24"/>
        </w:rPr>
        <w:t>23-</w:t>
      </w:r>
      <w:r>
        <w:rPr>
          <w:spacing w:val="-58"/>
          <w:sz w:val="24"/>
        </w:rPr>
        <w:t> </w:t>
      </w:r>
      <w:r>
        <w:rPr>
          <w:sz w:val="24"/>
        </w:rPr>
        <w:t>40.</w:t>
      </w:r>
    </w:p>
    <w:p>
      <w:pPr>
        <w:pStyle w:val="BodyText"/>
      </w:pPr>
    </w:p>
    <w:p>
      <w:pPr>
        <w:pStyle w:val="BodyText"/>
        <w:spacing w:before="1"/>
        <w:ind w:left="500" w:right="496"/>
        <w:jc w:val="both"/>
      </w:pPr>
      <w:r>
        <w:rPr/>
        <w:t>Alege,</w:t>
      </w:r>
      <w:r>
        <w:rPr>
          <w:spacing w:val="-4"/>
        </w:rPr>
        <w:t> </w:t>
      </w:r>
      <w:r>
        <w:rPr/>
        <w:t>P.</w:t>
      </w:r>
      <w:r>
        <w:rPr>
          <w:spacing w:val="-4"/>
        </w:rPr>
        <w:t> </w:t>
      </w:r>
      <w:r>
        <w:rPr/>
        <w:t>O.</w:t>
      </w:r>
      <w:r>
        <w:rPr>
          <w:spacing w:val="-4"/>
        </w:rPr>
        <w:t> </w:t>
      </w:r>
      <w:r>
        <w:rPr/>
        <w:t>(2008).</w:t>
      </w:r>
      <w:r>
        <w:rPr>
          <w:spacing w:val="-4"/>
        </w:rPr>
        <w:t> </w:t>
      </w:r>
      <w:r>
        <w:rPr/>
        <w:t>Macroeconomic</w:t>
      </w:r>
      <w:r>
        <w:rPr>
          <w:spacing w:val="-5"/>
        </w:rPr>
        <w:t> </w:t>
      </w:r>
      <w:r>
        <w:rPr/>
        <w:t>policies</w:t>
      </w:r>
      <w:r>
        <w:rPr>
          <w:spacing w:val="-1"/>
        </w:rPr>
        <w:t> </w:t>
      </w:r>
      <w:r>
        <w:rPr/>
        <w:t>and business</w:t>
      </w:r>
      <w:r>
        <w:rPr>
          <w:spacing w:val="-3"/>
        </w:rPr>
        <w:t> </w:t>
      </w:r>
      <w:r>
        <w:rPr/>
        <w:t>cycle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Nigeria:</w:t>
      </w:r>
      <w:r>
        <w:rPr>
          <w:spacing w:val="-3"/>
        </w:rPr>
        <w:t> </w:t>
      </w:r>
      <w:r>
        <w:rPr/>
        <w:t>1970-2004</w:t>
      </w:r>
      <w:r>
        <w:rPr>
          <w:spacing w:val="-4"/>
        </w:rPr>
        <w:t> </w:t>
      </w:r>
      <w:r>
        <w:rPr/>
        <w:t>(Doctoral</w:t>
      </w:r>
      <w:r>
        <w:rPr>
          <w:spacing w:val="-57"/>
        </w:rPr>
        <w:t> </w:t>
      </w:r>
      <w:r>
        <w:rPr/>
        <w:t>dissertation).</w:t>
      </w:r>
      <w:r>
        <w:rPr>
          <w:spacing w:val="-1"/>
        </w:rPr>
        <w:t> </w:t>
      </w:r>
      <w:r>
        <w:rPr/>
        <w:t>Covenant</w:t>
      </w:r>
      <w:r>
        <w:rPr>
          <w:spacing w:val="2"/>
        </w:rPr>
        <w:t> </w:t>
      </w:r>
      <w:r>
        <w:rPr/>
        <w:t>University, Ota,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500" w:right="495" w:firstLine="0"/>
        <w:jc w:val="both"/>
        <w:rPr>
          <w:sz w:val="24"/>
        </w:rPr>
      </w:pPr>
      <w:r>
        <w:rPr>
          <w:sz w:val="24"/>
        </w:rPr>
        <w:t>Alege</w:t>
      </w:r>
      <w:r>
        <w:rPr>
          <w:i/>
          <w:sz w:val="24"/>
        </w:rPr>
        <w:t>, </w:t>
      </w:r>
      <w:r>
        <w:rPr>
          <w:sz w:val="24"/>
        </w:rPr>
        <w:t>P. O., (2012). A Business Cycle Model for Nigeria. </w:t>
      </w:r>
      <w:r>
        <w:rPr>
          <w:i/>
          <w:sz w:val="24"/>
        </w:rPr>
        <w:t>Journal of Applied Statistics, </w:t>
      </w:r>
      <w:r>
        <w:rPr>
          <w:sz w:val="24"/>
        </w:rPr>
        <w:t>3(1):85-</w:t>
      </w:r>
      <w:r>
        <w:rPr>
          <w:spacing w:val="-57"/>
          <w:sz w:val="24"/>
        </w:rPr>
        <w:t> </w:t>
      </w:r>
      <w:r>
        <w:rPr>
          <w:sz w:val="24"/>
        </w:rPr>
        <w:t>115.</w:t>
      </w:r>
    </w:p>
    <w:p>
      <w:pPr>
        <w:pStyle w:val="BodyText"/>
      </w:pPr>
    </w:p>
    <w:p>
      <w:pPr>
        <w:pStyle w:val="BodyText"/>
        <w:ind w:left="500" w:right="807"/>
      </w:pPr>
      <w:r>
        <w:rPr/>
        <w:t>Alesina,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Tabellini, G.</w:t>
      </w:r>
      <w:r>
        <w:rPr>
          <w:spacing w:val="-1"/>
        </w:rPr>
        <w:t> </w:t>
      </w:r>
      <w:r>
        <w:rPr/>
        <w:t>(1987).</w:t>
      </w:r>
      <w:r>
        <w:rPr>
          <w:spacing w:val="-1"/>
        </w:rPr>
        <w:t> </w:t>
      </w:r>
      <w:r>
        <w:rPr/>
        <w:t>Rules and</w:t>
      </w:r>
      <w:r>
        <w:rPr>
          <w:spacing w:val="-1"/>
        </w:rPr>
        <w:t> </w:t>
      </w:r>
      <w:r>
        <w:rPr/>
        <w:t>discretion</w:t>
      </w:r>
      <w:r>
        <w:rPr>
          <w:spacing w:val="-1"/>
        </w:rPr>
        <w:t> </w:t>
      </w:r>
      <w:r>
        <w:rPr/>
        <w:t>with non-coordinated</w:t>
      </w:r>
      <w:r>
        <w:rPr>
          <w:spacing w:val="-1"/>
        </w:rPr>
        <w:t> </w:t>
      </w:r>
      <w:r>
        <w:rPr/>
        <w:t>monetary</w:t>
      </w:r>
      <w:r>
        <w:rPr>
          <w:spacing w:val="-4"/>
        </w:rPr>
        <w:t> </w:t>
      </w:r>
      <w:r>
        <w:rPr/>
        <w:t>and</w:t>
      </w:r>
      <w:r>
        <w:rPr>
          <w:spacing w:val="-57"/>
        </w:rPr>
        <w:t> </w:t>
      </w:r>
      <w:r>
        <w:rPr/>
        <w:t>fiscal</w:t>
      </w:r>
      <w:r>
        <w:rPr>
          <w:spacing w:val="-1"/>
        </w:rPr>
        <w:t> </w:t>
      </w:r>
      <w:r>
        <w:rPr/>
        <w:t>policy. </w:t>
      </w:r>
      <w:r>
        <w:rPr>
          <w:i/>
        </w:rPr>
        <w:t>Economic</w:t>
      </w:r>
      <w:r>
        <w:rPr>
          <w:i/>
          <w:spacing w:val="1"/>
        </w:rPr>
        <w:t> </w:t>
      </w:r>
      <w:r>
        <w:rPr>
          <w:i/>
        </w:rPr>
        <w:t>Inquiry,</w:t>
      </w:r>
      <w:r>
        <w:rPr>
          <w:i/>
          <w:spacing w:val="1"/>
        </w:rPr>
        <w:t> </w:t>
      </w:r>
      <w:r>
        <w:rPr/>
        <w:t>25: 619-630.</w:t>
      </w:r>
    </w:p>
    <w:p>
      <w:pPr>
        <w:pStyle w:val="BodyText"/>
        <w:spacing w:before="1"/>
      </w:pPr>
    </w:p>
    <w:p>
      <w:pPr>
        <w:pStyle w:val="BodyText"/>
        <w:ind w:left="500" w:right="506"/>
        <w:rPr>
          <w:i/>
        </w:rPr>
      </w:pPr>
      <w:r>
        <w:rPr/>
        <w:t>Algozhina,</w:t>
      </w:r>
      <w:r>
        <w:rPr>
          <w:spacing w:val="10"/>
        </w:rPr>
        <w:t> </w:t>
      </w:r>
      <w:r>
        <w:rPr/>
        <w:t>A.</w:t>
      </w:r>
      <w:r>
        <w:rPr>
          <w:spacing w:val="12"/>
        </w:rPr>
        <w:t> </w:t>
      </w:r>
      <w:r>
        <w:rPr/>
        <w:t>(2012).</w:t>
      </w:r>
      <w:r>
        <w:rPr>
          <w:spacing w:val="10"/>
        </w:rPr>
        <w:t> </w:t>
      </w:r>
      <w:r>
        <w:rPr/>
        <w:t>Monetary</w:t>
      </w:r>
      <w:r>
        <w:rPr>
          <w:spacing w:val="6"/>
        </w:rPr>
        <w:t> </w:t>
      </w:r>
      <w:r>
        <w:rPr/>
        <w:t>and</w:t>
      </w:r>
      <w:r>
        <w:rPr>
          <w:spacing w:val="12"/>
        </w:rPr>
        <w:t> </w:t>
      </w:r>
      <w:r>
        <w:rPr/>
        <w:t>fiscal</w:t>
      </w:r>
      <w:r>
        <w:rPr>
          <w:spacing w:val="11"/>
        </w:rPr>
        <w:t> </w:t>
      </w:r>
      <w:r>
        <w:rPr/>
        <w:t>policy</w:t>
      </w:r>
      <w:r>
        <w:rPr>
          <w:spacing w:val="9"/>
        </w:rPr>
        <w:t> </w:t>
      </w:r>
      <w:r>
        <w:rPr/>
        <w:t>interactions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an</w:t>
      </w:r>
      <w:r>
        <w:rPr>
          <w:spacing w:val="13"/>
        </w:rPr>
        <w:t> </w:t>
      </w:r>
      <w:r>
        <w:rPr/>
        <w:t>emerging</w:t>
      </w:r>
      <w:r>
        <w:rPr>
          <w:spacing w:val="8"/>
        </w:rPr>
        <w:t> </w:t>
      </w:r>
      <w:r>
        <w:rPr/>
        <w:t>open</w:t>
      </w:r>
      <w:r>
        <w:rPr>
          <w:spacing w:val="12"/>
        </w:rPr>
        <w:t> </w:t>
      </w:r>
      <w:r>
        <w:rPr/>
        <w:t>economy:</w:t>
      </w:r>
      <w:r>
        <w:rPr>
          <w:spacing w:val="13"/>
        </w:rPr>
        <w:t> </w:t>
      </w:r>
      <w:r>
        <w:rPr/>
        <w:t>A</w:t>
      </w:r>
      <w:r>
        <w:rPr>
          <w:spacing w:val="-57"/>
        </w:rPr>
        <w:t> </w:t>
      </w:r>
      <w:r>
        <w:rPr/>
        <w:t>non-Ricardian DSGE approach. CERGE-EI Working Paper Series 476. Available from:</w:t>
      </w:r>
      <w:r>
        <w:rPr>
          <w:spacing w:val="1"/>
        </w:rPr>
        <w:t> </w:t>
      </w:r>
      <w:hyperlink r:id="rId32">
        <w:r>
          <w:rPr>
            <w:color w:val="0000FF"/>
            <w:u w:val="single" w:color="0000FF"/>
          </w:rPr>
          <w:t>https://www.cerge-ei.cz/pdf/wp/Wp476.pdf</w:t>
        </w:r>
      </w:hyperlink>
      <w:r>
        <w:rPr>
          <w:i/>
        </w:rPr>
        <w:t>.</w:t>
      </w:r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spacing w:before="90"/>
        <w:ind w:left="500" w:right="495"/>
      </w:pPr>
      <w:r>
        <w:rPr/>
        <w:pict>
          <v:rect style="position:absolute;margin-left:233.089996pt;margin-top:44.619087pt;width:3pt;height:.60004pt;mso-position-horizontal-relative:page;mso-position-vertical-relative:paragraph;z-index:15841792" filled="true" fillcolor="#000000" stroked="false">
            <v:fill type="solid"/>
            <w10:wrap type="none"/>
          </v:rect>
        </w:pict>
      </w:r>
      <w:r>
        <w:rPr/>
        <w:t>Almeida,</w:t>
      </w:r>
      <w:r>
        <w:rPr>
          <w:spacing w:val="-11"/>
        </w:rPr>
        <w:t> </w:t>
      </w:r>
      <w:r>
        <w:rPr/>
        <w:t>V.</w:t>
      </w:r>
      <w:r>
        <w:rPr>
          <w:spacing w:val="-11"/>
        </w:rPr>
        <w:t> </w:t>
      </w:r>
      <w:r>
        <w:rPr/>
        <w:t>(2010).</w:t>
      </w:r>
      <w:r>
        <w:rPr>
          <w:spacing w:val="-8"/>
        </w:rPr>
        <w:t> </w:t>
      </w:r>
      <w:r>
        <w:rPr/>
        <w:t>Bayesian</w:t>
      </w:r>
      <w:r>
        <w:rPr>
          <w:spacing w:val="-10"/>
        </w:rPr>
        <w:t> </w:t>
      </w:r>
      <w:r>
        <w:rPr/>
        <w:t>estimation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DSGE</w:t>
      </w:r>
      <w:r>
        <w:rPr>
          <w:spacing w:val="-11"/>
        </w:rPr>
        <w:t> </w:t>
      </w:r>
      <w:r>
        <w:rPr/>
        <w:t>model</w:t>
      </w:r>
      <w:r>
        <w:rPr>
          <w:spacing w:val="-11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Portuguese</w:t>
      </w:r>
      <w:r>
        <w:rPr>
          <w:spacing w:val="-11"/>
        </w:rPr>
        <w:t> </w:t>
      </w:r>
      <w:r>
        <w:rPr/>
        <w:t>Economy.</w:t>
      </w:r>
      <w:r>
        <w:rPr>
          <w:spacing w:val="-11"/>
        </w:rPr>
        <w:t> </w:t>
      </w:r>
      <w:r>
        <w:rPr/>
        <w:t>Working</w:t>
      </w:r>
      <w:r>
        <w:rPr>
          <w:spacing w:val="-57"/>
        </w:rPr>
        <w:t> </w:t>
      </w:r>
      <w:r>
        <w:rPr/>
        <w:t>Paper, Economic Research Department, Banco de Portugal. Available from:</w:t>
      </w:r>
      <w:r>
        <w:rPr>
          <w:spacing w:val="1"/>
        </w:rPr>
        <w:t> </w:t>
      </w:r>
      <w:hyperlink r:id="rId33">
        <w:r>
          <w:rPr>
            <w:color w:val="0000FF"/>
            <w:u w:val="single" w:color="0000FF"/>
          </w:rPr>
          <w:t>http://ssrn.com/abstract=1535285</w:t>
        </w:r>
      </w:hyperlink>
      <w:r>
        <w:rPr/>
        <w:t>.</w:t>
      </w:r>
    </w:p>
    <w:p>
      <w:pPr>
        <w:spacing w:after="0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500" w:right="1438"/>
      </w:pPr>
      <w:r>
        <w:rPr/>
        <w:pict>
          <v:rect style="position:absolute;margin-left:415.269989pt;margin-top:30.82313pt;width:3.12pt;height:.6pt;mso-position-horizontal-relative:page;mso-position-vertical-relative:paragraph;z-index:15842304" filled="true" fillcolor="#000000" stroked="false">
            <v:fill type="solid"/>
            <w10:wrap type="none"/>
          </v:rect>
        </w:pict>
      </w:r>
      <w:r>
        <w:rPr/>
        <w:t>An,</w:t>
      </w:r>
      <w:r>
        <w:rPr>
          <w:spacing w:val="-2"/>
        </w:rPr>
        <w:t> </w:t>
      </w:r>
      <w:r>
        <w:rPr/>
        <w:t>S.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Schorfheide, F.</w:t>
      </w:r>
      <w:r>
        <w:rPr>
          <w:spacing w:val="-2"/>
        </w:rPr>
        <w:t> </w:t>
      </w:r>
      <w:r>
        <w:rPr/>
        <w:t>(2006). Bayesian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DSGE</w:t>
      </w:r>
      <w:r>
        <w:rPr>
          <w:spacing w:val="-2"/>
        </w:rPr>
        <w:t> </w:t>
      </w:r>
      <w:r>
        <w:rPr/>
        <w:t>models.</w:t>
      </w:r>
      <w:r>
        <w:rPr>
          <w:spacing w:val="-1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from:</w:t>
      </w:r>
      <w:r>
        <w:rPr>
          <w:spacing w:val="-57"/>
        </w:rPr>
        <w:t> </w:t>
      </w:r>
      <w:hyperlink r:id="rId34">
        <w:r>
          <w:rPr>
            <w:color w:val="0000FF"/>
            <w:u w:val="single" w:color="0000FF"/>
          </w:rPr>
          <w:t>https://www.philadelphiafed.org/research-and-data/.../2006/wp06-5.pdf</w:t>
        </w:r>
      </w:hyperlink>
      <w:r>
        <w:rPr/>
        <w:t>.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500" w:right="495" w:firstLine="0"/>
        <w:jc w:val="left"/>
        <w:rPr>
          <w:sz w:val="24"/>
        </w:rPr>
      </w:pPr>
      <w:r>
        <w:rPr>
          <w:sz w:val="24"/>
        </w:rPr>
        <w:t>Anas,</w:t>
      </w:r>
      <w:r>
        <w:rPr>
          <w:spacing w:val="12"/>
          <w:sz w:val="24"/>
        </w:rPr>
        <w:t> </w:t>
      </w:r>
      <w:r>
        <w:rPr>
          <w:sz w:val="24"/>
        </w:rPr>
        <w:t>M.</w:t>
      </w:r>
      <w:r>
        <w:rPr>
          <w:spacing w:val="12"/>
          <w:sz w:val="24"/>
        </w:rPr>
        <w:t> </w:t>
      </w:r>
      <w:r>
        <w:rPr>
          <w:sz w:val="24"/>
        </w:rPr>
        <w:t>(2013).</w:t>
      </w:r>
      <w:r>
        <w:rPr>
          <w:spacing w:val="11"/>
          <w:sz w:val="24"/>
        </w:rPr>
        <w:t> </w:t>
      </w:r>
      <w:r>
        <w:rPr>
          <w:sz w:val="24"/>
        </w:rPr>
        <w:t>Monetary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fiscal</w:t>
      </w:r>
      <w:r>
        <w:rPr>
          <w:spacing w:val="12"/>
          <w:sz w:val="24"/>
        </w:rPr>
        <w:t> </w:t>
      </w:r>
      <w:r>
        <w:rPr>
          <w:sz w:val="24"/>
        </w:rPr>
        <w:t>policy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an</w:t>
      </w:r>
      <w:r>
        <w:rPr>
          <w:spacing w:val="11"/>
          <w:sz w:val="24"/>
        </w:rPr>
        <w:t> </w:t>
      </w:r>
      <w:r>
        <w:rPr>
          <w:sz w:val="24"/>
        </w:rPr>
        <w:t>estimated</w:t>
      </w:r>
      <w:r>
        <w:rPr>
          <w:spacing w:val="11"/>
          <w:sz w:val="24"/>
        </w:rPr>
        <w:t> </w:t>
      </w:r>
      <w:r>
        <w:rPr>
          <w:sz w:val="24"/>
        </w:rPr>
        <w:t>DSGE</w:t>
      </w:r>
      <w:r>
        <w:rPr>
          <w:spacing w:val="11"/>
          <w:sz w:val="24"/>
        </w:rPr>
        <w:t> </w:t>
      </w:r>
      <w:r>
        <w:rPr>
          <w:sz w:val="24"/>
        </w:rPr>
        <w:t>model</w:t>
      </w:r>
      <w:r>
        <w:rPr>
          <w:spacing w:val="12"/>
          <w:sz w:val="24"/>
        </w:rPr>
        <w:t> </w:t>
      </w:r>
      <w:r>
        <w:rPr>
          <w:sz w:val="24"/>
        </w:rPr>
        <w:t>for</w:t>
      </w:r>
      <w:r>
        <w:rPr>
          <w:spacing w:val="10"/>
          <w:sz w:val="24"/>
        </w:rPr>
        <w:t> </w:t>
      </w:r>
      <w:r>
        <w:rPr>
          <w:sz w:val="24"/>
        </w:rPr>
        <w:t>Morocco.</w:t>
      </w:r>
      <w:r>
        <w:rPr>
          <w:spacing w:val="19"/>
          <w:sz w:val="24"/>
        </w:rPr>
        <w:t> </w:t>
      </w:r>
      <w:r>
        <w:rPr>
          <w:i/>
          <w:sz w:val="24"/>
        </w:rPr>
        <w:t>British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Science</w:t>
      </w:r>
      <w:r>
        <w:rPr>
          <w:sz w:val="24"/>
        </w:rPr>
        <w:t>, 9(1):</w:t>
      </w:r>
      <w:r>
        <w:rPr>
          <w:spacing w:val="2"/>
          <w:sz w:val="24"/>
        </w:rPr>
        <w:t> </w:t>
      </w:r>
      <w:r>
        <w:rPr>
          <w:sz w:val="24"/>
        </w:rPr>
        <w:t>1-17.</w:t>
      </w:r>
    </w:p>
    <w:p>
      <w:pPr>
        <w:pStyle w:val="BodyText"/>
      </w:pPr>
    </w:p>
    <w:p>
      <w:pPr>
        <w:pStyle w:val="BodyText"/>
        <w:ind w:left="500" w:right="1294"/>
      </w:pPr>
      <w:r>
        <w:rPr/>
        <w:pict>
          <v:rect style="position:absolute;margin-left:398.350006pt;margin-top:26.323153pt;width:3pt;height:.59999pt;mso-position-horizontal-relative:page;mso-position-vertical-relative:paragraph;z-index:15842816" filled="true" fillcolor="#000000" stroked="false">
            <v:fill type="solid"/>
            <w10:wrap type="none"/>
          </v:rect>
        </w:pict>
      </w:r>
      <w:r>
        <w:rPr/>
        <w:t>Anyanwu,</w:t>
      </w:r>
      <w:r>
        <w:rPr>
          <w:spacing w:val="-2"/>
        </w:rPr>
        <w:t> </w:t>
      </w:r>
      <w:r>
        <w:rPr/>
        <w:t>J.C.</w:t>
      </w:r>
      <w:r>
        <w:rPr>
          <w:spacing w:val="-1"/>
        </w:rPr>
        <w:t> </w:t>
      </w:r>
      <w:r>
        <w:rPr/>
        <w:t>(1999).</w:t>
      </w:r>
      <w:r>
        <w:rPr>
          <w:spacing w:val="-2"/>
        </w:rPr>
        <w:t> </w:t>
      </w:r>
      <w:r>
        <w:rPr/>
        <w:t>Fiscal</w:t>
      </w:r>
      <w:r>
        <w:rPr>
          <w:spacing w:val="-1"/>
        </w:rPr>
        <w:t> </w:t>
      </w:r>
      <w:r>
        <w:rPr/>
        <w:t>relations</w:t>
      </w:r>
      <w:r>
        <w:rPr>
          <w:spacing w:val="-2"/>
        </w:rPr>
        <w:t> </w:t>
      </w:r>
      <w:r>
        <w:rPr/>
        <w:t>among</w:t>
      </w:r>
      <w:r>
        <w:rPr>
          <w:spacing w:val="-4"/>
        </w:rPr>
        <w:t> </w:t>
      </w:r>
      <w:r>
        <w:rPr/>
        <w:t>the various</w:t>
      </w:r>
      <w:r>
        <w:rPr>
          <w:spacing w:val="-2"/>
        </w:rPr>
        <w:t> </w:t>
      </w:r>
      <w:r>
        <w:rPr/>
        <w:t>tiers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</w:r>
      <w:r>
        <w:rPr>
          <w:spacing w:val="-57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from:</w:t>
      </w:r>
      <w:hyperlink r:id="rId35">
        <w:r>
          <w:rPr>
            <w:color w:val="0000FF"/>
            <w:u w:val="single" w:color="0000FF"/>
          </w:rPr>
          <w:t>http://www.researchgate.net/publication/263662301</w:t>
        </w:r>
      </w:hyperlink>
      <w:r>
        <w:rPr/>
        <w:t>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00" w:right="1122"/>
      </w:pPr>
      <w:r>
        <w:rPr/>
        <w:t>Anyanwu,</w:t>
      </w:r>
      <w:r>
        <w:rPr>
          <w:spacing w:val="-2"/>
        </w:rPr>
        <w:t> </w:t>
      </w:r>
      <w:r>
        <w:rPr/>
        <w:t>J.C.,</w:t>
      </w:r>
      <w:r>
        <w:rPr>
          <w:spacing w:val="-1"/>
        </w:rPr>
        <w:t> </w:t>
      </w:r>
      <w:r>
        <w:rPr/>
        <w:t>Oyefusi,</w:t>
      </w:r>
      <w:r>
        <w:rPr>
          <w:spacing w:val="1"/>
        </w:rPr>
        <w:t> </w:t>
      </w:r>
      <w:r>
        <w:rPr/>
        <w:t>A.,</w:t>
      </w:r>
      <w:r>
        <w:rPr>
          <w:spacing w:val="-2"/>
        </w:rPr>
        <w:t> </w:t>
      </w:r>
      <w:r>
        <w:rPr/>
        <w:t>Oaikhenan,</w:t>
      </w:r>
      <w:r>
        <w:rPr>
          <w:spacing w:val="1"/>
        </w:rPr>
        <w:t> </w:t>
      </w:r>
      <w:r>
        <w:rPr/>
        <w:t>H.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Dimowo,</w:t>
      </w:r>
      <w:r>
        <w:rPr>
          <w:spacing w:val="-1"/>
        </w:rPr>
        <w:t> </w:t>
      </w:r>
      <w:r>
        <w:rPr/>
        <w:t>F.A.</w:t>
      </w:r>
      <w:r>
        <w:rPr>
          <w:spacing w:val="-1"/>
        </w:rPr>
        <w:t> </w:t>
      </w:r>
      <w:r>
        <w:rPr/>
        <w:t>(1997). The</w:t>
      </w:r>
      <w:r>
        <w:rPr>
          <w:spacing w:val="-1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economy</w:t>
      </w:r>
      <w:r>
        <w:rPr>
          <w:spacing w:val="-3"/>
        </w:rPr>
        <w:t> </w:t>
      </w:r>
      <w:r>
        <w:rPr/>
        <w:t>(1960-1997). Joanee</w:t>
      </w:r>
      <w:r>
        <w:rPr>
          <w:spacing w:val="-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Publishers</w:t>
      </w:r>
      <w:r>
        <w:rPr>
          <w:spacing w:val="1"/>
        </w:rPr>
        <w:t> </w:t>
      </w:r>
      <w:r>
        <w:rPr/>
        <w:t>Ltd.</w:t>
      </w:r>
    </w:p>
    <w:p>
      <w:pPr>
        <w:pStyle w:val="BodyText"/>
        <w:spacing w:before="1"/>
      </w:pPr>
    </w:p>
    <w:p>
      <w:pPr>
        <w:pStyle w:val="BodyText"/>
        <w:ind w:left="500" w:right="496"/>
        <w:jc w:val="both"/>
        <w:rPr>
          <w:i/>
        </w:rPr>
      </w:pPr>
      <w:r>
        <w:rPr>
          <w:spacing w:val="-1"/>
        </w:rPr>
        <w:t>Ascari,</w:t>
      </w:r>
      <w:r>
        <w:rPr>
          <w:spacing w:val="-13"/>
        </w:rPr>
        <w:t> </w:t>
      </w:r>
      <w:r>
        <w:rPr>
          <w:spacing w:val="-1"/>
        </w:rPr>
        <w:t>G.,</w:t>
      </w:r>
      <w:r>
        <w:rPr>
          <w:spacing w:val="-10"/>
        </w:rPr>
        <w:t> </w:t>
      </w:r>
      <w:r>
        <w:rPr>
          <w:spacing w:val="-1"/>
        </w:rPr>
        <w:t>Florio,</w:t>
      </w:r>
      <w:r>
        <w:rPr>
          <w:spacing w:val="-11"/>
        </w:rPr>
        <w:t> </w:t>
      </w:r>
      <w:r>
        <w:rPr/>
        <w:t>A.</w:t>
      </w:r>
      <w:r>
        <w:rPr>
          <w:spacing w:val="-13"/>
        </w:rPr>
        <w:t> </w:t>
      </w:r>
      <w:r>
        <w:rPr/>
        <w:t>and</w:t>
      </w:r>
      <w:r>
        <w:rPr>
          <w:spacing w:val="-9"/>
        </w:rPr>
        <w:t> </w:t>
      </w:r>
      <w:r>
        <w:rPr/>
        <w:t>Gobbi,</w:t>
      </w:r>
      <w:r>
        <w:rPr>
          <w:spacing w:val="-12"/>
        </w:rPr>
        <w:t> </w:t>
      </w:r>
      <w:r>
        <w:rPr/>
        <w:t>A.</w:t>
      </w:r>
      <w:r>
        <w:rPr>
          <w:spacing w:val="-13"/>
        </w:rPr>
        <w:t> </w:t>
      </w:r>
      <w:r>
        <w:rPr/>
        <w:t>(2016).</w:t>
      </w:r>
      <w:r>
        <w:rPr>
          <w:spacing w:val="-12"/>
        </w:rPr>
        <w:t> </w:t>
      </w:r>
      <w:r>
        <w:rPr/>
        <w:t>Monetary</w:t>
      </w:r>
      <w:r>
        <w:rPr>
          <w:spacing w:val="-17"/>
        </w:rPr>
        <w:t> </w:t>
      </w:r>
      <w:r>
        <w:rPr/>
        <w:t>and</w:t>
      </w:r>
      <w:r>
        <w:rPr>
          <w:spacing w:val="-12"/>
        </w:rPr>
        <w:t> </w:t>
      </w:r>
      <w:r>
        <w:rPr/>
        <w:t>fiscal</w:t>
      </w:r>
      <w:r>
        <w:rPr>
          <w:spacing w:val="-11"/>
        </w:rPr>
        <w:t> </w:t>
      </w:r>
      <w:r>
        <w:rPr/>
        <w:t>policy</w:t>
      </w:r>
      <w:r>
        <w:rPr>
          <w:spacing w:val="-17"/>
        </w:rPr>
        <w:t> </w:t>
      </w:r>
      <w:r>
        <w:rPr/>
        <w:t>interactions:</w:t>
      </w:r>
      <w:r>
        <w:rPr>
          <w:spacing w:val="-9"/>
        </w:rPr>
        <w:t> </w:t>
      </w:r>
      <w:r>
        <w:rPr/>
        <w:t>Leeper</w:t>
      </w:r>
      <w:r>
        <w:rPr>
          <w:spacing w:val="-13"/>
        </w:rPr>
        <w:t> </w:t>
      </w:r>
      <w:r>
        <w:rPr/>
        <w:t>(1991)</w:t>
      </w:r>
      <w:r>
        <w:rPr>
          <w:spacing w:val="-58"/>
        </w:rPr>
        <w:t> </w:t>
      </w:r>
      <w:r>
        <w:rPr/>
        <w:t>redux.</w:t>
      </w:r>
      <w:r>
        <w:rPr>
          <w:spacing w:val="1"/>
        </w:rPr>
        <w:t> </w:t>
      </w:r>
      <w:r>
        <w:rPr/>
        <w:t>University of Oxford Department of Economics Discussion Paper Series 788. Available</w:t>
      </w:r>
      <w:r>
        <w:rPr>
          <w:spacing w:val="1"/>
        </w:rPr>
        <w:t> </w:t>
      </w:r>
      <w:r>
        <w:rPr/>
        <w:t>from:</w:t>
      </w:r>
      <w:r>
        <w:rPr>
          <w:spacing w:val="-1"/>
        </w:rPr>
        <w:t> </w:t>
      </w:r>
      <w:hyperlink r:id="rId36">
        <w:r>
          <w:rPr>
            <w:color w:val="0000FF"/>
            <w:u w:val="single" w:color="0000FF"/>
          </w:rPr>
          <w:t>https://www.economics.ox.ac.uk/materials/papers/14431/paper-788.pdf</w:t>
        </w:r>
      </w:hyperlink>
      <w:r>
        <w:rPr>
          <w:i/>
        </w:rPr>
        <w:t>.</w:t>
      </w:r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spacing w:before="90"/>
        <w:ind w:left="500" w:right="492"/>
      </w:pPr>
      <w:r>
        <w:rPr/>
        <w:t>Azzimonti</w:t>
      </w:r>
      <w:r>
        <w:rPr>
          <w:i/>
        </w:rPr>
        <w:t>, </w:t>
      </w:r>
      <w:r>
        <w:rPr/>
        <w:t>M., Battaglini, M and S. Coate</w:t>
      </w:r>
      <w:r>
        <w:rPr>
          <w:i/>
        </w:rPr>
        <w:t>, </w:t>
      </w:r>
      <w:r>
        <w:rPr/>
        <w:t>(2016). The costs and benefits of balanced budget</w:t>
      </w:r>
      <w:r>
        <w:rPr>
          <w:spacing w:val="1"/>
        </w:rPr>
        <w:t> </w:t>
      </w:r>
      <w:r>
        <w:rPr/>
        <w:t>rules:</w:t>
      </w:r>
      <w:r>
        <w:rPr>
          <w:spacing w:val="20"/>
        </w:rPr>
        <w:t> </w:t>
      </w:r>
      <w:r>
        <w:rPr/>
        <w:t>Lessons</w:t>
      </w:r>
      <w:r>
        <w:rPr>
          <w:spacing w:val="17"/>
        </w:rPr>
        <w:t> </w:t>
      </w:r>
      <w:r>
        <w:rPr/>
        <w:t>from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Political</w:t>
      </w:r>
      <w:r>
        <w:rPr>
          <w:spacing w:val="18"/>
        </w:rPr>
        <w:t> </w:t>
      </w:r>
      <w:r>
        <w:rPr/>
        <w:t>Economy</w:t>
      </w:r>
      <w:r>
        <w:rPr>
          <w:spacing w:val="9"/>
        </w:rPr>
        <w:t> </w:t>
      </w:r>
      <w:r>
        <w:rPr/>
        <w:t>Model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Fiscal</w:t>
      </w:r>
      <w:r>
        <w:rPr>
          <w:spacing w:val="17"/>
        </w:rPr>
        <w:t> </w:t>
      </w:r>
      <w:r>
        <w:rPr/>
        <w:t>Policy,</w:t>
      </w:r>
      <w:r>
        <w:rPr>
          <w:spacing w:val="23"/>
        </w:rPr>
        <w:t> </w:t>
      </w:r>
      <w:r>
        <w:rPr>
          <w:i/>
        </w:rPr>
        <w:t>Journal</w:t>
      </w:r>
      <w:r>
        <w:rPr>
          <w:i/>
          <w:spacing w:val="17"/>
        </w:rPr>
        <w:t> </w:t>
      </w:r>
      <w:r>
        <w:rPr>
          <w:i/>
        </w:rPr>
        <w:t>of</w:t>
      </w:r>
      <w:r>
        <w:rPr>
          <w:i/>
          <w:spacing w:val="17"/>
        </w:rPr>
        <w:t> </w:t>
      </w:r>
      <w:r>
        <w:rPr>
          <w:i/>
        </w:rPr>
        <w:t>Public</w:t>
      </w:r>
      <w:r>
        <w:rPr>
          <w:i/>
          <w:spacing w:val="17"/>
        </w:rPr>
        <w:t> </w:t>
      </w:r>
      <w:r>
        <w:rPr>
          <w:i/>
        </w:rPr>
        <w:t>Economics,</w:t>
      </w:r>
      <w:r>
        <w:rPr>
          <w:i/>
          <w:spacing w:val="-57"/>
        </w:rPr>
        <w:t> </w:t>
      </w:r>
      <w:r>
        <w:rPr/>
        <w:t>136:45–61.</w:t>
      </w:r>
    </w:p>
    <w:p>
      <w:pPr>
        <w:pStyle w:val="BodyText"/>
      </w:pPr>
    </w:p>
    <w:p>
      <w:pPr>
        <w:pStyle w:val="BodyText"/>
        <w:ind w:left="500" w:right="851"/>
      </w:pPr>
      <w:r>
        <w:rPr/>
        <w:t>Bartolomeo, G. and Gioacchino, D. (2004). Fiscal-monetary policy coordination and debt</w:t>
      </w:r>
      <w:r>
        <w:rPr>
          <w:spacing w:val="1"/>
        </w:rPr>
        <w:t> </w:t>
      </w:r>
      <w:r>
        <w:rPr/>
        <w:t>management: A two stage dynamic analysis. Università DegliStudi Di Roma “La Sapienza”</w:t>
      </w:r>
      <w:r>
        <w:rPr>
          <w:spacing w:val="1"/>
        </w:rPr>
        <w:t> </w:t>
      </w:r>
      <w:r>
        <w:rPr/>
        <w:t>Dipartimento Di Economia Pubblica Working Paper 74. Available from:</w:t>
      </w:r>
      <w:r>
        <w:rPr>
          <w:spacing w:val="1"/>
        </w:rPr>
        <w:t> </w:t>
      </w:r>
      <w:hyperlink r:id="rId37">
        <w:r>
          <w:rPr>
            <w:color w:val="0000FF"/>
            <w:u w:val="single" w:color="0000FF"/>
          </w:rPr>
          <w:t>https://www.researchgate.net/publication/23747779_Fiscal-</w:t>
        </w:r>
      </w:hyperlink>
      <w:r>
        <w:rPr>
          <w:color w:val="0000FF"/>
          <w:spacing w:val="1"/>
        </w:rPr>
        <w:t> </w:t>
      </w:r>
      <w:hyperlink r:id="rId37">
        <w:r>
          <w:rPr>
            <w:color w:val="0000FF"/>
            <w:spacing w:val="-1"/>
            <w:u w:val="single" w:color="0000FF"/>
          </w:rPr>
          <w:t>Monetary_Policy_Coordination_And_Debt_Management_A_Two_Stage_Dynamic_Analysis</w:t>
        </w:r>
      </w:hyperlink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500" w:right="497"/>
      </w:pPr>
      <w:r>
        <w:rPr/>
        <w:pict>
          <v:rect style="position:absolute;margin-left:324.190002pt;margin-top:17.023113pt;width:3.12pt;height:.600010pt;mso-position-horizontal-relative:page;mso-position-vertical-relative:paragraph;z-index:-21352448" filled="true" fillcolor="#000000" stroked="false">
            <v:fill type="solid"/>
            <w10:wrap type="none"/>
          </v:rect>
        </w:pict>
      </w:r>
      <w:r>
        <w:rPr/>
        <w:t>Barseghyan,</w:t>
      </w:r>
      <w:r>
        <w:rPr>
          <w:spacing w:val="4"/>
        </w:rPr>
        <w:t> </w:t>
      </w:r>
      <w:r>
        <w:rPr/>
        <w:t>L.,</w:t>
      </w:r>
      <w:r>
        <w:rPr>
          <w:spacing w:val="3"/>
        </w:rPr>
        <w:t> </w:t>
      </w:r>
      <w:r>
        <w:rPr/>
        <w:t>Battaglini,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Coate,</w:t>
      </w:r>
      <w:r>
        <w:rPr>
          <w:spacing w:val="2"/>
        </w:rPr>
        <w:t> </w:t>
      </w:r>
      <w:r>
        <w:rPr/>
        <w:t>S.</w:t>
      </w:r>
      <w:r>
        <w:rPr>
          <w:spacing w:val="1"/>
        </w:rPr>
        <w:t> </w:t>
      </w:r>
      <w:r>
        <w:rPr/>
        <w:t>(2013).</w:t>
      </w:r>
      <w:r>
        <w:rPr>
          <w:spacing w:val="5"/>
        </w:rPr>
        <w:t> </w:t>
      </w:r>
      <w:r>
        <w:rPr/>
        <w:t>Fiscal</w:t>
      </w:r>
      <w:r>
        <w:rPr>
          <w:spacing w:val="1"/>
        </w:rPr>
        <w:t> </w:t>
      </w:r>
      <w:r>
        <w:rPr/>
        <w:t>policy</w:t>
      </w:r>
      <w:r>
        <w:rPr>
          <w:spacing w:val="-4"/>
        </w:rPr>
        <w:t> </w:t>
      </w:r>
      <w:r>
        <w:rPr/>
        <w:t>over the</w:t>
      </w:r>
      <w:r>
        <w:rPr>
          <w:spacing w:val="2"/>
        </w:rPr>
        <w:t> </w:t>
      </w:r>
      <w:r>
        <w:rPr/>
        <w:t>real</w:t>
      </w:r>
      <w:r>
        <w:rPr>
          <w:spacing w:val="3"/>
        </w:rPr>
        <w:t> </w:t>
      </w:r>
      <w:r>
        <w:rPr/>
        <w:t>business</w:t>
      </w:r>
      <w:r>
        <w:rPr>
          <w:spacing w:val="1"/>
        </w:rPr>
        <w:t> </w:t>
      </w:r>
      <w:r>
        <w:rPr/>
        <w:t>cycle: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theory.</w:t>
      </w:r>
      <w:r>
        <w:rPr>
          <w:spacing w:val="3"/>
        </w:rPr>
        <w:t> </w:t>
      </w:r>
      <w:hyperlink r:id="rId38">
        <w:r>
          <w:rPr>
            <w:i/>
            <w:color w:val="0000FF"/>
            <w:u w:val="single" w:color="0000FF"/>
          </w:rPr>
          <w:t>Journal of Economic</w:t>
        </w:r>
        <w:r>
          <w:rPr>
            <w:i/>
            <w:color w:val="0000FF"/>
            <w:spacing w:val="-1"/>
            <w:u w:val="single" w:color="0000FF"/>
          </w:rPr>
          <w:t> </w:t>
        </w:r>
        <w:r>
          <w:rPr>
            <w:i/>
            <w:color w:val="0000FF"/>
            <w:u w:val="single" w:color="0000FF"/>
          </w:rPr>
          <w:t>Theory,</w:t>
        </w:r>
      </w:hyperlink>
      <w:r>
        <w:rPr>
          <w:i/>
          <w:color w:val="0000FF"/>
        </w:rPr>
        <w:t> </w:t>
      </w:r>
      <w:r>
        <w:rPr/>
        <w:t>148(6):2223-2265.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00" w:right="503"/>
      </w:pPr>
      <w:r>
        <w:rPr/>
        <w:t>Benigno, P. and Woodford, M. (2004). Optimal monetary and fiscal policy: A linear-quadratic</w:t>
      </w:r>
      <w:r>
        <w:rPr>
          <w:spacing w:val="1"/>
        </w:rPr>
        <w:t> </w:t>
      </w:r>
      <w:r>
        <w:rPr/>
        <w:t>approach.</w:t>
      </w:r>
      <w:r>
        <w:rPr>
          <w:spacing w:val="2"/>
        </w:rPr>
        <w:t> </w:t>
      </w:r>
      <w:r>
        <w:rPr/>
        <w:t>NBER</w:t>
      </w:r>
      <w:r>
        <w:rPr>
          <w:spacing w:val="1"/>
        </w:rPr>
        <w:t> </w:t>
      </w:r>
      <w:r>
        <w:rPr/>
        <w:t>Macroeconomics</w:t>
      </w:r>
      <w:r>
        <w:rPr>
          <w:spacing w:val="1"/>
        </w:rPr>
        <w:t> </w:t>
      </w:r>
      <w:r>
        <w:rPr/>
        <w:t>Annual 2003,</w:t>
      </w:r>
      <w:r>
        <w:rPr>
          <w:spacing w:val="1"/>
        </w:rPr>
        <w:t> </w:t>
      </w:r>
      <w:r>
        <w:rPr/>
        <w:t>Eds</w:t>
      </w:r>
      <w:r>
        <w:rPr>
          <w:spacing w:val="1"/>
        </w:rPr>
        <w:t> </w:t>
      </w:r>
      <w:r>
        <w:rPr/>
        <w:t>Gertler,</w:t>
      </w:r>
      <w:r>
        <w:rPr>
          <w:spacing w:val="-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Rogoff, K. The</w:t>
      </w:r>
      <w:r>
        <w:rPr>
          <w:spacing w:val="-1"/>
        </w:rPr>
        <w:t> </w:t>
      </w:r>
      <w:r>
        <w:rPr/>
        <w:t>MIT</w:t>
      </w:r>
      <w:r>
        <w:rPr>
          <w:spacing w:val="-1"/>
        </w:rPr>
        <w:t> </w:t>
      </w:r>
      <w:r>
        <w:rPr/>
        <w:t>Press.</w:t>
      </w:r>
      <w:r>
        <w:rPr>
          <w:spacing w:val="-57"/>
        </w:rPr>
        <w:t> </w:t>
      </w:r>
      <w:r>
        <w:rPr/>
        <w:t>ISBN:</w:t>
      </w:r>
      <w:r>
        <w:rPr>
          <w:spacing w:val="-1"/>
        </w:rPr>
        <w:t> </w:t>
      </w:r>
      <w:r>
        <w:rPr/>
        <w:t>0-262-07253-X.</w:t>
      </w:r>
      <w:r>
        <w:rPr>
          <w:spacing w:val="1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from:</w:t>
      </w:r>
      <w:r>
        <w:rPr>
          <w:spacing w:val="1"/>
        </w:rPr>
        <w:t> </w:t>
      </w:r>
      <w:hyperlink r:id="rId39">
        <w:r>
          <w:rPr>
            <w:color w:val="0000FF"/>
            <w:u w:val="single" w:color="0000FF"/>
          </w:rPr>
          <w:t>http://www.nber.org/books/gert04-1</w:t>
        </w:r>
      </w:hyperlink>
      <w:r>
        <w:rPr/>
        <w:t>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00" w:right="1085"/>
      </w:pPr>
      <w:r>
        <w:rPr/>
        <w:t>Bergholt, D. (2012). The Basic New Keynesian Model January. Available from:</w:t>
      </w:r>
      <w:r>
        <w:rPr>
          <w:spacing w:val="1"/>
        </w:rPr>
        <w:t> </w:t>
      </w:r>
      <w:hyperlink r:id="rId40">
        <w:r>
          <w:rPr>
            <w:color w:val="0000FF"/>
            <w:spacing w:val="-1"/>
            <w:u w:val="single" w:color="0000FF"/>
          </w:rPr>
          <w:t>https://bergholt.weebly.com/uploads/1/1/8/4/11843961/the_basic_new_keynesian_model_-</w:t>
        </w:r>
      </w:hyperlink>
    </w:p>
    <w:p>
      <w:pPr>
        <w:pStyle w:val="BodyText"/>
        <w:ind w:left="500"/>
      </w:pPr>
      <w:hyperlink r:id="rId40">
        <w:r>
          <w:rPr>
            <w:color w:val="0000FF"/>
            <w:u w:val="single" w:color="0000FF"/>
          </w:rPr>
          <w:t>_drago_bergholt.pdf</w:t>
        </w:r>
        <w:r>
          <w:rPr/>
          <w:t>.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00" w:right="802"/>
        <w:rPr>
          <w:i/>
        </w:rPr>
      </w:pPr>
      <w:r>
        <w:rPr/>
        <w:t>Bianchi, F.</w:t>
      </w:r>
      <w:r>
        <w:rPr>
          <w:spacing w:val="-2"/>
        </w:rPr>
        <w:t> </w:t>
      </w:r>
      <w:r>
        <w:rPr/>
        <w:t>and Ilut,</w:t>
      </w:r>
      <w:r>
        <w:rPr>
          <w:spacing w:val="-1"/>
        </w:rPr>
        <w:t> </w:t>
      </w:r>
      <w:r>
        <w:rPr/>
        <w:t>C.</w:t>
      </w:r>
      <w:r>
        <w:rPr>
          <w:spacing w:val="-2"/>
        </w:rPr>
        <w:t> </w:t>
      </w:r>
      <w:r>
        <w:rPr/>
        <w:t>(2016).</w:t>
      </w:r>
      <w:r>
        <w:rPr>
          <w:spacing w:val="-2"/>
        </w:rPr>
        <w:t> </w:t>
      </w:r>
      <w:r>
        <w:rPr/>
        <w:t>Monetary/fiscal</w:t>
      </w:r>
      <w:r>
        <w:rPr>
          <w:spacing w:val="-1"/>
        </w:rPr>
        <w:t> </w:t>
      </w:r>
      <w:r>
        <w:rPr/>
        <w:t>policy</w:t>
      </w:r>
      <w:r>
        <w:rPr>
          <w:spacing w:val="-7"/>
        </w:rPr>
        <w:t> </w:t>
      </w:r>
      <w:r>
        <w:rPr/>
        <w:t>mix and</w:t>
      </w:r>
      <w:r>
        <w:rPr>
          <w:spacing w:val="-1"/>
        </w:rPr>
        <w:t> </w:t>
      </w:r>
      <w:r>
        <w:rPr/>
        <w:t>agents</w:t>
      </w:r>
      <w:r>
        <w:rPr>
          <w:spacing w:val="-2"/>
        </w:rPr>
        <w:t> </w:t>
      </w:r>
      <w:r>
        <w:rPr/>
        <w:t>beliefs.</w:t>
      </w:r>
      <w:r>
        <w:rPr>
          <w:spacing w:val="-2"/>
        </w:rPr>
        <w:t> </w:t>
      </w:r>
      <w:r>
        <w:rPr/>
        <w:t>Available from:</w:t>
      </w:r>
      <w:r>
        <w:rPr>
          <w:spacing w:val="-57"/>
        </w:rPr>
        <w:t> </w:t>
      </w:r>
      <w:hyperlink r:id="rId41">
        <w:r>
          <w:rPr>
            <w:color w:val="0000FF"/>
            <w:u w:val="single" w:color="0000FF"/>
          </w:rPr>
          <w:t>www.nber.org/papers/w20194</w:t>
        </w:r>
        <w:r>
          <w:rPr>
            <w:i/>
          </w:rPr>
          <w:t>.</w:t>
        </w:r>
      </w:hyperlink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0"/>
        </w:rPr>
      </w:pPr>
    </w:p>
    <w:p>
      <w:pPr>
        <w:pStyle w:val="BodyText"/>
        <w:tabs>
          <w:tab w:pos="2645" w:val="left" w:leader="none"/>
          <w:tab w:pos="4936" w:val="left" w:leader="none"/>
          <w:tab w:pos="7509" w:val="left" w:leader="none"/>
          <w:tab w:pos="9327" w:val="left" w:leader="none"/>
        </w:tabs>
        <w:spacing w:before="90"/>
        <w:ind w:left="500" w:right="498"/>
      </w:pPr>
      <w:r>
        <w:rPr/>
        <w:t>Blanchard, O.J. and Kahn, C.M. (1980). The solution of linear difference models under rational</w:t>
      </w:r>
      <w:r>
        <w:rPr>
          <w:spacing w:val="1"/>
        </w:rPr>
        <w:t> </w:t>
      </w:r>
      <w:r>
        <w:rPr/>
        <w:t>expectations.</w:t>
        <w:tab/>
      </w:r>
      <w:r>
        <w:rPr>
          <w:i/>
        </w:rPr>
        <w:t>Econometrica,</w:t>
        <w:tab/>
      </w:r>
      <w:r>
        <w:rPr/>
        <w:t>48(5):1305-1311.</w:t>
        <w:tab/>
        <w:t>Available</w:t>
        <w:tab/>
      </w:r>
      <w:r>
        <w:rPr>
          <w:spacing w:val="-1"/>
        </w:rPr>
        <w:t>from:</w:t>
      </w:r>
      <w:r>
        <w:rPr>
          <w:spacing w:val="-57"/>
        </w:rPr>
        <w:t> </w:t>
      </w:r>
      <w:hyperlink r:id="rId42">
        <w:r>
          <w:rPr/>
          <w:t>http://www.jstor.org/stable/1912186.</w:t>
        </w:r>
        <w:r>
          <w:rPr>
            <w:spacing w:val="-1"/>
          </w:rPr>
          <w:t> </w:t>
        </w:r>
      </w:hyperlink>
      <w:r>
        <w:rPr/>
        <w:t>.</w:t>
      </w:r>
    </w:p>
    <w:p>
      <w:pPr>
        <w:spacing w:after="0"/>
        <w:sectPr>
          <w:pgSz w:w="12240" w:h="15840"/>
          <w:pgMar w:header="0" w:footer="935" w:top="1500" w:bottom="1200" w:left="940" w:right="940"/>
        </w:sectPr>
      </w:pPr>
    </w:p>
    <w:p>
      <w:pPr>
        <w:pStyle w:val="BodyText"/>
        <w:spacing w:before="72"/>
        <w:ind w:left="500"/>
      </w:pPr>
      <w:r>
        <w:rPr/>
        <w:t>Blinder, A.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(1982).</w:t>
      </w:r>
      <w:r>
        <w:rPr>
          <w:spacing w:val="4"/>
        </w:rPr>
        <w:t> </w:t>
      </w:r>
      <w:hyperlink r:id="rId43">
        <w:r>
          <w:rPr>
            <w:color w:val="0000FF"/>
            <w:u w:val="single" w:color="0000FF"/>
          </w:rPr>
          <w:t>Issues</w:t>
        </w:r>
        <w:r>
          <w:rPr>
            <w:color w:val="0000FF"/>
            <w:spacing w:val="2"/>
            <w:u w:val="single" w:color="0000FF"/>
          </w:rPr>
          <w:t> </w:t>
        </w:r>
        <w:r>
          <w:rPr>
            <w:color w:val="0000FF"/>
            <w:u w:val="single" w:color="0000FF"/>
          </w:rPr>
          <w:t>in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the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coordination</w:t>
        </w:r>
        <w:r>
          <w:rPr>
            <w:color w:val="0000FF"/>
            <w:spacing w:val="2"/>
            <w:u w:val="single" w:color="0000FF"/>
          </w:rPr>
          <w:t> </w:t>
        </w:r>
        <w:r>
          <w:rPr>
            <w:color w:val="0000FF"/>
            <w:u w:val="single" w:color="0000FF"/>
          </w:rPr>
          <w:t>of monetary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and</w:t>
        </w:r>
        <w:r>
          <w:rPr>
            <w:color w:val="0000FF"/>
            <w:spacing w:val="3"/>
            <w:u w:val="single" w:color="0000FF"/>
          </w:rPr>
          <w:t> </w:t>
        </w:r>
        <w:r>
          <w:rPr>
            <w:color w:val="0000FF"/>
            <w:u w:val="single" w:color="0000FF"/>
          </w:rPr>
          <w:t>fiscal</w:t>
        </w:r>
        <w:r>
          <w:rPr>
            <w:color w:val="0000FF"/>
            <w:spacing w:val="2"/>
            <w:u w:val="single" w:color="0000FF"/>
          </w:rPr>
          <w:t> </w:t>
        </w:r>
        <w:r>
          <w:rPr>
            <w:color w:val="0000FF"/>
            <w:u w:val="single" w:color="0000FF"/>
          </w:rPr>
          <w:t>policies</w:t>
        </w:r>
      </w:hyperlink>
      <w:r>
        <w:rPr/>
        <w:t>.</w:t>
      </w:r>
      <w:r>
        <w:rPr>
          <w:spacing w:val="4"/>
        </w:rPr>
        <w:t> </w:t>
      </w:r>
      <w:r>
        <w:rPr/>
        <w:t>In:</w:t>
      </w:r>
      <w:r>
        <w:rPr>
          <w:spacing w:val="1"/>
        </w:rPr>
        <w:t> </w:t>
      </w:r>
      <w:r>
        <w:rPr/>
        <w:t>Proceedings-</w:t>
      </w:r>
      <w:r>
        <w:rPr>
          <w:spacing w:val="-57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Policy</w:t>
      </w:r>
      <w:r>
        <w:rPr>
          <w:spacing w:val="-5"/>
        </w:rPr>
        <w:t> </w:t>
      </w:r>
      <w:r>
        <w:rPr/>
        <w:t>Symposium-, Federal Reserve</w:t>
      </w:r>
      <w:r>
        <w:rPr>
          <w:spacing w:val="-1"/>
        </w:rPr>
        <w:t> </w:t>
      </w:r>
      <w:r>
        <w:rPr/>
        <w:t>Bank of</w:t>
      </w:r>
      <w:r>
        <w:rPr>
          <w:spacing w:val="-1"/>
        </w:rPr>
        <w:t> </w:t>
      </w:r>
      <w:r>
        <w:rPr/>
        <w:t>Kansas</w:t>
      </w:r>
      <w:r>
        <w:rPr>
          <w:spacing w:val="-1"/>
        </w:rPr>
        <w:t> </w:t>
      </w:r>
      <w:r>
        <w:rPr/>
        <w:t>City, pp: 3-46.</w:t>
      </w:r>
    </w:p>
    <w:p>
      <w:pPr>
        <w:pStyle w:val="BodyText"/>
      </w:pPr>
    </w:p>
    <w:p>
      <w:pPr>
        <w:pStyle w:val="BodyText"/>
        <w:tabs>
          <w:tab w:pos="1642" w:val="left" w:leader="none"/>
          <w:tab w:pos="2707" w:val="left" w:leader="none"/>
          <w:tab w:pos="3359" w:val="left" w:leader="none"/>
          <w:tab w:pos="4103" w:val="left" w:leader="none"/>
          <w:tab w:pos="5584" w:val="left" w:leader="none"/>
          <w:tab w:pos="6736" w:val="left" w:leader="none"/>
          <w:tab w:pos="7940" w:val="left" w:leader="none"/>
          <w:tab w:pos="9324" w:val="left" w:leader="none"/>
        </w:tabs>
        <w:ind w:left="500" w:right="501"/>
      </w:pPr>
      <w:r>
        <w:rPr/>
        <w:t>Budget</w:t>
        <w:tab/>
        <w:t>Office</w:t>
        <w:tab/>
        <w:t>of</w:t>
        <w:tab/>
        <w:t>the</w:t>
        <w:tab/>
        <w:t>Federation</w:t>
        <w:tab/>
        <w:t>(2016).</w:t>
        <w:tab/>
        <w:t>Budget.</w:t>
        <w:tab/>
        <w:t>Available</w:t>
        <w:tab/>
      </w:r>
      <w:r>
        <w:rPr>
          <w:spacing w:val="-1"/>
        </w:rPr>
        <w:t>from:</w:t>
      </w:r>
      <w:r>
        <w:rPr>
          <w:spacing w:val="-57"/>
        </w:rPr>
        <w:t> </w:t>
      </w:r>
      <w:hyperlink r:id="rId44">
        <w:r>
          <w:rPr>
            <w:color w:val="0000FF"/>
            <w:u w:val="single" w:color="0000FF"/>
          </w:rPr>
          <w:t>http://www.budgetoffice.gov.ng/index.php/resources/internal-resources/budget-documents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00" w:right="498"/>
      </w:pPr>
      <w:r>
        <w:rPr/>
        <w:t>Buiter, W.</w:t>
      </w:r>
      <w:r>
        <w:rPr>
          <w:spacing w:val="2"/>
        </w:rPr>
        <w:t> </w:t>
      </w:r>
      <w:r>
        <w:rPr/>
        <w:t>(1999). The fallacy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the fiscal</w:t>
      </w:r>
      <w:r>
        <w:rPr>
          <w:spacing w:val="2"/>
        </w:rPr>
        <w:t> </w:t>
      </w:r>
      <w:r>
        <w:rPr/>
        <w:t>theory</w:t>
      </w:r>
      <w:r>
        <w:rPr>
          <w:spacing w:val="-1"/>
        </w:rPr>
        <w:t> </w:t>
      </w:r>
      <w:r>
        <w:rPr/>
        <w:t>of the</w:t>
      </w:r>
      <w:r>
        <w:rPr>
          <w:spacing w:val="1"/>
        </w:rPr>
        <w:t> </w:t>
      </w:r>
      <w:r>
        <w:rPr/>
        <w:t>price level.</w:t>
      </w:r>
      <w:r>
        <w:rPr>
          <w:spacing w:val="2"/>
        </w:rPr>
        <w:t> </w:t>
      </w:r>
      <w:r>
        <w:rPr/>
        <w:t>NBER</w:t>
      </w:r>
      <w:r>
        <w:rPr>
          <w:spacing w:val="1"/>
        </w:rPr>
        <w:t> </w:t>
      </w:r>
      <w:r>
        <w:rPr/>
        <w:t>Working</w:t>
      </w:r>
      <w:r>
        <w:rPr>
          <w:spacing w:val="-1"/>
        </w:rPr>
        <w:t> </w:t>
      </w:r>
      <w:r>
        <w:rPr/>
        <w:t>Paper</w:t>
      </w:r>
      <w:r>
        <w:rPr>
          <w:spacing w:val="1"/>
        </w:rPr>
        <w:t> </w:t>
      </w:r>
      <w:r>
        <w:rPr/>
        <w:t>7302.</w:t>
      </w:r>
      <w:r>
        <w:rPr>
          <w:spacing w:val="-57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from: </w:t>
      </w:r>
      <w:hyperlink r:id="rId45">
        <w:r>
          <w:rPr>
            <w:color w:val="0000FF"/>
            <w:u w:val="single" w:color="0000FF"/>
          </w:rPr>
          <w:t>www.nber.org/papers/w7302</w:t>
        </w:r>
      </w:hyperlink>
    </w:p>
    <w:p>
      <w:pPr>
        <w:pStyle w:val="BodyText"/>
        <w:spacing w:before="2"/>
        <w:rPr>
          <w:sz w:val="16"/>
        </w:rPr>
      </w:pPr>
    </w:p>
    <w:p>
      <w:pPr>
        <w:spacing w:before="90"/>
        <w:ind w:left="500" w:right="0" w:firstLine="0"/>
        <w:jc w:val="left"/>
        <w:rPr>
          <w:i/>
          <w:sz w:val="24"/>
        </w:rPr>
      </w:pPr>
      <w:r>
        <w:rPr>
          <w:sz w:val="24"/>
        </w:rPr>
        <w:t>Buiter,</w:t>
      </w:r>
      <w:r>
        <w:rPr>
          <w:spacing w:val="-1"/>
          <w:sz w:val="24"/>
        </w:rPr>
        <w:t> </w:t>
      </w:r>
      <w:r>
        <w:rPr>
          <w:sz w:val="24"/>
        </w:rPr>
        <w:t>W.H.</w:t>
      </w:r>
      <w:r>
        <w:rPr>
          <w:spacing w:val="-1"/>
          <w:sz w:val="24"/>
        </w:rPr>
        <w:t> </w:t>
      </w:r>
      <w:r>
        <w:rPr>
          <w:sz w:val="24"/>
        </w:rPr>
        <w:t>(2002).</w:t>
      </w:r>
      <w:r>
        <w:rPr>
          <w:spacing w:val="-1"/>
          <w:sz w:val="24"/>
        </w:rPr>
        <w:t> </w:t>
      </w:r>
      <w:r>
        <w:rPr>
          <w:sz w:val="24"/>
        </w:rPr>
        <w:t>The fiscal theory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price level: A</w:t>
      </w:r>
      <w:r>
        <w:rPr>
          <w:spacing w:val="-1"/>
          <w:sz w:val="24"/>
        </w:rPr>
        <w:t> </w:t>
      </w:r>
      <w:r>
        <w:rPr>
          <w:sz w:val="24"/>
        </w:rPr>
        <w:t>critique.</w:t>
      </w:r>
      <w:r>
        <w:rPr>
          <w:spacing w:val="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Journal,</w:t>
      </w:r>
    </w:p>
    <w:p>
      <w:pPr>
        <w:pStyle w:val="BodyText"/>
        <w:ind w:left="500"/>
      </w:pPr>
      <w:r>
        <w:rPr/>
        <w:t>112(481):</w:t>
      </w:r>
      <w:r>
        <w:rPr>
          <w:spacing w:val="-2"/>
        </w:rPr>
        <w:t> </w:t>
      </w:r>
      <w:r>
        <w:rPr/>
        <w:t>459-480.</w:t>
      </w:r>
    </w:p>
    <w:p>
      <w:pPr>
        <w:pStyle w:val="BodyText"/>
      </w:pPr>
    </w:p>
    <w:p>
      <w:pPr>
        <w:spacing w:before="0"/>
        <w:ind w:left="500" w:right="790" w:firstLine="0"/>
        <w:jc w:val="left"/>
        <w:rPr>
          <w:sz w:val="24"/>
        </w:rPr>
      </w:pPr>
      <w:r>
        <w:rPr>
          <w:sz w:val="24"/>
        </w:rPr>
        <w:t>Calvo,</w:t>
      </w:r>
      <w:r>
        <w:rPr>
          <w:spacing w:val="-2"/>
          <w:sz w:val="24"/>
        </w:rPr>
        <w:t> </w:t>
      </w:r>
      <w:r>
        <w:rPr>
          <w:sz w:val="24"/>
        </w:rPr>
        <w:t>G.A.</w:t>
      </w:r>
      <w:r>
        <w:rPr>
          <w:spacing w:val="-1"/>
          <w:sz w:val="24"/>
        </w:rPr>
        <w:t> </w:t>
      </w:r>
      <w:r>
        <w:rPr>
          <w:sz w:val="24"/>
        </w:rPr>
        <w:t>(1983).</w:t>
      </w:r>
      <w:r>
        <w:rPr>
          <w:spacing w:val="-2"/>
          <w:sz w:val="24"/>
        </w:rPr>
        <w:t> </w:t>
      </w:r>
      <w:r>
        <w:rPr>
          <w:sz w:val="24"/>
        </w:rPr>
        <w:t>Staggered</w:t>
      </w:r>
      <w:r>
        <w:rPr>
          <w:spacing w:val="-1"/>
          <w:sz w:val="24"/>
        </w:rPr>
        <w:t> </w:t>
      </w:r>
      <w:r>
        <w:rPr>
          <w:sz w:val="24"/>
        </w:rPr>
        <w:t>prices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utility-maximizing</w:t>
      </w:r>
      <w:r>
        <w:rPr>
          <w:spacing w:val="-3"/>
          <w:sz w:val="24"/>
        </w:rPr>
        <w:t> </w:t>
      </w:r>
      <w:r>
        <w:rPr>
          <w:sz w:val="24"/>
        </w:rPr>
        <w:t>framework.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Monetary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Economics,</w:t>
      </w:r>
      <w:r>
        <w:rPr>
          <w:i/>
          <w:spacing w:val="-1"/>
          <w:sz w:val="24"/>
        </w:rPr>
        <w:t> </w:t>
      </w:r>
      <w:r>
        <w:rPr>
          <w:sz w:val="24"/>
        </w:rPr>
        <w:t>12: 383-398.</w:t>
      </w:r>
    </w:p>
    <w:p>
      <w:pPr>
        <w:pStyle w:val="BodyText"/>
        <w:spacing w:before="1"/>
      </w:pPr>
    </w:p>
    <w:p>
      <w:pPr>
        <w:pStyle w:val="BodyText"/>
        <w:ind w:left="500" w:right="495"/>
      </w:pPr>
      <w:r>
        <w:rPr/>
        <w:t>Canzoneri,M.B, Cumby R E. and Diba, B.T. (2001). Is the price level determined by the needs of</w:t>
      </w:r>
      <w:r>
        <w:rPr>
          <w:spacing w:val="-57"/>
        </w:rPr>
        <w:t> </w:t>
      </w:r>
      <w:r>
        <w:rPr/>
        <w:t>fiscal</w:t>
      </w:r>
      <w:r>
        <w:rPr>
          <w:spacing w:val="-1"/>
        </w:rPr>
        <w:t> </w:t>
      </w:r>
      <w:r>
        <w:rPr/>
        <w:t>solvency?</w:t>
      </w:r>
      <w:r>
        <w:rPr>
          <w:spacing w:val="4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American</w:t>
      </w:r>
      <w:r>
        <w:rPr>
          <w:i/>
          <w:spacing w:val="-1"/>
        </w:rPr>
        <w:t> </w:t>
      </w:r>
      <w:r>
        <w:rPr>
          <w:i/>
        </w:rPr>
        <w:t>Economic</w:t>
      </w:r>
      <w:r>
        <w:rPr>
          <w:i/>
          <w:spacing w:val="-1"/>
        </w:rPr>
        <w:t> </w:t>
      </w:r>
      <w:r>
        <w:rPr>
          <w:i/>
        </w:rPr>
        <w:t>Review,</w:t>
      </w:r>
      <w:r>
        <w:rPr>
          <w:i/>
          <w:spacing w:val="3"/>
        </w:rPr>
        <w:t> </w:t>
      </w:r>
      <w:r>
        <w:rPr/>
        <w:t>91(5):1221-1238.</w:t>
      </w:r>
    </w:p>
    <w:p>
      <w:pPr>
        <w:pStyle w:val="BodyText"/>
      </w:pPr>
    </w:p>
    <w:p>
      <w:pPr>
        <w:pStyle w:val="BodyText"/>
        <w:ind w:left="500" w:right="1301"/>
      </w:pPr>
      <w:r>
        <w:rPr/>
        <w:t>Carlson, K.M. (1982). The mix of monetary and fiscal policies: conventional wisdom vs.</w:t>
      </w:r>
      <w:r>
        <w:rPr>
          <w:spacing w:val="-57"/>
        </w:rPr>
        <w:t> </w:t>
      </w:r>
      <w:r>
        <w:rPr/>
        <w:t>empirical</w:t>
      </w:r>
      <w:r>
        <w:rPr>
          <w:spacing w:val="-1"/>
        </w:rPr>
        <w:t> </w:t>
      </w:r>
      <w:r>
        <w:rPr/>
        <w:t>reality.</w:t>
      </w:r>
      <w:r>
        <w:rPr>
          <w:spacing w:val="1"/>
        </w:rPr>
        <w:t> </w:t>
      </w:r>
      <w:r>
        <w:rPr>
          <w:i/>
        </w:rPr>
        <w:t>Review,</w:t>
      </w:r>
      <w:r>
        <w:rPr>
          <w:i/>
          <w:spacing w:val="3"/>
        </w:rPr>
        <w:t> </w:t>
      </w:r>
      <w:r>
        <w:rPr/>
        <w:t>64(8):7-21.</w:t>
      </w:r>
    </w:p>
    <w:p>
      <w:pPr>
        <w:pStyle w:val="BodyText"/>
      </w:pPr>
    </w:p>
    <w:p>
      <w:pPr>
        <w:spacing w:before="0"/>
        <w:ind w:left="500" w:right="809" w:firstLine="0"/>
        <w:jc w:val="left"/>
        <w:rPr>
          <w:sz w:val="24"/>
        </w:rPr>
      </w:pPr>
      <w:r>
        <w:rPr>
          <w:sz w:val="24"/>
        </w:rPr>
        <w:t>Cass, D. (1965). Optimum growth in an aggregative model of capital accumulation. </w:t>
      </w:r>
      <w:r>
        <w:rPr>
          <w:i/>
          <w:sz w:val="24"/>
        </w:rPr>
        <w:t>Review of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Studies, </w:t>
      </w:r>
      <w:r>
        <w:rPr>
          <w:sz w:val="24"/>
        </w:rPr>
        <w:t>32: 233-240.</w:t>
      </w:r>
    </w:p>
    <w:p>
      <w:pPr>
        <w:pStyle w:val="BodyText"/>
      </w:pPr>
    </w:p>
    <w:p>
      <w:pPr>
        <w:pStyle w:val="BodyText"/>
        <w:ind w:left="500"/>
      </w:pPr>
      <w:r>
        <w:rPr/>
        <w:t>Cazacu,</w:t>
      </w:r>
      <w:r>
        <w:rPr>
          <w:spacing w:val="-1"/>
        </w:rPr>
        <w:t> </w:t>
      </w:r>
      <w:r>
        <w:rPr/>
        <w:t>A.,</w:t>
      </w:r>
      <w:r>
        <w:rPr>
          <w:spacing w:val="-1"/>
        </w:rPr>
        <w:t> </w:t>
      </w:r>
      <w:r>
        <w:rPr/>
        <w:t>(2015).</w:t>
      </w:r>
      <w:r>
        <w:rPr>
          <w:spacing w:val="1"/>
        </w:rPr>
        <w:t> </w:t>
      </w:r>
      <w:r>
        <w:rPr/>
        <w:t>Fiscal</w:t>
      </w:r>
      <w:r>
        <w:rPr>
          <w:i/>
        </w:rPr>
        <w:t>-</w:t>
      </w:r>
      <w:r>
        <w:rPr/>
        <w:t>monetary</w:t>
      </w:r>
      <w:r>
        <w:rPr>
          <w:spacing w:val="-5"/>
        </w:rPr>
        <w:t> </w:t>
      </w:r>
      <w:r>
        <w:rPr/>
        <w:t>policy</w:t>
      </w:r>
      <w:r>
        <w:rPr>
          <w:spacing w:val="-6"/>
        </w:rPr>
        <w:t> </w:t>
      </w:r>
      <w:r>
        <w:rPr/>
        <w:t>interaction. SVAR</w:t>
      </w:r>
      <w:r>
        <w:rPr>
          <w:spacing w:val="-1"/>
        </w:rPr>
        <w:t> </w:t>
      </w:r>
      <w:r>
        <w:rPr/>
        <w:t>Evidence</w:t>
      </w:r>
      <w:r>
        <w:rPr>
          <w:spacing w:val="-2"/>
        </w:rPr>
        <w:t> </w:t>
      </w:r>
      <w:r>
        <w:rPr/>
        <w:t>from a</w:t>
      </w:r>
      <w:r>
        <w:rPr>
          <w:spacing w:val="-1"/>
        </w:rPr>
        <w:t> </w:t>
      </w:r>
      <w:r>
        <w:rPr/>
        <w:t>CEE</w:t>
      </w:r>
      <w:r>
        <w:rPr>
          <w:spacing w:val="-1"/>
        </w:rPr>
        <w:t> </w:t>
      </w:r>
      <w:r>
        <w:rPr/>
        <w:t>country.</w:t>
      </w:r>
    </w:p>
    <w:p>
      <w:pPr>
        <w:spacing w:before="1"/>
        <w:ind w:left="500" w:right="0" w:firstLine="0"/>
        <w:jc w:val="left"/>
        <w:rPr>
          <w:sz w:val="24"/>
        </w:rPr>
      </w:pPr>
      <w:r>
        <w:rPr>
          <w:i/>
          <w:sz w:val="24"/>
        </w:rPr>
        <w:t>European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Journal, </w:t>
      </w:r>
      <w:r>
        <w:rPr>
          <w:sz w:val="24"/>
        </w:rPr>
        <w:t>:12-23.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500" w:right="850"/>
        <w:rPr>
          <w:i/>
        </w:rPr>
      </w:pPr>
      <w:r>
        <w:rPr/>
        <w:t>Çebi,</w:t>
      </w:r>
      <w:r>
        <w:rPr>
          <w:spacing w:val="-2"/>
        </w:rPr>
        <w:t> </w:t>
      </w:r>
      <w:r>
        <w:rPr/>
        <w:t>C.</w:t>
      </w:r>
      <w:r>
        <w:rPr>
          <w:spacing w:val="-1"/>
        </w:rPr>
        <w:t> </w:t>
      </w:r>
      <w:r>
        <w:rPr/>
        <w:t>(2011).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monetary</w:t>
      </w:r>
      <w:r>
        <w:rPr>
          <w:spacing w:val="-4"/>
        </w:rPr>
        <w:t> </w:t>
      </w:r>
      <w:r>
        <w:rPr/>
        <w:t>and fiscal</w:t>
      </w:r>
      <w:r>
        <w:rPr>
          <w:spacing w:val="-1"/>
        </w:rPr>
        <w:t> </w:t>
      </w:r>
      <w:r>
        <w:rPr/>
        <w:t>policies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turkey: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estimated</w:t>
      </w:r>
      <w:r>
        <w:rPr>
          <w:spacing w:val="-57"/>
        </w:rPr>
        <w:t> </w:t>
      </w:r>
      <w:r>
        <w:rPr/>
        <w:t>new</w:t>
      </w:r>
      <w:r>
        <w:rPr>
          <w:spacing w:val="2"/>
        </w:rPr>
        <w:t> </w:t>
      </w:r>
      <w:r>
        <w:rPr/>
        <w:t>Keynesian</w:t>
      </w:r>
      <w:r>
        <w:rPr>
          <w:spacing w:val="3"/>
        </w:rPr>
        <w:t> </w:t>
      </w:r>
      <w:r>
        <w:rPr/>
        <w:t>DSGE</w:t>
      </w:r>
      <w:r>
        <w:rPr>
          <w:spacing w:val="2"/>
        </w:rPr>
        <w:t> </w:t>
      </w:r>
      <w:r>
        <w:rPr/>
        <w:t>model.</w:t>
      </w:r>
      <w:r>
        <w:rPr>
          <w:spacing w:val="3"/>
        </w:rPr>
        <w:t> </w:t>
      </w:r>
      <w:r>
        <w:rPr/>
        <w:t>Central</w:t>
      </w:r>
      <w:r>
        <w:rPr>
          <w:spacing w:val="3"/>
        </w:rPr>
        <w:t> </w:t>
      </w:r>
      <w:r>
        <w:rPr/>
        <w:t>Bank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Republic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Turkey</w:t>
      </w:r>
      <w:r>
        <w:rPr>
          <w:spacing w:val="-2"/>
        </w:rPr>
        <w:t> </w:t>
      </w:r>
      <w:r>
        <w:rPr/>
        <w:t>Working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11(04).</w:t>
      </w:r>
      <w:r>
        <w:rPr>
          <w:spacing w:val="-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from:</w:t>
      </w:r>
      <w:r>
        <w:rPr>
          <w:spacing w:val="3"/>
        </w:rPr>
        <w:t> </w:t>
      </w:r>
      <w:hyperlink r:id="rId46">
        <w:r>
          <w:rPr>
            <w:color w:val="0000FF"/>
            <w:u w:val="single" w:color="0000FF"/>
          </w:rPr>
          <w:t>https://ideas.repec.org/p/tcb/wpaper/1104.html</w:t>
        </w:r>
      </w:hyperlink>
      <w:r>
        <w:rPr>
          <w:i/>
        </w:rPr>
        <w:t>.</w:t>
      </w:r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spacing w:before="90"/>
        <w:ind w:left="500" w:right="498"/>
        <w:jc w:val="both"/>
        <w:rPr>
          <w:i/>
        </w:rPr>
      </w:pPr>
      <w:r>
        <w:rPr/>
        <w:t>Cekin, S.E. (2013). Monetary and fiscal</w:t>
      </w:r>
      <w:r>
        <w:rPr>
          <w:spacing w:val="1"/>
        </w:rPr>
        <w:t> </w:t>
      </w:r>
      <w:r>
        <w:rPr/>
        <w:t>policy interactions in turkey:</w:t>
      </w:r>
      <w:r>
        <w:rPr>
          <w:spacing w:val="1"/>
        </w:rPr>
        <w:t> </w:t>
      </w:r>
      <w:r>
        <w:rPr/>
        <w:t>A Markov switching</w:t>
      </w:r>
      <w:r>
        <w:rPr>
          <w:spacing w:val="1"/>
        </w:rPr>
        <w:t> </w:t>
      </w:r>
      <w:r>
        <w:rPr/>
        <w:t>approach. In: Thirteenth Annual Missouri Economics Conference.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Missouri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the Research Division of the Federal Reserve Bank of St. Louis, 22 - 23 March 2013. Available</w:t>
      </w:r>
      <w:r>
        <w:rPr>
          <w:spacing w:val="1"/>
        </w:rPr>
        <w:t> </w:t>
      </w:r>
      <w:r>
        <w:rPr/>
        <w:t>from:</w:t>
      </w:r>
      <w:r>
        <w:rPr>
          <w:spacing w:val="-2"/>
        </w:rPr>
        <w:t> </w:t>
      </w:r>
      <w:hyperlink r:id="rId47">
        <w:r>
          <w:rPr>
            <w:color w:val="0000FF"/>
            <w:u w:val="single" w:color="0000FF"/>
          </w:rPr>
          <w:t>https://files.stlouisfed.org/files/htdocs/.../2013/Cekin_FRB_conference%20paper.pdf</w:t>
        </w:r>
      </w:hyperlink>
      <w:r>
        <w:rPr>
          <w:i/>
        </w:rPr>
        <w:t>.</w:t>
      </w:r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spacing w:before="90"/>
        <w:ind w:left="500" w:right="497"/>
      </w:pPr>
      <w:r>
        <w:rPr/>
        <w:t>Central</w:t>
      </w:r>
      <w:r>
        <w:rPr>
          <w:spacing w:val="60"/>
        </w:rPr>
        <w:t> </w:t>
      </w:r>
      <w:r>
        <w:rPr/>
        <w:t>Bank</w:t>
      </w:r>
      <w:r>
        <w:rPr>
          <w:spacing w:val="59"/>
        </w:rPr>
        <w:t> </w:t>
      </w:r>
      <w:r>
        <w:rPr/>
        <w:t>of</w:t>
      </w:r>
      <w:r>
        <w:rPr>
          <w:spacing w:val="59"/>
        </w:rPr>
        <w:t> </w:t>
      </w:r>
      <w:r>
        <w:rPr/>
        <w:t>Nigeria</w:t>
      </w:r>
      <w:r>
        <w:rPr>
          <w:spacing w:val="58"/>
        </w:rPr>
        <w:t> </w:t>
      </w:r>
      <w:r>
        <w:rPr/>
        <w:t>(1958).</w:t>
      </w:r>
      <w:r>
        <w:rPr>
          <w:spacing w:val="59"/>
        </w:rPr>
        <w:t> </w:t>
      </w:r>
      <w:r>
        <w:rPr/>
        <w:t>Central</w:t>
      </w:r>
      <w:r>
        <w:rPr>
          <w:spacing w:val="60"/>
        </w:rPr>
        <w:t> </w:t>
      </w:r>
      <w:r>
        <w:rPr/>
        <w:t>Bank</w:t>
      </w:r>
      <w:r>
        <w:rPr>
          <w:spacing w:val="59"/>
        </w:rPr>
        <w:t> </w:t>
      </w:r>
      <w:r>
        <w:rPr/>
        <w:t>of</w:t>
      </w:r>
      <w:r>
        <w:rPr>
          <w:spacing w:val="59"/>
        </w:rPr>
        <w:t> </w:t>
      </w:r>
      <w:r>
        <w:rPr/>
        <w:t>Nigeria</w:t>
      </w:r>
      <w:r>
        <w:rPr>
          <w:spacing w:val="58"/>
        </w:rPr>
        <w:t> </w:t>
      </w:r>
      <w:r>
        <w:rPr/>
        <w:t>Act,1958.</w:t>
      </w:r>
      <w:r>
        <w:rPr>
          <w:spacing w:val="59"/>
        </w:rPr>
        <w:t> </w:t>
      </w:r>
      <w:r>
        <w:rPr/>
        <w:t>Available</w:t>
      </w:r>
      <w:r>
        <w:rPr>
          <w:spacing w:val="59"/>
        </w:rPr>
        <w:t> </w:t>
      </w:r>
      <w:r>
        <w:rPr/>
        <w:t>from:</w:t>
      </w:r>
      <w:r>
        <w:rPr>
          <w:spacing w:val="-57"/>
        </w:rPr>
        <w:t> </w:t>
      </w:r>
      <w:hyperlink r:id="rId48">
        <w:r>
          <w:rPr>
            <w:color w:val="0000FF"/>
            <w:u w:val="single" w:color="0000FF"/>
          </w:rPr>
          <w:t>https://en.wikipedia.org/wiki/Central_Bank_of_Nigeria_Act_1958</w:t>
        </w:r>
      </w:hyperlink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500" w:right="497"/>
      </w:pPr>
      <w:r>
        <w:rPr/>
        <w:t>Central</w:t>
      </w:r>
      <w:r>
        <w:rPr>
          <w:spacing w:val="44"/>
        </w:rPr>
        <w:t> </w:t>
      </w:r>
      <w:r>
        <w:rPr/>
        <w:t>Bank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Nigeria</w:t>
      </w:r>
      <w:r>
        <w:rPr>
          <w:spacing w:val="43"/>
        </w:rPr>
        <w:t> </w:t>
      </w:r>
      <w:r>
        <w:rPr/>
        <w:t>(1991).</w:t>
      </w:r>
      <w:r>
        <w:rPr>
          <w:spacing w:val="43"/>
        </w:rPr>
        <w:t> </w:t>
      </w:r>
      <w:r>
        <w:rPr/>
        <w:t>Central</w:t>
      </w:r>
      <w:r>
        <w:rPr>
          <w:spacing w:val="44"/>
        </w:rPr>
        <w:t> </w:t>
      </w:r>
      <w:r>
        <w:rPr/>
        <w:t>Bank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Nigeria</w:t>
      </w:r>
      <w:r>
        <w:rPr>
          <w:spacing w:val="43"/>
        </w:rPr>
        <w:t> </w:t>
      </w:r>
      <w:r>
        <w:rPr/>
        <w:t>Act,</w:t>
      </w:r>
      <w:r>
        <w:rPr>
          <w:spacing w:val="44"/>
        </w:rPr>
        <w:t> </w:t>
      </w:r>
      <w:r>
        <w:rPr/>
        <w:t>1991.</w:t>
      </w:r>
      <w:r>
        <w:rPr>
          <w:spacing w:val="44"/>
        </w:rPr>
        <w:t> </w:t>
      </w:r>
      <w:r>
        <w:rPr/>
        <w:t>Available</w:t>
      </w:r>
      <w:r>
        <w:rPr>
          <w:spacing w:val="43"/>
        </w:rPr>
        <w:t> </w:t>
      </w:r>
      <w:r>
        <w:rPr/>
        <w:t>from:</w:t>
      </w:r>
      <w:r>
        <w:rPr>
          <w:spacing w:val="-57"/>
        </w:rPr>
        <w:t> </w:t>
      </w:r>
      <w:hyperlink r:id="rId49">
        <w:r>
          <w:rPr>
            <w:color w:val="0000FF"/>
            <w:u w:val="single" w:color="0000FF"/>
          </w:rPr>
          <w:t>https://www.cbn.gov.ng/OUT/PUBLICATIONS/BSD/1991/CBNACT.PDF</w:t>
        </w:r>
      </w:hyperlink>
    </w:p>
    <w:p>
      <w:pPr>
        <w:pStyle w:val="BodyText"/>
        <w:ind w:left="500" w:right="497"/>
      </w:pPr>
      <w:r>
        <w:rPr/>
        <w:t>Central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Communiqué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48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Monetary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Committee.</w:t>
      </w:r>
      <w:r>
        <w:rPr>
          <w:spacing w:val="-57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from:</w:t>
      </w:r>
      <w:r>
        <w:rPr>
          <w:spacing w:val="-1"/>
        </w:rPr>
        <w:t> </w:t>
      </w:r>
      <w:hyperlink r:id="rId50">
        <w:r>
          <w:rPr>
            <w:color w:val="0000FF"/>
            <w:u w:val="single" w:color="0000FF"/>
          </w:rPr>
          <w:t>https://www.cbn.gov.ng/OUT/CIRCULARS/MPD/2007/MPC-48.PDF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1435" w:val="left" w:leader="none"/>
          <w:tab w:pos="2169" w:val="left" w:leader="none"/>
          <w:tab w:pos="2599" w:val="left" w:leader="none"/>
          <w:tab w:pos="3546" w:val="left" w:leader="none"/>
          <w:tab w:pos="4475" w:val="left" w:leader="none"/>
          <w:tab w:pos="5412" w:val="left" w:leader="none"/>
          <w:tab w:pos="6146" w:val="left" w:leader="none"/>
          <w:tab w:pos="6576" w:val="left" w:leader="none"/>
          <w:tab w:pos="7523" w:val="left" w:leader="none"/>
          <w:tab w:pos="8159" w:val="left" w:leader="none"/>
          <w:tab w:pos="9320" w:val="left" w:leader="none"/>
        </w:tabs>
        <w:spacing w:before="90"/>
        <w:ind w:left="500" w:right="505"/>
      </w:pPr>
      <w:r>
        <w:rPr/>
        <w:t>Central</w:t>
        <w:tab/>
        <w:t>Bank</w:t>
        <w:tab/>
        <w:t>of</w:t>
        <w:tab/>
        <w:t>Nigeria</w:t>
        <w:tab/>
        <w:t>(2007).</w:t>
        <w:tab/>
        <w:t>Central</w:t>
        <w:tab/>
        <w:t>Bank</w:t>
        <w:tab/>
        <w:t>of</w:t>
        <w:tab/>
        <w:t>Nigeria</w:t>
        <w:tab/>
        <w:t>Act.</w:t>
        <w:tab/>
        <w:t>Available</w:t>
        <w:tab/>
      </w:r>
      <w:r>
        <w:rPr>
          <w:spacing w:val="-1"/>
        </w:rPr>
        <w:t>from:</w:t>
      </w:r>
      <w:r>
        <w:rPr>
          <w:spacing w:val="-57"/>
        </w:rPr>
        <w:t> </w:t>
      </w:r>
      <w:hyperlink r:id="rId51">
        <w:r>
          <w:rPr>
            <w:color w:val="0000FF"/>
            <w:u w:val="single" w:color="0000FF"/>
          </w:rPr>
          <w:t>www.cbn.gov.ng/out/publications/bsd/2007/cbnact.pdf</w:t>
        </w:r>
      </w:hyperlink>
    </w:p>
    <w:p>
      <w:pPr>
        <w:spacing w:after="0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tabs>
          <w:tab w:pos="2129" w:val="left" w:leader="none"/>
          <w:tab w:pos="3945" w:val="left" w:leader="none"/>
          <w:tab w:pos="5459" w:val="left" w:leader="none"/>
          <w:tab w:pos="7481" w:val="left" w:leader="none"/>
          <w:tab w:pos="9324" w:val="left" w:leader="none"/>
        </w:tabs>
        <w:spacing w:before="90"/>
        <w:ind w:left="500" w:right="501"/>
        <w:jc w:val="both"/>
      </w:pPr>
      <w:r>
        <w:rPr/>
        <w:t>Central Bank of Nigeria (2011a). Understanding monetary policy series no 3. Central Bank of</w:t>
      </w:r>
      <w:r>
        <w:rPr>
          <w:spacing w:val="1"/>
        </w:rPr>
        <w:t> </w:t>
      </w:r>
      <w:r>
        <w:rPr/>
        <w:t>Nigeria</w:t>
        <w:tab/>
        <w:t>monetary</w:t>
        <w:tab/>
        <w:t>policy</w:t>
        <w:tab/>
        <w:t>framework.</w:t>
        <w:tab/>
        <w:t>Available</w:t>
        <w:tab/>
      </w:r>
      <w:r>
        <w:rPr>
          <w:spacing w:val="-1"/>
        </w:rPr>
        <w:t>from:</w:t>
      </w:r>
      <w:r>
        <w:rPr>
          <w:spacing w:val="-58"/>
        </w:rPr>
        <w:t> </w:t>
      </w:r>
      <w:hyperlink r:id="rId52">
        <w:r>
          <w:rPr>
            <w:color w:val="0000FF"/>
            <w:u w:val="single" w:color="0000FF"/>
          </w:rPr>
          <w:t>https://www.cbn.gov.ng/out/2012/ccd/series%203.pdf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106" w:val="left" w:leader="none"/>
          <w:tab w:pos="6388" w:val="left" w:leader="none"/>
          <w:tab w:pos="9329" w:val="left" w:leader="none"/>
        </w:tabs>
        <w:spacing w:before="90"/>
        <w:ind w:left="500" w:right="494"/>
        <w:jc w:val="both"/>
      </w:pPr>
      <w:r>
        <w:rPr/>
        <w:t>Central</w:t>
      </w:r>
      <w:r>
        <w:rPr>
          <w:spacing w:val="-5"/>
        </w:rPr>
        <w:t> </w:t>
      </w:r>
      <w:r>
        <w:rPr/>
        <w:t>Bank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Nigeria</w:t>
      </w:r>
      <w:r>
        <w:rPr>
          <w:spacing w:val="-4"/>
        </w:rPr>
        <w:t> </w:t>
      </w:r>
      <w:r>
        <w:rPr/>
        <w:t>(2011b).</w:t>
      </w:r>
      <w:r>
        <w:rPr>
          <w:spacing w:val="-4"/>
        </w:rPr>
        <w:t> </w:t>
      </w:r>
      <w:r>
        <w:rPr/>
        <w:t>Understanding</w:t>
      </w:r>
      <w:r>
        <w:rPr>
          <w:spacing w:val="-7"/>
        </w:rPr>
        <w:t> </w:t>
      </w:r>
      <w:r>
        <w:rPr/>
        <w:t>monetary</w:t>
      </w:r>
      <w:r>
        <w:rPr>
          <w:spacing w:val="-10"/>
        </w:rPr>
        <w:t> </w:t>
      </w:r>
      <w:r>
        <w:rPr/>
        <w:t>policy</w:t>
      </w:r>
      <w:r>
        <w:rPr>
          <w:spacing w:val="-10"/>
        </w:rPr>
        <w:t> </w:t>
      </w:r>
      <w:r>
        <w:rPr/>
        <w:t>series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5.</w:t>
      </w:r>
      <w:r>
        <w:rPr>
          <w:spacing w:val="-5"/>
        </w:rPr>
        <w:t> </w:t>
      </w:r>
      <w:r>
        <w:rPr/>
        <w:t>Monetary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fiscal</w:t>
      </w:r>
      <w:r>
        <w:rPr>
          <w:spacing w:val="-57"/>
        </w:rPr>
        <w:t> </w:t>
      </w:r>
      <w:r>
        <w:rPr/>
        <w:t>policy</w:t>
        <w:tab/>
        <w:t>coordination.</w:t>
        <w:tab/>
        <w:t>Available</w:t>
        <w:tab/>
      </w:r>
      <w:r>
        <w:rPr>
          <w:spacing w:val="-1"/>
        </w:rPr>
        <w:t>from:</w:t>
      </w:r>
      <w:r>
        <w:rPr>
          <w:spacing w:val="-58"/>
        </w:rPr>
        <w:t> </w:t>
      </w:r>
      <w:hyperlink r:id="rId53">
        <w:r>
          <w:rPr>
            <w:color w:val="0000FF"/>
            <w:u w:val="single" w:color="0000FF"/>
          </w:rPr>
          <w:t>https://www.cbn.gov.ng/Out/2014/MPD/UNDERSTANDING%20MONETARY%20POLICY%</w:t>
        </w:r>
      </w:hyperlink>
      <w:r>
        <w:rPr>
          <w:color w:val="0000FF"/>
          <w:spacing w:val="1"/>
        </w:rPr>
        <w:t> </w:t>
      </w:r>
      <w:hyperlink r:id="rId53">
        <w:r>
          <w:rPr>
            <w:color w:val="0000FF"/>
            <w:u w:val="single" w:color="0000FF"/>
          </w:rPr>
          <w:t>20SERIES%20NO%205.pdf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1623" w:val="left" w:leader="none"/>
          <w:tab w:pos="2546" w:val="left" w:leader="none"/>
          <w:tab w:pos="3165" w:val="left" w:leader="none"/>
          <w:tab w:pos="4299" w:val="left" w:leader="none"/>
          <w:tab w:pos="5666" w:val="left" w:leader="none"/>
          <w:tab w:pos="6856" w:val="left" w:leader="none"/>
          <w:tab w:pos="7979" w:val="left" w:leader="none"/>
          <w:tab w:pos="9329" w:val="left" w:leader="none"/>
        </w:tabs>
        <w:spacing w:before="90"/>
        <w:ind w:left="500" w:right="497"/>
      </w:pPr>
      <w:r>
        <w:rPr/>
        <w:t>Central</w:t>
        <w:tab/>
        <w:t>Bank</w:t>
        <w:tab/>
        <w:t>of</w:t>
        <w:tab/>
        <w:t>Nigeria</w:t>
        <w:tab/>
        <w:t>Statistical</w:t>
        <w:tab/>
        <w:t>Bulletin</w:t>
        <w:tab/>
        <w:t>(2013).</w:t>
        <w:tab/>
        <w:t>Available</w:t>
        <w:tab/>
      </w:r>
      <w:r>
        <w:rPr>
          <w:spacing w:val="-2"/>
        </w:rPr>
        <w:t>from:</w:t>
      </w:r>
      <w:r>
        <w:rPr>
          <w:spacing w:val="-57"/>
        </w:rPr>
        <w:t> </w:t>
      </w:r>
      <w:hyperlink r:id="rId54">
        <w:r>
          <w:rPr>
            <w:color w:val="0000FF"/>
            <w:u w:val="single" w:color="0000FF"/>
          </w:rPr>
          <w:t>http://www.cbn.gov.ng/documents/Statbulletin.asp</w:t>
        </w:r>
      </w:hyperlink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1623" w:val="left" w:leader="none"/>
          <w:tab w:pos="2546" w:val="left" w:leader="none"/>
          <w:tab w:pos="3165" w:val="left" w:leader="none"/>
          <w:tab w:pos="4299" w:val="left" w:leader="none"/>
          <w:tab w:pos="5666" w:val="left" w:leader="none"/>
          <w:tab w:pos="6856" w:val="left" w:leader="none"/>
          <w:tab w:pos="7979" w:val="left" w:leader="none"/>
          <w:tab w:pos="9329" w:val="left" w:leader="none"/>
        </w:tabs>
        <w:spacing w:before="90"/>
        <w:ind w:left="500" w:right="497"/>
      </w:pPr>
      <w:r>
        <w:rPr/>
        <w:t>Central</w:t>
        <w:tab/>
        <w:t>Bank</w:t>
        <w:tab/>
        <w:t>of</w:t>
        <w:tab/>
        <w:t>Nigeria</w:t>
        <w:tab/>
        <w:t>Statistical</w:t>
        <w:tab/>
        <w:t>Bulletin</w:t>
        <w:tab/>
        <w:t>(2015).</w:t>
        <w:tab/>
        <w:t>Available</w:t>
        <w:tab/>
      </w:r>
      <w:r>
        <w:rPr>
          <w:spacing w:val="-2"/>
        </w:rPr>
        <w:t>from:</w:t>
      </w:r>
      <w:r>
        <w:rPr>
          <w:spacing w:val="-57"/>
        </w:rPr>
        <w:t> </w:t>
      </w:r>
      <w:hyperlink r:id="rId54">
        <w:r>
          <w:rPr>
            <w:color w:val="0000FF"/>
            <w:u w:val="single" w:color="0000FF"/>
          </w:rPr>
          <w:t>http://www.cbn.gov.ng/documents/Statbulletin.asp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1471" w:val="left" w:leader="none"/>
          <w:tab w:pos="2244" w:val="left" w:leader="none"/>
          <w:tab w:pos="2711" w:val="left" w:leader="none"/>
          <w:tab w:pos="3695" w:val="left" w:leader="none"/>
          <w:tab w:pos="4772" w:val="left" w:leader="none"/>
          <w:tab w:pos="5518" w:val="left" w:leader="none"/>
          <w:tab w:pos="6024" w:val="left" w:leader="none"/>
          <w:tab w:pos="7195" w:val="left" w:leader="none"/>
          <w:tab w:pos="8124" w:val="left" w:leader="none"/>
          <w:tab w:pos="9324" w:val="left" w:leader="none"/>
        </w:tabs>
        <w:spacing w:before="90"/>
        <w:ind w:left="500" w:right="498"/>
      </w:pPr>
      <w:r>
        <w:rPr/>
        <w:t>Central</w:t>
        <w:tab/>
        <w:t>Bank</w:t>
        <w:tab/>
        <w:t>of</w:t>
        <w:tab/>
        <w:t>Nigeria</w:t>
        <w:tab/>
        <w:t>(2015a).</w:t>
        <w:tab/>
        <w:t>FAQ</w:t>
        <w:tab/>
        <w:t>on</w:t>
        <w:tab/>
        <w:t>monetary</w:t>
        <w:tab/>
        <w:t>policy.</w:t>
        <w:tab/>
        <w:t>Available</w:t>
        <w:tab/>
      </w:r>
      <w:r>
        <w:rPr>
          <w:spacing w:val="-1"/>
        </w:rPr>
        <w:t>from:</w:t>
      </w:r>
      <w:r>
        <w:rPr>
          <w:spacing w:val="-57"/>
        </w:rPr>
        <w:t> </w:t>
      </w:r>
      <w:hyperlink r:id="rId55">
        <w:r>
          <w:rPr>
            <w:color w:val="0000FF"/>
            <w:u w:val="single" w:color="0000FF"/>
          </w:rPr>
          <w:t>https://www.cbn.gov.ng/FAQS/FAQ.asp?Category=Monetary+Policy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1481" w:val="left" w:leader="none"/>
          <w:tab w:pos="2261" w:val="left" w:leader="none"/>
          <w:tab w:pos="2736" w:val="left" w:leader="none"/>
          <w:tab w:pos="3731" w:val="left" w:leader="none"/>
          <w:tab w:pos="4825" w:val="left" w:leader="none"/>
          <w:tab w:pos="5914" w:val="left" w:leader="none"/>
          <w:tab w:pos="6389" w:val="left" w:leader="none"/>
          <w:tab w:pos="7183" w:val="left" w:leader="none"/>
          <w:tab w:pos="8118" w:val="left" w:leader="none"/>
          <w:tab w:pos="9325" w:val="left" w:leader="none"/>
        </w:tabs>
        <w:spacing w:before="90"/>
        <w:ind w:left="500" w:right="500"/>
      </w:pPr>
      <w:r>
        <w:rPr/>
        <w:t>Central</w:t>
        <w:tab/>
        <w:t>Bank</w:t>
        <w:tab/>
        <w:t>of</w:t>
        <w:tab/>
        <w:t>Nigeria</w:t>
        <w:tab/>
        <w:t>(2015b).</w:t>
        <w:tab/>
        <w:t>Conduct</w:t>
        <w:tab/>
        <w:t>of</w:t>
        <w:tab/>
        <w:t>fiscal</w:t>
        <w:tab/>
        <w:t>policy.</w:t>
        <w:tab/>
        <w:t>Available</w:t>
        <w:tab/>
      </w:r>
      <w:r>
        <w:rPr>
          <w:spacing w:val="-1"/>
        </w:rPr>
        <w:t>from:</w:t>
      </w:r>
      <w:r>
        <w:rPr>
          <w:spacing w:val="-57"/>
        </w:rPr>
        <w:t> </w:t>
      </w:r>
      <w:hyperlink r:id="rId56">
        <w:r>
          <w:rPr>
            <w:color w:val="0000FF"/>
            <w:u w:val="single" w:color="0000FF"/>
          </w:rPr>
          <w:t>https://www.cbn.gov.ng/MonetaryPolicy/Fiscal.asp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1623" w:val="left" w:leader="none"/>
          <w:tab w:pos="2546" w:val="left" w:leader="none"/>
          <w:tab w:pos="3165" w:val="left" w:leader="none"/>
          <w:tab w:pos="4299" w:val="left" w:leader="none"/>
          <w:tab w:pos="5666" w:val="left" w:leader="none"/>
          <w:tab w:pos="6861" w:val="left" w:leader="none"/>
          <w:tab w:pos="7979" w:val="left" w:leader="none"/>
          <w:tab w:pos="9329" w:val="left" w:leader="none"/>
        </w:tabs>
        <w:spacing w:before="90"/>
        <w:ind w:left="500" w:right="497"/>
      </w:pPr>
      <w:r>
        <w:rPr/>
        <w:t>Central</w:t>
        <w:tab/>
        <w:t>Bank</w:t>
        <w:tab/>
        <w:t>of</w:t>
        <w:tab/>
        <w:t>Nigeria</w:t>
        <w:tab/>
        <w:t>Statistical</w:t>
        <w:tab/>
        <w:t>Bulletin</w:t>
        <w:tab/>
        <w:t>(2016).</w:t>
        <w:tab/>
        <w:t>Available</w:t>
        <w:tab/>
      </w:r>
      <w:r>
        <w:rPr>
          <w:spacing w:val="-2"/>
        </w:rPr>
        <w:t>from:</w:t>
      </w:r>
      <w:r>
        <w:rPr>
          <w:spacing w:val="-57"/>
        </w:rPr>
        <w:t> </w:t>
      </w:r>
      <w:hyperlink r:id="rId54">
        <w:r>
          <w:rPr>
            <w:color w:val="0000FF"/>
            <w:u w:val="single" w:color="0000FF"/>
          </w:rPr>
          <w:t>http://www.cbn.gov.ng/documents/Statbulletin.asp</w:t>
        </w:r>
      </w:hyperlink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9328" w:val="left" w:leader="none"/>
        </w:tabs>
        <w:spacing w:before="90"/>
        <w:ind w:left="500" w:right="498"/>
        <w:jc w:val="both"/>
      </w:pPr>
      <w:r>
        <w:rPr/>
        <w:t>Central Bank of Nigeria (2017). Communiqué No. 112 of the Monetary Policy Committee.</w:t>
      </w:r>
      <w:r>
        <w:rPr>
          <w:spacing w:val="1"/>
        </w:rPr>
        <w:t> </w:t>
      </w:r>
      <w:r>
        <w:rPr/>
        <w:t>Available</w:t>
        <w:tab/>
      </w:r>
      <w:r>
        <w:rPr>
          <w:spacing w:val="-2"/>
        </w:rPr>
        <w:t>from:</w:t>
      </w:r>
    </w:p>
    <w:p>
      <w:pPr>
        <w:pStyle w:val="BodyText"/>
        <w:ind w:left="500" w:right="512"/>
        <w:jc w:val="both"/>
      </w:pPr>
      <w:hyperlink r:id="rId57">
        <w:r>
          <w:rPr>
            <w:color w:val="0000FF"/>
            <w:u w:val="single" w:color="0000FF"/>
          </w:rPr>
          <w:t>https://www.cbn.gov.ng/Out/2017/MPD/Central%20Bank%20of%20Nigeria%20Communique%</w:t>
        </w:r>
      </w:hyperlink>
      <w:r>
        <w:rPr>
          <w:color w:val="0000FF"/>
          <w:spacing w:val="-58"/>
        </w:rPr>
        <w:t> </w:t>
      </w:r>
      <w:hyperlink r:id="rId57">
        <w:r>
          <w:rPr>
            <w:color w:val="0000FF"/>
            <w:spacing w:val="-1"/>
            <w:u w:val="single" w:color="0000FF"/>
          </w:rPr>
          <w:t>20No%20112%20Monetary%20Policy%20Committee%20Meeting%20March%2021%202017.p</w:t>
        </w:r>
      </w:hyperlink>
      <w:r>
        <w:rPr>
          <w:color w:val="0000FF"/>
        </w:rPr>
        <w:t> </w:t>
      </w:r>
      <w:hyperlink r:id="rId57">
        <w:r>
          <w:rPr>
            <w:color w:val="0000FF"/>
            <w:u w:val="single" w:color="0000FF"/>
          </w:rPr>
          <w:t>df</w:t>
        </w:r>
      </w:hyperlink>
    </w:p>
    <w:p>
      <w:pPr>
        <w:pStyle w:val="BodyText"/>
        <w:spacing w:before="2"/>
        <w:rPr>
          <w:sz w:val="16"/>
        </w:rPr>
      </w:pPr>
    </w:p>
    <w:p>
      <w:pPr>
        <w:spacing w:before="90"/>
        <w:ind w:left="500" w:right="497" w:firstLine="0"/>
        <w:jc w:val="both"/>
        <w:rPr>
          <w:sz w:val="24"/>
        </w:rPr>
      </w:pPr>
      <w:r>
        <w:rPr>
          <w:sz w:val="24"/>
        </w:rPr>
        <w:t>Cevik, E. I., Dibooglu, S. and Kutan, A.M</w:t>
      </w:r>
      <w:r>
        <w:rPr>
          <w:i/>
          <w:sz w:val="24"/>
        </w:rPr>
        <w:t>. </w:t>
      </w:r>
      <w:r>
        <w:rPr>
          <w:sz w:val="24"/>
        </w:rPr>
        <w:t>(2014)</w:t>
      </w:r>
      <w:r>
        <w:rPr>
          <w:i/>
          <w:sz w:val="24"/>
        </w:rPr>
        <w:t>. </w:t>
      </w:r>
      <w:r>
        <w:rPr>
          <w:sz w:val="24"/>
        </w:rPr>
        <w:t>Monetary and fiscal policy interactions:</w:t>
      </w:r>
      <w:r>
        <w:rPr>
          <w:spacing w:val="1"/>
          <w:sz w:val="24"/>
        </w:rPr>
        <w:t> </w:t>
      </w:r>
      <w:r>
        <w:rPr>
          <w:sz w:val="24"/>
        </w:rPr>
        <w:t>Evidence from emerging European economies. </w:t>
      </w:r>
      <w:r>
        <w:rPr>
          <w:i/>
          <w:sz w:val="24"/>
        </w:rPr>
        <w:t>Journal of Comparative Economics, </w:t>
      </w:r>
      <w:r>
        <w:rPr>
          <w:sz w:val="24"/>
        </w:rPr>
        <w:t>42(4):1079-</w:t>
      </w:r>
      <w:r>
        <w:rPr>
          <w:spacing w:val="1"/>
          <w:sz w:val="24"/>
        </w:rPr>
        <w:t> </w:t>
      </w:r>
      <w:r>
        <w:rPr>
          <w:sz w:val="24"/>
        </w:rPr>
        <w:t>1091.</w:t>
      </w:r>
    </w:p>
    <w:p>
      <w:pPr>
        <w:pStyle w:val="BodyText"/>
      </w:pPr>
    </w:p>
    <w:p>
      <w:pPr>
        <w:pStyle w:val="BodyText"/>
        <w:ind w:left="500" w:right="498"/>
        <w:jc w:val="both"/>
      </w:pPr>
      <w:r>
        <w:rPr/>
        <w:t>Chadla,</w:t>
      </w:r>
      <w:r>
        <w:rPr>
          <w:spacing w:val="-7"/>
        </w:rPr>
        <w:t> </w:t>
      </w:r>
      <w:r>
        <w:rPr/>
        <w:t>J.</w:t>
      </w:r>
      <w:r>
        <w:rPr>
          <w:spacing w:val="-9"/>
        </w:rPr>
        <w:t> </w:t>
      </w:r>
      <w:r>
        <w:rPr/>
        <w:t>S.,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Nolan,</w:t>
      </w:r>
      <w:r>
        <w:rPr>
          <w:spacing w:val="-9"/>
        </w:rPr>
        <w:t> </w:t>
      </w:r>
      <w:r>
        <w:rPr/>
        <w:t>C.</w:t>
      </w:r>
      <w:r>
        <w:rPr>
          <w:spacing w:val="-6"/>
        </w:rPr>
        <w:t> </w:t>
      </w:r>
      <w:r>
        <w:rPr/>
        <w:t>(2003).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interaction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monetary</w:t>
      </w:r>
      <w:r>
        <w:rPr>
          <w:spacing w:val="-10"/>
        </w:rPr>
        <w:t> </w:t>
      </w:r>
      <w:r>
        <w:rPr/>
        <w:t>and</w:t>
      </w:r>
      <w:r>
        <w:rPr>
          <w:spacing w:val="-6"/>
        </w:rPr>
        <w:t> </w:t>
      </w:r>
      <w:r>
        <w:rPr/>
        <w:t>fiscal</w:t>
      </w:r>
      <w:r>
        <w:rPr>
          <w:spacing w:val="-6"/>
        </w:rPr>
        <w:t> </w:t>
      </w:r>
      <w:r>
        <w:rPr/>
        <w:t>policy.</w:t>
      </w:r>
      <w:r>
        <w:rPr>
          <w:spacing w:val="-4"/>
        </w:rPr>
        <w:t> </w:t>
      </w:r>
      <w:r>
        <w:rPr/>
        <w:t>Forthcoming</w:t>
      </w:r>
      <w:r>
        <w:rPr>
          <w:spacing w:val="-58"/>
        </w:rPr>
        <w:t> </w:t>
      </w:r>
      <w:r>
        <w:rPr/>
        <w:t>in </w:t>
      </w:r>
      <w:r>
        <w:rPr>
          <w:i/>
        </w:rPr>
        <w:t>Dynamic Macroeconomic Theory</w:t>
      </w:r>
      <w:r>
        <w:rPr/>
        <w:t>. - Theory and policy in general equilibrium. (Eds) Sumru</w:t>
      </w:r>
      <w:r>
        <w:rPr>
          <w:spacing w:val="1"/>
        </w:rPr>
        <w:t> </w:t>
      </w:r>
      <w:r>
        <w:rPr/>
        <w:t>Altug,</w:t>
      </w:r>
      <w:r>
        <w:rPr>
          <w:spacing w:val="-1"/>
        </w:rPr>
        <w:t> </w:t>
      </w:r>
      <w:r>
        <w:rPr/>
        <w:t>Jagit S. Chadla and Charles</w:t>
      </w:r>
      <w:r>
        <w:rPr>
          <w:spacing w:val="-1"/>
        </w:rPr>
        <w:t> </w:t>
      </w:r>
      <w:r>
        <w:rPr/>
        <w:t>Nolan, Cambridge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</w:pPr>
    </w:p>
    <w:p>
      <w:pPr>
        <w:pStyle w:val="BodyText"/>
        <w:ind w:left="500" w:right="504"/>
        <w:jc w:val="both"/>
        <w:rPr>
          <w:i/>
        </w:rPr>
      </w:pPr>
      <w:r>
        <w:rPr/>
        <w:t>Christiano</w:t>
      </w:r>
      <w:r>
        <w:rPr>
          <w:i/>
        </w:rPr>
        <w:t>, </w:t>
      </w:r>
      <w:r>
        <w:rPr/>
        <w:t>L. J. and Terry, J.F. (2000). Understanding the fiscal theory of the price level. NBER</w:t>
      </w:r>
      <w:r>
        <w:rPr>
          <w:spacing w:val="1"/>
        </w:rPr>
        <w:t> </w:t>
      </w:r>
      <w:r>
        <w:rPr/>
        <w:t>working</w:t>
      </w:r>
      <w:r>
        <w:rPr>
          <w:spacing w:val="-3"/>
        </w:rPr>
        <w:t> </w:t>
      </w:r>
      <w:r>
        <w:rPr/>
        <w:t>paper 7688.</w:t>
      </w:r>
      <w:r>
        <w:rPr>
          <w:spacing w:val="2"/>
        </w:rPr>
        <w:t> </w:t>
      </w:r>
      <w:r>
        <w:rPr/>
        <w:t>Available from:</w:t>
      </w:r>
      <w:hyperlink r:id="rId58">
        <w:r>
          <w:rPr>
            <w:color w:val="0000FF"/>
            <w:u w:val="single" w:color="0000FF"/>
          </w:rPr>
          <w:t>www.nber.org/papers/w7668.pdf</w:t>
        </w:r>
        <w:r>
          <w:rPr>
            <w:i/>
          </w:rPr>
          <w:t>.</w:t>
        </w:r>
      </w:hyperlink>
    </w:p>
    <w:p>
      <w:pPr>
        <w:pStyle w:val="BodyText"/>
        <w:spacing w:before="3"/>
        <w:rPr>
          <w:i/>
          <w:sz w:val="16"/>
        </w:rPr>
      </w:pPr>
    </w:p>
    <w:p>
      <w:pPr>
        <w:pStyle w:val="BodyText"/>
        <w:spacing w:before="90"/>
        <w:ind w:left="500" w:right="495"/>
        <w:jc w:val="both"/>
      </w:pPr>
      <w:r>
        <w:rPr/>
        <w:t>Chen, Z. (2017). Interactions between fiscal and Monetary Policy: A New Keynesian Model with</w:t>
      </w:r>
      <w:r>
        <w:rPr>
          <w:spacing w:val="-57"/>
        </w:rPr>
        <w:t> </w:t>
      </w:r>
      <w:r>
        <w:rPr/>
        <w:t>Regime</w:t>
      </w:r>
      <w:r>
        <w:rPr>
          <w:spacing w:val="1"/>
        </w:rPr>
        <w:t> </w:t>
      </w:r>
      <w:r>
        <w:rPr/>
        <w:t>Switching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(Undergraduate</w:t>
      </w:r>
      <w:r>
        <w:rPr>
          <w:spacing w:val="1"/>
        </w:rPr>
        <w:t> </w:t>
      </w:r>
      <w:r>
        <w:rPr/>
        <w:t>Thesis).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from:</w:t>
      </w:r>
      <w:r>
        <w:rPr>
          <w:spacing w:val="1"/>
        </w:rPr>
        <w:t> </w:t>
      </w:r>
      <w:hyperlink r:id="rId59">
        <w:r>
          <w:rPr>
            <w:color w:val="0000FF"/>
            <w:u w:val="single" w:color="0000FF"/>
          </w:rPr>
          <w:t>http://publish.wm.edu/honorstheses/1013</w:t>
        </w:r>
      </w:hyperlink>
      <w:r>
        <w:rPr/>
        <w:t>.</w:t>
      </w:r>
    </w:p>
    <w:p>
      <w:pPr>
        <w:spacing w:after="0"/>
        <w:jc w:val="both"/>
        <w:sectPr>
          <w:pgSz w:w="12240" w:h="15840"/>
          <w:pgMar w:header="0" w:footer="935" w:top="1500" w:bottom="1200" w:left="940" w:right="940"/>
        </w:sectPr>
      </w:pPr>
    </w:p>
    <w:p>
      <w:pPr>
        <w:pStyle w:val="BodyText"/>
        <w:spacing w:before="72"/>
        <w:ind w:left="500" w:right="502"/>
      </w:pPr>
      <w:r>
        <w:rPr>
          <w:spacing w:val="-1"/>
        </w:rPr>
        <w:t>Christiano,</w:t>
      </w:r>
      <w:r>
        <w:rPr>
          <w:spacing w:val="-12"/>
        </w:rPr>
        <w:t> </w:t>
      </w:r>
      <w:r>
        <w:rPr>
          <w:spacing w:val="-1"/>
        </w:rPr>
        <w:t>L.J.,</w:t>
      </w:r>
      <w:r>
        <w:rPr>
          <w:spacing w:val="-15"/>
        </w:rPr>
        <w:t> </w:t>
      </w:r>
      <w:r>
        <w:rPr>
          <w:spacing w:val="-1"/>
        </w:rPr>
        <w:t>Eichenbaum,</w:t>
      </w:r>
      <w:r>
        <w:rPr>
          <w:spacing w:val="-13"/>
        </w:rPr>
        <w:t> </w:t>
      </w:r>
      <w:r>
        <w:rPr/>
        <w:t>M.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Evans,</w:t>
      </w:r>
      <w:r>
        <w:rPr>
          <w:spacing w:val="-14"/>
        </w:rPr>
        <w:t> </w:t>
      </w:r>
      <w:r>
        <w:rPr/>
        <w:t>C.</w:t>
      </w:r>
      <w:r>
        <w:rPr>
          <w:spacing w:val="31"/>
        </w:rPr>
        <w:t> </w:t>
      </w:r>
      <w:r>
        <w:rPr/>
        <w:t>(2005).</w:t>
      </w:r>
      <w:r>
        <w:rPr>
          <w:spacing w:val="-15"/>
        </w:rPr>
        <w:t> </w:t>
      </w:r>
      <w:r>
        <w:rPr/>
        <w:t>Nominal</w:t>
      </w:r>
      <w:r>
        <w:rPr>
          <w:spacing w:val="-15"/>
        </w:rPr>
        <w:t> </w:t>
      </w:r>
      <w:r>
        <w:rPr/>
        <w:t>rigidities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dynamic</w:t>
      </w:r>
      <w:r>
        <w:rPr>
          <w:spacing w:val="-13"/>
        </w:rPr>
        <w:t> </w:t>
      </w:r>
      <w:r>
        <w:rPr/>
        <w:t>effects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shock to monetary</w:t>
      </w:r>
      <w:r>
        <w:rPr>
          <w:spacing w:val="-5"/>
        </w:rPr>
        <w:t> </w:t>
      </w:r>
      <w:r>
        <w:rPr/>
        <w:t>policy.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Political Economy,</w:t>
      </w:r>
      <w:r>
        <w:rPr>
          <w:i/>
          <w:spacing w:val="1"/>
        </w:rPr>
        <w:t> </w:t>
      </w:r>
      <w:r>
        <w:rPr/>
        <w:t>113(1):1-45.</w:t>
      </w:r>
    </w:p>
    <w:p>
      <w:pPr>
        <w:pStyle w:val="BodyText"/>
      </w:pPr>
    </w:p>
    <w:p>
      <w:pPr>
        <w:pStyle w:val="BodyText"/>
        <w:ind w:left="500" w:right="489"/>
      </w:pPr>
      <w:r>
        <w:rPr/>
        <w:t>Chuku, C. A. (2010). Monetary and fiscal policy interactions in Nigeria: An application of a state</w:t>
      </w:r>
      <w:r>
        <w:rPr>
          <w:spacing w:val="-57"/>
        </w:rPr>
        <w:t> </w:t>
      </w:r>
      <w:r>
        <w:rPr/>
        <w:t>space</w:t>
      </w:r>
      <w:r>
        <w:rPr>
          <w:spacing w:val="-2"/>
        </w:rPr>
        <w:t> </w:t>
      </w:r>
      <w:r>
        <w:rPr/>
        <w:t>model with Markov-switching.</w:t>
      </w:r>
      <w:r>
        <w:rPr>
          <w:spacing w:val="-1"/>
        </w:rPr>
        <w:t> </w:t>
      </w:r>
      <w:r>
        <w:rPr>
          <w:i/>
        </w:rPr>
        <w:t>CBN Journal of</w:t>
      </w:r>
      <w:r>
        <w:rPr>
          <w:i/>
          <w:spacing w:val="-1"/>
        </w:rPr>
        <w:t> </w:t>
      </w:r>
      <w:r>
        <w:rPr>
          <w:i/>
        </w:rPr>
        <w:t>Applied Statistics,</w:t>
      </w:r>
      <w:r>
        <w:rPr>
          <w:i/>
          <w:spacing w:val="1"/>
        </w:rPr>
        <w:t> </w:t>
      </w:r>
      <w:r>
        <w:rPr/>
        <w:t>1(1):39-51.</w:t>
      </w:r>
    </w:p>
    <w:p>
      <w:pPr>
        <w:pStyle w:val="BodyText"/>
      </w:pPr>
    </w:p>
    <w:p>
      <w:pPr>
        <w:pStyle w:val="BodyText"/>
        <w:ind w:left="500"/>
        <w:rPr>
          <w:i/>
        </w:rPr>
      </w:pPr>
      <w:r>
        <w:rPr/>
        <w:t>Cochrane,</w:t>
      </w:r>
      <w:r>
        <w:rPr>
          <w:spacing w:val="-1"/>
        </w:rPr>
        <w:t> </w:t>
      </w:r>
      <w:r>
        <w:rPr/>
        <w:t>J.H.</w:t>
      </w:r>
      <w:r>
        <w:rPr>
          <w:spacing w:val="-1"/>
        </w:rPr>
        <w:t> </w:t>
      </w:r>
      <w:r>
        <w:rPr/>
        <w:t>(2001).</w:t>
      </w:r>
      <w:r>
        <w:rPr>
          <w:spacing w:val="2"/>
        </w:rPr>
        <w:t> </w:t>
      </w:r>
      <w:r>
        <w:rPr/>
        <w:t>Long</w:t>
      </w:r>
      <w:r>
        <w:rPr>
          <w:spacing w:val="-4"/>
        </w:rPr>
        <w:t> </w:t>
      </w:r>
      <w:r>
        <w:rPr/>
        <w:t>term debt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optimal</w:t>
      </w:r>
      <w:r>
        <w:rPr>
          <w:spacing w:val="-1"/>
        </w:rPr>
        <w:t> </w:t>
      </w:r>
      <w:r>
        <w:rPr/>
        <w:t>policy</w:t>
      </w:r>
      <w:r>
        <w:rPr>
          <w:spacing w:val="-6"/>
        </w:rPr>
        <w:t> </w:t>
      </w:r>
      <w:r>
        <w:rPr/>
        <w:t>in the</w:t>
      </w:r>
      <w:r>
        <w:rPr>
          <w:spacing w:val="-2"/>
        </w:rPr>
        <w:t> </w:t>
      </w:r>
      <w:r>
        <w:rPr/>
        <w:t>price</w:t>
      </w:r>
      <w:r>
        <w:rPr>
          <w:spacing w:val="-1"/>
        </w:rPr>
        <w:t> </w:t>
      </w:r>
      <w:r>
        <w:rPr/>
        <w:t>level.</w:t>
      </w:r>
      <w:r>
        <w:rPr>
          <w:spacing w:val="1"/>
        </w:rPr>
        <w:t> </w:t>
      </w:r>
      <w:r>
        <w:rPr>
          <w:i/>
        </w:rPr>
        <w:t>Econometrica,</w:t>
      </w:r>
    </w:p>
    <w:p>
      <w:pPr>
        <w:pStyle w:val="BodyText"/>
        <w:ind w:left="500"/>
      </w:pPr>
      <w:r>
        <w:rPr/>
        <w:t>6(1):69-116.</w:t>
      </w:r>
    </w:p>
    <w:p>
      <w:pPr>
        <w:pStyle w:val="BodyText"/>
      </w:pPr>
    </w:p>
    <w:p>
      <w:pPr>
        <w:spacing w:before="0"/>
        <w:ind w:left="500" w:right="497" w:firstLine="0"/>
        <w:jc w:val="left"/>
        <w:rPr>
          <w:sz w:val="24"/>
        </w:rPr>
      </w:pPr>
      <w:r>
        <w:rPr>
          <w:sz w:val="24"/>
        </w:rPr>
        <w:t>Darby,</w:t>
      </w:r>
      <w:r>
        <w:rPr>
          <w:spacing w:val="4"/>
          <w:sz w:val="24"/>
        </w:rPr>
        <w:t> </w:t>
      </w:r>
      <w:r>
        <w:rPr>
          <w:sz w:val="24"/>
        </w:rPr>
        <w:t>M.R.</w:t>
      </w:r>
      <w:r>
        <w:rPr>
          <w:spacing w:val="5"/>
          <w:sz w:val="24"/>
        </w:rPr>
        <w:t> </w:t>
      </w:r>
      <w:r>
        <w:rPr>
          <w:sz w:val="24"/>
        </w:rPr>
        <w:t>(1984).</w:t>
      </w:r>
      <w:r>
        <w:rPr>
          <w:spacing w:val="8"/>
          <w:sz w:val="24"/>
        </w:rPr>
        <w:t> </w:t>
      </w:r>
      <w:r>
        <w:rPr>
          <w:sz w:val="24"/>
        </w:rPr>
        <w:t>Some</w:t>
      </w:r>
      <w:r>
        <w:rPr>
          <w:spacing w:val="5"/>
          <w:sz w:val="24"/>
        </w:rPr>
        <w:t> </w:t>
      </w:r>
      <w:r>
        <w:rPr>
          <w:sz w:val="24"/>
        </w:rPr>
        <w:t>pleasant</w:t>
      </w:r>
      <w:r>
        <w:rPr>
          <w:spacing w:val="6"/>
          <w:sz w:val="24"/>
        </w:rPr>
        <w:t> </w:t>
      </w:r>
      <w:r>
        <w:rPr>
          <w:sz w:val="24"/>
        </w:rPr>
        <w:t>monetarist</w:t>
      </w:r>
      <w:r>
        <w:rPr>
          <w:spacing w:val="5"/>
          <w:sz w:val="24"/>
        </w:rPr>
        <w:t> </w:t>
      </w:r>
      <w:r>
        <w:rPr>
          <w:sz w:val="24"/>
        </w:rPr>
        <w:t>arithmetic.</w:t>
      </w:r>
      <w:r>
        <w:rPr>
          <w:spacing w:val="9"/>
          <w:sz w:val="24"/>
        </w:rPr>
        <w:t> </w:t>
      </w:r>
      <w:r>
        <w:rPr>
          <w:sz w:val="24"/>
        </w:rPr>
        <w:t>F</w:t>
      </w:r>
      <w:r>
        <w:rPr>
          <w:i/>
          <w:sz w:val="24"/>
        </w:rPr>
        <w:t>ederal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Reserve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Bank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Minneapolis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Quarterly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Review,</w:t>
      </w:r>
      <w:r>
        <w:rPr>
          <w:i/>
          <w:spacing w:val="-1"/>
          <w:sz w:val="24"/>
        </w:rPr>
        <w:t> </w:t>
      </w:r>
      <w:r>
        <w:rPr>
          <w:sz w:val="24"/>
        </w:rPr>
        <w:t>8(2):15-20.</w:t>
      </w:r>
    </w:p>
    <w:p>
      <w:pPr>
        <w:pStyle w:val="BodyText"/>
      </w:pPr>
    </w:p>
    <w:p>
      <w:pPr>
        <w:pStyle w:val="BodyText"/>
        <w:ind w:left="500" w:right="496"/>
        <w:rPr>
          <w:i/>
        </w:rPr>
      </w:pPr>
      <w:r>
        <w:rPr>
          <w:spacing w:val="-1"/>
        </w:rPr>
        <w:t>Davig,</w:t>
      </w:r>
      <w:r>
        <w:rPr>
          <w:spacing w:val="-12"/>
        </w:rPr>
        <w:t> </w:t>
      </w:r>
      <w:r>
        <w:rPr>
          <w:spacing w:val="-1"/>
        </w:rPr>
        <w:t>T.</w:t>
      </w:r>
      <w:r>
        <w:rPr>
          <w:spacing w:val="-10"/>
        </w:rPr>
        <w:t> </w:t>
      </w:r>
      <w:r>
        <w:rPr>
          <w:spacing w:val="-1"/>
        </w:rPr>
        <w:t>and.</w:t>
      </w:r>
      <w:r>
        <w:rPr>
          <w:spacing w:val="-10"/>
        </w:rPr>
        <w:t> </w:t>
      </w:r>
      <w:r>
        <w:rPr>
          <w:spacing w:val="-1"/>
        </w:rPr>
        <w:t>Leeper,</w:t>
      </w:r>
      <w:r>
        <w:rPr>
          <w:spacing w:val="-12"/>
        </w:rPr>
        <w:t> </w:t>
      </w:r>
      <w:r>
        <w:rPr/>
        <w:t>M.</w:t>
      </w:r>
      <w:r>
        <w:rPr>
          <w:spacing w:val="-10"/>
        </w:rPr>
        <w:t> </w:t>
      </w:r>
      <w:r>
        <w:rPr/>
        <w:t>E</w:t>
      </w:r>
      <w:r>
        <w:rPr>
          <w:spacing w:val="-13"/>
        </w:rPr>
        <w:t> </w:t>
      </w:r>
      <w:r>
        <w:rPr/>
        <w:t>(2009).</w:t>
      </w:r>
      <w:r>
        <w:rPr>
          <w:spacing w:val="-13"/>
        </w:rPr>
        <w:t> </w:t>
      </w:r>
      <w:r>
        <w:rPr/>
        <w:t>Monetary-fiscal</w:t>
      </w:r>
      <w:r>
        <w:rPr>
          <w:spacing w:val="-11"/>
        </w:rPr>
        <w:t> </w:t>
      </w:r>
      <w:r>
        <w:rPr/>
        <w:t>policy</w:t>
      </w:r>
      <w:r>
        <w:rPr>
          <w:spacing w:val="-17"/>
        </w:rPr>
        <w:t> </w:t>
      </w:r>
      <w:r>
        <w:rPr/>
        <w:t>interactions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fiscal</w:t>
      </w:r>
      <w:r>
        <w:rPr>
          <w:spacing w:val="-12"/>
        </w:rPr>
        <w:t> </w:t>
      </w:r>
      <w:r>
        <w:rPr/>
        <w:t>stimulus.</w:t>
      </w:r>
      <w:r>
        <w:rPr>
          <w:spacing w:val="-12"/>
        </w:rPr>
        <w:t> </w:t>
      </w:r>
      <w:r>
        <w:rPr/>
        <w:t>NBER</w:t>
      </w:r>
      <w:r>
        <w:rPr>
          <w:spacing w:val="-57"/>
        </w:rPr>
        <w:t> </w:t>
      </w:r>
      <w:r>
        <w:rPr/>
        <w:t>Working</w:t>
      </w:r>
      <w:r>
        <w:rPr>
          <w:spacing w:val="-4"/>
        </w:rPr>
        <w:t> </w:t>
      </w:r>
      <w:r>
        <w:rPr/>
        <w:t>Paper No. 15133. Available from:</w:t>
      </w:r>
      <w:r>
        <w:rPr>
          <w:spacing w:val="1"/>
        </w:rPr>
        <w:t> </w:t>
      </w:r>
      <w:hyperlink r:id="rId60">
        <w:r>
          <w:rPr>
            <w:color w:val="0000FF"/>
            <w:u w:val="single" w:color="0000FF"/>
          </w:rPr>
          <w:t>www.nber.org/papers/w15133</w:t>
        </w:r>
        <w:r>
          <w:rPr>
            <w:i/>
          </w:rPr>
          <w:t>.</w:t>
        </w:r>
      </w:hyperlink>
    </w:p>
    <w:p>
      <w:pPr>
        <w:pStyle w:val="BodyText"/>
        <w:spacing w:before="3"/>
        <w:rPr>
          <w:i/>
          <w:sz w:val="16"/>
        </w:rPr>
      </w:pPr>
    </w:p>
    <w:p>
      <w:pPr>
        <w:spacing w:before="90"/>
        <w:ind w:left="500" w:right="1044" w:firstLine="0"/>
        <w:jc w:val="left"/>
        <w:rPr>
          <w:sz w:val="24"/>
        </w:rPr>
      </w:pPr>
      <w:r>
        <w:rPr>
          <w:sz w:val="24"/>
        </w:rPr>
        <w:t>Davig,</w:t>
      </w:r>
      <w:r>
        <w:rPr>
          <w:spacing w:val="-2"/>
          <w:sz w:val="24"/>
        </w:rPr>
        <w:t> </w:t>
      </w:r>
      <w:r>
        <w:rPr>
          <w:sz w:val="24"/>
        </w:rPr>
        <w:t>T., Leeper,</w:t>
      </w:r>
      <w:r>
        <w:rPr>
          <w:spacing w:val="-1"/>
          <w:sz w:val="24"/>
        </w:rPr>
        <w:t> </w:t>
      </w:r>
      <w:r>
        <w:rPr>
          <w:sz w:val="24"/>
        </w:rPr>
        <w:t>E.</w:t>
      </w:r>
      <w:r>
        <w:rPr>
          <w:spacing w:val="-2"/>
          <w:sz w:val="24"/>
        </w:rPr>
        <w:t> </w:t>
      </w:r>
      <w:r>
        <w:rPr>
          <w:sz w:val="24"/>
        </w:rPr>
        <w:t>M. and</w:t>
      </w:r>
      <w:r>
        <w:rPr>
          <w:spacing w:val="-1"/>
          <w:sz w:val="24"/>
        </w:rPr>
        <w:t> </w:t>
      </w:r>
      <w:r>
        <w:rPr>
          <w:sz w:val="24"/>
        </w:rPr>
        <w:t>Walker,</w:t>
      </w:r>
      <w:r>
        <w:rPr>
          <w:spacing w:val="-2"/>
          <w:sz w:val="24"/>
        </w:rPr>
        <w:t> </w:t>
      </w:r>
      <w:r>
        <w:rPr>
          <w:sz w:val="24"/>
        </w:rPr>
        <w:t>T.</w:t>
      </w:r>
      <w:r>
        <w:rPr>
          <w:spacing w:val="-2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-2"/>
          <w:sz w:val="24"/>
        </w:rPr>
        <w:t> </w:t>
      </w:r>
      <w:r>
        <w:rPr>
          <w:sz w:val="24"/>
        </w:rPr>
        <w:t>Unfunded</w:t>
      </w:r>
      <w:r>
        <w:rPr>
          <w:spacing w:val="-1"/>
          <w:sz w:val="24"/>
        </w:rPr>
        <w:t> </w:t>
      </w:r>
      <w:r>
        <w:rPr>
          <w:sz w:val="24"/>
        </w:rPr>
        <w:t>liabilities</w:t>
      </w:r>
      <w:r>
        <w:rPr>
          <w:spacing w:val="-2"/>
          <w:sz w:val="24"/>
        </w:rPr>
        <w:t> </w:t>
      </w:r>
      <w:r>
        <w:rPr>
          <w:sz w:val="24"/>
        </w:rPr>
        <w:t>and uncertain</w:t>
      </w:r>
      <w:r>
        <w:rPr>
          <w:spacing w:val="-1"/>
          <w:sz w:val="24"/>
        </w:rPr>
        <w:t> </w:t>
      </w:r>
      <w:r>
        <w:rPr>
          <w:sz w:val="24"/>
        </w:rPr>
        <w:t>fiscal</w:t>
      </w:r>
      <w:r>
        <w:rPr>
          <w:spacing w:val="-57"/>
          <w:sz w:val="24"/>
        </w:rPr>
        <w:t> </w:t>
      </w:r>
      <w:r>
        <w:rPr>
          <w:sz w:val="24"/>
        </w:rPr>
        <w:t>financing.</w:t>
      </w:r>
      <w:r>
        <w:rPr>
          <w:spacing w:val="-1"/>
          <w:sz w:val="24"/>
        </w:rPr>
        <w:t> </w:t>
      </w:r>
      <w:r>
        <w:rPr>
          <w:i/>
          <w:sz w:val="24"/>
        </w:rPr>
        <w:t>Journal of Monetary Economics,</w:t>
      </w:r>
      <w:r>
        <w:rPr>
          <w:i/>
          <w:spacing w:val="1"/>
          <w:sz w:val="24"/>
        </w:rPr>
        <w:t> </w:t>
      </w:r>
      <w:r>
        <w:rPr>
          <w:sz w:val="24"/>
        </w:rPr>
        <w:t>57:600–619.</w:t>
      </w:r>
    </w:p>
    <w:p>
      <w:pPr>
        <w:pStyle w:val="BodyText"/>
      </w:pPr>
    </w:p>
    <w:p>
      <w:pPr>
        <w:spacing w:before="0"/>
        <w:ind w:left="500" w:right="492" w:firstLine="0"/>
        <w:jc w:val="left"/>
        <w:rPr>
          <w:sz w:val="24"/>
        </w:rPr>
      </w:pPr>
      <w:r>
        <w:rPr>
          <w:sz w:val="24"/>
        </w:rPr>
        <w:t>Dimakou,</w:t>
      </w:r>
      <w:r>
        <w:rPr>
          <w:spacing w:val="2"/>
          <w:sz w:val="24"/>
        </w:rPr>
        <w:t> </w:t>
      </w:r>
      <w:r>
        <w:rPr>
          <w:sz w:val="24"/>
        </w:rPr>
        <w:t>O.</w:t>
      </w:r>
      <w:r>
        <w:rPr>
          <w:spacing w:val="2"/>
          <w:sz w:val="24"/>
        </w:rPr>
        <w:t> </w:t>
      </w:r>
      <w:r>
        <w:rPr>
          <w:sz w:val="24"/>
        </w:rPr>
        <w:t>(2015).</w:t>
      </w:r>
      <w:r>
        <w:rPr>
          <w:spacing w:val="2"/>
          <w:sz w:val="24"/>
        </w:rPr>
        <w:t> </w:t>
      </w:r>
      <w:r>
        <w:rPr>
          <w:sz w:val="24"/>
        </w:rPr>
        <w:t>Bureaucratic</w:t>
      </w:r>
      <w:r>
        <w:rPr>
          <w:spacing w:val="2"/>
          <w:sz w:val="24"/>
        </w:rPr>
        <w:t> </w:t>
      </w:r>
      <w:r>
        <w:rPr>
          <w:sz w:val="24"/>
        </w:rPr>
        <w:t>corruption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dynamic</w:t>
      </w:r>
      <w:r>
        <w:rPr>
          <w:spacing w:val="1"/>
          <w:sz w:val="24"/>
        </w:rPr>
        <w:t> </w:t>
      </w:r>
      <w:r>
        <w:rPr>
          <w:sz w:val="24"/>
        </w:rPr>
        <w:t>interaction</w:t>
      </w:r>
      <w:r>
        <w:rPr>
          <w:spacing w:val="3"/>
          <w:sz w:val="24"/>
        </w:rPr>
        <w:t> </w:t>
      </w:r>
      <w:r>
        <w:rPr>
          <w:sz w:val="24"/>
        </w:rPr>
        <w:t>between</w:t>
      </w:r>
      <w:r>
        <w:rPr>
          <w:spacing w:val="9"/>
          <w:sz w:val="24"/>
        </w:rPr>
        <w:t> </w:t>
      </w:r>
      <w:r>
        <w:rPr>
          <w:sz w:val="24"/>
        </w:rPr>
        <w:t>monetary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fiscal</w:t>
      </w:r>
      <w:r>
        <w:rPr>
          <w:spacing w:val="-1"/>
          <w:sz w:val="24"/>
        </w:rPr>
        <w:t> </w:t>
      </w:r>
      <w:r>
        <w:rPr>
          <w:sz w:val="24"/>
        </w:rPr>
        <w:t>policy. </w:t>
      </w:r>
      <w:r>
        <w:rPr>
          <w:i/>
          <w:sz w:val="24"/>
        </w:rPr>
        <w:t>European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Political Economy,</w:t>
      </w:r>
      <w:r>
        <w:rPr>
          <w:i/>
          <w:spacing w:val="2"/>
          <w:sz w:val="24"/>
        </w:rPr>
        <w:t> </w:t>
      </w:r>
      <w:r>
        <w:rPr>
          <w:sz w:val="24"/>
        </w:rPr>
        <w:t>40(A):57-78.</w:t>
      </w:r>
    </w:p>
    <w:p>
      <w:pPr>
        <w:pStyle w:val="BodyText"/>
      </w:pPr>
    </w:p>
    <w:p>
      <w:pPr>
        <w:pStyle w:val="BodyText"/>
        <w:ind w:left="500" w:right="497"/>
      </w:pPr>
      <w:r>
        <w:rPr/>
        <w:t>Dixit,</w:t>
      </w:r>
      <w:r>
        <w:rPr>
          <w:spacing w:val="8"/>
        </w:rPr>
        <w:t> </w:t>
      </w:r>
      <w:r>
        <w:rPr/>
        <w:t>A.</w:t>
      </w:r>
      <w:r>
        <w:rPr>
          <w:spacing w:val="7"/>
        </w:rPr>
        <w:t> </w:t>
      </w:r>
      <w:r>
        <w:rPr/>
        <w:t>and</w:t>
      </w:r>
      <w:r>
        <w:rPr>
          <w:spacing w:val="10"/>
        </w:rPr>
        <w:t> </w:t>
      </w:r>
      <w:r>
        <w:rPr/>
        <w:t>Lambertini,</w:t>
      </w:r>
      <w:r>
        <w:rPr>
          <w:spacing w:val="10"/>
        </w:rPr>
        <w:t> </w:t>
      </w:r>
      <w:r>
        <w:rPr/>
        <w:t>L.</w:t>
      </w:r>
      <w:r>
        <w:rPr>
          <w:spacing w:val="10"/>
        </w:rPr>
        <w:t> </w:t>
      </w:r>
      <w:r>
        <w:rPr/>
        <w:t>(2003).</w:t>
      </w:r>
      <w:r>
        <w:rPr>
          <w:spacing w:val="12"/>
        </w:rPr>
        <w:t> </w:t>
      </w:r>
      <w:r>
        <w:rPr/>
        <w:t>Interactions</w:t>
      </w:r>
      <w:r>
        <w:rPr>
          <w:spacing w:val="12"/>
        </w:rPr>
        <w:t> </w:t>
      </w:r>
      <w:r>
        <w:rPr/>
        <w:t>of</w:t>
      </w:r>
      <w:r>
        <w:rPr>
          <w:spacing w:val="7"/>
        </w:rPr>
        <w:t> </w:t>
      </w:r>
      <w:r>
        <w:rPr/>
        <w:t>commitment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discretion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monetary</w:t>
      </w:r>
      <w:r>
        <w:rPr>
          <w:spacing w:val="6"/>
        </w:rPr>
        <w:t> </w:t>
      </w:r>
      <w:r>
        <w:rPr/>
        <w:t>and</w:t>
      </w:r>
      <w:r>
        <w:rPr>
          <w:spacing w:val="-57"/>
        </w:rPr>
        <w:t> </w:t>
      </w:r>
      <w:r>
        <w:rPr/>
        <w:t>fiscal policies. </w:t>
      </w:r>
      <w:r>
        <w:rPr>
          <w:i/>
        </w:rPr>
        <w:t>The American Economic Review, </w:t>
      </w:r>
      <w:r>
        <w:rPr/>
        <w:t>93(5):1522-1542. Available from</w:t>
      </w:r>
      <w:r>
        <w:rPr>
          <w:spacing w:val="1"/>
        </w:rPr>
        <w:t> </w:t>
      </w:r>
      <w:hyperlink r:id="rId61">
        <w:r>
          <w:rPr>
            <w:color w:val="0000FF"/>
            <w:u w:val="single" w:color="0000FF"/>
          </w:rPr>
          <w:t>http://www.jstor.org/stable/3132140</w:t>
        </w:r>
      </w:hyperlink>
      <w:r>
        <w:rPr/>
        <w:t>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500" w:right="500"/>
      </w:pPr>
      <w:r>
        <w:rPr/>
        <w:t>Ehelepola, K. (2014). Optimal monetary and fiscal policy analysis for Sri Lanka; a DSGE</w:t>
      </w:r>
      <w:r>
        <w:rPr>
          <w:spacing w:val="1"/>
        </w:rPr>
        <w:t> </w:t>
      </w:r>
      <w:r>
        <w:rPr/>
        <w:t>approach.</w:t>
      </w:r>
      <w:r>
        <w:rPr>
          <w:spacing w:val="-10"/>
        </w:rPr>
        <w:t> </w:t>
      </w:r>
      <w:r>
        <w:rPr/>
        <w:t>In:</w:t>
      </w:r>
      <w:r>
        <w:rPr>
          <w:spacing w:val="-11"/>
        </w:rPr>
        <w:t> </w:t>
      </w:r>
      <w:r>
        <w:rPr/>
        <w:t>International</w:t>
      </w:r>
      <w:r>
        <w:rPr>
          <w:spacing w:val="-14"/>
        </w:rPr>
        <w:t> </w:t>
      </w:r>
      <w:r>
        <w:rPr/>
        <w:t>Research</w:t>
      </w:r>
      <w:r>
        <w:rPr>
          <w:spacing w:val="-13"/>
        </w:rPr>
        <w:t> </w:t>
      </w:r>
      <w:r>
        <w:rPr/>
        <w:t>Conference</w:t>
      </w:r>
      <w:r>
        <w:rPr>
          <w:spacing w:val="-15"/>
        </w:rPr>
        <w:t> </w:t>
      </w:r>
      <w:r>
        <w:rPr/>
        <w:t>2014.</w:t>
      </w:r>
      <w:r>
        <w:rPr>
          <w:spacing w:val="-14"/>
        </w:rPr>
        <w:t> </w:t>
      </w:r>
      <w:r>
        <w:rPr/>
        <w:t>Central</w:t>
      </w:r>
      <w:r>
        <w:rPr>
          <w:spacing w:val="-12"/>
        </w:rPr>
        <w:t> </w:t>
      </w:r>
      <w:r>
        <w:rPr/>
        <w:t>Bank</w:t>
      </w:r>
      <w:r>
        <w:rPr>
          <w:spacing w:val="-13"/>
        </w:rPr>
        <w:t> </w:t>
      </w:r>
      <w:r>
        <w:rPr/>
        <w:t>of</w:t>
      </w:r>
      <w:r>
        <w:rPr>
          <w:spacing w:val="-15"/>
        </w:rPr>
        <w:t> </w:t>
      </w:r>
      <w:r>
        <w:rPr/>
        <w:t>Sri</w:t>
      </w:r>
      <w:r>
        <w:rPr>
          <w:spacing w:val="-12"/>
        </w:rPr>
        <w:t> </w:t>
      </w:r>
      <w:r>
        <w:rPr/>
        <w:t>Lanka.</w:t>
      </w:r>
      <w:r>
        <w:rPr>
          <w:spacing w:val="-13"/>
        </w:rPr>
        <w:t> </w:t>
      </w:r>
      <w:r>
        <w:rPr/>
        <w:t>Available</w:t>
      </w:r>
      <w:r>
        <w:rPr>
          <w:spacing w:val="-15"/>
        </w:rPr>
        <w:t> </w:t>
      </w:r>
      <w:r>
        <w:rPr/>
        <w:t>from:</w:t>
      </w:r>
      <w:r>
        <w:rPr>
          <w:spacing w:val="-57"/>
        </w:rPr>
        <w:t> </w:t>
      </w:r>
      <w:hyperlink r:id="rId62">
        <w:r>
          <w:rPr>
            <w:color w:val="0000FF"/>
            <w:u w:val="single" w:color="0000FF"/>
          </w:rPr>
          <w:t>https://www.cbsl.gov.lk/sites/default/files/Optimal_Monetary_and_Fiscal_Policy_Analysis_for_</w:t>
        </w:r>
      </w:hyperlink>
      <w:r>
        <w:rPr>
          <w:color w:val="0000FF"/>
          <w:spacing w:val="1"/>
        </w:rPr>
        <w:t> </w:t>
      </w:r>
      <w:hyperlink r:id="rId62">
        <w:r>
          <w:rPr>
            <w:color w:val="0000FF"/>
            <w:u w:val="single" w:color="0000FF"/>
          </w:rPr>
          <w:t>Sri%20Lanka_full.pdf</w:t>
        </w:r>
        <w:r>
          <w:rPr/>
          <w:t>.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00" w:right="497"/>
      </w:pPr>
      <w:r>
        <w:rPr/>
        <w:t>Englama, A.,</w:t>
      </w:r>
      <w:r>
        <w:rPr>
          <w:spacing w:val="-1"/>
        </w:rPr>
        <w:t> </w:t>
      </w:r>
      <w:r>
        <w:rPr/>
        <w:t>Tarawalie,</w:t>
      </w:r>
      <w:r>
        <w:rPr>
          <w:spacing w:val="1"/>
        </w:rPr>
        <w:t> </w:t>
      </w:r>
      <w:r>
        <w:rPr/>
        <w:t>A.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Ahortor,</w:t>
      </w:r>
      <w:r>
        <w:rPr>
          <w:spacing w:val="-1"/>
        </w:rPr>
        <w:t> </w:t>
      </w:r>
      <w:r>
        <w:rPr/>
        <w:t>C.R.K. (2013).</w:t>
      </w:r>
      <w:r>
        <w:rPr>
          <w:spacing w:val="-1"/>
        </w:rPr>
        <w:t> </w:t>
      </w:r>
      <w:r>
        <w:rPr/>
        <w:t>Fiscal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monetary</w:t>
      </w:r>
      <w:r>
        <w:rPr>
          <w:spacing w:val="-5"/>
        </w:rPr>
        <w:t> </w:t>
      </w:r>
      <w:r>
        <w:rPr/>
        <w:t>policy</w:t>
      </w:r>
      <w:r>
        <w:rPr>
          <w:spacing w:val="-4"/>
        </w:rPr>
        <w:t> </w:t>
      </w:r>
      <w:r>
        <w:rPr/>
        <w:t>coordination</w:t>
      </w:r>
      <w:r>
        <w:rPr>
          <w:spacing w:val="-57"/>
        </w:rPr>
        <w:t> </w:t>
      </w:r>
      <w:r>
        <w:rPr/>
        <w:t>in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WAMZ:</w:t>
      </w:r>
      <w:r>
        <w:rPr>
          <w:spacing w:val="41"/>
        </w:rPr>
        <w:t> </w:t>
      </w:r>
      <w:r>
        <w:rPr/>
        <w:t>Implications</w:t>
      </w:r>
      <w:r>
        <w:rPr>
          <w:spacing w:val="40"/>
        </w:rPr>
        <w:t> </w:t>
      </w:r>
      <w:r>
        <w:rPr/>
        <w:t>for</w:t>
      </w:r>
      <w:r>
        <w:rPr>
          <w:spacing w:val="37"/>
        </w:rPr>
        <w:t> </w:t>
      </w:r>
      <w:r>
        <w:rPr/>
        <w:t>member</w:t>
      </w:r>
      <w:r>
        <w:rPr>
          <w:spacing w:val="38"/>
        </w:rPr>
        <w:t> </w:t>
      </w:r>
      <w:r>
        <w:rPr/>
        <w:t>states’</w:t>
      </w:r>
      <w:r>
        <w:rPr>
          <w:spacing w:val="40"/>
        </w:rPr>
        <w:t> </w:t>
      </w:r>
      <w:r>
        <w:rPr/>
        <w:t>performance</w:t>
      </w:r>
      <w:r>
        <w:rPr>
          <w:spacing w:val="38"/>
        </w:rPr>
        <w:t> </w:t>
      </w:r>
      <w:r>
        <w:rPr/>
        <w:t>on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convergence</w:t>
      </w:r>
      <w:r>
        <w:rPr>
          <w:spacing w:val="37"/>
        </w:rPr>
        <w:t> </w:t>
      </w:r>
      <w:r>
        <w:rPr/>
        <w:t>criteria.</w:t>
      </w:r>
      <w:r>
        <w:rPr>
          <w:spacing w:val="41"/>
        </w:rPr>
        <w:t> </w:t>
      </w:r>
      <w:r>
        <w:rPr/>
        <w:t>In:</w:t>
      </w:r>
      <w:r>
        <w:rPr>
          <w:spacing w:val="-57"/>
        </w:rPr>
        <w:t> </w:t>
      </w:r>
      <w:r>
        <w:rPr/>
        <w:t>Fourth</w:t>
      </w:r>
      <w:r>
        <w:rPr>
          <w:spacing w:val="13"/>
        </w:rPr>
        <w:t> </w:t>
      </w:r>
      <w:r>
        <w:rPr/>
        <w:t>Annual</w:t>
      </w:r>
      <w:r>
        <w:rPr>
          <w:spacing w:val="15"/>
        </w:rPr>
        <w:t> </w:t>
      </w:r>
      <w:r>
        <w:rPr/>
        <w:t>Conference</w:t>
      </w:r>
      <w:r>
        <w:rPr>
          <w:spacing w:val="16"/>
        </w:rPr>
        <w:t> </w:t>
      </w:r>
      <w:r>
        <w:rPr/>
        <w:t>for</w:t>
      </w:r>
      <w:r>
        <w:rPr>
          <w:spacing w:val="13"/>
        </w:rPr>
        <w:t> </w:t>
      </w:r>
      <w:r>
        <w:rPr/>
        <w:t>Regional</w:t>
      </w:r>
      <w:r>
        <w:rPr>
          <w:spacing w:val="17"/>
        </w:rPr>
        <w:t> </w:t>
      </w:r>
      <w:r>
        <w:rPr/>
        <w:t>Integration</w:t>
      </w:r>
      <w:r>
        <w:rPr>
          <w:spacing w:val="13"/>
        </w:rPr>
        <w:t> </w:t>
      </w:r>
      <w:r>
        <w:rPr/>
        <w:t>in</w:t>
      </w:r>
      <w:r>
        <w:rPr>
          <w:spacing w:val="15"/>
        </w:rPr>
        <w:t> </w:t>
      </w:r>
      <w:r>
        <w:rPr/>
        <w:t>Africa</w:t>
      </w:r>
      <w:r>
        <w:rPr>
          <w:spacing w:val="16"/>
        </w:rPr>
        <w:t> </w:t>
      </w:r>
      <w:r>
        <w:rPr/>
        <w:t>Abidjan,</w:t>
      </w:r>
      <w:r>
        <w:rPr>
          <w:spacing w:val="14"/>
        </w:rPr>
        <w:t> </w:t>
      </w:r>
      <w:r>
        <w:rPr/>
        <w:t>Côte</w:t>
      </w:r>
      <w:r>
        <w:rPr>
          <w:spacing w:val="14"/>
        </w:rPr>
        <w:t> </w:t>
      </w:r>
      <w:r>
        <w:rPr/>
        <w:t>d’Ivoire.</w:t>
      </w:r>
      <w:r>
        <w:rPr>
          <w:spacing w:val="14"/>
        </w:rPr>
        <w:t> </w:t>
      </w:r>
      <w:r>
        <w:rPr/>
        <w:t>Available</w:t>
      </w:r>
      <w:r>
        <w:rPr>
          <w:spacing w:val="-57"/>
        </w:rPr>
        <w:t> </w:t>
      </w:r>
      <w:r>
        <w:rPr/>
        <w:t>from:</w:t>
      </w:r>
      <w:r>
        <w:rPr>
          <w:spacing w:val="1"/>
        </w:rPr>
        <w:t> </w:t>
      </w:r>
      <w:hyperlink r:id="rId63">
        <w:r>
          <w:rPr>
            <w:color w:val="0000FF"/>
            <w:u w:val="single" w:color="0000FF"/>
          </w:rPr>
          <w:t>https://www.researchgate.net/publication/300366086_Fiscal_and_Monetary_Policy_Coordinatio</w:t>
        </w:r>
      </w:hyperlink>
      <w:r>
        <w:rPr>
          <w:color w:val="0000FF"/>
          <w:spacing w:val="-57"/>
        </w:rPr>
        <w:t> </w:t>
      </w:r>
      <w:hyperlink r:id="rId63">
        <w:r>
          <w:rPr>
            <w:color w:val="0000FF"/>
            <w:u w:val="single" w:color="0000FF"/>
          </w:rPr>
          <w:t>n_in_the_WAMZ_Implications_for_Member_States%27_Performance_on_the_Convergence_C</w:t>
        </w:r>
      </w:hyperlink>
      <w:r>
        <w:rPr>
          <w:color w:val="0000FF"/>
          <w:spacing w:val="1"/>
        </w:rPr>
        <w:t> </w:t>
      </w:r>
      <w:hyperlink r:id="rId63">
        <w:r>
          <w:rPr>
            <w:color w:val="0000FF"/>
            <w:u w:val="single" w:color="0000FF"/>
          </w:rPr>
          <w:t>riteria</w:t>
        </w:r>
      </w:hyperlink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1500" w:val="left" w:leader="none"/>
          <w:tab w:pos="2985" w:val="left" w:leader="none"/>
          <w:tab w:pos="3467" w:val="left" w:leader="none"/>
          <w:tab w:pos="4469" w:val="left" w:leader="none"/>
          <w:tab w:pos="5453" w:val="left" w:leader="none"/>
          <w:tab w:pos="6573" w:val="left" w:leader="none"/>
          <w:tab w:pos="8106" w:val="left" w:leader="none"/>
          <w:tab w:pos="9319" w:val="left" w:leader="none"/>
        </w:tabs>
        <w:spacing w:before="89"/>
        <w:ind w:left="500" w:right="503"/>
      </w:pPr>
      <w:r>
        <w:rPr/>
        <w:t>Federal</w:t>
        <w:tab/>
        <w:t>Government</w:t>
        <w:tab/>
        <w:t>of</w:t>
        <w:tab/>
        <w:t>Nigeria</w:t>
        <w:tab/>
        <w:t>(1999).</w:t>
        <w:tab/>
        <w:t>Nigerian</w:t>
        <w:tab/>
        <w:t>Constitution.</w:t>
        <w:tab/>
        <w:t>Available</w:t>
        <w:tab/>
      </w:r>
      <w:r>
        <w:rPr>
          <w:spacing w:val="-1"/>
        </w:rPr>
        <w:t>from:</w:t>
      </w:r>
      <w:r>
        <w:rPr>
          <w:spacing w:val="-57"/>
        </w:rPr>
        <w:t> </w:t>
      </w:r>
      <w:hyperlink r:id="rId64">
        <w:r>
          <w:rPr>
            <w:color w:val="0000FF"/>
            <w:u w:val="single" w:color="0000FF"/>
          </w:rPr>
          <w:t>http://www.nigeria-law.org/ConstitutionOfTheFederalRepublicOfNigeria.htm</w:t>
        </w:r>
      </w:hyperlink>
    </w:p>
    <w:p>
      <w:pPr>
        <w:pStyle w:val="BodyText"/>
        <w:spacing w:before="1"/>
        <w:ind w:left="500"/>
      </w:pPr>
      <w:r>
        <w:rPr/>
        <w:t>Fernández-Villaverde,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(2009).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econometrics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DSGE</w:t>
      </w:r>
      <w:r>
        <w:rPr>
          <w:spacing w:val="-1"/>
        </w:rPr>
        <w:t> </w:t>
      </w:r>
      <w:r>
        <w:rPr/>
        <w:t>models.</w:t>
      </w:r>
      <w:r>
        <w:rPr>
          <w:spacing w:val="2"/>
        </w:rPr>
        <w:t> </w:t>
      </w:r>
      <w:r>
        <w:rPr>
          <w:i/>
        </w:rPr>
        <w:t>SERIEs,</w:t>
      </w:r>
      <w:r>
        <w:rPr>
          <w:i/>
          <w:spacing w:val="-1"/>
        </w:rPr>
        <w:t> </w:t>
      </w:r>
      <w:r>
        <w:rPr/>
        <w:t>1:3–49.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500" w:right="497"/>
      </w:pPr>
      <w:r>
        <w:rPr/>
        <w:t>Fernandez-Villaverde, J., Rubio-Ramirez, J. F. and Schorfheide, F. (2016). Solution and</w:t>
      </w:r>
      <w:r>
        <w:rPr>
          <w:spacing w:val="1"/>
        </w:rPr>
        <w:t> </w:t>
      </w:r>
      <w:r>
        <w:rPr/>
        <w:t>Estimation</w:t>
      </w:r>
      <w:r>
        <w:rPr>
          <w:spacing w:val="-2"/>
        </w:rPr>
        <w:t> </w:t>
      </w:r>
      <w:r>
        <w:rPr/>
        <w:t>Methods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DSGE</w:t>
      </w:r>
      <w:r>
        <w:rPr>
          <w:spacing w:val="-2"/>
        </w:rPr>
        <w:t> </w:t>
      </w:r>
      <w:r>
        <w:rPr/>
        <w:t>Models.</w:t>
      </w:r>
      <w:r>
        <w:rPr>
          <w:spacing w:val="-2"/>
        </w:rPr>
        <w:t> </w:t>
      </w:r>
      <w:r>
        <w:rPr/>
        <w:t>Forthcoming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Handbook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Macroeconomics,</w:t>
      </w:r>
      <w:r>
        <w:rPr>
          <w:spacing w:val="-2"/>
        </w:rPr>
        <w:t> </w:t>
      </w:r>
      <w:r>
        <w:rPr/>
        <w:t>2.</w:t>
      </w:r>
      <w:r>
        <w:rPr>
          <w:spacing w:val="-57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from: </w:t>
      </w:r>
      <w:hyperlink r:id="rId65">
        <w:r>
          <w:rPr>
            <w:color w:val="0000FF"/>
            <w:u w:val="single" w:color="0000FF"/>
          </w:rPr>
          <w:t>http://www.nber.org/papers/w21862</w:t>
        </w:r>
      </w:hyperlink>
    </w:p>
    <w:p>
      <w:pPr>
        <w:spacing w:after="0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tabs>
          <w:tab w:pos="1508" w:val="left" w:leader="none"/>
          <w:tab w:pos="3333" w:val="left" w:leader="none"/>
          <w:tab w:pos="4115" w:val="left" w:leader="none"/>
          <w:tab w:pos="5250" w:val="left" w:leader="none"/>
          <w:tab w:pos="6257" w:val="left" w:leader="none"/>
          <w:tab w:pos="8082" w:val="left" w:leader="none"/>
          <w:tab w:pos="8930" w:val="left" w:leader="none"/>
        </w:tabs>
        <w:spacing w:before="72"/>
        <w:ind w:left="500" w:right="495"/>
      </w:pPr>
      <w:r>
        <w:rPr/>
        <w:t>Fiscal</w:t>
        <w:tab/>
        <w:t>Responsibility</w:t>
        <w:tab/>
        <w:t>Act</w:t>
        <w:tab/>
        <w:t>(2007).</w:t>
        <w:tab/>
        <w:t>Fiscal</w:t>
        <w:tab/>
        <w:t>Responsibility</w:t>
        <w:tab/>
        <w:t>Act.</w:t>
        <w:tab/>
      </w:r>
      <w:r>
        <w:rPr>
          <w:spacing w:val="-1"/>
        </w:rPr>
        <w:t>Available</w:t>
      </w:r>
      <w:r>
        <w:rPr>
          <w:spacing w:val="-57"/>
        </w:rPr>
        <w:t> </w:t>
      </w:r>
      <w:r>
        <w:rPr/>
        <w:t>from:</w:t>
      </w:r>
      <w:hyperlink r:id="rId66">
        <w:r>
          <w:rPr>
            <w:color w:val="0000FF"/>
            <w:u w:val="single" w:color="0000FF"/>
          </w:rPr>
          <w:t>http://internationalbudget.org/wp-content/uploads/Nigeria-FiscalResponsibilityAct2007-</w:t>
        </w:r>
      </w:hyperlink>
      <w:r>
        <w:rPr>
          <w:color w:val="0000FF"/>
          <w:spacing w:val="1"/>
        </w:rPr>
        <w:t> </w:t>
      </w:r>
      <w:hyperlink r:id="rId66">
        <w:r>
          <w:rPr>
            <w:color w:val="0000FF"/>
            <w:u w:val="single" w:color="0000FF"/>
          </w:rPr>
          <w:t>English.pdf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00" w:right="493"/>
      </w:pPr>
      <w:r>
        <w:rPr/>
        <w:t>Flotho,</w:t>
      </w:r>
      <w:r>
        <w:rPr>
          <w:spacing w:val="26"/>
        </w:rPr>
        <w:t> </w:t>
      </w:r>
      <w:r>
        <w:rPr/>
        <w:t>S.</w:t>
      </w:r>
      <w:r>
        <w:rPr>
          <w:spacing w:val="27"/>
        </w:rPr>
        <w:t> </w:t>
      </w:r>
      <w:r>
        <w:rPr/>
        <w:t>(2009).</w:t>
      </w:r>
      <w:r>
        <w:rPr>
          <w:spacing w:val="26"/>
        </w:rPr>
        <w:t> </w:t>
      </w:r>
      <w:r>
        <w:rPr/>
        <w:t>DSGE</w:t>
      </w:r>
      <w:r>
        <w:rPr>
          <w:spacing w:val="26"/>
        </w:rPr>
        <w:t> </w:t>
      </w:r>
      <w:r>
        <w:rPr/>
        <w:t>models</w:t>
      </w:r>
      <w:r>
        <w:rPr>
          <w:spacing w:val="29"/>
        </w:rPr>
        <w:t> </w:t>
      </w:r>
      <w:r>
        <w:rPr/>
        <w:t>-</w:t>
      </w:r>
      <w:r>
        <w:rPr>
          <w:spacing w:val="27"/>
        </w:rPr>
        <w:t> </w:t>
      </w:r>
      <w:r>
        <w:rPr/>
        <w:t>solution</w:t>
      </w:r>
      <w:r>
        <w:rPr>
          <w:spacing w:val="24"/>
        </w:rPr>
        <w:t> </w:t>
      </w:r>
      <w:r>
        <w:rPr/>
        <w:t>strategies.</w:t>
      </w:r>
      <w:r>
        <w:rPr>
          <w:spacing w:val="28"/>
        </w:rPr>
        <w:t> </w:t>
      </w:r>
      <w:r>
        <w:rPr/>
        <w:t>Available</w:t>
      </w:r>
      <w:r>
        <w:rPr>
          <w:spacing w:val="27"/>
        </w:rPr>
        <w:t> </w:t>
      </w:r>
      <w:r>
        <w:rPr/>
        <w:t>from:</w:t>
      </w:r>
      <w:r>
        <w:rPr>
          <w:spacing w:val="28"/>
        </w:rPr>
        <w:t> </w:t>
      </w:r>
      <w:hyperlink r:id="rId67">
        <w:r>
          <w:rPr>
            <w:color w:val="0000FF"/>
            <w:u w:val="single" w:color="0000FF"/>
          </w:rPr>
          <w:t>https://www.macro.uni-</w:t>
        </w:r>
      </w:hyperlink>
      <w:r>
        <w:rPr>
          <w:color w:val="0000FF"/>
          <w:spacing w:val="-57"/>
        </w:rPr>
        <w:t> </w:t>
      </w:r>
      <w:hyperlink r:id="rId67">
        <w:r>
          <w:rPr>
            <w:color w:val="0000FF"/>
            <w:u w:val="single" w:color="0000FF"/>
          </w:rPr>
          <w:t>freiburg.de/publications/research_flotho/dsge_models</w:t>
        </w:r>
      </w:hyperlink>
      <w:r>
        <w:rPr/>
        <w:t>.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500" w:right="500" w:firstLine="0"/>
        <w:jc w:val="left"/>
        <w:rPr>
          <w:sz w:val="24"/>
        </w:rPr>
      </w:pPr>
      <w:r>
        <w:rPr>
          <w:sz w:val="24"/>
        </w:rPr>
        <w:t>Fragetta</w:t>
      </w:r>
      <w:r>
        <w:rPr>
          <w:i/>
          <w:sz w:val="24"/>
        </w:rPr>
        <w:t>,</w:t>
      </w:r>
      <w:r>
        <w:rPr>
          <w:i/>
          <w:spacing w:val="42"/>
          <w:sz w:val="24"/>
        </w:rPr>
        <w:t> </w:t>
      </w:r>
      <w:r>
        <w:rPr>
          <w:sz w:val="24"/>
        </w:rPr>
        <w:t>M</w:t>
      </w:r>
      <w:r>
        <w:rPr>
          <w:i/>
          <w:sz w:val="24"/>
        </w:rPr>
        <w:t>.</w:t>
      </w:r>
      <w:r>
        <w:rPr>
          <w:i/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z w:val="24"/>
        </w:rPr>
        <w:t>Kirsanova</w:t>
      </w:r>
      <w:r>
        <w:rPr>
          <w:i/>
          <w:sz w:val="24"/>
        </w:rPr>
        <w:t>,</w:t>
      </w:r>
      <w:r>
        <w:rPr>
          <w:i/>
          <w:spacing w:val="43"/>
          <w:sz w:val="24"/>
        </w:rPr>
        <w:t> </w:t>
      </w:r>
      <w:r>
        <w:rPr>
          <w:sz w:val="24"/>
        </w:rPr>
        <w:t>T</w:t>
      </w:r>
      <w:r>
        <w:rPr>
          <w:i/>
          <w:sz w:val="24"/>
        </w:rPr>
        <w:t>.</w:t>
      </w:r>
      <w:r>
        <w:rPr>
          <w:i/>
          <w:spacing w:val="42"/>
          <w:sz w:val="24"/>
        </w:rPr>
        <w:t> </w:t>
      </w:r>
      <w:r>
        <w:rPr>
          <w:sz w:val="24"/>
        </w:rPr>
        <w:t>(2010)</w:t>
      </w:r>
      <w:r>
        <w:rPr>
          <w:i/>
          <w:sz w:val="24"/>
        </w:rPr>
        <w:t>.</w:t>
      </w:r>
      <w:r>
        <w:rPr>
          <w:i/>
          <w:spacing w:val="42"/>
          <w:sz w:val="24"/>
        </w:rPr>
        <w:t> </w:t>
      </w:r>
      <w:r>
        <w:rPr>
          <w:sz w:val="24"/>
        </w:rPr>
        <w:t>Strategic</w:t>
      </w:r>
      <w:r>
        <w:rPr>
          <w:spacing w:val="42"/>
          <w:sz w:val="24"/>
        </w:rPr>
        <w:t> </w:t>
      </w:r>
      <w:r>
        <w:rPr>
          <w:sz w:val="24"/>
        </w:rPr>
        <w:t>monetary</w:t>
      </w:r>
      <w:r>
        <w:rPr>
          <w:spacing w:val="37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fiscal</w:t>
      </w:r>
      <w:r>
        <w:rPr>
          <w:spacing w:val="43"/>
          <w:sz w:val="24"/>
        </w:rPr>
        <w:t> </w:t>
      </w:r>
      <w:r>
        <w:rPr>
          <w:sz w:val="24"/>
        </w:rPr>
        <w:t>policy</w:t>
      </w:r>
      <w:r>
        <w:rPr>
          <w:spacing w:val="37"/>
          <w:sz w:val="24"/>
        </w:rPr>
        <w:t> </w:t>
      </w:r>
      <w:r>
        <w:rPr>
          <w:sz w:val="24"/>
        </w:rPr>
        <w:t>interactions:</w:t>
      </w:r>
      <w:r>
        <w:rPr>
          <w:spacing w:val="42"/>
          <w:sz w:val="24"/>
        </w:rPr>
        <w:t> </w:t>
      </w:r>
      <w:r>
        <w:rPr>
          <w:sz w:val="24"/>
        </w:rPr>
        <w:t>An</w:t>
      </w:r>
      <w:r>
        <w:rPr>
          <w:spacing w:val="-57"/>
          <w:sz w:val="24"/>
        </w:rPr>
        <w:t> </w:t>
      </w:r>
      <w:r>
        <w:rPr>
          <w:sz w:val="24"/>
        </w:rPr>
        <w:t>empirical</w:t>
      </w:r>
      <w:r>
        <w:rPr>
          <w:spacing w:val="-1"/>
          <w:sz w:val="24"/>
        </w:rPr>
        <w:t> </w:t>
      </w:r>
      <w:r>
        <w:rPr>
          <w:sz w:val="24"/>
        </w:rPr>
        <w:t>investigation.</w:t>
      </w:r>
      <w:r>
        <w:rPr>
          <w:spacing w:val="1"/>
          <w:sz w:val="24"/>
        </w:rPr>
        <w:t> </w:t>
      </w:r>
      <w:r>
        <w:rPr>
          <w:i/>
          <w:sz w:val="24"/>
        </w:rPr>
        <w:t>European 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Review,</w:t>
      </w:r>
      <w:r>
        <w:rPr>
          <w:i/>
          <w:spacing w:val="-1"/>
          <w:sz w:val="24"/>
        </w:rPr>
        <w:t> </w:t>
      </w:r>
      <w:r>
        <w:rPr>
          <w:sz w:val="24"/>
        </w:rPr>
        <w:t>54(7):855-879.</w:t>
      </w:r>
    </w:p>
    <w:p>
      <w:pPr>
        <w:pStyle w:val="BodyText"/>
      </w:pPr>
    </w:p>
    <w:p>
      <w:pPr>
        <w:pStyle w:val="BodyText"/>
        <w:tabs>
          <w:tab w:pos="6981" w:val="left" w:leader="none"/>
        </w:tabs>
        <w:ind w:left="500" w:right="500"/>
      </w:pPr>
      <w:r>
        <w:rPr/>
        <w:t>Franta,</w:t>
      </w:r>
      <w:r>
        <w:rPr>
          <w:spacing w:val="-9"/>
        </w:rPr>
        <w:t> </w:t>
      </w:r>
      <w:r>
        <w:rPr/>
        <w:t>M.,</w:t>
      </w:r>
      <w:r>
        <w:rPr>
          <w:spacing w:val="-8"/>
        </w:rPr>
        <w:t> </w:t>
      </w:r>
      <w:r>
        <w:rPr/>
        <w:t>Libich,</w:t>
      </w:r>
      <w:r>
        <w:rPr>
          <w:spacing w:val="-9"/>
        </w:rPr>
        <w:t> </w:t>
      </w:r>
      <w:r>
        <w:rPr/>
        <w:t>J.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Stehlik,</w:t>
      </w:r>
      <w:r>
        <w:rPr>
          <w:spacing w:val="-11"/>
        </w:rPr>
        <w:t> </w:t>
      </w:r>
      <w:r>
        <w:rPr/>
        <w:t>P.</w:t>
      </w:r>
      <w:r>
        <w:rPr>
          <w:spacing w:val="-10"/>
        </w:rPr>
        <w:t> </w:t>
      </w:r>
      <w:r>
        <w:rPr/>
        <w:t>(2012).</w:t>
      </w:r>
      <w:r>
        <w:rPr>
          <w:spacing w:val="-10"/>
        </w:rPr>
        <w:t> </w:t>
      </w:r>
      <w:r>
        <w:rPr/>
        <w:t>Tracking</w:t>
      </w:r>
      <w:r>
        <w:rPr>
          <w:spacing w:val="-13"/>
        </w:rPr>
        <w:t> </w:t>
      </w:r>
      <w:r>
        <w:rPr/>
        <w:t>monetary-fiscal</w:t>
      </w:r>
      <w:r>
        <w:rPr>
          <w:spacing w:val="-11"/>
        </w:rPr>
        <w:t> </w:t>
      </w:r>
      <w:r>
        <w:rPr/>
        <w:t>interactions</w:t>
      </w:r>
      <w:r>
        <w:rPr>
          <w:spacing w:val="-11"/>
        </w:rPr>
        <w:t> </w:t>
      </w:r>
      <w:r>
        <w:rPr/>
        <w:t>across</w:t>
      </w:r>
      <w:r>
        <w:rPr>
          <w:spacing w:val="-9"/>
        </w:rPr>
        <w:t> </w:t>
      </w:r>
      <w:r>
        <w:rPr/>
        <w:t>time</w:t>
      </w:r>
      <w:r>
        <w:rPr>
          <w:spacing w:val="-11"/>
        </w:rPr>
        <w:t> </w:t>
      </w:r>
      <w:r>
        <w:rPr/>
        <w:t>and</w:t>
      </w:r>
      <w:r>
        <w:rPr>
          <w:spacing w:val="-57"/>
        </w:rPr>
        <w:t> </w:t>
      </w:r>
      <w:r>
        <w:rPr/>
        <w:t>space.</w:t>
      </w:r>
      <w:r>
        <w:rPr>
          <w:spacing w:val="-1"/>
        </w:rPr>
        <w:t> </w:t>
      </w:r>
      <w:r>
        <w:rPr/>
        <w:t>Czech</w:t>
      </w:r>
      <w:r>
        <w:rPr>
          <w:spacing w:val="-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Bank Working</w:t>
      </w:r>
      <w:r>
        <w:rPr>
          <w:spacing w:val="-4"/>
        </w:rPr>
        <w:t> </w:t>
      </w:r>
      <w:r>
        <w:rPr/>
        <w:t>Paper</w:t>
      </w:r>
      <w:r>
        <w:rPr>
          <w:spacing w:val="-1"/>
        </w:rPr>
        <w:t> </w:t>
      </w:r>
      <w:r>
        <w:rPr/>
        <w:t>Series.</w:t>
      </w:r>
      <w:r>
        <w:rPr>
          <w:spacing w:val="-1"/>
        </w:rPr>
        <w:t> </w:t>
      </w:r>
      <w:r>
        <w:rPr/>
        <w:t>Available</w:t>
        <w:tab/>
        <w:t>from:</w:t>
      </w:r>
      <w:r>
        <w:rPr>
          <w:spacing w:val="1"/>
        </w:rPr>
        <w:t> </w:t>
      </w:r>
      <w:hyperlink r:id="rId68">
        <w:r>
          <w:rPr>
            <w:color w:val="0000FF"/>
            <w:u w:val="single" w:color="0000FF"/>
          </w:rPr>
          <w:t>https://www.cnb.cz/en/research/research_publications/cnb_wp/2012/cnbwp_2012_06.html</w:t>
        </w:r>
      </w:hyperlink>
    </w:p>
    <w:p>
      <w:pPr>
        <w:pStyle w:val="BodyText"/>
        <w:spacing w:before="3"/>
        <w:rPr>
          <w:sz w:val="16"/>
        </w:rPr>
      </w:pPr>
    </w:p>
    <w:p>
      <w:pPr>
        <w:spacing w:before="90"/>
        <w:ind w:left="500" w:right="729" w:firstLine="0"/>
        <w:jc w:val="left"/>
        <w:rPr>
          <w:sz w:val="24"/>
        </w:rPr>
      </w:pPr>
      <w:r>
        <w:rPr>
          <w:sz w:val="24"/>
        </w:rPr>
        <w:t>Gali,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(2003).</w:t>
      </w:r>
      <w:r>
        <w:rPr>
          <w:spacing w:val="-1"/>
          <w:sz w:val="24"/>
        </w:rPr>
        <w:t> </w:t>
      </w:r>
      <w:r>
        <w:rPr>
          <w:sz w:val="24"/>
        </w:rPr>
        <w:t>New perspectives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monetary</w:t>
      </w:r>
      <w:r>
        <w:rPr>
          <w:spacing w:val="-5"/>
          <w:sz w:val="24"/>
        </w:rPr>
        <w:t> </w:t>
      </w:r>
      <w:r>
        <w:rPr>
          <w:sz w:val="24"/>
        </w:rPr>
        <w:t>policy,</w:t>
      </w:r>
      <w:r>
        <w:rPr>
          <w:spacing w:val="-1"/>
          <w:sz w:val="24"/>
        </w:rPr>
        <w:t> </w:t>
      </w:r>
      <w:r>
        <w:rPr>
          <w:sz w:val="24"/>
        </w:rPr>
        <w:t>inflation, 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business</w:t>
      </w:r>
      <w:r>
        <w:rPr>
          <w:spacing w:val="44"/>
          <w:sz w:val="24"/>
        </w:rPr>
        <w:t> </w:t>
      </w:r>
      <w:r>
        <w:rPr>
          <w:sz w:val="24"/>
        </w:rPr>
        <w:t>cycle.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i/>
          <w:sz w:val="24"/>
        </w:rPr>
        <w:t>dvances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Economics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 Econometrics,</w:t>
      </w:r>
      <w:r>
        <w:rPr>
          <w:i/>
          <w:spacing w:val="1"/>
          <w:sz w:val="24"/>
        </w:rPr>
        <w:t> </w:t>
      </w:r>
      <w:r>
        <w:rPr>
          <w:sz w:val="24"/>
        </w:rPr>
        <w:t>3:151-197.</w:t>
      </w:r>
    </w:p>
    <w:p>
      <w:pPr>
        <w:pStyle w:val="BodyText"/>
      </w:pPr>
    </w:p>
    <w:p>
      <w:pPr>
        <w:pStyle w:val="BodyText"/>
        <w:ind w:left="500" w:right="781"/>
      </w:pPr>
      <w:r>
        <w:rPr/>
        <w:t>Gali, J. (2008). Monetary policy, inflation, and the business cycle: An introduction to the New</w:t>
      </w:r>
      <w:r>
        <w:rPr>
          <w:spacing w:val="-57"/>
        </w:rPr>
        <w:t> </w:t>
      </w:r>
      <w:r>
        <w:rPr/>
        <w:t>Keynesian</w:t>
      </w:r>
      <w:r>
        <w:rPr>
          <w:spacing w:val="-2"/>
        </w:rPr>
        <w:t> </w:t>
      </w:r>
      <w:r>
        <w:rPr/>
        <w:t>framework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applications.</w:t>
      </w:r>
      <w:r>
        <w:rPr>
          <w:spacing w:val="-1"/>
        </w:rPr>
        <w:t> </w:t>
      </w:r>
      <w:r>
        <w:rPr/>
        <w:t>Princeton</w:t>
      </w:r>
      <w:r>
        <w:rPr>
          <w:spacing w:val="-2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Press.</w:t>
      </w:r>
      <w:r>
        <w:rPr>
          <w:spacing w:val="1"/>
        </w:rPr>
        <w:t> </w:t>
      </w:r>
      <w:r>
        <w:rPr/>
        <w:t>ISBN:</w:t>
      </w:r>
      <w:r>
        <w:rPr>
          <w:spacing w:val="-2"/>
        </w:rPr>
        <w:t> </w:t>
      </w:r>
      <w:r>
        <w:rPr/>
        <w:t>9780691164786</w:t>
      </w:r>
    </w:p>
    <w:p>
      <w:pPr>
        <w:pStyle w:val="BodyText"/>
      </w:pPr>
    </w:p>
    <w:p>
      <w:pPr>
        <w:pStyle w:val="BodyText"/>
        <w:ind w:left="500" w:right="492"/>
      </w:pPr>
      <w:r>
        <w:rPr/>
        <w:t>Gali,</w:t>
      </w:r>
      <w:r>
        <w:rPr>
          <w:spacing w:val="-2"/>
        </w:rPr>
        <w:t> </w:t>
      </w:r>
      <w:r>
        <w:rPr/>
        <w:t>J.,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Gertler,</w:t>
      </w:r>
      <w:r>
        <w:rPr>
          <w:spacing w:val="-2"/>
        </w:rPr>
        <w:t> </w:t>
      </w:r>
      <w:r>
        <w:rPr/>
        <w:t>M.</w:t>
      </w:r>
      <w:r>
        <w:rPr>
          <w:spacing w:val="-2"/>
        </w:rPr>
        <w:t> </w:t>
      </w:r>
      <w:r>
        <w:rPr/>
        <w:t>(1999).</w:t>
      </w:r>
      <w:r>
        <w:rPr>
          <w:spacing w:val="1"/>
        </w:rPr>
        <w:t> </w:t>
      </w:r>
      <w:r>
        <w:rPr/>
        <w:t>Inflation</w:t>
      </w:r>
      <w:r>
        <w:rPr>
          <w:spacing w:val="-2"/>
        </w:rPr>
        <w:t> </w:t>
      </w:r>
      <w:r>
        <w:rPr/>
        <w:t>dynamics: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structural</w:t>
      </w:r>
      <w:r>
        <w:rPr>
          <w:spacing w:val="-2"/>
        </w:rPr>
        <w:t> </w:t>
      </w:r>
      <w:r>
        <w:rPr/>
        <w:t>econometric</w:t>
      </w:r>
      <w:r>
        <w:rPr>
          <w:spacing w:val="-2"/>
        </w:rPr>
        <w:t> </w:t>
      </w:r>
      <w:r>
        <w:rPr/>
        <w:t>analysis.</w:t>
      </w:r>
      <w:r>
        <w:rPr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57"/>
        </w:rPr>
        <w:t> </w:t>
      </w:r>
      <w:r>
        <w:rPr>
          <w:i/>
        </w:rPr>
        <w:t>Monetary</w:t>
      </w:r>
      <w:r>
        <w:rPr>
          <w:i/>
          <w:spacing w:val="-1"/>
        </w:rPr>
        <w:t> </w:t>
      </w:r>
      <w:r>
        <w:rPr>
          <w:i/>
        </w:rPr>
        <w:t>Economics, </w:t>
      </w:r>
      <w:r>
        <w:rPr/>
        <w:t>44</w:t>
      </w:r>
      <w:r>
        <w:rPr>
          <w:spacing w:val="2"/>
        </w:rPr>
        <w:t> </w:t>
      </w:r>
      <w:r>
        <w:rPr/>
        <w:t>(2): 195-222. Doi:10.1016/S0304-3932(99)00023-9.</w:t>
      </w:r>
    </w:p>
    <w:p>
      <w:pPr>
        <w:pStyle w:val="BodyText"/>
      </w:pPr>
    </w:p>
    <w:p>
      <w:pPr>
        <w:pStyle w:val="BodyText"/>
        <w:ind w:left="500" w:right="753"/>
      </w:pPr>
      <w:r>
        <w:rPr/>
        <w:t>Gali,</w:t>
      </w:r>
      <w:r>
        <w:rPr>
          <w:spacing w:val="-1"/>
        </w:rPr>
        <w:t> </w:t>
      </w:r>
      <w:r>
        <w:rPr/>
        <w:t>J. and Monacelli, T. (2005). Monetary</w:t>
      </w:r>
      <w:r>
        <w:rPr>
          <w:spacing w:val="-5"/>
        </w:rPr>
        <w:t> </w:t>
      </w:r>
      <w:r>
        <w:rPr/>
        <w:t>policy</w:t>
      </w:r>
      <w:r>
        <w:rPr>
          <w:spacing w:val="-3"/>
        </w:rPr>
        <w:t> </w:t>
      </w:r>
      <w:r>
        <w:rPr/>
        <w:t>and exchange</w:t>
      </w:r>
      <w:r>
        <w:rPr>
          <w:spacing w:val="-1"/>
        </w:rPr>
        <w:t> </w:t>
      </w:r>
      <w:r>
        <w:rPr/>
        <w:t>rate volatility</w:t>
      </w:r>
      <w:r>
        <w:rPr>
          <w:spacing w:val="-8"/>
        </w:rPr>
        <w:t> </w:t>
      </w:r>
      <w:r>
        <w:rPr/>
        <w:t>in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small</w:t>
      </w:r>
      <w:r>
        <w:rPr>
          <w:spacing w:val="-1"/>
        </w:rPr>
        <w:t> </w:t>
      </w:r>
      <w:r>
        <w:rPr/>
        <w:t>open</w:t>
      </w:r>
      <w:r>
        <w:rPr>
          <w:spacing w:val="-57"/>
        </w:rPr>
        <w:t> </w:t>
      </w:r>
      <w:r>
        <w:rPr/>
        <w:t>economy.</w:t>
      </w:r>
      <w:r>
        <w:rPr>
          <w:spacing w:val="-1"/>
        </w:rPr>
        <w:t> </w:t>
      </w:r>
      <w:r>
        <w:rPr>
          <w:i/>
        </w:rPr>
        <w:t>Review of Economic</w:t>
      </w:r>
      <w:r>
        <w:rPr>
          <w:i/>
          <w:spacing w:val="-1"/>
        </w:rPr>
        <w:t> </w:t>
      </w:r>
      <w:r>
        <w:rPr>
          <w:i/>
        </w:rPr>
        <w:t>Studies,</w:t>
      </w:r>
      <w:r>
        <w:rPr>
          <w:i/>
          <w:spacing w:val="2"/>
        </w:rPr>
        <w:t> </w:t>
      </w:r>
      <w:r>
        <w:rPr/>
        <w:t>72:707–734.</w:t>
      </w:r>
    </w:p>
    <w:p>
      <w:pPr>
        <w:pStyle w:val="BodyText"/>
      </w:pPr>
    </w:p>
    <w:p>
      <w:pPr>
        <w:spacing w:before="1"/>
        <w:ind w:left="500" w:right="1086" w:firstLine="0"/>
        <w:jc w:val="left"/>
        <w:rPr>
          <w:sz w:val="24"/>
        </w:rPr>
      </w:pPr>
      <w:r>
        <w:rPr>
          <w:sz w:val="24"/>
        </w:rPr>
        <w:t>Gali,</w:t>
      </w:r>
      <w:r>
        <w:rPr>
          <w:spacing w:val="-2"/>
          <w:sz w:val="24"/>
        </w:rPr>
        <w:t> </w:t>
      </w:r>
      <w:r>
        <w:rPr>
          <w:sz w:val="24"/>
        </w:rPr>
        <w:t>J.,</w:t>
      </w:r>
      <w:r>
        <w:rPr>
          <w:spacing w:val="-1"/>
          <w:sz w:val="24"/>
        </w:rPr>
        <w:t> </w:t>
      </w:r>
      <w:r>
        <w:rPr>
          <w:sz w:val="24"/>
        </w:rPr>
        <w:t>Lopez-Salido,</w:t>
      </w:r>
      <w:r>
        <w:rPr>
          <w:spacing w:val="-1"/>
          <w:sz w:val="24"/>
        </w:rPr>
        <w:t> </w:t>
      </w:r>
      <w:r>
        <w:rPr>
          <w:sz w:val="24"/>
        </w:rPr>
        <w:t>J.D.,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Valles,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(2007).</w:t>
      </w:r>
      <w:r>
        <w:rPr>
          <w:spacing w:val="-1"/>
          <w:sz w:val="24"/>
        </w:rPr>
        <w:t> </w:t>
      </w:r>
      <w:r>
        <w:rPr>
          <w:sz w:val="24"/>
        </w:rPr>
        <w:t>Understanding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government</w:t>
      </w:r>
      <w:r>
        <w:rPr>
          <w:spacing w:val="-57"/>
          <w:sz w:val="24"/>
        </w:rPr>
        <w:t> </w:t>
      </w:r>
      <w:r>
        <w:rPr>
          <w:sz w:val="24"/>
        </w:rPr>
        <w:t>spending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consumption.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European Economic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Association,</w:t>
      </w:r>
      <w:r>
        <w:rPr>
          <w:i/>
          <w:spacing w:val="1"/>
          <w:sz w:val="24"/>
        </w:rPr>
        <w:t> </w:t>
      </w:r>
      <w:r>
        <w:rPr>
          <w:sz w:val="24"/>
        </w:rPr>
        <w:t>5: 227–270.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500" w:right="498"/>
        <w:jc w:val="both"/>
      </w:pPr>
      <w:r>
        <w:rPr/>
        <w:t>Garba, A.G. (2004). Harmonizing fiscal and monetary policy in Nigeria: A preliminary analysis</w:t>
      </w:r>
      <w:r>
        <w:rPr>
          <w:spacing w:val="1"/>
        </w:rPr>
        <w:t> </w:t>
      </w:r>
      <w:r>
        <w:rPr/>
        <w:t>and suggestion for further research. In: Garba, A.G., Egwaikhide, F., and Adenikinju, A: Leading</w:t>
      </w:r>
      <w:r>
        <w:rPr>
          <w:spacing w:val="-57"/>
        </w:rPr>
        <w:t> </w:t>
      </w:r>
      <w:r>
        <w:rPr/>
        <w:t>Issues</w:t>
      </w:r>
      <w:r>
        <w:rPr>
          <w:spacing w:val="-1"/>
        </w:rPr>
        <w:t> </w:t>
      </w:r>
      <w:r>
        <w:rPr/>
        <w:t>of Macroeconomic</w:t>
      </w:r>
      <w:r>
        <w:rPr>
          <w:spacing w:val="-1"/>
        </w:rPr>
        <w:t> </w:t>
      </w:r>
      <w:r>
        <w:rPr/>
        <w:t>Management and Development.</w:t>
      </w:r>
    </w:p>
    <w:p>
      <w:pPr>
        <w:pStyle w:val="BodyText"/>
      </w:pPr>
    </w:p>
    <w:p>
      <w:pPr>
        <w:spacing w:before="0"/>
        <w:ind w:left="500" w:right="496" w:firstLine="0"/>
        <w:jc w:val="both"/>
        <w:rPr>
          <w:sz w:val="24"/>
        </w:rPr>
      </w:pPr>
      <w:r>
        <w:rPr>
          <w:sz w:val="24"/>
        </w:rPr>
        <w:t>Garcia, C.J. (2010). Is the Phillips curve useful for monetary policy in Nigeria? </w:t>
      </w:r>
      <w:r>
        <w:rPr>
          <w:i/>
          <w:sz w:val="24"/>
        </w:rPr>
        <w:t>Central Bank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Occasional Paper,</w:t>
      </w:r>
      <w:r>
        <w:rPr>
          <w:i/>
          <w:spacing w:val="1"/>
          <w:sz w:val="24"/>
        </w:rPr>
        <w:t> </w:t>
      </w:r>
      <w:r>
        <w:rPr>
          <w:sz w:val="24"/>
        </w:rPr>
        <w:t>38:1-36.</w:t>
      </w:r>
    </w:p>
    <w:p>
      <w:pPr>
        <w:pStyle w:val="BodyText"/>
      </w:pPr>
    </w:p>
    <w:p>
      <w:pPr>
        <w:pStyle w:val="BodyText"/>
        <w:tabs>
          <w:tab w:pos="1812" w:val="left" w:leader="none"/>
          <w:tab w:pos="3645" w:val="left" w:leader="none"/>
          <w:tab w:pos="4372" w:val="left" w:leader="none"/>
          <w:tab w:pos="5205" w:val="left" w:leader="none"/>
          <w:tab w:pos="6275" w:val="left" w:leader="none"/>
          <w:tab w:pos="7854" w:val="left" w:leader="none"/>
          <w:tab w:pos="9325" w:val="left" w:leader="none"/>
        </w:tabs>
        <w:ind w:left="500" w:right="496"/>
      </w:pPr>
      <w:r>
        <w:rPr/>
        <w:t>Gerba, E. and Hauzenberger, K. (2014). Estimating US fiscal and monetary interactions from</w:t>
      </w:r>
      <w:r>
        <w:rPr>
          <w:spacing w:val="1"/>
        </w:rPr>
        <w:t> </w:t>
      </w:r>
      <w:r>
        <w:rPr/>
        <w:t>Volcker</w:t>
        <w:tab/>
        <w:t>chairmanship</w:t>
        <w:tab/>
        <w:t>to</w:t>
        <w:tab/>
        <w:t>the</w:t>
        <w:tab/>
        <w:t>Great</w:t>
        <w:tab/>
        <w:t>Recession.</w:t>
        <w:tab/>
        <w:t>Available</w:t>
        <w:tab/>
      </w:r>
      <w:r>
        <w:rPr>
          <w:spacing w:val="-1"/>
        </w:rPr>
        <w:t>from:</w:t>
      </w:r>
      <w:r>
        <w:rPr>
          <w:spacing w:val="-57"/>
        </w:rPr>
        <w:t> </w:t>
      </w:r>
      <w:hyperlink r:id="rId69">
        <w:r>
          <w:rPr>
            <w:color w:val="0000FF"/>
            <w:u w:val="single" w:color="0000FF"/>
          </w:rPr>
          <w:t>https://www.researchgate.net/publication/272242060_Estimating_US_Fiscal_and_Monetary_Int</w:t>
        </w:r>
      </w:hyperlink>
      <w:r>
        <w:rPr>
          <w:color w:val="0000FF"/>
          <w:spacing w:val="1"/>
        </w:rPr>
        <w:t> </w:t>
      </w:r>
      <w:hyperlink r:id="rId69">
        <w:r>
          <w:rPr>
            <w:color w:val="0000FF"/>
            <w:u w:val="single" w:color="0000FF"/>
          </w:rPr>
          <w:t>eractions_From_Volcker_Chairmanship_to_the_Great_Recession</w:t>
        </w:r>
      </w:hyperlink>
    </w:p>
    <w:p>
      <w:pPr>
        <w:pStyle w:val="BodyText"/>
        <w:spacing w:before="3"/>
        <w:rPr>
          <w:sz w:val="16"/>
        </w:rPr>
      </w:pPr>
    </w:p>
    <w:p>
      <w:pPr>
        <w:spacing w:before="90"/>
        <w:ind w:left="500" w:right="493" w:firstLine="0"/>
        <w:jc w:val="left"/>
        <w:rPr>
          <w:sz w:val="24"/>
        </w:rPr>
      </w:pPr>
      <w:r>
        <w:rPr>
          <w:sz w:val="24"/>
        </w:rPr>
        <w:t>Gilksberg,</w:t>
      </w:r>
      <w:r>
        <w:rPr>
          <w:spacing w:val="-6"/>
          <w:sz w:val="24"/>
        </w:rPr>
        <w:t> </w:t>
      </w:r>
      <w:r>
        <w:rPr>
          <w:sz w:val="24"/>
        </w:rPr>
        <w:t>B.</w:t>
      </w:r>
      <w:r>
        <w:rPr>
          <w:spacing w:val="-9"/>
          <w:sz w:val="24"/>
        </w:rPr>
        <w:t> </w:t>
      </w:r>
      <w:r>
        <w:rPr>
          <w:sz w:val="24"/>
        </w:rPr>
        <w:t>(2016).</w:t>
      </w:r>
      <w:r>
        <w:rPr>
          <w:spacing w:val="-9"/>
          <w:sz w:val="24"/>
        </w:rPr>
        <w:t> </w:t>
      </w:r>
      <w:r>
        <w:rPr>
          <w:sz w:val="24"/>
        </w:rPr>
        <w:t>Equilibria</w:t>
      </w:r>
      <w:r>
        <w:rPr>
          <w:spacing w:val="-9"/>
          <w:sz w:val="24"/>
        </w:rPr>
        <w:t> </w:t>
      </w:r>
      <w:r>
        <w:rPr>
          <w:sz w:val="24"/>
        </w:rPr>
        <w:t>under</w:t>
      </w:r>
      <w:r>
        <w:rPr>
          <w:spacing w:val="-9"/>
          <w:sz w:val="24"/>
        </w:rPr>
        <w:t> </w:t>
      </w:r>
      <w:r>
        <w:rPr>
          <w:sz w:val="24"/>
        </w:rPr>
        <w:t>monetary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fiscal</w:t>
      </w:r>
      <w:r>
        <w:rPr>
          <w:spacing w:val="-8"/>
          <w:sz w:val="24"/>
        </w:rPr>
        <w:t> </w:t>
      </w:r>
      <w:r>
        <w:rPr>
          <w:sz w:val="24"/>
        </w:rPr>
        <w:t>policy</w:t>
      </w:r>
      <w:r>
        <w:rPr>
          <w:spacing w:val="-13"/>
          <w:sz w:val="24"/>
        </w:rPr>
        <w:t> </w:t>
      </w:r>
      <w:r>
        <w:rPr>
          <w:sz w:val="24"/>
        </w:rPr>
        <w:t>interactions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portfolio</w:t>
      </w:r>
      <w:r>
        <w:rPr>
          <w:spacing w:val="-9"/>
          <w:sz w:val="24"/>
        </w:rPr>
        <w:t> </w:t>
      </w:r>
      <w:r>
        <w:rPr>
          <w:sz w:val="24"/>
        </w:rPr>
        <w:t>choice</w:t>
      </w:r>
      <w:r>
        <w:rPr>
          <w:spacing w:val="-57"/>
          <w:sz w:val="24"/>
        </w:rPr>
        <w:t> </w:t>
      </w:r>
      <w:r>
        <w:rPr>
          <w:sz w:val="24"/>
        </w:rPr>
        <w:t>model.</w:t>
      </w:r>
      <w:r>
        <w:rPr>
          <w:spacing w:val="-2"/>
          <w:sz w:val="24"/>
        </w:rPr>
        <w:t> </w:t>
      </w:r>
      <w:hyperlink r:id="rId70">
        <w:r>
          <w:rPr>
            <w:i/>
            <w:color w:val="0000FF"/>
            <w:sz w:val="24"/>
            <w:u w:val="single" w:color="0000FF"/>
          </w:rPr>
          <w:t>Journal of Economic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Dynamics and Control</w:t>
        </w:r>
      </w:hyperlink>
      <w:r>
        <w:rPr>
          <w:i/>
          <w:color w:val="0000FF"/>
          <w:sz w:val="24"/>
          <w:u w:val="single" w:color="0000FF"/>
        </w:rPr>
        <w:t>,</w:t>
      </w:r>
      <w:r>
        <w:rPr>
          <w:sz w:val="24"/>
        </w:rPr>
        <w:t>69(C):209-228.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72"/>
        <w:ind w:left="500" w:right="498"/>
        <w:rPr>
          <w:i/>
        </w:rPr>
      </w:pPr>
      <w:r>
        <w:rPr/>
        <w:t>Gnocchi,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Lambertini,</w:t>
      </w:r>
      <w:r>
        <w:rPr>
          <w:spacing w:val="4"/>
        </w:rPr>
        <w:t> </w:t>
      </w:r>
      <w:r>
        <w:rPr/>
        <w:t>L.</w:t>
      </w:r>
      <w:r>
        <w:rPr>
          <w:spacing w:val="1"/>
        </w:rPr>
        <w:t> </w:t>
      </w:r>
      <w:r>
        <w:rPr/>
        <w:t>(2016). Monetary</w:t>
      </w:r>
      <w:r>
        <w:rPr>
          <w:spacing w:val="-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level</w:t>
      </w:r>
      <w:r>
        <w:rPr>
          <w:spacing w:val="2"/>
        </w:rPr>
        <w:t> </w:t>
      </w:r>
      <w:r>
        <w:rPr/>
        <w:t>of public debt.</w:t>
      </w:r>
      <w:r>
        <w:rPr>
          <w:spacing w:val="10"/>
        </w:rPr>
        <w:t> </w:t>
      </w:r>
      <w:r>
        <w:rPr/>
        <w:t>Bank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Canada</w:t>
      </w:r>
      <w:r>
        <w:rPr>
          <w:spacing w:val="-1"/>
        </w:rPr>
        <w:t> </w:t>
      </w:r>
      <w:r>
        <w:rPr/>
        <w:t>Staff Working Paper</w:t>
      </w:r>
      <w:r>
        <w:rPr>
          <w:spacing w:val="1"/>
        </w:rPr>
        <w:t> </w:t>
      </w:r>
      <w:r>
        <w:rPr/>
        <w:t>3. Available</w:t>
      </w:r>
      <w:r>
        <w:rPr>
          <w:spacing w:val="1"/>
        </w:rPr>
        <w:t> </w:t>
      </w:r>
      <w:r>
        <w:rPr/>
        <w:t>from:</w:t>
      </w:r>
      <w:r>
        <w:rPr>
          <w:spacing w:val="1"/>
        </w:rPr>
        <w:t> </w:t>
      </w:r>
      <w:hyperlink r:id="rId71">
        <w:r>
          <w:rPr>
            <w:color w:val="0000FF"/>
            <w:u w:val="single" w:color="0000FF"/>
          </w:rPr>
          <w:t>https://www.banqueducanada.ca/wpcontent/uploads/2016/02/swp2016-3.pdf</w:t>
        </w:r>
      </w:hyperlink>
      <w:r>
        <w:rPr>
          <w:i/>
        </w:rPr>
        <w:t>.</w:t>
      </w:r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spacing w:before="90"/>
        <w:ind w:left="500" w:right="499"/>
        <w:jc w:val="both"/>
        <w:rPr>
          <w:i/>
        </w:rPr>
      </w:pPr>
      <w:r>
        <w:rPr/>
        <w:t>Gonzalez-Astudillo, M. (2013). Monetary-fiscal policy interactions: Interdependent policy rule</w:t>
      </w:r>
      <w:r>
        <w:rPr>
          <w:spacing w:val="1"/>
        </w:rPr>
        <w:t> </w:t>
      </w:r>
      <w:r>
        <w:rPr/>
        <w:t>coefficients. Finance and Economics Discussion Series Divisions of Research &amp; Statistics and</w:t>
      </w:r>
      <w:r>
        <w:rPr>
          <w:spacing w:val="1"/>
        </w:rPr>
        <w:t> </w:t>
      </w:r>
      <w:r>
        <w:rPr/>
        <w:t>Monetary</w:t>
      </w:r>
      <w:r>
        <w:rPr>
          <w:spacing w:val="1"/>
        </w:rPr>
        <w:t> </w:t>
      </w:r>
      <w:r>
        <w:rPr/>
        <w:t>Affairs.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Reserve</w:t>
      </w:r>
      <w:r>
        <w:rPr>
          <w:spacing w:val="1"/>
        </w:rPr>
        <w:t> </w:t>
      </w:r>
      <w:r>
        <w:rPr/>
        <w:t>Board,</w:t>
      </w:r>
      <w:r>
        <w:rPr>
          <w:spacing w:val="1"/>
        </w:rPr>
        <w:t> </w:t>
      </w:r>
      <w:r>
        <w:rPr/>
        <w:t>Washington,</w:t>
      </w:r>
      <w:r>
        <w:rPr>
          <w:spacing w:val="1"/>
        </w:rPr>
        <w:t> </w:t>
      </w:r>
      <w:r>
        <w:rPr/>
        <w:t>D.C.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from:</w:t>
      </w:r>
      <w:r>
        <w:rPr>
          <w:spacing w:val="1"/>
        </w:rPr>
        <w:t> </w:t>
      </w:r>
      <w:hyperlink r:id="rId72">
        <w:r>
          <w:rPr>
            <w:color w:val="0000FF"/>
            <w:u w:val="single" w:color="0000FF"/>
          </w:rPr>
          <w:t>https://ideas.repec.org/p/fip/fedgfe/2013-58.html</w:t>
        </w:r>
      </w:hyperlink>
      <w:r>
        <w:rPr>
          <w:i/>
        </w:rPr>
        <w:t>.</w:t>
      </w:r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tabs>
          <w:tab w:pos="1529" w:val="left" w:leader="none"/>
          <w:tab w:pos="1976" w:val="left" w:leader="none"/>
          <w:tab w:pos="2379" w:val="left" w:leader="none"/>
          <w:tab w:pos="3158" w:val="left" w:leader="none"/>
          <w:tab w:pos="4132" w:val="left" w:leader="none"/>
          <w:tab w:pos="5388" w:val="left" w:leader="none"/>
          <w:tab w:pos="6246" w:val="left" w:leader="none"/>
        </w:tabs>
        <w:spacing w:before="90"/>
        <w:ind w:left="500" w:right="497"/>
        <w:rPr>
          <w:i/>
        </w:rPr>
      </w:pPr>
      <w:r>
        <w:rPr/>
        <w:t>Griffoli, T.M. (2013). An introduction to the solution &amp; estimation of DSGE models. Dynare</w:t>
      </w:r>
      <w:r>
        <w:rPr>
          <w:spacing w:val="1"/>
        </w:rPr>
        <w:t> </w:t>
      </w:r>
      <w:r>
        <w:rPr/>
        <w:t>version</w:t>
        <w:tab/>
        <w:t>4</w:t>
        <w:tab/>
        <w:t>-</w:t>
        <w:tab/>
        <w:t>User</w:t>
        <w:tab/>
        <w:t>Guide.</w:t>
        <w:tab/>
        <w:t>Available</w:t>
        <w:tab/>
        <w:t>from:</w:t>
        <w:tab/>
      </w:r>
      <w:hyperlink r:id="rId73">
        <w:r>
          <w:rPr>
            <w:color w:val="0000FF"/>
            <w:spacing w:val="-1"/>
            <w:u w:val="single" w:color="0000FF"/>
          </w:rPr>
          <w:t>www.dynare.org/documentation-and-</w:t>
        </w:r>
      </w:hyperlink>
      <w:r>
        <w:rPr>
          <w:color w:val="0000FF"/>
          <w:spacing w:val="-57"/>
        </w:rPr>
        <w:t> </w:t>
      </w:r>
      <w:hyperlink r:id="rId73">
        <w:r>
          <w:rPr>
            <w:color w:val="0000FF"/>
            <w:u w:val="single" w:color="0000FF"/>
          </w:rPr>
          <w:t>support/user.../Dynare-UserGuide-WebBeta.</w:t>
        </w:r>
        <w:r>
          <w:rPr>
            <w:color w:val="0000FF"/>
            <w:spacing w:val="-30"/>
            <w:u w:val="single" w:color="0000FF"/>
          </w:rPr>
          <w:t> </w:t>
        </w:r>
        <w:r>
          <w:rPr>
            <w:color w:val="0000FF"/>
            <w:u w:val="single" w:color="0000FF"/>
          </w:rPr>
          <w:t>pdf</w:t>
        </w:r>
      </w:hyperlink>
      <w:r>
        <w:rPr>
          <w:i/>
        </w:rPr>
        <w:t>.</w:t>
      </w:r>
    </w:p>
    <w:p>
      <w:pPr>
        <w:pStyle w:val="BodyText"/>
        <w:spacing w:before="3"/>
        <w:rPr>
          <w:i/>
          <w:sz w:val="16"/>
        </w:rPr>
      </w:pPr>
    </w:p>
    <w:p>
      <w:pPr>
        <w:pStyle w:val="BodyText"/>
        <w:spacing w:before="90"/>
        <w:ind w:left="500" w:right="492"/>
        <w:jc w:val="both"/>
      </w:pPr>
      <w:r>
        <w:rPr/>
        <w:t>Guerron-Quintana, P., Inoue, A. and Lutz, K. (2016). Impulse response matching estimators for</w:t>
      </w:r>
      <w:r>
        <w:rPr>
          <w:spacing w:val="1"/>
        </w:rPr>
        <w:t> </w:t>
      </w:r>
      <w:r>
        <w:rPr/>
        <w:t>DSGE</w:t>
      </w:r>
      <w:r>
        <w:rPr>
          <w:spacing w:val="1"/>
        </w:rPr>
        <w:t> </w:t>
      </w:r>
      <w:r>
        <w:rPr/>
        <w:t>models.</w:t>
      </w:r>
      <w:r>
        <w:rPr>
          <w:spacing w:val="1"/>
        </w:rPr>
        <w:t> </w:t>
      </w:r>
      <w:r>
        <w:rPr/>
        <w:t>HIAS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paper.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from:</w:t>
      </w:r>
      <w:r>
        <w:rPr>
          <w:spacing w:val="1"/>
        </w:rPr>
        <w:t> </w:t>
      </w:r>
      <w:hyperlink r:id="rId74">
        <w:r>
          <w:rPr>
            <w:color w:val="0000FF"/>
            <w:u w:val="single" w:color="0000FF"/>
          </w:rPr>
          <w:t>https://hermes-ir.lib.hit-</w:t>
        </w:r>
      </w:hyperlink>
      <w:r>
        <w:rPr>
          <w:color w:val="0000FF"/>
          <w:spacing w:val="1"/>
        </w:rPr>
        <w:t> </w:t>
      </w:r>
      <w:hyperlink r:id="rId74">
        <w:r>
          <w:rPr>
            <w:color w:val="0000FF"/>
            <w:u w:val="single" w:color="0000FF"/>
          </w:rPr>
          <w:t>u.ac.jp/rs/bitstream/10086/.../070_hiasDP-E-27.pdf</w:t>
        </w:r>
        <w:r>
          <w:rPr/>
          <w:t>.</w:t>
        </w:r>
      </w:hyperlink>
    </w:p>
    <w:p>
      <w:pPr>
        <w:pStyle w:val="BodyText"/>
        <w:spacing w:before="2"/>
        <w:rPr>
          <w:sz w:val="16"/>
        </w:rPr>
      </w:pPr>
    </w:p>
    <w:p>
      <w:pPr>
        <w:spacing w:before="90"/>
        <w:ind w:left="500" w:right="500" w:firstLine="0"/>
        <w:jc w:val="left"/>
        <w:rPr>
          <w:sz w:val="24"/>
        </w:rPr>
      </w:pPr>
      <w:r>
        <w:rPr>
          <w:sz w:val="24"/>
        </w:rPr>
        <w:t>Hallett,</w:t>
      </w:r>
      <w:r>
        <w:rPr>
          <w:spacing w:val="-9"/>
          <w:sz w:val="24"/>
        </w:rPr>
        <w:t> </w:t>
      </w:r>
      <w:r>
        <w:rPr>
          <w:sz w:val="24"/>
        </w:rPr>
        <w:t>A.H.,</w:t>
      </w:r>
      <w:r>
        <w:rPr>
          <w:spacing w:val="-6"/>
          <w:sz w:val="24"/>
        </w:rPr>
        <w:t> </w:t>
      </w:r>
      <w:r>
        <w:rPr>
          <w:sz w:val="24"/>
        </w:rPr>
        <w:t>Libich,</w:t>
      </w:r>
      <w:r>
        <w:rPr>
          <w:spacing w:val="-8"/>
          <w:sz w:val="24"/>
        </w:rPr>
        <w:t> </w:t>
      </w:r>
      <w:r>
        <w:rPr>
          <w:sz w:val="24"/>
        </w:rPr>
        <w:t>J.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Stehlik,</w:t>
      </w:r>
      <w:r>
        <w:rPr>
          <w:spacing w:val="-8"/>
          <w:sz w:val="24"/>
        </w:rPr>
        <w:t> </w:t>
      </w:r>
      <w:r>
        <w:rPr>
          <w:sz w:val="24"/>
        </w:rPr>
        <w:t>P.</w:t>
      </w:r>
      <w:r>
        <w:rPr>
          <w:spacing w:val="-9"/>
          <w:sz w:val="24"/>
        </w:rPr>
        <w:t> </w:t>
      </w:r>
      <w:r>
        <w:rPr>
          <w:sz w:val="24"/>
        </w:rPr>
        <w:t>(2011).</w:t>
      </w:r>
      <w:r>
        <w:rPr>
          <w:spacing w:val="-7"/>
          <w:sz w:val="24"/>
        </w:rPr>
        <w:t> </w:t>
      </w:r>
      <w:r>
        <w:rPr>
          <w:sz w:val="24"/>
        </w:rPr>
        <w:t>Monetary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fiscal</w:t>
      </w:r>
      <w:r>
        <w:rPr>
          <w:spacing w:val="-8"/>
          <w:sz w:val="24"/>
        </w:rPr>
        <w:t> </w:t>
      </w:r>
      <w:r>
        <w:rPr>
          <w:sz w:val="24"/>
        </w:rPr>
        <w:t>policy</w:t>
      </w:r>
      <w:r>
        <w:rPr>
          <w:spacing w:val="-12"/>
          <w:sz w:val="24"/>
        </w:rPr>
        <w:t> </w:t>
      </w:r>
      <w:r>
        <w:rPr>
          <w:sz w:val="24"/>
        </w:rPr>
        <w:t>interaction</w:t>
      </w:r>
      <w:r>
        <w:rPr>
          <w:spacing w:val="-9"/>
          <w:sz w:val="24"/>
        </w:rPr>
        <w:t> </w:t>
      </w:r>
      <w:r>
        <w:rPr>
          <w:sz w:val="24"/>
        </w:rPr>
        <w:t>with</w:t>
      </w:r>
      <w:r>
        <w:rPr>
          <w:spacing w:val="-8"/>
          <w:sz w:val="24"/>
        </w:rPr>
        <w:t> </w:t>
      </w:r>
      <w:r>
        <w:rPr>
          <w:sz w:val="24"/>
        </w:rPr>
        <w:t>various</w:t>
      </w:r>
      <w:r>
        <w:rPr>
          <w:spacing w:val="-57"/>
          <w:sz w:val="24"/>
        </w:rPr>
        <w:t> </w:t>
      </w:r>
      <w:r>
        <w:rPr>
          <w:sz w:val="24"/>
        </w:rPr>
        <w:t>degrees</w:t>
      </w:r>
      <w:r>
        <w:rPr>
          <w:spacing w:val="-1"/>
          <w:sz w:val="24"/>
        </w:rPr>
        <w:t> </w:t>
      </w:r>
      <w:r>
        <w:rPr>
          <w:sz w:val="24"/>
        </w:rPr>
        <w:t>of commitment. </w:t>
      </w:r>
      <w:r>
        <w:rPr>
          <w:i/>
          <w:sz w:val="24"/>
        </w:rPr>
        <w:t>Czech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Economics and Finance,</w:t>
      </w:r>
      <w:r>
        <w:rPr>
          <w:i/>
          <w:spacing w:val="1"/>
          <w:sz w:val="24"/>
        </w:rPr>
        <w:t> </w:t>
      </w:r>
      <w:r>
        <w:rPr>
          <w:sz w:val="24"/>
        </w:rPr>
        <w:t>64(1):1-29.</w:t>
      </w:r>
    </w:p>
    <w:p>
      <w:pPr>
        <w:pStyle w:val="BodyText"/>
      </w:pPr>
    </w:p>
    <w:p>
      <w:pPr>
        <w:spacing w:before="0"/>
        <w:ind w:left="500" w:right="489" w:firstLine="0"/>
        <w:jc w:val="left"/>
        <w:rPr>
          <w:sz w:val="24"/>
        </w:rPr>
      </w:pPr>
      <w:r>
        <w:rPr>
          <w:sz w:val="24"/>
        </w:rPr>
        <w:t>Hallet,</w:t>
      </w:r>
      <w:r>
        <w:rPr>
          <w:spacing w:val="-14"/>
          <w:sz w:val="24"/>
        </w:rPr>
        <w:t> </w:t>
      </w:r>
      <w:r>
        <w:rPr>
          <w:sz w:val="24"/>
        </w:rPr>
        <w:t>A.</w:t>
      </w:r>
      <w:r>
        <w:rPr>
          <w:spacing w:val="-14"/>
          <w:sz w:val="24"/>
        </w:rPr>
        <w:t> </w:t>
      </w:r>
      <w:r>
        <w:rPr>
          <w:sz w:val="24"/>
        </w:rPr>
        <w:t>H.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Weymark,</w:t>
      </w:r>
      <w:r>
        <w:rPr>
          <w:spacing w:val="-15"/>
          <w:sz w:val="24"/>
        </w:rPr>
        <w:t> </w:t>
      </w:r>
      <w:r>
        <w:rPr>
          <w:sz w:val="24"/>
        </w:rPr>
        <w:t>D.</w:t>
      </w:r>
      <w:r>
        <w:rPr>
          <w:spacing w:val="-14"/>
          <w:sz w:val="24"/>
        </w:rPr>
        <w:t> </w:t>
      </w:r>
      <w:r>
        <w:rPr>
          <w:sz w:val="24"/>
        </w:rPr>
        <w:t>N.</w:t>
      </w:r>
      <w:r>
        <w:rPr>
          <w:spacing w:val="-14"/>
          <w:sz w:val="24"/>
        </w:rPr>
        <w:t> </w:t>
      </w:r>
      <w:r>
        <w:rPr>
          <w:sz w:val="24"/>
        </w:rPr>
        <w:t>(2007).</w:t>
      </w:r>
      <w:r>
        <w:rPr>
          <w:spacing w:val="-14"/>
          <w:sz w:val="24"/>
        </w:rPr>
        <w:t> </w:t>
      </w:r>
      <w:r>
        <w:rPr>
          <w:sz w:val="24"/>
        </w:rPr>
        <w:t>Fiscal</w:t>
      </w:r>
      <w:r>
        <w:rPr>
          <w:spacing w:val="-14"/>
          <w:sz w:val="24"/>
        </w:rPr>
        <w:t> </w:t>
      </w:r>
      <w:r>
        <w:rPr>
          <w:sz w:val="24"/>
        </w:rPr>
        <w:t>leadership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central</w:t>
      </w:r>
      <w:r>
        <w:rPr>
          <w:spacing w:val="-11"/>
          <w:sz w:val="24"/>
        </w:rPr>
        <w:t> </w:t>
      </w:r>
      <w:r>
        <w:rPr>
          <w:sz w:val="24"/>
        </w:rPr>
        <w:t>bank</w:t>
      </w:r>
      <w:r>
        <w:rPr>
          <w:spacing w:val="-11"/>
          <w:sz w:val="24"/>
        </w:rPr>
        <w:t> </w:t>
      </w:r>
      <w:r>
        <w:rPr>
          <w:sz w:val="24"/>
        </w:rPr>
        <w:t>design.</w:t>
      </w:r>
      <w:r>
        <w:rPr>
          <w:spacing w:val="-1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Canadian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Economics, </w:t>
      </w:r>
      <w:r>
        <w:rPr>
          <w:sz w:val="24"/>
        </w:rPr>
        <w:t>40(2):607-627.</w:t>
      </w:r>
    </w:p>
    <w:p>
      <w:pPr>
        <w:pStyle w:val="BodyText"/>
      </w:pPr>
    </w:p>
    <w:p>
      <w:pPr>
        <w:pStyle w:val="BodyText"/>
        <w:ind w:left="500"/>
        <w:rPr>
          <w:i/>
        </w:rPr>
      </w:pPr>
      <w:r>
        <w:rPr/>
        <w:t>Henderson,</w:t>
      </w:r>
      <w:r>
        <w:rPr>
          <w:spacing w:val="5"/>
        </w:rPr>
        <w:t> </w:t>
      </w:r>
      <w:r>
        <w:rPr/>
        <w:t>D.R.</w:t>
      </w:r>
      <w:r>
        <w:rPr>
          <w:spacing w:val="3"/>
        </w:rPr>
        <w:t> </w:t>
      </w:r>
      <w:r>
        <w:rPr/>
        <w:t>(2008).</w:t>
      </w:r>
      <w:r>
        <w:rPr>
          <w:spacing w:val="5"/>
        </w:rPr>
        <w:t> </w:t>
      </w:r>
      <w:r>
        <w:rPr/>
        <w:t>Rent</w:t>
      </w:r>
      <w:r>
        <w:rPr>
          <w:spacing w:val="4"/>
        </w:rPr>
        <w:t> </w:t>
      </w:r>
      <w:r>
        <w:rPr/>
        <w:t>seeking.</w:t>
      </w:r>
      <w:r>
        <w:rPr>
          <w:spacing w:val="8"/>
        </w:rPr>
        <w:t> </w:t>
      </w:r>
      <w:r>
        <w:rPr/>
        <w:t>In: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Concise</w:t>
      </w:r>
      <w:r>
        <w:rPr>
          <w:spacing w:val="3"/>
        </w:rPr>
        <w:t> </w:t>
      </w:r>
      <w:r>
        <w:rPr/>
        <w:t>Encyclopedia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Economics,</w:t>
      </w:r>
      <w:r>
        <w:rPr>
          <w:spacing w:val="3"/>
        </w:rPr>
        <w:t> </w:t>
      </w:r>
      <w:r>
        <w:rPr/>
        <w:t>Henderson</w:t>
      </w:r>
      <w:r>
        <w:rPr>
          <w:i/>
        </w:rPr>
        <w:t>,</w:t>
      </w:r>
    </w:p>
    <w:p>
      <w:pPr>
        <w:pStyle w:val="BodyText"/>
        <w:ind w:left="500" w:right="497"/>
      </w:pPr>
      <w:r>
        <w:rPr>
          <w:i/>
        </w:rPr>
        <w:t>D.R</w:t>
      </w:r>
      <w:r>
        <w:rPr>
          <w:i/>
          <w:spacing w:val="1"/>
        </w:rPr>
        <w:t> </w:t>
      </w:r>
      <w:r>
        <w:rPr/>
        <w:t>(Eds.).</w:t>
      </w:r>
      <w:r>
        <w:rPr>
          <w:spacing w:val="3"/>
        </w:rPr>
        <w:t> </w:t>
      </w:r>
      <w:r>
        <w:rPr/>
        <w:t>Indianapolis:</w:t>
      </w:r>
      <w:r>
        <w:rPr>
          <w:spacing w:val="2"/>
        </w:rPr>
        <w:t> </w:t>
      </w:r>
      <w:r>
        <w:rPr/>
        <w:t>Liberty</w:t>
      </w:r>
      <w:r>
        <w:rPr>
          <w:spacing w:val="56"/>
        </w:rPr>
        <w:t> </w:t>
      </w:r>
      <w:r>
        <w:rPr/>
        <w:t>Fund.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from:</w:t>
      </w:r>
      <w:r>
        <w:rPr>
          <w:spacing w:val="2"/>
        </w:rPr>
        <w:t> </w:t>
      </w:r>
      <w:hyperlink r:id="rId75">
        <w:r>
          <w:rPr/>
          <w:t>http://www.econlib.org/library/.</w:t>
        </w:r>
      </w:hyperlink>
      <w:r>
        <w:rPr>
          <w:spacing w:val="-57"/>
        </w:rPr>
        <w:t> </w:t>
      </w:r>
      <w:r>
        <w:rPr/>
        <w:t>Enc/</w:t>
      </w:r>
      <w:r>
        <w:rPr>
          <w:i/>
        </w:rPr>
        <w:t>RentSeeking</w:t>
      </w:r>
      <w:r>
        <w:rPr/>
        <w:t>.html.</w:t>
      </w:r>
    </w:p>
    <w:p>
      <w:pPr>
        <w:pStyle w:val="BodyText"/>
      </w:pPr>
    </w:p>
    <w:p>
      <w:pPr>
        <w:pStyle w:val="BodyText"/>
        <w:spacing w:before="1"/>
        <w:ind w:left="500" w:right="499"/>
      </w:pPr>
      <w:r>
        <w:rPr/>
        <w:t>Hetzel,</w:t>
      </w:r>
      <w:r>
        <w:rPr>
          <w:spacing w:val="19"/>
        </w:rPr>
        <w:t> </w:t>
      </w:r>
      <w:r>
        <w:rPr/>
        <w:t>R.L.</w:t>
      </w:r>
      <w:r>
        <w:rPr>
          <w:spacing w:val="20"/>
        </w:rPr>
        <w:t> </w:t>
      </w:r>
      <w:r>
        <w:rPr/>
        <w:t>(2013).</w:t>
      </w:r>
      <w:r>
        <w:rPr>
          <w:spacing w:val="18"/>
        </w:rPr>
        <w:t> </w:t>
      </w:r>
      <w:r>
        <w:rPr/>
        <w:t>The</w:t>
      </w:r>
      <w:r>
        <w:rPr>
          <w:spacing w:val="21"/>
        </w:rPr>
        <w:t> </w:t>
      </w:r>
      <w:r>
        <w:rPr/>
        <w:t>Monetarist-Keynesian</w:t>
      </w:r>
      <w:r>
        <w:rPr>
          <w:spacing w:val="19"/>
        </w:rPr>
        <w:t> </w:t>
      </w:r>
      <w:r>
        <w:rPr/>
        <w:t>debate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Philips</w:t>
      </w:r>
      <w:r>
        <w:rPr>
          <w:spacing w:val="20"/>
        </w:rPr>
        <w:t> </w:t>
      </w:r>
      <w:r>
        <w:rPr/>
        <w:t>curve:</w:t>
      </w:r>
      <w:r>
        <w:rPr>
          <w:spacing w:val="23"/>
        </w:rPr>
        <w:t> </w:t>
      </w:r>
      <w:r>
        <w:rPr/>
        <w:t>Lessons</w:t>
      </w:r>
      <w:r>
        <w:rPr>
          <w:spacing w:val="19"/>
        </w:rPr>
        <w:t> </w:t>
      </w:r>
      <w:r>
        <w:rPr/>
        <w:t>from</w:t>
      </w:r>
      <w:r>
        <w:rPr>
          <w:spacing w:val="20"/>
        </w:rPr>
        <w:t> </w:t>
      </w:r>
      <w:r>
        <w:rPr/>
        <w:t>the</w:t>
      </w:r>
      <w:r>
        <w:rPr>
          <w:spacing w:val="-57"/>
        </w:rPr>
        <w:t> </w:t>
      </w:r>
      <w:r>
        <w:rPr/>
        <w:t>Great</w:t>
      </w:r>
      <w:r>
        <w:rPr>
          <w:spacing w:val="1"/>
        </w:rPr>
        <w:t> </w:t>
      </w:r>
      <w:r>
        <w:rPr/>
        <w:t>Inflation. </w:t>
      </w:r>
      <w:r>
        <w:rPr>
          <w:i/>
        </w:rPr>
        <w:t>Economic</w:t>
      </w:r>
      <w:r>
        <w:rPr>
          <w:i/>
          <w:spacing w:val="-1"/>
        </w:rPr>
        <w:t> </w:t>
      </w:r>
      <w:r>
        <w:rPr>
          <w:i/>
        </w:rPr>
        <w:t>Quarterly,</w:t>
      </w:r>
      <w:r>
        <w:rPr>
          <w:i/>
          <w:spacing w:val="1"/>
        </w:rPr>
        <w:t> </w:t>
      </w:r>
      <w:r>
        <w:rPr/>
        <w:t>99(2): 83-116.</w:t>
      </w:r>
    </w:p>
    <w:p>
      <w:pPr>
        <w:pStyle w:val="BodyText"/>
      </w:pPr>
    </w:p>
    <w:p>
      <w:pPr>
        <w:pStyle w:val="BodyText"/>
        <w:ind w:left="500" w:right="497"/>
      </w:pPr>
      <w:r>
        <w:rPr/>
        <w:t>Hoover,</w:t>
      </w:r>
      <w:r>
        <w:rPr>
          <w:spacing w:val="38"/>
        </w:rPr>
        <w:t> </w:t>
      </w:r>
      <w:r>
        <w:rPr/>
        <w:t>K.D.</w:t>
      </w:r>
      <w:r>
        <w:rPr>
          <w:spacing w:val="41"/>
        </w:rPr>
        <w:t> </w:t>
      </w:r>
      <w:r>
        <w:rPr/>
        <w:t>(2008).</w:t>
      </w:r>
      <w:r>
        <w:rPr>
          <w:spacing w:val="41"/>
        </w:rPr>
        <w:t> </w:t>
      </w:r>
      <w:r>
        <w:rPr/>
        <w:t>New</w:t>
      </w:r>
      <w:r>
        <w:rPr>
          <w:spacing w:val="39"/>
        </w:rPr>
        <w:t> </w:t>
      </w:r>
      <w:r>
        <w:rPr/>
        <w:t>Classical</w:t>
      </w:r>
      <w:r>
        <w:rPr>
          <w:spacing w:val="40"/>
        </w:rPr>
        <w:t> </w:t>
      </w:r>
      <w:r>
        <w:rPr/>
        <w:t>Macroeconomics.</w:t>
      </w:r>
      <w:r>
        <w:rPr>
          <w:spacing w:val="42"/>
        </w:rPr>
        <w:t> </w:t>
      </w:r>
      <w:r>
        <w:rPr/>
        <w:t>In</w:t>
      </w:r>
      <w:r>
        <w:rPr>
          <w:spacing w:val="43"/>
        </w:rPr>
        <w:t> </w:t>
      </w:r>
      <w:r>
        <w:rPr/>
        <w:t>the</w:t>
      </w:r>
      <w:r>
        <w:rPr>
          <w:spacing w:val="39"/>
        </w:rPr>
        <w:t> </w:t>
      </w:r>
      <w:r>
        <w:rPr/>
        <w:t>Concise</w:t>
      </w:r>
      <w:r>
        <w:rPr>
          <w:spacing w:val="39"/>
        </w:rPr>
        <w:t> </w:t>
      </w:r>
      <w:r>
        <w:rPr/>
        <w:t>Encyclopedia</w:t>
      </w:r>
      <w:r>
        <w:rPr>
          <w:spacing w:val="39"/>
        </w:rPr>
        <w:t> </w:t>
      </w:r>
      <w:r>
        <w:rPr/>
        <w:t>of</w:t>
      </w:r>
      <w:r>
        <w:rPr>
          <w:spacing w:val="-57"/>
        </w:rPr>
        <w:t> </w:t>
      </w:r>
      <w:r>
        <w:rPr/>
        <w:t>Economics. 2008. Library of Economics and Liberty. Available from</w:t>
      </w:r>
      <w:r>
        <w:rPr>
          <w:spacing w:val="1"/>
        </w:rPr>
        <w:t> </w:t>
      </w:r>
      <w:hyperlink r:id="rId76">
        <w:r>
          <w:rPr>
            <w:color w:val="0000FF"/>
            <w:u w:val="single" w:color="0000FF"/>
          </w:rPr>
          <w:t>http://www.econlib.org/library/Enc/NewClassicalMacroeconomics.html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00" w:right="1141"/>
      </w:pPr>
      <w:r>
        <w:rPr/>
        <w:t>IMF Fiscal Affairs Department. (2017). Fiscal Rules Dataset 1985 - 2015. Available from:</w:t>
      </w:r>
      <w:r>
        <w:rPr>
          <w:spacing w:val="-58"/>
        </w:rPr>
        <w:t> </w:t>
      </w:r>
      <w:hyperlink r:id="rId77">
        <w:r>
          <w:rPr>
            <w:color w:val="0000FF"/>
            <w:u w:val="single" w:color="0000FF"/>
          </w:rPr>
          <w:t>http://www.imf.org/external/datamapper/fiscalrules/map/map.htm</w:t>
        </w:r>
      </w:hyperlink>
      <w:r>
        <w:rPr/>
        <w:t>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90"/>
        <w:ind w:left="500" w:right="497"/>
        <w:jc w:val="both"/>
      </w:pPr>
      <w:r>
        <w:rPr/>
        <w:t>Iwata, Y. (2009). Fiscal Policy in an estimated DSGE Model of the Japanese economy: Do non-</w:t>
      </w:r>
      <w:r>
        <w:rPr>
          <w:spacing w:val="1"/>
        </w:rPr>
        <w:t> </w:t>
      </w:r>
      <w:r>
        <w:rPr/>
        <w:t>Ricardian</w:t>
      </w:r>
      <w:r>
        <w:rPr>
          <w:spacing w:val="1"/>
        </w:rPr>
        <w:t> </w:t>
      </w:r>
      <w:r>
        <w:rPr/>
        <w:t>households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all?.</w:t>
      </w:r>
      <w:r>
        <w:rPr>
          <w:spacing w:val="1"/>
        </w:rPr>
        <w:t> </w:t>
      </w:r>
      <w:hyperlink r:id="rId78">
        <w:r>
          <w:rPr>
            <w:color w:val="0000FF"/>
            <w:u w:val="single" w:color="0000FF"/>
          </w:rPr>
          <w:t>ESRI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Discussion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paper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series</w:t>
        </w:r>
        <w:r>
          <w:rPr/>
          <w:t>.</w:t>
        </w:r>
      </w:hyperlink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from:</w:t>
      </w:r>
      <w:r>
        <w:rPr>
          <w:spacing w:val="1"/>
        </w:rPr>
        <w:t> </w:t>
      </w:r>
      <w:hyperlink r:id="rId79">
        <w:r>
          <w:rPr>
            <w:color w:val="0000FF"/>
            <w:u w:val="single" w:color="0000FF"/>
          </w:rPr>
          <w:t>http://www.esri.go.jp/jp/archive/e_dis/e_dis216/e_dis216.pdf</w:t>
        </w:r>
      </w:hyperlink>
      <w:r>
        <w:rPr/>
        <w:t>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90"/>
        <w:ind w:left="500" w:right="497"/>
      </w:pPr>
      <w:r>
        <w:rPr/>
        <w:t>Jahan,</w:t>
      </w:r>
      <w:r>
        <w:rPr>
          <w:spacing w:val="21"/>
        </w:rPr>
        <w:t> </w:t>
      </w:r>
      <w:r>
        <w:rPr/>
        <w:t>S.</w:t>
      </w:r>
      <w:r>
        <w:rPr>
          <w:spacing w:val="22"/>
        </w:rPr>
        <w:t> </w:t>
      </w:r>
      <w:r>
        <w:rPr/>
        <w:t>and</w:t>
      </w:r>
      <w:r>
        <w:rPr>
          <w:spacing w:val="46"/>
        </w:rPr>
        <w:t> </w:t>
      </w:r>
      <w:r>
        <w:rPr/>
        <w:t>Papageorgiou,</w:t>
      </w:r>
      <w:r>
        <w:rPr>
          <w:spacing w:val="23"/>
        </w:rPr>
        <w:t> </w:t>
      </w:r>
      <w:r>
        <w:rPr/>
        <w:t>C.</w:t>
      </w:r>
      <w:r>
        <w:rPr>
          <w:spacing w:val="22"/>
        </w:rPr>
        <w:t> </w:t>
      </w:r>
      <w:r>
        <w:rPr/>
        <w:t>(2014).</w:t>
      </w:r>
      <w:r>
        <w:rPr>
          <w:spacing w:val="21"/>
        </w:rPr>
        <w:t> </w:t>
      </w:r>
      <w:r>
        <w:rPr/>
        <w:t>What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Monetarism?</w:t>
      </w:r>
      <w:r>
        <w:rPr>
          <w:spacing w:val="29"/>
        </w:rPr>
        <w:t> </w:t>
      </w:r>
      <w:r>
        <w:rPr>
          <w:i/>
        </w:rPr>
        <w:t>Finance</w:t>
      </w:r>
      <w:r>
        <w:rPr>
          <w:i/>
          <w:spacing w:val="20"/>
        </w:rPr>
        <w:t> </w:t>
      </w:r>
      <w:r>
        <w:rPr>
          <w:i/>
        </w:rPr>
        <w:t>&amp;</w:t>
      </w:r>
      <w:r>
        <w:rPr>
          <w:i/>
          <w:spacing w:val="20"/>
        </w:rPr>
        <w:t> </w:t>
      </w:r>
      <w:r>
        <w:rPr>
          <w:i/>
        </w:rPr>
        <w:t>Development,</w:t>
      </w:r>
      <w:r>
        <w:rPr>
          <w:i/>
          <w:spacing w:val="24"/>
        </w:rPr>
        <w:t> </w:t>
      </w:r>
      <w:r>
        <w:rPr/>
        <w:t>51(1).</w:t>
      </w:r>
      <w:r>
        <w:rPr>
          <w:spacing w:val="-57"/>
        </w:rPr>
        <w:t> </w:t>
      </w:r>
      <w:r>
        <w:rPr/>
        <w:t>Available</w:t>
      </w:r>
      <w:r>
        <w:rPr>
          <w:spacing w:val="59"/>
        </w:rPr>
        <w:t> </w:t>
      </w:r>
      <w:r>
        <w:rPr/>
        <w:t>from:</w:t>
      </w:r>
      <w:r>
        <w:rPr>
          <w:spacing w:val="59"/>
        </w:rPr>
        <w:t> </w:t>
      </w:r>
      <w:hyperlink r:id="rId80">
        <w:r>
          <w:rPr>
            <w:color w:val="0000FF"/>
            <w:u w:val="single" w:color="0000FF"/>
          </w:rPr>
          <w:t>http://www.imf.org/external/pubs/ft/fandd/2014/03/basics.htm</w:t>
        </w:r>
      </w:hyperlink>
    </w:p>
    <w:p>
      <w:pPr>
        <w:spacing w:after="0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tabs>
          <w:tab w:pos="3824" w:val="left" w:leader="none"/>
          <w:tab w:pos="6400" w:val="left" w:leader="none"/>
          <w:tab w:pos="9330" w:val="left" w:leader="none"/>
        </w:tabs>
        <w:spacing w:before="72"/>
        <w:ind w:left="500" w:right="491"/>
        <w:jc w:val="both"/>
      </w:pPr>
      <w:r>
        <w:rPr/>
        <w:t>Jahan,</w:t>
      </w:r>
      <w:r>
        <w:rPr>
          <w:spacing w:val="-9"/>
        </w:rPr>
        <w:t> </w:t>
      </w:r>
      <w:r>
        <w:rPr/>
        <w:t>S.,</w:t>
      </w:r>
      <w:r>
        <w:rPr>
          <w:spacing w:val="-9"/>
        </w:rPr>
        <w:t> </w:t>
      </w:r>
      <w:r>
        <w:rPr/>
        <w:t>Mahmud,</w:t>
      </w:r>
      <w:r>
        <w:rPr>
          <w:spacing w:val="-7"/>
        </w:rPr>
        <w:t> </w:t>
      </w:r>
      <w:r>
        <w:rPr/>
        <w:t>A.S.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Papageorgiou,</w:t>
      </w:r>
      <w:r>
        <w:rPr>
          <w:spacing w:val="-7"/>
        </w:rPr>
        <w:t> </w:t>
      </w:r>
      <w:r>
        <w:rPr/>
        <w:t>C.</w:t>
      </w:r>
      <w:r>
        <w:rPr>
          <w:spacing w:val="-7"/>
        </w:rPr>
        <w:t> </w:t>
      </w:r>
      <w:r>
        <w:rPr/>
        <w:t>(2014).</w:t>
      </w:r>
      <w:r>
        <w:rPr>
          <w:spacing w:val="-8"/>
        </w:rPr>
        <w:t> </w:t>
      </w:r>
      <w:r>
        <w:rPr/>
        <w:t>What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Keynesian</w:t>
      </w:r>
      <w:r>
        <w:rPr>
          <w:spacing w:val="-6"/>
        </w:rPr>
        <w:t> </w:t>
      </w:r>
      <w:r>
        <w:rPr/>
        <w:t>economics?</w:t>
      </w:r>
      <w:r>
        <w:rPr>
          <w:spacing w:val="1"/>
        </w:rPr>
        <w:t> </w:t>
      </w:r>
      <w:r>
        <w:rPr>
          <w:i/>
        </w:rPr>
        <w:t>Finance</w:t>
      </w:r>
      <w:r>
        <w:rPr>
          <w:i/>
          <w:spacing w:val="-5"/>
        </w:rPr>
        <w:t> </w:t>
      </w:r>
      <w:r>
        <w:rPr>
          <w:i/>
        </w:rPr>
        <w:t>&amp;</w:t>
      </w:r>
      <w:r>
        <w:rPr>
          <w:i/>
          <w:spacing w:val="-57"/>
        </w:rPr>
        <w:t> </w:t>
      </w:r>
      <w:r>
        <w:rPr>
          <w:i/>
        </w:rPr>
        <w:t>Development,</w:t>
        <w:tab/>
      </w:r>
      <w:r>
        <w:rPr/>
        <w:t>51(3).</w:t>
        <w:tab/>
        <w:t>Available</w:t>
        <w:tab/>
      </w:r>
      <w:r>
        <w:rPr>
          <w:spacing w:val="-1"/>
        </w:rPr>
        <w:t>from:</w:t>
      </w:r>
      <w:r>
        <w:rPr>
          <w:spacing w:val="-58"/>
        </w:rPr>
        <w:t> </w:t>
      </w:r>
      <w:hyperlink r:id="rId81">
        <w:r>
          <w:rPr>
            <w:color w:val="0000FF"/>
            <w:u w:val="single" w:color="0000FF"/>
          </w:rPr>
          <w:t>http://www.imf.org/external/pubs/ft/fandd/2014/09/basics.htm</w:t>
        </w:r>
      </w:hyperlink>
    </w:p>
    <w:p>
      <w:pPr>
        <w:pStyle w:val="BodyText"/>
        <w:spacing w:before="2"/>
        <w:rPr>
          <w:sz w:val="16"/>
        </w:rPr>
      </w:pPr>
    </w:p>
    <w:p>
      <w:pPr>
        <w:spacing w:before="90"/>
        <w:ind w:left="500" w:right="506" w:firstLine="0"/>
        <w:jc w:val="left"/>
        <w:rPr>
          <w:sz w:val="24"/>
        </w:rPr>
      </w:pPr>
      <w:r>
        <w:rPr>
          <w:sz w:val="24"/>
        </w:rPr>
        <w:t>Janků,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Kappel,</w:t>
      </w:r>
      <w:r>
        <w:rPr>
          <w:spacing w:val="2"/>
          <w:sz w:val="24"/>
        </w:rPr>
        <w:t> </w:t>
      </w:r>
      <w:r>
        <w:rPr>
          <w:sz w:val="24"/>
        </w:rPr>
        <w:t>S.</w:t>
      </w:r>
      <w:r>
        <w:rPr>
          <w:spacing w:val="2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interaction</w:t>
      </w:r>
      <w:r>
        <w:rPr>
          <w:spacing w:val="2"/>
          <w:sz w:val="24"/>
        </w:rPr>
        <w:t> </w:t>
      </w:r>
      <w:r>
        <w:rPr>
          <w:sz w:val="24"/>
        </w:rPr>
        <w:t>of monetary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fiscal</w:t>
      </w:r>
      <w:r>
        <w:rPr>
          <w:spacing w:val="2"/>
          <w:sz w:val="24"/>
        </w:rPr>
        <w:t> </w:t>
      </w:r>
      <w:r>
        <w:rPr>
          <w:sz w:val="24"/>
        </w:rPr>
        <w:t>policy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Countries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theVisegradgroup.</w:t>
      </w:r>
      <w:r>
        <w:rPr>
          <w:i/>
          <w:sz w:val="24"/>
        </w:rPr>
        <w:t>ActaUniversitatisAgriculturaeEtSilviculturaeMendelianaeBrunensis,</w:t>
      </w:r>
      <w:r>
        <w:rPr>
          <w:i/>
          <w:spacing w:val="1"/>
          <w:sz w:val="24"/>
        </w:rPr>
        <w:t> </w:t>
      </w:r>
      <w:r>
        <w:rPr>
          <w:sz w:val="24"/>
        </w:rPr>
        <w:t>62(2):373-381.</w:t>
      </w:r>
      <w:r>
        <w:rPr>
          <w:spacing w:val="-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from:</w:t>
      </w:r>
      <w:r>
        <w:rPr>
          <w:spacing w:val="1"/>
          <w:sz w:val="24"/>
        </w:rPr>
        <w:t> </w:t>
      </w:r>
      <w:hyperlink r:id="rId82">
        <w:r>
          <w:rPr>
            <w:color w:val="0000FF"/>
            <w:sz w:val="24"/>
            <w:u w:val="single" w:color="0000FF"/>
          </w:rPr>
          <w:t>http://dx.doi.org/10.11118/actaun201462020373</w:t>
        </w:r>
      </w:hyperlink>
      <w:r>
        <w:rPr>
          <w:sz w:val="24"/>
        </w:rPr>
        <w:t>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00" w:right="680"/>
      </w:pPr>
      <w:r>
        <w:rPr/>
        <w:t>Jawadi</w:t>
      </w:r>
      <w:r>
        <w:rPr>
          <w:i/>
        </w:rPr>
        <w:t>, </w:t>
      </w:r>
      <w:r>
        <w:rPr/>
        <w:t>F., Mallick</w:t>
      </w:r>
      <w:r>
        <w:rPr>
          <w:i/>
        </w:rPr>
        <w:t>, </w:t>
      </w:r>
      <w:r>
        <w:rPr/>
        <w:t>S. K. and Sousa, R. M. (2016). Fiscal and monetary policies in the BRICS:</w:t>
      </w:r>
      <w:r>
        <w:rPr>
          <w:spacing w:val="-57"/>
        </w:rPr>
        <w:t> </w:t>
      </w:r>
      <w:r>
        <w:rPr/>
        <w:t>A</w:t>
      </w:r>
      <w:r>
        <w:rPr>
          <w:spacing w:val="-1"/>
        </w:rPr>
        <w:t> </w:t>
      </w:r>
      <w:r>
        <w:rPr/>
        <w:t>panel VAR approach.</w:t>
      </w:r>
      <w:r>
        <w:rPr>
          <w:spacing w:val="2"/>
        </w:rPr>
        <w:t> </w:t>
      </w:r>
      <w:r>
        <w:rPr>
          <w:i/>
        </w:rPr>
        <w:t>Economic</w:t>
      </w:r>
      <w:r>
        <w:rPr>
          <w:i/>
          <w:spacing w:val="-1"/>
        </w:rPr>
        <w:t> </w:t>
      </w:r>
      <w:r>
        <w:rPr>
          <w:i/>
        </w:rPr>
        <w:t>Modelling,</w:t>
      </w:r>
      <w:r>
        <w:rPr>
          <w:i/>
          <w:spacing w:val="1"/>
        </w:rPr>
        <w:t> </w:t>
      </w:r>
      <w:r>
        <w:rPr/>
        <w:t>58:535-542.</w:t>
      </w:r>
    </w:p>
    <w:p>
      <w:pPr>
        <w:pStyle w:val="BodyText"/>
      </w:pPr>
    </w:p>
    <w:p>
      <w:pPr>
        <w:pStyle w:val="BodyText"/>
        <w:ind w:left="500" w:right="502"/>
        <w:jc w:val="both"/>
      </w:pPr>
      <w:r>
        <w:rPr/>
        <w:t>King, R. G. and Watson, M. (1997). System reduction and solution algorithms for singular linear</w:t>
      </w:r>
      <w:r>
        <w:rPr>
          <w:spacing w:val="-57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rational</w:t>
      </w:r>
      <w:r>
        <w:rPr>
          <w:spacing w:val="1"/>
        </w:rPr>
        <w:t> </w:t>
      </w:r>
      <w:r>
        <w:rPr/>
        <w:t>expectations.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from:</w:t>
      </w:r>
      <w:r>
        <w:rPr>
          <w:spacing w:val="-57"/>
        </w:rPr>
        <w:t> </w:t>
      </w:r>
      <w:hyperlink r:id="rId83">
        <w:r>
          <w:rPr>
            <w:color w:val="0000FF"/>
            <w:u w:val="single" w:color="0000FF"/>
          </w:rPr>
          <w:t>https://www.Princeton.Edu/~Mwatson/.../Algor6.Pdf</w:t>
        </w:r>
      </w:hyperlink>
      <w:r>
        <w:rPr/>
        <w:t>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500" w:right="502"/>
        <w:jc w:val="both"/>
        <w:rPr>
          <w:i/>
        </w:rPr>
      </w:pPr>
      <w:r>
        <w:rPr/>
        <w:t>Kliem, M., Kriwoluzky, A. and Sarferaz, S. (2015). Monetary-fiscal policy interaction and fiscal</w:t>
      </w:r>
      <w:r>
        <w:rPr>
          <w:spacing w:val="1"/>
        </w:rPr>
        <w:t> </w:t>
      </w:r>
      <w:r>
        <w:rPr/>
        <w:t>inflation: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KOF</w:t>
      </w:r>
      <w:r>
        <w:rPr>
          <w:spacing w:val="1"/>
        </w:rPr>
        <w:t> </w:t>
      </w:r>
      <w:r>
        <w:rPr/>
        <w:t>Swiss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Institute.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from:</w:t>
      </w:r>
      <w:r>
        <w:rPr>
          <w:spacing w:val="-57"/>
        </w:rPr>
        <w:t> </w:t>
      </w:r>
      <w:hyperlink r:id="rId84">
        <w:r>
          <w:rPr>
            <w:color w:val="0000FF"/>
            <w:u w:val="single" w:color="0000FF"/>
          </w:rPr>
          <w:t>https://ideas.repec.org/p/zbw/iwhdps/iwh-17-15.html</w:t>
        </w:r>
      </w:hyperlink>
      <w:r>
        <w:rPr>
          <w:i/>
        </w:rPr>
        <w:t>.</w:t>
      </w:r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spacing w:before="90"/>
        <w:ind w:left="500"/>
      </w:pPr>
      <w:r>
        <w:rPr/>
        <w:t>Kliem,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Kriwoluzky,</w:t>
      </w:r>
      <w:r>
        <w:rPr>
          <w:spacing w:val="3"/>
        </w:rPr>
        <w:t> </w:t>
      </w:r>
      <w:r>
        <w:rPr/>
        <w:t>A. and</w:t>
      </w:r>
      <w:r>
        <w:rPr>
          <w:spacing w:val="3"/>
        </w:rPr>
        <w:t> </w:t>
      </w:r>
      <w:r>
        <w:rPr/>
        <w:t>Sarferaz,</w:t>
      </w:r>
      <w:r>
        <w:rPr>
          <w:spacing w:val="1"/>
        </w:rPr>
        <w:t> </w:t>
      </w:r>
      <w:r>
        <w:rPr/>
        <w:t>S.</w:t>
      </w:r>
      <w:r>
        <w:rPr>
          <w:spacing w:val="3"/>
        </w:rPr>
        <w:t> </w:t>
      </w:r>
      <w:r>
        <w:rPr/>
        <w:t>(2016).</w:t>
      </w:r>
      <w:r>
        <w:rPr>
          <w:spacing w:val="5"/>
        </w:rPr>
        <w:t> </w:t>
      </w:r>
      <w:r>
        <w:rPr/>
        <w:t>Monetary</w:t>
      </w:r>
      <w:r>
        <w:rPr>
          <w:i/>
        </w:rPr>
        <w:t>–</w:t>
      </w:r>
      <w:r>
        <w:rPr/>
        <w:t>fiscal</w:t>
      </w:r>
      <w:r>
        <w:rPr>
          <w:spacing w:val="4"/>
        </w:rPr>
        <w:t> </w:t>
      </w:r>
      <w:r>
        <w:rPr/>
        <w:t>policy</w:t>
      </w:r>
      <w:r>
        <w:rPr>
          <w:spacing w:val="-2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fiscal</w:t>
      </w:r>
      <w:r>
        <w:rPr>
          <w:spacing w:val="-57"/>
        </w:rPr>
        <w:t> </w:t>
      </w:r>
      <w:r>
        <w:rPr/>
        <w:t>inflation:</w:t>
      </w:r>
      <w:r>
        <w:rPr>
          <w:spacing w:val="-1"/>
        </w:rPr>
        <w:t> </w:t>
      </w:r>
      <w:r>
        <w:rPr/>
        <w:t>A tale</w:t>
      </w:r>
      <w:r>
        <w:rPr>
          <w:spacing w:val="-1"/>
        </w:rPr>
        <w:t> </w:t>
      </w:r>
      <w:r>
        <w:rPr/>
        <w:t>of three countries.</w:t>
      </w:r>
      <w:r>
        <w:rPr>
          <w:spacing w:val="1"/>
        </w:rPr>
        <w:t> </w:t>
      </w:r>
      <w:r>
        <w:rPr>
          <w:i/>
        </w:rPr>
        <w:t>European Economic</w:t>
      </w:r>
      <w:r>
        <w:rPr>
          <w:i/>
          <w:spacing w:val="-1"/>
        </w:rPr>
        <w:t> </w:t>
      </w:r>
      <w:r>
        <w:rPr>
          <w:i/>
        </w:rPr>
        <w:t>Review,</w:t>
      </w:r>
      <w:r>
        <w:rPr>
          <w:i/>
          <w:spacing w:val="-1"/>
        </w:rPr>
        <w:t> </w:t>
      </w:r>
      <w:r>
        <w:rPr/>
        <w:t>88(C):158-184.</w:t>
      </w:r>
    </w:p>
    <w:p>
      <w:pPr>
        <w:pStyle w:val="BodyText"/>
      </w:pPr>
    </w:p>
    <w:p>
      <w:pPr>
        <w:spacing w:before="0"/>
        <w:ind w:left="500" w:right="713" w:firstLine="0"/>
        <w:jc w:val="left"/>
        <w:rPr>
          <w:sz w:val="24"/>
        </w:rPr>
      </w:pPr>
      <w:r>
        <w:rPr>
          <w:sz w:val="24"/>
        </w:rPr>
        <w:t>Kocherlakota,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-1"/>
          <w:sz w:val="24"/>
        </w:rPr>
        <w:t> </w:t>
      </w:r>
      <w:r>
        <w:rPr>
          <w:sz w:val="24"/>
        </w:rPr>
        <w:t>and Phelan,</w:t>
      </w:r>
      <w:r>
        <w:rPr>
          <w:spacing w:val="-1"/>
          <w:sz w:val="24"/>
        </w:rPr>
        <w:t> </w:t>
      </w:r>
      <w:r>
        <w:rPr>
          <w:sz w:val="24"/>
        </w:rPr>
        <w:t>C. (1999).</w:t>
      </w:r>
      <w:r>
        <w:rPr>
          <w:spacing w:val="-1"/>
          <w:sz w:val="24"/>
        </w:rPr>
        <w:t> </w:t>
      </w:r>
      <w:r>
        <w:rPr>
          <w:sz w:val="24"/>
        </w:rPr>
        <w:t>Explaining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fiscal theory</w:t>
      </w:r>
      <w:r>
        <w:rPr>
          <w:spacing w:val="-6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price</w:t>
      </w:r>
      <w:r>
        <w:rPr>
          <w:spacing w:val="-1"/>
          <w:sz w:val="24"/>
        </w:rPr>
        <w:t> </w:t>
      </w:r>
      <w:r>
        <w:rPr>
          <w:sz w:val="24"/>
        </w:rPr>
        <w:t>level.</w:t>
      </w:r>
      <w:r>
        <w:rPr>
          <w:spacing w:val="1"/>
          <w:sz w:val="24"/>
        </w:rPr>
        <w:t> </w:t>
      </w:r>
      <w:r>
        <w:rPr>
          <w:i/>
          <w:sz w:val="24"/>
        </w:rPr>
        <w:t>Federal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Reserve Bank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Minneapolis Quarterly Review,</w:t>
      </w:r>
      <w:r>
        <w:rPr>
          <w:i/>
          <w:spacing w:val="4"/>
          <w:sz w:val="24"/>
        </w:rPr>
        <w:t> </w:t>
      </w:r>
      <w:r>
        <w:rPr>
          <w:sz w:val="24"/>
        </w:rPr>
        <w:t>23:14-23.</w:t>
      </w:r>
    </w:p>
    <w:p>
      <w:pPr>
        <w:pStyle w:val="BodyText"/>
      </w:pPr>
    </w:p>
    <w:p>
      <w:pPr>
        <w:pStyle w:val="BodyText"/>
        <w:spacing w:before="1"/>
        <w:ind w:left="500" w:right="500"/>
      </w:pPr>
      <w:r>
        <w:rPr/>
        <w:t>Koopmans,</w:t>
      </w:r>
      <w:r>
        <w:rPr>
          <w:spacing w:val="18"/>
        </w:rPr>
        <w:t> </w:t>
      </w:r>
      <w:r>
        <w:rPr/>
        <w:t>T.</w:t>
      </w:r>
      <w:r>
        <w:rPr>
          <w:spacing w:val="20"/>
        </w:rPr>
        <w:t> </w:t>
      </w:r>
      <w:r>
        <w:rPr/>
        <w:t>(1965).</w:t>
      </w:r>
      <w:r>
        <w:rPr>
          <w:spacing w:val="19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concept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optimal</w:t>
      </w:r>
      <w:r>
        <w:rPr>
          <w:spacing w:val="20"/>
        </w:rPr>
        <w:t> </w:t>
      </w:r>
      <w:r>
        <w:rPr/>
        <w:t>economic</w:t>
      </w:r>
      <w:r>
        <w:rPr>
          <w:spacing w:val="22"/>
        </w:rPr>
        <w:t> </w:t>
      </w:r>
      <w:r>
        <w:rPr/>
        <w:t>growth.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economic</w:t>
      </w:r>
      <w:r>
        <w:rPr>
          <w:spacing w:val="19"/>
        </w:rPr>
        <w:t> </w:t>
      </w:r>
      <w:r>
        <w:rPr/>
        <w:t>approach</w:t>
      </w:r>
      <w:r>
        <w:rPr>
          <w:spacing w:val="17"/>
        </w:rPr>
        <w:t> </w:t>
      </w:r>
      <w:r>
        <w:rPr/>
        <w:t>to</w:t>
      </w:r>
      <w:r>
        <w:rPr>
          <w:spacing w:val="-57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planning, North-Holland: Amsterdam.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500" w:right="496"/>
      </w:pPr>
      <w:r>
        <w:rPr/>
        <w:t>Kydland,</w:t>
      </w:r>
      <w:r>
        <w:rPr>
          <w:spacing w:val="-3"/>
        </w:rPr>
        <w:t> </w:t>
      </w:r>
      <w:r>
        <w:rPr/>
        <w:t>F.,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Prescott,</w:t>
      </w:r>
      <w:r>
        <w:rPr>
          <w:spacing w:val="-4"/>
        </w:rPr>
        <w:t> </w:t>
      </w:r>
      <w:r>
        <w:rPr/>
        <w:t>E.</w:t>
      </w:r>
      <w:r>
        <w:rPr>
          <w:spacing w:val="-5"/>
        </w:rPr>
        <w:t> </w:t>
      </w:r>
      <w:r>
        <w:rPr/>
        <w:t>(1982).</w:t>
      </w:r>
      <w:r>
        <w:rPr>
          <w:spacing w:val="-5"/>
        </w:rPr>
        <w:t> </w:t>
      </w:r>
      <w:r>
        <w:rPr/>
        <w:t>Time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build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aggregate</w:t>
      </w:r>
      <w:r>
        <w:rPr>
          <w:spacing w:val="-1"/>
        </w:rPr>
        <w:t> </w:t>
      </w:r>
      <w:r>
        <w:rPr/>
        <w:t>fluctuations.</w:t>
      </w:r>
      <w:r>
        <w:rPr>
          <w:spacing w:val="1"/>
        </w:rPr>
        <w:t> </w:t>
      </w:r>
      <w:r>
        <w:rPr>
          <w:i/>
        </w:rPr>
        <w:t>Econometrica,</w:t>
      </w:r>
      <w:r>
        <w:rPr>
          <w:i/>
          <w:spacing w:val="-1"/>
        </w:rPr>
        <w:t> </w:t>
      </w:r>
      <w:r>
        <w:rPr/>
        <w:t>50:</w:t>
      </w:r>
      <w:r>
        <w:rPr>
          <w:spacing w:val="-57"/>
        </w:rPr>
        <w:t> </w:t>
      </w:r>
      <w:r>
        <w:rPr/>
        <w:t>1345-1371.</w:t>
      </w:r>
    </w:p>
    <w:p>
      <w:pPr>
        <w:pStyle w:val="BodyText"/>
      </w:pPr>
    </w:p>
    <w:p>
      <w:pPr>
        <w:pStyle w:val="BodyText"/>
        <w:ind w:left="500" w:right="945"/>
        <w:rPr>
          <w:i/>
        </w:rPr>
      </w:pPr>
      <w:r>
        <w:rPr/>
        <w:t>Leeper, E. M. and Zhou, X. (2013). Inflation's role in optimal monetary-fiscal policy. NBER</w:t>
      </w:r>
      <w:r>
        <w:rPr>
          <w:spacing w:val="-58"/>
        </w:rPr>
        <w:t> </w:t>
      </w:r>
      <w:r>
        <w:rPr/>
        <w:t>Working</w:t>
      </w:r>
      <w:r>
        <w:rPr>
          <w:spacing w:val="-4"/>
        </w:rPr>
        <w:t> </w:t>
      </w:r>
      <w:r>
        <w:rPr/>
        <w:t>Paper No. 19686. Available</w:t>
      </w:r>
      <w:r>
        <w:rPr>
          <w:spacing w:val="-1"/>
        </w:rPr>
        <w:t> </w:t>
      </w:r>
      <w:r>
        <w:rPr/>
        <w:t>from:</w:t>
      </w:r>
      <w:r>
        <w:rPr>
          <w:spacing w:val="2"/>
        </w:rPr>
        <w:t> </w:t>
      </w:r>
      <w:hyperlink r:id="rId85">
        <w:r>
          <w:rPr>
            <w:color w:val="0000FF"/>
            <w:u w:val="single" w:color="0000FF"/>
          </w:rPr>
          <w:t>www.nber.org/papers/w19686</w:t>
        </w:r>
        <w:r>
          <w:rPr>
            <w:i/>
          </w:rPr>
          <w:t>.</w:t>
        </w:r>
      </w:hyperlink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spacing w:before="90"/>
        <w:ind w:left="500" w:right="497"/>
      </w:pPr>
      <w:r>
        <w:rPr/>
        <w:t>Leeper,</w:t>
      </w:r>
      <w:r>
        <w:rPr>
          <w:spacing w:val="6"/>
        </w:rPr>
        <w:t> </w:t>
      </w:r>
      <w:r>
        <w:rPr/>
        <w:t>E.M.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Leith,</w:t>
      </w:r>
      <w:r>
        <w:rPr>
          <w:spacing w:val="7"/>
        </w:rPr>
        <w:t> </w:t>
      </w:r>
      <w:r>
        <w:rPr/>
        <w:t>C.</w:t>
      </w:r>
      <w:r>
        <w:rPr>
          <w:spacing w:val="7"/>
        </w:rPr>
        <w:t> </w:t>
      </w:r>
      <w:r>
        <w:rPr/>
        <w:t>(2015).</w:t>
      </w:r>
      <w:r>
        <w:rPr>
          <w:spacing w:val="9"/>
        </w:rPr>
        <w:t> </w:t>
      </w:r>
      <w:r>
        <w:rPr/>
        <w:t>Inflation</w:t>
      </w:r>
      <w:r>
        <w:rPr>
          <w:spacing w:val="7"/>
        </w:rPr>
        <w:t> </w:t>
      </w:r>
      <w:r>
        <w:rPr/>
        <w:t>through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Lens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Fiscal</w:t>
      </w:r>
      <w:r>
        <w:rPr>
          <w:spacing w:val="7"/>
        </w:rPr>
        <w:t> </w:t>
      </w:r>
      <w:r>
        <w:rPr/>
        <w:t>Theory.</w:t>
      </w:r>
      <w:r>
        <w:rPr>
          <w:spacing w:val="7"/>
        </w:rPr>
        <w:t> </w:t>
      </w:r>
      <w:r>
        <w:rPr/>
        <w:t>Prepared</w:t>
      </w:r>
      <w:r>
        <w:rPr>
          <w:spacing w:val="7"/>
        </w:rPr>
        <w:t> </w:t>
      </w:r>
      <w:r>
        <w:rPr/>
        <w:t>for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Handbook of</w:t>
      </w:r>
      <w:r>
        <w:rPr>
          <w:spacing w:val="-1"/>
        </w:rPr>
        <w:t> </w:t>
      </w:r>
      <w:r>
        <w:rPr/>
        <w:t>Macroeconomics. Eds. Taylor,</w:t>
      </w:r>
      <w:r>
        <w:rPr>
          <w:spacing w:val="-1"/>
        </w:rPr>
        <w:t> </w:t>
      </w:r>
      <w:r>
        <w:rPr/>
        <w:t>J.B</w:t>
      </w:r>
      <w:r>
        <w:rPr>
          <w:spacing w:val="-2"/>
        </w:rPr>
        <w:t> </w:t>
      </w:r>
      <w:r>
        <w:rPr/>
        <w:t>and Uhlig, H.  Elsevier Press.</w:t>
      </w:r>
    </w:p>
    <w:p>
      <w:pPr>
        <w:pStyle w:val="BodyText"/>
        <w:spacing w:before="1"/>
      </w:pPr>
    </w:p>
    <w:p>
      <w:pPr>
        <w:spacing w:before="0"/>
        <w:ind w:left="500" w:right="492" w:firstLine="0"/>
        <w:jc w:val="left"/>
        <w:rPr>
          <w:sz w:val="24"/>
        </w:rPr>
      </w:pPr>
      <w:r>
        <w:rPr>
          <w:sz w:val="24"/>
        </w:rPr>
        <w:t>Leeper,</w:t>
      </w:r>
      <w:r>
        <w:rPr>
          <w:spacing w:val="-7"/>
          <w:sz w:val="24"/>
        </w:rPr>
        <w:t> </w:t>
      </w:r>
      <w:r>
        <w:rPr>
          <w:sz w:val="24"/>
        </w:rPr>
        <w:t>E.M.</w:t>
      </w:r>
      <w:r>
        <w:rPr>
          <w:spacing w:val="-3"/>
          <w:sz w:val="24"/>
        </w:rPr>
        <w:t> </w:t>
      </w:r>
      <w:r>
        <w:rPr>
          <w:sz w:val="24"/>
        </w:rPr>
        <w:t>(1991).</w:t>
      </w:r>
      <w:r>
        <w:rPr>
          <w:spacing w:val="-5"/>
          <w:sz w:val="24"/>
        </w:rPr>
        <w:t> </w:t>
      </w:r>
      <w:r>
        <w:rPr>
          <w:sz w:val="24"/>
        </w:rPr>
        <w:t>Equilibria</w:t>
      </w:r>
      <w:r>
        <w:rPr>
          <w:spacing w:val="-6"/>
          <w:sz w:val="24"/>
        </w:rPr>
        <w:t> </w:t>
      </w:r>
      <w:r>
        <w:rPr>
          <w:sz w:val="24"/>
        </w:rPr>
        <w:t>under</w:t>
      </w:r>
      <w:r>
        <w:rPr>
          <w:spacing w:val="-5"/>
          <w:sz w:val="24"/>
        </w:rPr>
        <w:t> </w:t>
      </w:r>
      <w:r>
        <w:rPr>
          <w:sz w:val="24"/>
        </w:rPr>
        <w:t>‘active’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‘passive’</w:t>
      </w:r>
      <w:r>
        <w:rPr>
          <w:spacing w:val="-7"/>
          <w:sz w:val="24"/>
        </w:rPr>
        <w:t> </w:t>
      </w:r>
      <w:r>
        <w:rPr>
          <w:sz w:val="24"/>
        </w:rPr>
        <w:t>monetary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fiscal</w:t>
      </w:r>
      <w:r>
        <w:rPr>
          <w:spacing w:val="-4"/>
          <w:sz w:val="24"/>
        </w:rPr>
        <w:t> </w:t>
      </w:r>
      <w:r>
        <w:rPr>
          <w:sz w:val="24"/>
        </w:rPr>
        <w:t>policies.</w:t>
      </w:r>
      <w:r>
        <w:rPr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Monetary Economics,</w:t>
      </w:r>
      <w:r>
        <w:rPr>
          <w:i/>
          <w:spacing w:val="3"/>
          <w:sz w:val="24"/>
        </w:rPr>
        <w:t> </w:t>
      </w:r>
      <w:r>
        <w:rPr>
          <w:sz w:val="24"/>
        </w:rPr>
        <w:t>27: 129-147.</w:t>
      </w:r>
    </w:p>
    <w:p>
      <w:pPr>
        <w:pStyle w:val="BodyText"/>
      </w:pPr>
    </w:p>
    <w:p>
      <w:pPr>
        <w:pStyle w:val="BodyText"/>
        <w:ind w:left="500" w:right="505"/>
        <w:rPr>
          <w:i/>
        </w:rPr>
      </w:pPr>
      <w:r>
        <w:rPr/>
        <w:t>Leeper,</w:t>
      </w:r>
      <w:r>
        <w:rPr>
          <w:spacing w:val="40"/>
        </w:rPr>
        <w:t> </w:t>
      </w:r>
      <w:r>
        <w:rPr/>
        <w:t>E.M.</w:t>
      </w:r>
      <w:r>
        <w:rPr>
          <w:spacing w:val="42"/>
        </w:rPr>
        <w:t> </w:t>
      </w:r>
      <w:r>
        <w:rPr/>
        <w:t>(2013).</w:t>
      </w:r>
      <w:r>
        <w:rPr>
          <w:spacing w:val="43"/>
        </w:rPr>
        <w:t> </w:t>
      </w:r>
      <w:r>
        <w:rPr/>
        <w:t>Fiscal</w:t>
      </w:r>
      <w:r>
        <w:rPr>
          <w:spacing w:val="42"/>
        </w:rPr>
        <w:t> </w:t>
      </w:r>
      <w:r>
        <w:rPr/>
        <w:t>limits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monetary</w:t>
      </w:r>
      <w:r>
        <w:rPr>
          <w:spacing w:val="38"/>
        </w:rPr>
        <w:t> </w:t>
      </w:r>
      <w:r>
        <w:rPr/>
        <w:t>policy.</w:t>
      </w:r>
      <w:r>
        <w:rPr>
          <w:spacing w:val="41"/>
        </w:rPr>
        <w:t> </w:t>
      </w:r>
      <w:r>
        <w:rPr/>
        <w:t>NBER</w:t>
      </w:r>
      <w:r>
        <w:rPr>
          <w:spacing w:val="42"/>
        </w:rPr>
        <w:t> </w:t>
      </w:r>
      <w:r>
        <w:rPr/>
        <w:t>Working</w:t>
      </w:r>
      <w:r>
        <w:rPr>
          <w:spacing w:val="39"/>
        </w:rPr>
        <w:t> </w:t>
      </w:r>
      <w:r>
        <w:rPr/>
        <w:t>Paper</w:t>
      </w:r>
      <w:r>
        <w:rPr>
          <w:spacing w:val="40"/>
        </w:rPr>
        <w:t> </w:t>
      </w:r>
      <w:r>
        <w:rPr/>
        <w:t>Series18877.</w:t>
      </w:r>
      <w:r>
        <w:rPr>
          <w:spacing w:val="-57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from: </w:t>
      </w:r>
      <w:hyperlink r:id="rId86">
        <w:r>
          <w:rPr>
            <w:color w:val="0000FF"/>
            <w:u w:val="single" w:color="0000FF"/>
          </w:rPr>
          <w:t>www.nber.org/papers/w18877</w:t>
        </w:r>
      </w:hyperlink>
      <w:r>
        <w:rPr>
          <w:i/>
        </w:rPr>
        <w:t>.</w:t>
      </w:r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spacing w:before="90"/>
        <w:ind w:left="500" w:right="500"/>
        <w:jc w:val="both"/>
      </w:pPr>
      <w:r>
        <w:rPr/>
        <w:t>Li,</w:t>
      </w:r>
      <w:r>
        <w:rPr>
          <w:spacing w:val="-9"/>
        </w:rPr>
        <w:t> </w:t>
      </w:r>
      <w:r>
        <w:rPr/>
        <w:t>S.M.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Spencer,</w:t>
      </w:r>
      <w:r>
        <w:rPr>
          <w:spacing w:val="-9"/>
        </w:rPr>
        <w:t> </w:t>
      </w:r>
      <w:r>
        <w:rPr/>
        <w:t>A.</w:t>
      </w:r>
      <w:r>
        <w:rPr>
          <w:spacing w:val="-7"/>
        </w:rPr>
        <w:t> </w:t>
      </w:r>
      <w:r>
        <w:rPr/>
        <w:t>(2014).</w:t>
      </w:r>
      <w:r>
        <w:rPr>
          <w:spacing w:val="-9"/>
        </w:rPr>
        <w:t> </w:t>
      </w:r>
      <w:r>
        <w:rPr/>
        <w:t>Effectiveness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Australian</w:t>
      </w:r>
      <w:r>
        <w:rPr>
          <w:spacing w:val="-9"/>
        </w:rPr>
        <w:t> </w:t>
      </w:r>
      <w:r>
        <w:rPr/>
        <w:t>fiscal</w:t>
      </w:r>
      <w:r>
        <w:rPr>
          <w:spacing w:val="-8"/>
        </w:rPr>
        <w:t> </w:t>
      </w:r>
      <w:r>
        <w:rPr/>
        <w:t>stimulus</w:t>
      </w:r>
      <w:r>
        <w:rPr>
          <w:spacing w:val="-8"/>
        </w:rPr>
        <w:t> </w:t>
      </w:r>
      <w:r>
        <w:rPr/>
        <w:t>package: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DSGE</w:t>
      </w:r>
      <w:r>
        <w:rPr>
          <w:spacing w:val="-57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Research Paper No. 1184, Department of</w:t>
      </w:r>
      <w:r>
        <w:rPr>
          <w:spacing w:val="1"/>
        </w:rPr>
        <w:t> </w:t>
      </w:r>
      <w:r>
        <w:rPr/>
        <w:t>Economics, University of Melbourne. ISBN</w:t>
      </w:r>
      <w:r>
        <w:rPr>
          <w:spacing w:val="1"/>
        </w:rPr>
        <w:t> </w:t>
      </w:r>
      <w:r>
        <w:rPr/>
        <w:t>No 978 0 7340 5020 5.</w:t>
      </w:r>
    </w:p>
    <w:p>
      <w:pPr>
        <w:spacing w:after="0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500" w:right="497"/>
      </w:pPr>
      <w:r>
        <w:rPr/>
        <w:t>Lima,</w:t>
      </w:r>
      <w:r>
        <w:rPr>
          <w:spacing w:val="3"/>
        </w:rPr>
        <w:t> </w:t>
      </w:r>
      <w:r>
        <w:rPr/>
        <w:t>E.R.,</w:t>
      </w:r>
      <w:r>
        <w:rPr>
          <w:spacing w:val="4"/>
        </w:rPr>
        <w:t> </w:t>
      </w:r>
      <w:r>
        <w:rPr/>
        <w:t>Maka,</w:t>
      </w:r>
      <w:r>
        <w:rPr>
          <w:spacing w:val="6"/>
        </w:rPr>
        <w:t> </w:t>
      </w:r>
      <w:r>
        <w:rPr/>
        <w:t>A.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Pumar,</w:t>
      </w:r>
      <w:r>
        <w:rPr>
          <w:spacing w:val="4"/>
        </w:rPr>
        <w:t> </w:t>
      </w:r>
      <w:r>
        <w:rPr/>
        <w:t>A.</w:t>
      </w:r>
      <w:r>
        <w:rPr>
          <w:spacing w:val="5"/>
        </w:rPr>
        <w:t> </w:t>
      </w:r>
      <w:r>
        <w:rPr/>
        <w:t>(2012).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effects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fiscal</w:t>
      </w:r>
      <w:r>
        <w:rPr>
          <w:spacing w:val="4"/>
        </w:rPr>
        <w:t> </w:t>
      </w:r>
      <w:r>
        <w:rPr/>
        <w:t>policy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its</w:t>
      </w:r>
      <w:r>
        <w:rPr>
          <w:spacing w:val="3"/>
        </w:rPr>
        <w:t> </w:t>
      </w:r>
      <w:r>
        <w:rPr/>
        <w:t>interactions</w:t>
      </w:r>
      <w:r>
        <w:rPr>
          <w:spacing w:val="3"/>
        </w:rPr>
        <w:t> </w:t>
      </w:r>
      <w:r>
        <w:rPr/>
        <w:t>with</w:t>
      </w:r>
      <w:r>
        <w:rPr>
          <w:spacing w:val="-57"/>
        </w:rPr>
        <w:t> </w:t>
      </w:r>
      <w:r>
        <w:rPr/>
        <w:t>monetary</w:t>
      </w:r>
      <w:r>
        <w:rPr>
          <w:spacing w:val="-5"/>
        </w:rPr>
        <w:t> </w:t>
      </w:r>
      <w:r>
        <w:rPr/>
        <w:t>policy</w:t>
      </w:r>
      <w:r>
        <w:rPr>
          <w:spacing w:val="-5"/>
        </w:rPr>
        <w:t> </w:t>
      </w:r>
      <w:r>
        <w:rPr/>
        <w:t>in Brazil.</w:t>
      </w:r>
      <w:r>
        <w:rPr>
          <w:spacing w:val="2"/>
        </w:rPr>
        <w:t> </w:t>
      </w:r>
      <w:hyperlink r:id="rId87">
        <w:r>
          <w:rPr>
            <w:i/>
            <w:color w:val="0000FF"/>
            <w:u w:val="single" w:color="0000FF"/>
          </w:rPr>
          <w:t>Economia</w:t>
        </w:r>
        <w:r>
          <w:rPr>
            <w:i/>
            <w:color w:val="0000FF"/>
          </w:rPr>
          <w:t> </w:t>
        </w:r>
      </w:hyperlink>
      <w:r>
        <w:rPr/>
        <w:t>13(1): 149-180.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500" w:right="487"/>
      </w:pPr>
      <w:r>
        <w:rPr/>
        <w:t>Long, J. B. and Plosser, C. (1983). Real business cycles. </w:t>
      </w:r>
      <w:r>
        <w:rPr>
          <w:i/>
        </w:rPr>
        <w:t>Journal of Political Economy, </w:t>
      </w:r>
      <w:r>
        <w:rPr/>
        <w:t>91:39-69.</w:t>
      </w:r>
      <w:r>
        <w:rPr>
          <w:spacing w:val="-58"/>
        </w:rPr>
        <w:t> </w:t>
      </w:r>
      <w:r>
        <w:rPr/>
        <w:t>Mankiw,</w:t>
      </w:r>
      <w:r>
        <w:rPr>
          <w:spacing w:val="-1"/>
        </w:rPr>
        <w:t> </w:t>
      </w:r>
      <w:r>
        <w:rPr/>
        <w:t>N.G. (2016).</w:t>
      </w:r>
      <w:r>
        <w:rPr>
          <w:spacing w:val="-1"/>
        </w:rPr>
        <w:t> </w:t>
      </w:r>
      <w:hyperlink r:id="rId88">
        <w:r>
          <w:rPr>
            <w:color w:val="0000FF"/>
            <w:u w:val="single" w:color="0000FF"/>
          </w:rPr>
          <w:t>Macroeconomics. 9th Edn</w:t>
        </w:r>
        <w:r>
          <w:rPr/>
          <w:t>.</w:t>
        </w:r>
        <w:r>
          <w:rPr>
            <w:spacing w:val="2"/>
          </w:rPr>
          <w:t> </w:t>
        </w:r>
      </w:hyperlink>
      <w:r>
        <w:rPr/>
        <w:t>Worth Publishers.</w:t>
      </w:r>
    </w:p>
    <w:p>
      <w:pPr>
        <w:pStyle w:val="BodyText"/>
        <w:ind w:left="500" w:right="496"/>
      </w:pPr>
      <w:r>
        <w:rPr/>
        <w:t>Mankiw</w:t>
      </w:r>
      <w:r>
        <w:rPr>
          <w:spacing w:val="1"/>
        </w:rPr>
        <w:t> </w:t>
      </w:r>
      <w:r>
        <w:rPr/>
        <w:t>N. G.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Romer, D. (1991)</w:t>
      </w:r>
      <w:r>
        <w:rPr>
          <w:spacing w:val="2"/>
        </w:rPr>
        <w:t> </w:t>
      </w:r>
      <w:r>
        <w:rPr/>
        <w:t>New</w:t>
      </w:r>
      <w:r>
        <w:rPr>
          <w:spacing w:val="3"/>
        </w:rPr>
        <w:t> </w:t>
      </w:r>
      <w:r>
        <w:rPr/>
        <w:t>Keynesian</w:t>
      </w:r>
      <w:r>
        <w:rPr>
          <w:spacing w:val="5"/>
        </w:rPr>
        <w:t> </w:t>
      </w:r>
      <w:r>
        <w:rPr/>
        <w:t>economics,</w:t>
      </w:r>
      <w:r>
        <w:rPr>
          <w:spacing w:val="1"/>
        </w:rPr>
        <w:t> </w:t>
      </w:r>
      <w:r>
        <w:rPr/>
        <w:t>Vols.</w:t>
      </w:r>
      <w:r>
        <w:rPr>
          <w:spacing w:val="6"/>
        </w:rPr>
        <w:t> </w:t>
      </w:r>
      <w:r>
        <w:rPr/>
        <w:t>I</w:t>
      </w:r>
      <w:r>
        <w:rPr>
          <w:spacing w:val="-2"/>
        </w:rPr>
        <w:t> </w:t>
      </w:r>
      <w:r>
        <w:rPr/>
        <w:t>and</w:t>
      </w:r>
      <w:r>
        <w:rPr>
          <w:spacing w:val="4"/>
        </w:rPr>
        <w:t> </w:t>
      </w:r>
      <w:r>
        <w:rPr/>
        <w:t>II.</w:t>
      </w:r>
      <w:r>
        <w:rPr>
          <w:spacing w:val="1"/>
        </w:rPr>
        <w:t> </w:t>
      </w:r>
      <w:r>
        <w:rPr/>
        <w:t>Cambridge MIT</w:t>
      </w:r>
      <w:r>
        <w:rPr>
          <w:spacing w:val="-57"/>
        </w:rPr>
        <w:t> </w:t>
      </w:r>
      <w:r>
        <w:rPr/>
        <w:t>Press.</w:t>
      </w:r>
    </w:p>
    <w:p>
      <w:pPr>
        <w:pStyle w:val="BodyText"/>
      </w:pPr>
    </w:p>
    <w:p>
      <w:pPr>
        <w:pStyle w:val="BodyText"/>
        <w:tabs>
          <w:tab w:pos="1748" w:val="left" w:leader="none"/>
          <w:tab w:pos="2383" w:val="left" w:leader="none"/>
          <w:tab w:pos="3523" w:val="left" w:leader="none"/>
          <w:tab w:pos="4778" w:val="left" w:leader="none"/>
          <w:tab w:pos="5500" w:val="left" w:leader="none"/>
          <w:tab w:pos="6846" w:val="left" w:leader="none"/>
          <w:tab w:pos="7949" w:val="left" w:leader="none"/>
          <w:tab w:pos="9321" w:val="left" w:leader="none"/>
        </w:tabs>
        <w:ind w:left="500" w:right="502"/>
        <w:rPr>
          <w:i/>
        </w:rPr>
      </w:pPr>
      <w:r>
        <w:rPr/>
        <w:t>Masson,</w:t>
        <w:tab/>
        <w:t>P.</w:t>
        <w:tab/>
        <w:t>(2006).</w:t>
        <w:tab/>
        <w:t>Anchors</w:t>
        <w:tab/>
        <w:t>for</w:t>
        <w:tab/>
        <w:t>monetary</w:t>
        <w:tab/>
        <w:t>policy.</w:t>
        <w:tab/>
        <w:t>Available</w:t>
        <w:tab/>
      </w:r>
      <w:r>
        <w:rPr>
          <w:spacing w:val="-1"/>
        </w:rPr>
        <w:t>from:</w:t>
      </w:r>
      <w:r>
        <w:rPr>
          <w:spacing w:val="-57"/>
        </w:rPr>
        <w:t> </w:t>
      </w:r>
      <w:hyperlink r:id="rId89">
        <w:r>
          <w:rPr>
            <w:color w:val="0000FF"/>
            <w:u w:val="single" w:color="0000FF"/>
          </w:rPr>
          <w:t>https://www.bis.org/events/cbcd06g.pdf</w:t>
        </w:r>
        <w:r>
          <w:rPr>
            <w:i/>
          </w:rPr>
          <w:t>.</w:t>
        </w:r>
      </w:hyperlink>
    </w:p>
    <w:p>
      <w:pPr>
        <w:pStyle w:val="BodyText"/>
        <w:spacing w:before="3"/>
        <w:rPr>
          <w:i/>
          <w:sz w:val="16"/>
        </w:rPr>
      </w:pPr>
    </w:p>
    <w:p>
      <w:pPr>
        <w:spacing w:before="90"/>
        <w:ind w:left="500" w:right="496" w:firstLine="0"/>
        <w:jc w:val="both"/>
        <w:rPr>
          <w:sz w:val="24"/>
        </w:rPr>
      </w:pPr>
      <w:r>
        <w:rPr>
          <w:sz w:val="24"/>
        </w:rPr>
        <w:t>McCallum,</w:t>
      </w:r>
      <w:r>
        <w:rPr>
          <w:spacing w:val="-8"/>
          <w:sz w:val="24"/>
        </w:rPr>
        <w:t> </w:t>
      </w:r>
      <w:r>
        <w:rPr>
          <w:sz w:val="24"/>
        </w:rPr>
        <w:t>B.T.</w:t>
      </w:r>
      <w:r>
        <w:rPr>
          <w:spacing w:val="-9"/>
          <w:sz w:val="24"/>
        </w:rPr>
        <w:t> </w:t>
      </w:r>
      <w:r>
        <w:rPr>
          <w:sz w:val="24"/>
        </w:rPr>
        <w:t>(1984).</w:t>
      </w:r>
      <w:r>
        <w:rPr>
          <w:spacing w:val="-8"/>
          <w:sz w:val="24"/>
        </w:rPr>
        <w:t> </w:t>
      </w:r>
      <w:r>
        <w:rPr>
          <w:sz w:val="24"/>
        </w:rPr>
        <w:t>Are</w:t>
      </w:r>
      <w:r>
        <w:rPr>
          <w:spacing w:val="-9"/>
          <w:sz w:val="24"/>
        </w:rPr>
        <w:t> </w:t>
      </w:r>
      <w:r>
        <w:rPr>
          <w:sz w:val="24"/>
        </w:rPr>
        <w:t>bond-financed</w:t>
      </w:r>
      <w:r>
        <w:rPr>
          <w:spacing w:val="-7"/>
          <w:sz w:val="24"/>
        </w:rPr>
        <w:t> </w:t>
      </w:r>
      <w:r>
        <w:rPr>
          <w:sz w:val="24"/>
        </w:rPr>
        <w:t>deficits</w:t>
      </w:r>
      <w:r>
        <w:rPr>
          <w:spacing w:val="-8"/>
          <w:sz w:val="24"/>
        </w:rPr>
        <w:t> </w:t>
      </w:r>
      <w:r>
        <w:rPr>
          <w:sz w:val="24"/>
        </w:rPr>
        <w:t>inflationary?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Ricardian</w:t>
      </w:r>
      <w:r>
        <w:rPr>
          <w:spacing w:val="-7"/>
          <w:sz w:val="24"/>
        </w:rPr>
        <w:t> </w:t>
      </w:r>
      <w:r>
        <w:rPr>
          <w:sz w:val="24"/>
        </w:rPr>
        <w:t>analysis.</w:t>
      </w:r>
      <w:r>
        <w:rPr>
          <w:spacing w:val="-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Economy</w:t>
      </w:r>
      <w:r>
        <w:rPr>
          <w:sz w:val="24"/>
        </w:rPr>
        <w:t>, 92(1): 123-135.</w:t>
      </w:r>
    </w:p>
    <w:p>
      <w:pPr>
        <w:pStyle w:val="BodyText"/>
      </w:pPr>
    </w:p>
    <w:p>
      <w:pPr>
        <w:pStyle w:val="BodyText"/>
        <w:ind w:left="500" w:right="499"/>
        <w:jc w:val="both"/>
      </w:pPr>
      <w:r>
        <w:rPr/>
        <w:t>Mickelsson,</w:t>
      </w:r>
      <w:r>
        <w:rPr>
          <w:spacing w:val="-12"/>
        </w:rPr>
        <w:t> </w:t>
      </w:r>
      <w:r>
        <w:rPr/>
        <w:t>G.</w:t>
      </w:r>
      <w:r>
        <w:rPr>
          <w:spacing w:val="-12"/>
        </w:rPr>
        <w:t> </w:t>
      </w:r>
      <w:r>
        <w:rPr/>
        <w:t>(2015).</w:t>
      </w:r>
      <w:r>
        <w:rPr>
          <w:spacing w:val="-12"/>
        </w:rPr>
        <w:t> </w:t>
      </w:r>
      <w:r>
        <w:rPr/>
        <w:t>Estimation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DSGE</w:t>
      </w:r>
      <w:r>
        <w:rPr>
          <w:spacing w:val="-11"/>
        </w:rPr>
        <w:t> </w:t>
      </w:r>
      <w:r>
        <w:rPr/>
        <w:t>models:</w:t>
      </w:r>
      <w:r>
        <w:rPr>
          <w:spacing w:val="-12"/>
        </w:rPr>
        <w:t> </w:t>
      </w:r>
      <w:r>
        <w:rPr/>
        <w:t>Maximum</w:t>
      </w:r>
      <w:r>
        <w:rPr>
          <w:spacing w:val="-10"/>
        </w:rPr>
        <w:t> </w:t>
      </w:r>
      <w:r>
        <w:rPr/>
        <w:t>Likelihood</w:t>
      </w:r>
      <w:r>
        <w:rPr>
          <w:spacing w:val="-8"/>
        </w:rPr>
        <w:t> </w:t>
      </w:r>
      <w:r>
        <w:rPr/>
        <w:t>vs.</w:t>
      </w:r>
      <w:r>
        <w:rPr>
          <w:spacing w:val="-11"/>
        </w:rPr>
        <w:t> </w:t>
      </w:r>
      <w:r>
        <w:rPr/>
        <w:t>Bayesian</w:t>
      </w:r>
      <w:r>
        <w:rPr>
          <w:spacing w:val="-11"/>
        </w:rPr>
        <w:t> </w:t>
      </w:r>
      <w:r>
        <w:rPr/>
        <w:t>methods.</w:t>
      </w:r>
      <w:r>
        <w:rPr>
          <w:spacing w:val="-58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Economics,</w:t>
      </w:r>
      <w:r>
        <w:rPr>
          <w:spacing w:val="1"/>
        </w:rPr>
        <w:t> </w:t>
      </w:r>
      <w:r>
        <w:rPr/>
        <w:t>Uppsala</w:t>
      </w:r>
      <w:r>
        <w:rPr>
          <w:spacing w:val="1"/>
        </w:rPr>
        <w:t> </w:t>
      </w:r>
      <w:r>
        <w:rPr/>
        <w:t>University.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from:</w:t>
      </w:r>
      <w:r>
        <w:rPr>
          <w:spacing w:val="1"/>
        </w:rPr>
        <w:t> </w:t>
      </w:r>
      <w:hyperlink r:id="rId90">
        <w:r>
          <w:rPr>
            <w:color w:val="0000FF"/>
            <w:u w:val="single" w:color="0000FF"/>
          </w:rPr>
          <w:t>https://ideas.repec.org/p/hhs/uunewp/2015_006.html</w:t>
        </w:r>
      </w:hyperlink>
      <w:r>
        <w:rPr/>
        <w:t>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00" w:right="503"/>
      </w:pPr>
      <w:r>
        <w:rPr/>
        <w:t>Miller,</w:t>
      </w:r>
      <w:r>
        <w:rPr>
          <w:spacing w:val="17"/>
        </w:rPr>
        <w:t> </w:t>
      </w:r>
      <w:r>
        <w:rPr/>
        <w:t>D.</w:t>
      </w:r>
      <w:r>
        <w:rPr>
          <w:spacing w:val="18"/>
        </w:rPr>
        <w:t> </w:t>
      </w:r>
      <w:r>
        <w:rPr/>
        <w:t>S.</w:t>
      </w:r>
      <w:r>
        <w:rPr>
          <w:spacing w:val="18"/>
        </w:rPr>
        <w:t> </w:t>
      </w:r>
      <w:r>
        <w:rPr/>
        <w:t>(2016).</w:t>
      </w:r>
      <w:r>
        <w:rPr>
          <w:spacing w:val="18"/>
        </w:rPr>
        <w:t> </w:t>
      </w:r>
      <w:r>
        <w:rPr/>
        <w:t>Commitment</w:t>
      </w:r>
      <w:r>
        <w:rPr>
          <w:spacing w:val="18"/>
        </w:rPr>
        <w:t> </w:t>
      </w:r>
      <w:r>
        <w:rPr/>
        <w:t>versus</w:t>
      </w:r>
      <w:r>
        <w:rPr>
          <w:spacing w:val="18"/>
        </w:rPr>
        <w:t> </w:t>
      </w:r>
      <w:r>
        <w:rPr/>
        <w:t>discretion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/>
        <w:t>political</w:t>
      </w:r>
      <w:r>
        <w:rPr>
          <w:spacing w:val="21"/>
        </w:rPr>
        <w:t> </w:t>
      </w:r>
      <w:r>
        <w:rPr/>
        <w:t>economy</w:t>
      </w:r>
      <w:r>
        <w:rPr>
          <w:spacing w:val="14"/>
        </w:rPr>
        <w:t> </w:t>
      </w:r>
      <w:r>
        <w:rPr/>
        <w:t>model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fiscal</w:t>
      </w:r>
      <w:r>
        <w:rPr>
          <w:spacing w:val="20"/>
        </w:rPr>
        <w:t> </w:t>
      </w:r>
      <w:r>
        <w:rPr/>
        <w:t>and</w:t>
      </w:r>
      <w:r>
        <w:rPr>
          <w:spacing w:val="-57"/>
        </w:rPr>
        <w:t> </w:t>
      </w:r>
      <w:r>
        <w:rPr/>
        <w:t>monetary</w:t>
      </w:r>
      <w:r>
        <w:rPr>
          <w:spacing w:val="-6"/>
        </w:rPr>
        <w:t> </w:t>
      </w:r>
      <w:r>
        <w:rPr/>
        <w:t>policy</w:t>
      </w:r>
      <w:r>
        <w:rPr>
          <w:spacing w:val="-5"/>
        </w:rPr>
        <w:t> </w:t>
      </w:r>
      <w:r>
        <w:rPr/>
        <w:t>interaction.</w:t>
      </w:r>
      <w:r>
        <w:rPr>
          <w:spacing w:val="2"/>
        </w:rPr>
        <w:t> </w:t>
      </w:r>
      <w:hyperlink r:id="rId91">
        <w:r>
          <w:rPr>
            <w:i/>
            <w:color w:val="0000FF"/>
            <w:u w:val="single" w:color="0000FF"/>
          </w:rPr>
          <w:t>Journal of Monetary</w:t>
        </w:r>
        <w:r>
          <w:rPr>
            <w:i/>
            <w:color w:val="0000FF"/>
            <w:spacing w:val="1"/>
            <w:u w:val="single" w:color="0000FF"/>
          </w:rPr>
          <w:t> </w:t>
        </w:r>
        <w:r>
          <w:rPr>
            <w:i/>
            <w:color w:val="0000FF"/>
            <w:u w:val="single" w:color="0000FF"/>
          </w:rPr>
          <w:t>Economics</w:t>
        </w:r>
      </w:hyperlink>
      <w:r>
        <w:rPr>
          <w:i/>
          <w:color w:val="0000FF"/>
          <w:u w:val="single" w:color="0000FF"/>
        </w:rPr>
        <w:t>,</w:t>
      </w:r>
      <w:r>
        <w:rPr>
          <w:i/>
          <w:color w:val="0000FF"/>
        </w:rPr>
        <w:t> </w:t>
      </w:r>
      <w:r>
        <w:rPr/>
        <w:t>84(C):17-29.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500" w:right="821" w:firstLine="0"/>
        <w:jc w:val="left"/>
        <w:rPr>
          <w:sz w:val="24"/>
        </w:rPr>
      </w:pPr>
      <w:r>
        <w:rPr>
          <w:sz w:val="24"/>
        </w:rPr>
        <w:t>Miller, P.J., and Sargent, T.J. (1984). A reply to Darby. Federal Reserve Bank of </w:t>
      </w:r>
      <w:r>
        <w:rPr>
          <w:i/>
          <w:sz w:val="24"/>
        </w:rPr>
        <w:t>Minneapolis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Quarterly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Review, </w:t>
      </w:r>
      <w:r>
        <w:rPr>
          <w:sz w:val="24"/>
        </w:rPr>
        <w:t>8(2):</w:t>
      </w:r>
      <w:r>
        <w:rPr>
          <w:spacing w:val="2"/>
          <w:sz w:val="24"/>
        </w:rPr>
        <w:t> </w:t>
      </w:r>
      <w:r>
        <w:rPr>
          <w:sz w:val="24"/>
        </w:rPr>
        <w:t>21-26.</w:t>
      </w:r>
    </w:p>
    <w:p>
      <w:pPr>
        <w:pStyle w:val="BodyText"/>
      </w:pPr>
    </w:p>
    <w:p>
      <w:pPr>
        <w:spacing w:before="1"/>
        <w:ind w:left="500" w:right="491" w:firstLine="0"/>
        <w:jc w:val="left"/>
        <w:rPr>
          <w:sz w:val="24"/>
        </w:rPr>
      </w:pPr>
      <w:r>
        <w:rPr>
          <w:sz w:val="24"/>
        </w:rPr>
        <w:t>Mirman,</w:t>
      </w:r>
      <w:r>
        <w:rPr>
          <w:spacing w:val="-2"/>
          <w:sz w:val="24"/>
        </w:rPr>
        <w:t> </w:t>
      </w:r>
      <w:r>
        <w:rPr>
          <w:sz w:val="24"/>
        </w:rPr>
        <w:t>L.J and</w:t>
      </w:r>
      <w:r>
        <w:rPr>
          <w:spacing w:val="-2"/>
          <w:sz w:val="24"/>
        </w:rPr>
        <w:t> </w:t>
      </w:r>
      <w:r>
        <w:rPr>
          <w:sz w:val="24"/>
        </w:rPr>
        <w:t>Brock,</w:t>
      </w:r>
      <w:r>
        <w:rPr>
          <w:spacing w:val="-1"/>
          <w:sz w:val="24"/>
        </w:rPr>
        <w:t> </w:t>
      </w:r>
      <w:r>
        <w:rPr>
          <w:sz w:val="24"/>
        </w:rPr>
        <w:t>W.A.</w:t>
      </w:r>
      <w:r>
        <w:rPr>
          <w:spacing w:val="-2"/>
          <w:sz w:val="24"/>
        </w:rPr>
        <w:t> </w:t>
      </w:r>
      <w:r>
        <w:rPr>
          <w:sz w:val="24"/>
        </w:rPr>
        <w:t>(1972).</w:t>
      </w:r>
      <w:r>
        <w:rPr>
          <w:spacing w:val="-2"/>
          <w:sz w:val="24"/>
        </w:rPr>
        <w:t> </w:t>
      </w:r>
      <w:r>
        <w:rPr>
          <w:sz w:val="24"/>
        </w:rPr>
        <w:t>Optimal</w:t>
      </w:r>
      <w:r>
        <w:rPr>
          <w:spacing w:val="-2"/>
          <w:sz w:val="24"/>
        </w:rPr>
        <w:t> </w:t>
      </w:r>
      <w:r>
        <w:rPr>
          <w:sz w:val="24"/>
        </w:rPr>
        <w:t>economic</w:t>
      </w:r>
      <w:r>
        <w:rPr>
          <w:spacing w:val="-3"/>
          <w:sz w:val="24"/>
        </w:rPr>
        <w:t> </w:t>
      </w:r>
      <w:r>
        <w:rPr>
          <w:sz w:val="24"/>
        </w:rPr>
        <w:t>growth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uncertainty: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discounted</w:t>
      </w:r>
      <w:r>
        <w:rPr>
          <w:spacing w:val="-57"/>
          <w:sz w:val="24"/>
        </w:rPr>
        <w:t> </w:t>
      </w:r>
      <w:r>
        <w:rPr>
          <w:sz w:val="24"/>
        </w:rPr>
        <w:t>case.</w:t>
      </w:r>
      <w:r>
        <w:rPr>
          <w:spacing w:val="-1"/>
          <w:sz w:val="24"/>
        </w:rPr>
        <w:t> </w:t>
      </w:r>
      <w:r>
        <w:rPr>
          <w:i/>
          <w:sz w:val="24"/>
        </w:rPr>
        <w:t>Journal of 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Theory,</w:t>
      </w:r>
      <w:r>
        <w:rPr>
          <w:i/>
          <w:spacing w:val="1"/>
          <w:sz w:val="24"/>
        </w:rPr>
        <w:t> </w:t>
      </w:r>
      <w:r>
        <w:rPr>
          <w:sz w:val="24"/>
        </w:rPr>
        <w:t>4: 479-533.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500" w:right="496"/>
        <w:jc w:val="both"/>
        <w:rPr>
          <w:i/>
        </w:rPr>
      </w:pPr>
      <w:r>
        <w:rPr/>
        <w:t>Mishkin,</w:t>
      </w:r>
      <w:r>
        <w:rPr>
          <w:spacing w:val="1"/>
        </w:rPr>
        <w:t> </w:t>
      </w:r>
      <w:r>
        <w:rPr/>
        <w:t>F.S.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monetary</w:t>
      </w:r>
      <w:r>
        <w:rPr>
          <w:spacing w:val="1"/>
        </w:rPr>
        <w:t> </w:t>
      </w:r>
      <w:r>
        <w:rPr/>
        <w:t>targeting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inflation</w:t>
      </w:r>
      <w:r>
        <w:rPr>
          <w:spacing w:val="1"/>
        </w:rPr>
        <w:t> </w:t>
      </w:r>
      <w:r>
        <w:rPr/>
        <w:t>targeting:</w:t>
      </w:r>
      <w:r>
        <w:rPr>
          <w:spacing w:val="1"/>
        </w:rPr>
        <w:t> </w:t>
      </w:r>
      <w:r>
        <w:rPr/>
        <w:t>Lessons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industrialized countries. In: Stabilization and Monetary Policy: The International Experience.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Mexico,</w:t>
      </w:r>
      <w:r>
        <w:rPr>
          <w:spacing w:val="1"/>
        </w:rPr>
        <w:t> </w:t>
      </w:r>
      <w:r>
        <w:rPr/>
        <w:t>14-15</w:t>
      </w:r>
      <w:r>
        <w:rPr>
          <w:spacing w:val="1"/>
        </w:rPr>
        <w:t> </w:t>
      </w:r>
      <w:r>
        <w:rPr/>
        <w:t>November</w:t>
      </w:r>
      <w:r>
        <w:rPr>
          <w:spacing w:val="1"/>
        </w:rPr>
        <w:t> </w:t>
      </w:r>
      <w:r>
        <w:rPr/>
        <w:t>2000.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from:</w:t>
      </w:r>
      <w:r>
        <w:rPr>
          <w:spacing w:val="1"/>
        </w:rPr>
        <w:t> </w:t>
      </w:r>
      <w:hyperlink r:id="rId92">
        <w:r>
          <w:rPr>
            <w:color w:val="0000FF"/>
            <w:u w:val="single" w:color="0000FF"/>
          </w:rPr>
          <w:t>https://www0.gsb.columbia.edu/faculty/fmishkin/PDFpapers/00BOMEX.pdf</w:t>
        </w:r>
        <w:r>
          <w:rPr>
            <w:i/>
          </w:rPr>
          <w:t>.</w:t>
        </w:r>
      </w:hyperlink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0"/>
        </w:rPr>
      </w:pPr>
    </w:p>
    <w:p>
      <w:pPr>
        <w:pStyle w:val="BodyText"/>
        <w:spacing w:before="90"/>
        <w:ind w:left="500" w:right="500"/>
        <w:jc w:val="both"/>
      </w:pPr>
      <w:r>
        <w:rPr/>
        <w:t>Montoro,</w:t>
      </w:r>
      <w:r>
        <w:rPr>
          <w:spacing w:val="-8"/>
        </w:rPr>
        <w:t> </w:t>
      </w:r>
      <w:r>
        <w:rPr/>
        <w:t>C.,</w:t>
      </w:r>
      <w:r>
        <w:rPr>
          <w:spacing w:val="-6"/>
        </w:rPr>
        <w:t> </w:t>
      </w:r>
      <w:r>
        <w:rPr/>
        <w:t>Takats,</w:t>
      </w:r>
      <w:r>
        <w:rPr>
          <w:spacing w:val="-7"/>
        </w:rPr>
        <w:t> </w:t>
      </w:r>
      <w:r>
        <w:rPr/>
        <w:t>C.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James,</w:t>
      </w:r>
      <w:r>
        <w:rPr>
          <w:spacing w:val="-7"/>
        </w:rPr>
        <w:t> </w:t>
      </w:r>
      <w:r>
        <w:rPr/>
        <w:t>Y.</w:t>
      </w:r>
      <w:r>
        <w:rPr>
          <w:spacing w:val="-7"/>
        </w:rPr>
        <w:t> </w:t>
      </w:r>
      <w:r>
        <w:rPr/>
        <w:t>(2012).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monetary</w:t>
      </w:r>
      <w:r>
        <w:rPr>
          <w:spacing w:val="-11"/>
        </w:rPr>
        <w:t> </w:t>
      </w:r>
      <w:r>
        <w:rPr/>
        <w:t>policy</w:t>
      </w:r>
      <w:r>
        <w:rPr>
          <w:spacing w:val="-10"/>
        </w:rPr>
        <w:t> </w:t>
      </w:r>
      <w:r>
        <w:rPr/>
        <w:t>constrained</w:t>
      </w:r>
      <w:r>
        <w:rPr>
          <w:spacing w:val="-6"/>
        </w:rPr>
        <w:t> </w:t>
      </w:r>
      <w:r>
        <w:rPr/>
        <w:t>by</w:t>
      </w:r>
      <w:r>
        <w:rPr>
          <w:spacing w:val="-11"/>
        </w:rPr>
        <w:t> </w:t>
      </w:r>
      <w:r>
        <w:rPr/>
        <w:t>fiscal</w:t>
      </w:r>
      <w:r>
        <w:rPr>
          <w:spacing w:val="-7"/>
        </w:rPr>
        <w:t> </w:t>
      </w:r>
      <w:r>
        <w:rPr/>
        <w:t>policy? In:</w:t>
      </w:r>
      <w:r>
        <w:rPr>
          <w:spacing w:val="-58"/>
        </w:rPr>
        <w:t> </w:t>
      </w:r>
      <w:r>
        <w:rPr/>
        <w:t>Fiscal</w:t>
      </w:r>
      <w:r>
        <w:rPr>
          <w:spacing w:val="1"/>
        </w:rPr>
        <w:t> </w:t>
      </w:r>
      <w:r>
        <w:rPr/>
        <w:t>policy,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debt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monetary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emerging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economies,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Settlements</w:t>
      </w:r>
      <w:r>
        <w:rPr>
          <w:spacing w:val="2"/>
        </w:rPr>
        <w:t> </w:t>
      </w:r>
      <w:r>
        <w:rPr/>
        <w:t>(Eds.).</w:t>
      </w:r>
      <w:r>
        <w:rPr>
          <w:spacing w:val="-1"/>
        </w:rPr>
        <w:t> </w:t>
      </w:r>
      <w:r>
        <w:rPr/>
        <w:t>Bank</w:t>
      </w:r>
      <w:r>
        <w:rPr>
          <w:spacing w:val="-1"/>
        </w:rPr>
        <w:t> </w:t>
      </w:r>
      <w:r>
        <w:rPr/>
        <w:t>for</w:t>
      </w:r>
      <w:r>
        <w:rPr>
          <w:spacing w:val="3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Settlements., pp:11-30.</w:t>
      </w:r>
    </w:p>
    <w:p>
      <w:pPr>
        <w:pStyle w:val="BodyText"/>
        <w:spacing w:before="1"/>
      </w:pPr>
    </w:p>
    <w:p>
      <w:pPr>
        <w:pStyle w:val="BodyText"/>
        <w:tabs>
          <w:tab w:pos="6261" w:val="left" w:leader="none"/>
          <w:tab w:pos="7652" w:val="left" w:leader="none"/>
          <w:tab w:pos="8707" w:val="left" w:leader="none"/>
          <w:tab w:pos="9579" w:val="left" w:leader="none"/>
        </w:tabs>
        <w:ind w:left="500" w:right="499"/>
      </w:pPr>
      <w:r>
        <w:rPr/>
        <w:t>Mordi,</w:t>
      </w:r>
      <w:r>
        <w:rPr>
          <w:spacing w:val="-10"/>
        </w:rPr>
        <w:t> </w:t>
      </w:r>
      <w:r>
        <w:rPr/>
        <w:t>C.N.O.,</w:t>
      </w:r>
      <w:r>
        <w:rPr>
          <w:spacing w:val="-10"/>
        </w:rPr>
        <w:t> </w:t>
      </w:r>
      <w:r>
        <w:rPr/>
        <w:t>Adebiyi,</w:t>
      </w:r>
      <w:r>
        <w:rPr>
          <w:spacing w:val="-6"/>
        </w:rPr>
        <w:t> </w:t>
      </w:r>
      <w:r>
        <w:rPr/>
        <w:t>M.A.,</w:t>
      </w:r>
      <w:r>
        <w:rPr>
          <w:spacing w:val="-10"/>
        </w:rPr>
        <w:t> </w:t>
      </w:r>
      <w:r>
        <w:rPr/>
        <w:t>Adenuga,</w:t>
      </w:r>
      <w:r>
        <w:rPr>
          <w:spacing w:val="-9"/>
        </w:rPr>
        <w:t> </w:t>
      </w:r>
      <w:r>
        <w:rPr/>
        <w:t>A.O.,</w:t>
      </w:r>
      <w:r>
        <w:rPr>
          <w:spacing w:val="-10"/>
        </w:rPr>
        <w:t> </w:t>
      </w:r>
      <w:r>
        <w:rPr/>
        <w:t>Abeng,</w:t>
      </w:r>
      <w:r>
        <w:rPr>
          <w:spacing w:val="-10"/>
        </w:rPr>
        <w:t> </w:t>
      </w:r>
      <w:r>
        <w:rPr/>
        <w:t>M.O.,</w:t>
      </w:r>
      <w:r>
        <w:rPr>
          <w:spacing w:val="-9"/>
        </w:rPr>
        <w:t> </w:t>
      </w:r>
      <w:r>
        <w:rPr/>
        <w:t>Adeboye,</w:t>
      </w:r>
      <w:r>
        <w:rPr>
          <w:spacing w:val="-10"/>
        </w:rPr>
        <w:t> </w:t>
      </w:r>
      <w:r>
        <w:rPr/>
        <w:t>A.A.,</w:t>
      </w:r>
      <w:r>
        <w:rPr>
          <w:spacing w:val="-9"/>
        </w:rPr>
        <w:t> </w:t>
      </w:r>
      <w:r>
        <w:rPr/>
        <w:t>Adamgbe,</w:t>
      </w:r>
      <w:r>
        <w:rPr>
          <w:spacing w:val="-10"/>
        </w:rPr>
        <w:t> </w:t>
      </w:r>
      <w:r>
        <w:rPr/>
        <w:t>E.T.</w:t>
      </w:r>
      <w:r>
        <w:rPr>
          <w:spacing w:val="-9"/>
        </w:rPr>
        <w:t> </w:t>
      </w:r>
      <w:r>
        <w:rPr/>
        <w:t>and</w:t>
      </w:r>
      <w:r>
        <w:rPr>
          <w:spacing w:val="-57"/>
        </w:rPr>
        <w:t> </w:t>
      </w:r>
      <w:r>
        <w:rPr/>
        <w:t>Evbuomwan,</w:t>
      </w:r>
      <w:r>
        <w:rPr>
          <w:spacing w:val="-2"/>
        </w:rPr>
        <w:t> </w:t>
      </w:r>
      <w:r>
        <w:rPr/>
        <w:t>O.O.</w:t>
      </w:r>
      <w:r>
        <w:rPr>
          <w:spacing w:val="-1"/>
        </w:rPr>
        <w:t> </w:t>
      </w:r>
      <w:r>
        <w:rPr/>
        <w:t>(2013).</w:t>
      </w:r>
      <w:r>
        <w:rPr>
          <w:spacing w:val="-1"/>
        </w:rPr>
        <w:t> </w:t>
      </w:r>
      <w:r>
        <w:rPr/>
        <w:t>Dynamic</w:t>
      </w:r>
      <w:r>
        <w:rPr>
          <w:spacing w:val="-2"/>
        </w:rPr>
        <w:t> </w:t>
      </w:r>
      <w:r>
        <w:rPr/>
        <w:t>stochastic</w:t>
      </w:r>
      <w:r>
        <w:rPr>
          <w:spacing w:val="-1"/>
        </w:rPr>
        <w:t> </w:t>
      </w:r>
      <w:r>
        <w:rPr/>
        <w:t>general</w:t>
        <w:tab/>
        <w:t>equilibrium</w:t>
        <w:tab/>
        <w:t>(DSGE)</w:t>
        <w:tab/>
        <w:t>model</w:t>
        <w:tab/>
      </w:r>
      <w:r>
        <w:rPr>
          <w:spacing w:val="-2"/>
        </w:rPr>
        <w:t>for</w:t>
      </w:r>
      <w:r>
        <w:rPr>
          <w:spacing w:val="-57"/>
        </w:rPr>
        <w:t> </w:t>
      </w:r>
      <w:r>
        <w:rPr/>
        <w:t>monetary</w:t>
      </w:r>
      <w:r>
        <w:rPr>
          <w:spacing w:val="14"/>
        </w:rPr>
        <w:t> </w:t>
      </w:r>
      <w:r>
        <w:rPr/>
        <w:t>policy</w:t>
      </w:r>
      <w:r>
        <w:rPr>
          <w:spacing w:val="17"/>
        </w:rPr>
        <w:t> </w:t>
      </w:r>
      <w:r>
        <w:rPr/>
        <w:t>analysis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Nigeria.</w:t>
      </w:r>
      <w:r>
        <w:rPr>
          <w:spacing w:val="21"/>
        </w:rPr>
        <w:t> </w:t>
      </w:r>
      <w:r>
        <w:rPr/>
        <w:t>Research</w:t>
      </w:r>
      <w:r>
        <w:rPr>
          <w:spacing w:val="21"/>
        </w:rPr>
        <w:t> </w:t>
      </w:r>
      <w:r>
        <w:rPr/>
        <w:t>Department,</w:t>
      </w:r>
      <w:r>
        <w:rPr>
          <w:spacing w:val="23"/>
        </w:rPr>
        <w:t> </w:t>
      </w:r>
      <w:r>
        <w:rPr/>
        <w:t>Central</w:t>
      </w:r>
      <w:r>
        <w:rPr>
          <w:spacing w:val="22"/>
        </w:rPr>
        <w:t> </w:t>
      </w:r>
      <w:r>
        <w:rPr/>
        <w:t>Bank</w:t>
      </w:r>
      <w:r>
        <w:rPr>
          <w:spacing w:val="24"/>
        </w:rPr>
        <w:t> </w:t>
      </w:r>
      <w:r>
        <w:rPr/>
        <w:t>of</w:t>
      </w:r>
      <w:r>
        <w:rPr>
          <w:spacing w:val="21"/>
        </w:rPr>
        <w:t> </w:t>
      </w:r>
      <w:r>
        <w:rPr/>
        <w:t>Nigeria.</w:t>
      </w:r>
      <w:r>
        <w:rPr>
          <w:spacing w:val="22"/>
        </w:rPr>
        <w:t> </w:t>
      </w:r>
      <w:r>
        <w:rPr/>
        <w:t>Available</w:t>
      </w:r>
      <w:r>
        <w:rPr>
          <w:spacing w:val="-57"/>
        </w:rPr>
        <w:t> </w:t>
      </w:r>
      <w:r>
        <w:rPr/>
        <w:t>from:</w:t>
      </w:r>
      <w:r>
        <w:rPr>
          <w:spacing w:val="1"/>
        </w:rPr>
        <w:t> </w:t>
      </w:r>
      <w:hyperlink r:id="rId93">
        <w:r>
          <w:rPr>
            <w:color w:val="0000FF"/>
            <w:u w:val="single" w:color="0000FF"/>
          </w:rPr>
          <w:t>https://www.cbn.gov.ng/out/2015/rsd/dynamic%20stochastic%20general%20equilibrium%20mo</w:t>
        </w:r>
      </w:hyperlink>
      <w:r>
        <w:rPr>
          <w:color w:val="0000FF"/>
          <w:spacing w:val="-57"/>
        </w:rPr>
        <w:t> </w:t>
      </w:r>
      <w:hyperlink r:id="rId93">
        <w:r>
          <w:rPr>
            <w:color w:val="0000FF"/>
            <w:u w:val="single" w:color="0000FF"/>
          </w:rPr>
          <w:t>del%20for%20monetary%20policy%20analysis%20in%20nigeria.pdf</w:t>
        </w:r>
        <w:r>
          <w:rPr/>
          <w:t>.</w:t>
        </w:r>
      </w:hyperlink>
    </w:p>
    <w:p>
      <w:pPr>
        <w:spacing w:after="0"/>
        <w:sectPr>
          <w:pgSz w:w="12240" w:h="15840"/>
          <w:pgMar w:header="0" w:footer="935" w:top="1500" w:bottom="1200" w:left="940" w:right="94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500" w:right="497"/>
      </w:pPr>
      <w:r>
        <w:rPr/>
        <w:t>Mundell,</w:t>
      </w:r>
      <w:r>
        <w:rPr>
          <w:spacing w:val="-5"/>
        </w:rPr>
        <w:t> </w:t>
      </w:r>
      <w:r>
        <w:rPr/>
        <w:t>R.</w:t>
      </w:r>
      <w:r>
        <w:rPr>
          <w:spacing w:val="-5"/>
        </w:rPr>
        <w:t> </w:t>
      </w:r>
      <w:r>
        <w:rPr/>
        <w:t>A.</w:t>
      </w:r>
      <w:r>
        <w:rPr>
          <w:spacing w:val="-6"/>
        </w:rPr>
        <w:t> </w:t>
      </w:r>
      <w:r>
        <w:rPr/>
        <w:t>(1962).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appropriate</w:t>
      </w:r>
      <w:r>
        <w:rPr>
          <w:spacing w:val="-3"/>
        </w:rPr>
        <w:t> </w:t>
      </w:r>
      <w:r>
        <w:rPr/>
        <w:t>use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monetary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fiscal</w:t>
      </w:r>
      <w:r>
        <w:rPr>
          <w:spacing w:val="-4"/>
        </w:rPr>
        <w:t> </w:t>
      </w:r>
      <w:r>
        <w:rPr/>
        <w:t>policy</w:t>
      </w:r>
      <w:r>
        <w:rPr>
          <w:spacing w:val="-8"/>
        </w:rPr>
        <w:t> </w:t>
      </w:r>
      <w:r>
        <w:rPr/>
        <w:t>for</w:t>
      </w:r>
      <w:r>
        <w:rPr>
          <w:spacing w:val="-6"/>
        </w:rPr>
        <w:t> </w:t>
      </w:r>
      <w:r>
        <w:rPr/>
        <w:t>internal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external</w:t>
      </w:r>
      <w:r>
        <w:rPr>
          <w:spacing w:val="-57"/>
        </w:rPr>
        <w:t> </w:t>
      </w:r>
      <w:r>
        <w:rPr/>
        <w:t>stability.</w:t>
      </w:r>
      <w:r>
        <w:rPr>
          <w:spacing w:val="-1"/>
        </w:rPr>
        <w:t> </w:t>
      </w:r>
      <w:r>
        <w:rPr/>
        <w:t>Staff Papers</w:t>
      </w:r>
      <w:r>
        <w:rPr>
          <w:spacing w:val="1"/>
        </w:rPr>
        <w:t> </w:t>
      </w:r>
      <w:r>
        <w:rPr/>
        <w:t>(International Monetary</w:t>
      </w:r>
      <w:r>
        <w:rPr>
          <w:spacing w:val="-3"/>
        </w:rPr>
        <w:t> </w:t>
      </w:r>
      <w:r>
        <w:rPr/>
        <w:t>Fund),</w:t>
      </w:r>
      <w:r>
        <w:rPr>
          <w:spacing w:val="-1"/>
        </w:rPr>
        <w:t> </w:t>
      </w:r>
      <w:r>
        <w:rPr/>
        <w:t>9(1): 70-79.</w:t>
      </w:r>
    </w:p>
    <w:p>
      <w:pPr>
        <w:pStyle w:val="BodyText"/>
      </w:pPr>
    </w:p>
    <w:p>
      <w:pPr>
        <w:pStyle w:val="BodyText"/>
        <w:ind w:left="500" w:right="669"/>
      </w:pPr>
      <w:r>
        <w:rPr/>
        <w:t>Musa, Y., Asare, B.K. and Gulumbe, S.U. (2013). Effect of monetary-fiscal policies interaction</w:t>
      </w:r>
      <w:r>
        <w:rPr>
          <w:spacing w:val="-58"/>
        </w:rPr>
        <w:t> </w:t>
      </w:r>
      <w:r>
        <w:rPr/>
        <w:t>on</w:t>
      </w:r>
      <w:r>
        <w:rPr>
          <w:spacing w:val="-1"/>
        </w:rPr>
        <w:t> </w:t>
      </w:r>
      <w:r>
        <w:rPr/>
        <w:t>price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output</w:t>
      </w:r>
      <w:r>
        <w:rPr>
          <w:spacing w:val="2"/>
        </w:rPr>
        <w:t> </w:t>
      </w:r>
      <w:r>
        <w:rPr/>
        <w:t>growth</w:t>
      </w:r>
      <w:r>
        <w:rPr>
          <w:spacing w:val="-1"/>
        </w:rPr>
        <w:t> </w:t>
      </w:r>
      <w:r>
        <w:rPr/>
        <w:t>in Nigeria.</w:t>
      </w:r>
      <w:r>
        <w:rPr>
          <w:i/>
        </w:rPr>
        <w:t>CBN Journal</w:t>
      </w:r>
      <w:r>
        <w:rPr>
          <w:i/>
          <w:spacing w:val="-1"/>
        </w:rPr>
        <w:t> </w:t>
      </w:r>
      <w:r>
        <w:rPr>
          <w:i/>
        </w:rPr>
        <w:t>of Applied</w:t>
      </w:r>
      <w:r>
        <w:rPr>
          <w:i/>
          <w:spacing w:val="-1"/>
        </w:rPr>
        <w:t> </w:t>
      </w:r>
      <w:r>
        <w:rPr>
          <w:i/>
        </w:rPr>
        <w:t>Statistics,</w:t>
      </w:r>
      <w:r>
        <w:rPr>
          <w:i/>
          <w:spacing w:val="1"/>
        </w:rPr>
        <w:t> </w:t>
      </w:r>
      <w:r>
        <w:rPr/>
        <w:t>4(1): 55.</w:t>
      </w:r>
    </w:p>
    <w:p>
      <w:pPr>
        <w:pStyle w:val="BodyText"/>
      </w:pPr>
    </w:p>
    <w:p>
      <w:pPr>
        <w:pStyle w:val="BodyText"/>
        <w:ind w:left="500" w:right="497"/>
        <w:jc w:val="both"/>
        <w:rPr>
          <w:i/>
        </w:rPr>
      </w:pPr>
      <w:r>
        <w:rPr/>
        <w:t>Muscatelli, V.A., Tirelli, P. and Trecroci, C. (2002). Monetary and fiscal policy interactions over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cycle: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evidence.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from:</w:t>
      </w:r>
      <w:r>
        <w:rPr>
          <w:spacing w:val="1"/>
        </w:rPr>
        <w:t> </w:t>
      </w:r>
      <w:hyperlink r:id="rId94">
        <w:r>
          <w:rPr>
            <w:color w:val="0000FF"/>
            <w:u w:val="single" w:color="0000FF"/>
          </w:rPr>
          <w:t>https://www.cesifo-</w:t>
        </w:r>
      </w:hyperlink>
      <w:r>
        <w:rPr>
          <w:color w:val="0000FF"/>
          <w:spacing w:val="1"/>
        </w:rPr>
        <w:t> </w:t>
      </w:r>
      <w:hyperlink r:id="rId94">
        <w:r>
          <w:rPr>
            <w:color w:val="0000FF"/>
            <w:u w:val="single" w:color="0000FF"/>
          </w:rPr>
          <w:t>group.de/DocDL/cesifo_wp817.pdf</w:t>
        </w:r>
      </w:hyperlink>
      <w:r>
        <w:rPr>
          <w:i/>
        </w:rPr>
        <w:t>.</w:t>
      </w:r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spacing w:before="90"/>
        <w:ind w:left="500" w:right="497"/>
        <w:rPr>
          <w:i/>
        </w:rPr>
      </w:pPr>
      <w:r>
        <w:rPr/>
        <w:t>Muscatelli,</w:t>
      </w:r>
      <w:r>
        <w:rPr>
          <w:spacing w:val="1"/>
        </w:rPr>
        <w:t> </w:t>
      </w:r>
      <w:r>
        <w:rPr/>
        <w:t>V. A.,</w:t>
      </w:r>
      <w:r>
        <w:rPr>
          <w:spacing w:val="1"/>
        </w:rPr>
        <w:t> </w:t>
      </w:r>
      <w:r>
        <w:rPr/>
        <w:t>Tirelli,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Trecroci,</w:t>
      </w:r>
      <w:r>
        <w:rPr>
          <w:spacing w:val="1"/>
        </w:rPr>
        <w:t> </w:t>
      </w:r>
      <w:r>
        <w:rPr/>
        <w:t>C.</w:t>
      </w:r>
      <w:r>
        <w:rPr>
          <w:spacing w:val="2"/>
        </w:rPr>
        <w:t> </w:t>
      </w:r>
      <w:r>
        <w:rPr/>
        <w:t>(2005). Fiscal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monetary</w:t>
      </w:r>
      <w:r>
        <w:rPr>
          <w:spacing w:val="-7"/>
        </w:rPr>
        <w:t> </w:t>
      </w:r>
      <w:r>
        <w:rPr/>
        <w:t>policy</w:t>
      </w:r>
      <w:r>
        <w:rPr>
          <w:spacing w:val="-3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new Keynesian model with liquidity constraints. Available from:</w:t>
      </w:r>
      <w:r>
        <w:rPr>
          <w:spacing w:val="1"/>
        </w:rPr>
        <w:t> </w:t>
      </w:r>
      <w:hyperlink r:id="rId95">
        <w:r>
          <w:rPr>
            <w:color w:val="0000FF"/>
            <w:u w:val="single" w:color="0000FF"/>
          </w:rPr>
          <w:t>https://www.gla.ac.uk/media/media_22210_en.pdf</w:t>
        </w:r>
      </w:hyperlink>
      <w:r>
        <w:rPr>
          <w:i/>
        </w:rPr>
        <w:t>.</w:t>
      </w:r>
    </w:p>
    <w:p>
      <w:pPr>
        <w:pStyle w:val="BodyText"/>
        <w:spacing w:before="3"/>
        <w:rPr>
          <w:i/>
          <w:sz w:val="16"/>
        </w:rPr>
      </w:pPr>
    </w:p>
    <w:p>
      <w:pPr>
        <w:pStyle w:val="BodyText"/>
        <w:spacing w:line="480" w:lineRule="auto" w:before="90"/>
        <w:ind w:left="500" w:right="495"/>
      </w:pPr>
      <w:r>
        <w:rPr>
          <w:spacing w:val="-1"/>
        </w:rPr>
        <w:t>National</w:t>
      </w:r>
      <w:r>
        <w:rPr>
          <w:spacing w:val="-12"/>
        </w:rPr>
        <w:t> </w:t>
      </w:r>
      <w:r>
        <w:rPr>
          <w:spacing w:val="-1"/>
        </w:rPr>
        <w:t>Bureau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/>
        <w:t>Statistics</w:t>
      </w:r>
      <w:r>
        <w:rPr>
          <w:spacing w:val="-12"/>
        </w:rPr>
        <w:t> </w:t>
      </w:r>
      <w:r>
        <w:rPr/>
        <w:t>(2012).</w:t>
      </w:r>
      <w:r>
        <w:rPr>
          <w:spacing w:val="-11"/>
        </w:rPr>
        <w:t> </w:t>
      </w:r>
      <w:r>
        <w:rPr/>
        <w:t>Consumption</w:t>
      </w:r>
      <w:r>
        <w:rPr>
          <w:spacing w:val="-15"/>
        </w:rPr>
        <w:t> </w:t>
      </w:r>
      <w:r>
        <w:rPr/>
        <w:t>pattern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Nigeria</w:t>
      </w:r>
      <w:r>
        <w:rPr>
          <w:spacing w:val="-14"/>
        </w:rPr>
        <w:t> </w:t>
      </w:r>
      <w:r>
        <w:rPr/>
        <w:t>2009/10,</w:t>
      </w:r>
      <w:r>
        <w:rPr>
          <w:spacing w:val="-12"/>
        </w:rPr>
        <w:t> </w:t>
      </w:r>
      <w:r>
        <w:rPr/>
        <w:t>Preliminary</w:t>
      </w:r>
      <w:r>
        <w:rPr>
          <w:spacing w:val="-20"/>
        </w:rPr>
        <w:t> </w:t>
      </w:r>
      <w:r>
        <w:rPr/>
        <w:t>Report.</w:t>
      </w:r>
      <w:r>
        <w:rPr>
          <w:spacing w:val="-57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Bureau</w:t>
      </w:r>
      <w:r>
        <w:rPr>
          <w:spacing w:val="-1"/>
        </w:rPr>
        <w:t> </w:t>
      </w:r>
      <w:r>
        <w:rPr/>
        <w:t>of Statistics</w:t>
      </w:r>
      <w:r>
        <w:rPr>
          <w:spacing w:val="-1"/>
        </w:rPr>
        <w:t> </w:t>
      </w:r>
      <w:r>
        <w:rPr/>
        <w:t>(2016).</w:t>
      </w:r>
      <w:r>
        <w:rPr>
          <w:spacing w:val="-1"/>
        </w:rPr>
        <w:t> </w:t>
      </w:r>
      <w:r>
        <w:rPr/>
        <w:t>Nigerian</w:t>
      </w:r>
      <w:r>
        <w:rPr>
          <w:spacing w:val="2"/>
        </w:rPr>
        <w:t> </w:t>
      </w:r>
      <w:r>
        <w:rPr/>
        <w:t>Gross</w:t>
      </w:r>
      <w:r>
        <w:rPr>
          <w:spacing w:val="-1"/>
        </w:rPr>
        <w:t> </w:t>
      </w:r>
      <w:r>
        <w:rPr/>
        <w:t>Domestic</w:t>
      </w:r>
      <w:r>
        <w:rPr>
          <w:spacing w:val="-2"/>
        </w:rPr>
        <w:t> </w:t>
      </w:r>
      <w:r>
        <w:rPr/>
        <w:t>Product Report</w:t>
      </w:r>
      <w:r>
        <w:rPr>
          <w:spacing w:val="-1"/>
        </w:rPr>
        <w:t> </w:t>
      </w:r>
      <w:r>
        <w:rPr/>
        <w:t>Q3</w:t>
      </w:r>
      <w:r>
        <w:rPr>
          <w:spacing w:val="-1"/>
        </w:rPr>
        <w:t> </w:t>
      </w:r>
      <w:r>
        <w:rPr/>
        <w:t>2016.</w:t>
      </w:r>
    </w:p>
    <w:p>
      <w:pPr>
        <w:spacing w:before="0"/>
        <w:ind w:left="500" w:right="499" w:firstLine="0"/>
        <w:jc w:val="left"/>
        <w:rPr>
          <w:sz w:val="24"/>
        </w:rPr>
      </w:pPr>
      <w:r>
        <w:rPr>
          <w:sz w:val="24"/>
        </w:rPr>
        <w:t>Niemann,</w:t>
      </w:r>
      <w:r>
        <w:rPr>
          <w:spacing w:val="7"/>
          <w:sz w:val="24"/>
        </w:rPr>
        <w:t> </w:t>
      </w:r>
      <w:r>
        <w:rPr>
          <w:sz w:val="24"/>
        </w:rPr>
        <w:t>S.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Hagen,</w:t>
      </w:r>
      <w:r>
        <w:rPr>
          <w:spacing w:val="11"/>
          <w:sz w:val="24"/>
        </w:rPr>
        <w:t> </w:t>
      </w:r>
      <w:r>
        <w:rPr>
          <w:sz w:val="24"/>
        </w:rPr>
        <w:t>J.V.</w:t>
      </w:r>
      <w:r>
        <w:rPr>
          <w:spacing w:val="7"/>
          <w:sz w:val="24"/>
        </w:rPr>
        <w:t> </w:t>
      </w:r>
      <w:r>
        <w:rPr>
          <w:sz w:val="24"/>
        </w:rPr>
        <w:t>(2008).</w:t>
      </w:r>
      <w:r>
        <w:rPr>
          <w:spacing w:val="8"/>
          <w:sz w:val="24"/>
        </w:rPr>
        <w:t> </w:t>
      </w:r>
      <w:r>
        <w:rPr>
          <w:sz w:val="24"/>
        </w:rPr>
        <w:t>Coordination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monetary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fiscal</w:t>
      </w:r>
      <w:r>
        <w:rPr>
          <w:spacing w:val="12"/>
          <w:sz w:val="24"/>
        </w:rPr>
        <w:t> </w:t>
      </w:r>
      <w:r>
        <w:rPr>
          <w:sz w:val="24"/>
        </w:rPr>
        <w:t>policies:</w:t>
      </w:r>
      <w:r>
        <w:rPr>
          <w:spacing w:val="8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fresh</w:t>
      </w:r>
      <w:r>
        <w:rPr>
          <w:spacing w:val="8"/>
          <w:sz w:val="24"/>
        </w:rPr>
        <w:t> </w:t>
      </w:r>
      <w:r>
        <w:rPr>
          <w:sz w:val="24"/>
        </w:rPr>
        <w:t>look</w:t>
      </w:r>
      <w:r>
        <w:rPr>
          <w:spacing w:val="-57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issue. </w:t>
      </w:r>
      <w:r>
        <w:rPr>
          <w:i/>
          <w:sz w:val="24"/>
        </w:rPr>
        <w:t>Swedish 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Review,</w:t>
      </w:r>
      <w:r>
        <w:rPr>
          <w:i/>
          <w:spacing w:val="1"/>
          <w:sz w:val="24"/>
        </w:rPr>
        <w:t> </w:t>
      </w:r>
      <w:r>
        <w:rPr>
          <w:sz w:val="24"/>
        </w:rPr>
        <w:t>15: 89-124.</w:t>
      </w:r>
    </w:p>
    <w:p>
      <w:pPr>
        <w:pStyle w:val="BodyText"/>
      </w:pPr>
    </w:p>
    <w:p>
      <w:pPr>
        <w:pStyle w:val="BodyText"/>
        <w:ind w:left="500" w:right="504"/>
      </w:pPr>
      <w:r>
        <w:rPr/>
        <w:t>Niemann,</w:t>
      </w:r>
      <w:r>
        <w:rPr>
          <w:spacing w:val="3"/>
        </w:rPr>
        <w:t> </w:t>
      </w:r>
      <w:r>
        <w:rPr/>
        <w:t>S.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Pichler,</w:t>
      </w:r>
      <w:r>
        <w:rPr>
          <w:spacing w:val="3"/>
        </w:rPr>
        <w:t> </w:t>
      </w:r>
      <w:r>
        <w:rPr/>
        <w:t>P.</w:t>
      </w:r>
      <w:r>
        <w:rPr>
          <w:spacing w:val="3"/>
        </w:rPr>
        <w:t> </w:t>
      </w:r>
      <w:r>
        <w:rPr/>
        <w:t>(2010).</w:t>
      </w:r>
      <w:r>
        <w:rPr>
          <w:spacing w:val="3"/>
        </w:rPr>
        <w:t> </w:t>
      </w:r>
      <w:r>
        <w:rPr/>
        <w:t>Optimal</w:t>
      </w:r>
      <w:r>
        <w:rPr>
          <w:spacing w:val="5"/>
        </w:rPr>
        <w:t> </w:t>
      </w:r>
      <w:r>
        <w:rPr/>
        <w:t>fiscal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monetary</w:t>
      </w:r>
      <w:r>
        <w:rPr>
          <w:spacing w:val="-3"/>
        </w:rPr>
        <w:t> </w:t>
      </w:r>
      <w:r>
        <w:rPr/>
        <w:t>policy</w:t>
      </w:r>
      <w:r>
        <w:rPr>
          <w:spacing w:val="-1"/>
        </w:rPr>
        <w:t> </w:t>
      </w:r>
      <w:r>
        <w:rPr/>
        <w:t>under</w:t>
      </w:r>
      <w:r>
        <w:rPr>
          <w:spacing w:val="3"/>
        </w:rPr>
        <w:t> </w:t>
      </w:r>
      <w:r>
        <w:rPr/>
        <w:t>rare</w:t>
      </w:r>
      <w:r>
        <w:rPr>
          <w:spacing w:val="2"/>
        </w:rPr>
        <w:t> </w:t>
      </w:r>
      <w:r>
        <w:rPr/>
        <w:t>disasters:</w:t>
      </w:r>
      <w:r>
        <w:rPr>
          <w:spacing w:val="4"/>
        </w:rPr>
        <w:t> </w:t>
      </w:r>
      <w:r>
        <w:rPr/>
        <w:t>The</w:t>
      </w:r>
      <w:r>
        <w:rPr>
          <w:spacing w:val="-57"/>
        </w:rPr>
        <w:t> </w:t>
      </w:r>
      <w:r>
        <w:rPr/>
        <w:t>role of government debt and monetary conservatism. Available from:</w:t>
      </w:r>
      <w:r>
        <w:rPr>
          <w:spacing w:val="1"/>
        </w:rPr>
        <w:t> </w:t>
      </w:r>
      <w:hyperlink r:id="rId96">
        <w:r>
          <w:rPr>
            <w:color w:val="0000FF"/>
            <w:u w:val="single" w:color="0000FF"/>
          </w:rPr>
          <w:t>https://www.researchgate.net/publication/229053244</w:t>
        </w:r>
      </w:hyperlink>
      <w:r>
        <w:rPr/>
        <w:t>.</w:t>
      </w:r>
    </w:p>
    <w:p>
      <w:pPr>
        <w:pStyle w:val="BodyText"/>
        <w:spacing w:before="3"/>
        <w:rPr>
          <w:sz w:val="16"/>
        </w:rPr>
      </w:pPr>
    </w:p>
    <w:p>
      <w:pPr>
        <w:spacing w:before="90"/>
        <w:ind w:left="500" w:right="1062" w:firstLine="0"/>
        <w:jc w:val="left"/>
        <w:rPr>
          <w:sz w:val="24"/>
        </w:rPr>
      </w:pPr>
      <w:r>
        <w:rPr>
          <w:sz w:val="24"/>
        </w:rPr>
        <w:t>Niepelt, D. (2004). The fiscal myth of the price level. </w:t>
      </w:r>
      <w:r>
        <w:rPr>
          <w:i/>
          <w:sz w:val="24"/>
        </w:rPr>
        <w:t>The Quarterly Journal of Economics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119(1):</w:t>
      </w:r>
      <w:r>
        <w:rPr>
          <w:spacing w:val="-1"/>
          <w:sz w:val="24"/>
        </w:rPr>
        <w:t> </w:t>
      </w:r>
      <w:r>
        <w:rPr>
          <w:sz w:val="24"/>
        </w:rPr>
        <w:t>277-300.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500" w:right="803"/>
      </w:pPr>
      <w:r>
        <w:rPr/>
        <w:t>Nordhaus,</w:t>
      </w:r>
      <w:r>
        <w:rPr>
          <w:spacing w:val="-1"/>
        </w:rPr>
        <w:t> </w:t>
      </w:r>
      <w:r>
        <w:rPr/>
        <w:t>W.D.</w:t>
      </w:r>
      <w:r>
        <w:rPr>
          <w:spacing w:val="-1"/>
        </w:rPr>
        <w:t> </w:t>
      </w:r>
      <w:r>
        <w:rPr/>
        <w:t>(1994).</w:t>
      </w:r>
      <w:r>
        <w:rPr>
          <w:spacing w:val="1"/>
        </w:rPr>
        <w:t> </w:t>
      </w:r>
      <w:r>
        <w:rPr/>
        <w:t>Policy</w:t>
      </w:r>
      <w:r>
        <w:rPr>
          <w:spacing w:val="-4"/>
        </w:rPr>
        <w:t> </w:t>
      </w:r>
      <w:r>
        <w:rPr/>
        <w:t>games:</w:t>
      </w:r>
      <w:r>
        <w:rPr>
          <w:spacing w:val="-1"/>
        </w:rPr>
        <w:t> </w:t>
      </w:r>
      <w:r>
        <w:rPr/>
        <w:t>Coordination and</w:t>
      </w:r>
      <w:r>
        <w:rPr>
          <w:spacing w:val="-1"/>
        </w:rPr>
        <w:t> </w:t>
      </w:r>
      <w:r>
        <w:rPr/>
        <w:t>independence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monetary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fiscal</w:t>
      </w:r>
      <w:r>
        <w:rPr>
          <w:spacing w:val="-57"/>
        </w:rPr>
        <w:t> </w:t>
      </w:r>
      <w:r>
        <w:rPr/>
        <w:t>policies. Brookings Papers on Economic Activity (2). Available from:</w:t>
      </w:r>
      <w:r>
        <w:rPr>
          <w:spacing w:val="1"/>
        </w:rPr>
        <w:t> </w:t>
      </w:r>
      <w:hyperlink r:id="rId97">
        <w:r>
          <w:rPr>
            <w:color w:val="0000FF"/>
            <w:u w:val="single" w:color="0000FF"/>
          </w:rPr>
          <w:t>https://www.brookings.edu/bpea-articles/policy-games-coordination-and-independence-in</w:t>
        </w:r>
      </w:hyperlink>
      <w:r>
        <w:rPr>
          <w:color w:val="0000FF"/>
          <w:spacing w:val="1"/>
        </w:rPr>
        <w:t> </w:t>
      </w:r>
      <w:hyperlink r:id="rId97">
        <w:r>
          <w:rPr>
            <w:color w:val="0000FF"/>
            <w:u w:val="single" w:color="0000FF"/>
          </w:rPr>
          <w:t>monetary-and-fiscal-policies/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90"/>
        <w:ind w:left="500" w:right="893"/>
      </w:pPr>
      <w:r>
        <w:rPr/>
        <w:t>Nunes,</w:t>
      </w:r>
      <w:r>
        <w:rPr>
          <w:spacing w:val="-1"/>
        </w:rPr>
        <w:t> </w:t>
      </w:r>
      <w:r>
        <w:rPr/>
        <w:t>A. F.</w:t>
      </w:r>
      <w:r>
        <w:rPr>
          <w:spacing w:val="1"/>
        </w:rPr>
        <w:t> </w:t>
      </w:r>
      <w:r>
        <w:rPr/>
        <w:t>and Portugal,</w:t>
      </w:r>
      <w:r>
        <w:rPr>
          <w:spacing w:val="-1"/>
        </w:rPr>
        <w:t> </w:t>
      </w:r>
      <w:r>
        <w:rPr/>
        <w:t>M. S.</w:t>
      </w:r>
      <w:r>
        <w:rPr>
          <w:spacing w:val="-1"/>
        </w:rPr>
        <w:t> </w:t>
      </w:r>
      <w:r>
        <w:rPr/>
        <w:t>(2010).</w:t>
      </w:r>
      <w:r>
        <w:rPr>
          <w:spacing w:val="1"/>
        </w:rPr>
        <w:t> </w:t>
      </w:r>
      <w:r>
        <w:rPr/>
        <w:t>Active</w:t>
      </w:r>
      <w:r>
        <w:rPr>
          <w:spacing w:val="-2"/>
        </w:rPr>
        <w:t> </w:t>
      </w:r>
      <w:r>
        <w:rPr/>
        <w:t>and passive</w:t>
      </w:r>
      <w:r>
        <w:rPr>
          <w:spacing w:val="-2"/>
        </w:rPr>
        <w:t> </w:t>
      </w:r>
      <w:r>
        <w:rPr/>
        <w:t>fiscal and</w:t>
      </w:r>
      <w:r>
        <w:rPr>
          <w:spacing w:val="-1"/>
        </w:rPr>
        <w:t> </w:t>
      </w:r>
      <w:r>
        <w:rPr/>
        <w:t>monetary</w:t>
      </w:r>
      <w:r>
        <w:rPr>
          <w:spacing w:val="-5"/>
        </w:rPr>
        <w:t> </w:t>
      </w:r>
      <w:r>
        <w:rPr/>
        <w:t>policies:</w:t>
      </w:r>
      <w:r>
        <w:rPr>
          <w:spacing w:val="-1"/>
        </w:rPr>
        <w:t> </w:t>
      </w:r>
      <w:r>
        <w:rPr/>
        <w:t>An</w:t>
      </w:r>
      <w:r>
        <w:rPr>
          <w:spacing w:val="-57"/>
        </w:rPr>
        <w:t> </w:t>
      </w:r>
      <w:r>
        <w:rPr/>
        <w:t>analysis for Brazil after the inflation targeting regime. Available from:</w:t>
      </w:r>
      <w:r>
        <w:rPr>
          <w:spacing w:val="1"/>
        </w:rPr>
        <w:t> </w:t>
      </w:r>
      <w:hyperlink r:id="rId98">
        <w:r>
          <w:rPr>
            <w:color w:val="0000FF"/>
            <w:u w:val="single" w:color="0000FF"/>
          </w:rPr>
          <w:t>www.ufrgs.br/ppge/pcientifica/2010_01.pdf</w:t>
        </w:r>
        <w:r>
          <w:rPr/>
          <w:t>.</w:t>
        </w:r>
      </w:hyperlink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500" w:right="497"/>
      </w:pPr>
      <w:r>
        <w:rPr/>
        <w:t>Nyamongo,</w:t>
      </w:r>
      <w:r>
        <w:rPr>
          <w:spacing w:val="18"/>
        </w:rPr>
        <w:t> </w:t>
      </w:r>
      <w:r>
        <w:rPr/>
        <w:t>M.E.,</w:t>
      </w:r>
      <w:r>
        <w:rPr>
          <w:spacing w:val="16"/>
        </w:rPr>
        <w:t> </w:t>
      </w:r>
      <w:r>
        <w:rPr/>
        <w:t>Sichei,</w:t>
      </w:r>
      <w:r>
        <w:rPr>
          <w:spacing w:val="17"/>
        </w:rPr>
        <w:t> </w:t>
      </w:r>
      <w:r>
        <w:rPr/>
        <w:t>M.M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Mutai,</w:t>
      </w:r>
      <w:r>
        <w:rPr>
          <w:spacing w:val="16"/>
        </w:rPr>
        <w:t> </w:t>
      </w:r>
      <w:r>
        <w:rPr/>
        <w:t>N.K.</w:t>
      </w:r>
      <w:r>
        <w:rPr>
          <w:spacing w:val="16"/>
        </w:rPr>
        <w:t> </w:t>
      </w:r>
      <w:r>
        <w:rPr/>
        <w:t>(2008).</w:t>
      </w:r>
      <w:r>
        <w:rPr>
          <w:spacing w:val="22"/>
        </w:rPr>
        <w:t> </w:t>
      </w:r>
      <w:r>
        <w:rPr/>
        <w:t>The</w:t>
      </w:r>
      <w:r>
        <w:rPr>
          <w:spacing w:val="17"/>
        </w:rPr>
        <w:t> </w:t>
      </w:r>
      <w:r>
        <w:rPr/>
        <w:t>monetary</w:t>
      </w:r>
      <w:r>
        <w:rPr>
          <w:spacing w:val="14"/>
        </w:rPr>
        <w:t> </w:t>
      </w:r>
      <w:r>
        <w:rPr/>
        <w:t>and</w:t>
      </w:r>
      <w:r>
        <w:rPr>
          <w:spacing w:val="16"/>
        </w:rPr>
        <w:t> </w:t>
      </w:r>
      <w:r>
        <w:rPr/>
        <w:t>fiscal</w:t>
      </w:r>
      <w:r>
        <w:rPr>
          <w:spacing w:val="17"/>
        </w:rPr>
        <w:t> </w:t>
      </w:r>
      <w:r>
        <w:rPr/>
        <w:t>policy</w:t>
      </w:r>
      <w:r>
        <w:rPr>
          <w:spacing w:val="-57"/>
        </w:rPr>
        <w:t> </w:t>
      </w:r>
      <w:r>
        <w:rPr/>
        <w:t>interactions</w:t>
      </w:r>
      <w:r>
        <w:rPr>
          <w:spacing w:val="-1"/>
        </w:rPr>
        <w:t> </w:t>
      </w:r>
      <w:r>
        <w:rPr/>
        <w:t>in Kenya. Research</w:t>
      </w:r>
      <w:r>
        <w:rPr>
          <w:spacing w:val="2"/>
        </w:rPr>
        <w:t> </w:t>
      </w:r>
      <w:r>
        <w:rPr/>
        <w:t>Department, Central</w:t>
      </w:r>
      <w:r>
        <w:rPr>
          <w:spacing w:val="-1"/>
        </w:rPr>
        <w:t> </w:t>
      </w:r>
      <w:r>
        <w:rPr/>
        <w:t>Bank of</w:t>
      </w:r>
      <w:r>
        <w:rPr>
          <w:spacing w:val="-1"/>
        </w:rPr>
        <w:t> </w:t>
      </w:r>
      <w:r>
        <w:rPr/>
        <w:t>Kenya.</w:t>
      </w:r>
    </w:p>
    <w:p>
      <w:pPr>
        <w:pStyle w:val="BodyText"/>
      </w:pPr>
    </w:p>
    <w:p>
      <w:pPr>
        <w:pStyle w:val="BodyText"/>
        <w:ind w:left="500"/>
      </w:pPr>
      <w:r>
        <w:rPr/>
        <w:t>Oboh,</w:t>
      </w:r>
      <w:r>
        <w:rPr>
          <w:spacing w:val="-1"/>
        </w:rPr>
        <w:t> </w:t>
      </w:r>
      <w:r>
        <w:rPr/>
        <w:t>V.U.</w:t>
      </w:r>
      <w:r>
        <w:rPr>
          <w:spacing w:val="1"/>
        </w:rPr>
        <w:t> </w:t>
      </w:r>
      <w:r>
        <w:rPr/>
        <w:t>(2017). Monetary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fiscal policy</w:t>
      </w:r>
      <w:r>
        <w:rPr>
          <w:spacing w:val="-1"/>
        </w:rPr>
        <w:t> </w:t>
      </w:r>
      <w:r>
        <w:rPr/>
        <w:t>coordination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Nigeria: A set</w:t>
      </w:r>
      <w:r>
        <w:rPr>
          <w:spacing w:val="1"/>
        </w:rPr>
        <w:t> </w:t>
      </w:r>
      <w:r>
        <w:rPr/>
        <w:t>theoretic approach.</w:t>
      </w:r>
    </w:p>
    <w:p>
      <w:pPr>
        <w:spacing w:before="0"/>
        <w:ind w:left="500" w:right="0" w:firstLine="0"/>
        <w:jc w:val="left"/>
        <w:rPr>
          <w:sz w:val="24"/>
        </w:rPr>
      </w:pPr>
      <w:r>
        <w:rPr>
          <w:i/>
          <w:sz w:val="24"/>
        </w:rPr>
        <w:t>Academic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Economic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Studies,</w:t>
      </w:r>
      <w:r>
        <w:rPr>
          <w:i/>
          <w:spacing w:val="2"/>
          <w:sz w:val="24"/>
        </w:rPr>
        <w:t> </w:t>
      </w:r>
      <w:r>
        <w:rPr>
          <w:sz w:val="24"/>
        </w:rPr>
        <w:t>3(1):</w:t>
      </w:r>
      <w:r>
        <w:rPr>
          <w:spacing w:val="-1"/>
          <w:sz w:val="24"/>
        </w:rPr>
        <w:t> </w:t>
      </w:r>
      <w:r>
        <w:rPr>
          <w:sz w:val="24"/>
        </w:rPr>
        <w:t>48–58.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5" w:top="1500" w:bottom="1200" w:left="940" w:right="940"/>
        </w:sectPr>
      </w:pPr>
    </w:p>
    <w:p>
      <w:pPr>
        <w:spacing w:before="72"/>
        <w:ind w:left="500" w:right="494" w:firstLine="0"/>
        <w:jc w:val="both"/>
        <w:rPr>
          <w:sz w:val="24"/>
        </w:rPr>
      </w:pPr>
      <w:r>
        <w:rPr>
          <w:sz w:val="24"/>
        </w:rPr>
        <w:t>Okafor,</w:t>
      </w:r>
      <w:r>
        <w:rPr>
          <w:spacing w:val="1"/>
          <w:sz w:val="24"/>
        </w:rPr>
        <w:t> </w:t>
      </w:r>
      <w:r>
        <w:rPr>
          <w:sz w:val="24"/>
        </w:rPr>
        <w:t>H.C.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Modeling</w:t>
      </w:r>
      <w:r>
        <w:rPr>
          <w:spacing w:val="1"/>
          <w:sz w:val="24"/>
        </w:rPr>
        <w:t> </w:t>
      </w:r>
      <w:r>
        <w:rPr>
          <w:sz w:val="24"/>
        </w:rPr>
        <w:t>Fiscal-monetary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1"/>
          <w:sz w:val="24"/>
        </w:rPr>
        <w:t> </w:t>
      </w:r>
      <w:r>
        <w:rPr>
          <w:sz w:val="24"/>
        </w:rPr>
        <w:t>interaction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Economics and Finance,</w:t>
      </w:r>
      <w:r>
        <w:rPr>
          <w:i/>
          <w:spacing w:val="1"/>
          <w:sz w:val="24"/>
        </w:rPr>
        <w:t> </w:t>
      </w:r>
      <w:r>
        <w:rPr>
          <w:sz w:val="24"/>
        </w:rPr>
        <w:t>5(1): 86-91.</w:t>
      </w:r>
    </w:p>
    <w:p>
      <w:pPr>
        <w:pStyle w:val="BodyText"/>
      </w:pPr>
    </w:p>
    <w:p>
      <w:pPr>
        <w:spacing w:before="0"/>
        <w:ind w:left="500" w:right="497" w:firstLine="0"/>
        <w:jc w:val="both"/>
        <w:rPr>
          <w:sz w:val="24"/>
        </w:rPr>
      </w:pPr>
      <w:r>
        <w:rPr>
          <w:sz w:val="24"/>
        </w:rPr>
        <w:t>Olayiwola, K.W. and Osabuohien, E.S. (2011). Fiscal Hydrocephalus and Challenges of Socio-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-14"/>
          <w:sz w:val="24"/>
        </w:rPr>
        <w:t> </w:t>
      </w:r>
      <w:r>
        <w:rPr>
          <w:sz w:val="24"/>
        </w:rPr>
        <w:t>Development</w:t>
      </w:r>
      <w:r>
        <w:rPr>
          <w:spacing w:val="-13"/>
          <w:sz w:val="24"/>
        </w:rPr>
        <w:t> </w:t>
      </w:r>
      <w:r>
        <w:rPr>
          <w:sz w:val="24"/>
        </w:rPr>
        <w:t>in</w:t>
      </w:r>
      <w:r>
        <w:rPr>
          <w:spacing w:val="-13"/>
          <w:sz w:val="24"/>
        </w:rPr>
        <w:t> </w:t>
      </w:r>
      <w:r>
        <w:rPr>
          <w:sz w:val="24"/>
        </w:rPr>
        <w:t>Nigeria.</w:t>
      </w:r>
      <w:r>
        <w:rPr>
          <w:spacing w:val="-12"/>
          <w:sz w:val="24"/>
        </w:rPr>
        <w:t> </w:t>
      </w:r>
      <w:r>
        <w:rPr>
          <w:i/>
          <w:sz w:val="24"/>
        </w:rPr>
        <w:t>Covenant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-8"/>
          <w:sz w:val="24"/>
        </w:rPr>
        <w:t> </w:t>
      </w:r>
      <w:r>
        <w:rPr>
          <w:sz w:val="24"/>
        </w:rPr>
        <w:t>4(1&amp;2):26-</w:t>
      </w:r>
      <w:r>
        <w:rPr>
          <w:spacing w:val="-58"/>
          <w:sz w:val="24"/>
        </w:rPr>
        <w:t> </w:t>
      </w:r>
      <w:r>
        <w:rPr>
          <w:sz w:val="24"/>
        </w:rPr>
        <w:t>42.</w:t>
      </w:r>
    </w:p>
    <w:p>
      <w:pPr>
        <w:pStyle w:val="BodyText"/>
      </w:pPr>
    </w:p>
    <w:p>
      <w:pPr>
        <w:pStyle w:val="BodyText"/>
        <w:ind w:left="500" w:right="741"/>
      </w:pPr>
      <w:r>
        <w:rPr/>
        <w:t>Olayeni,</w:t>
      </w:r>
      <w:r>
        <w:rPr>
          <w:spacing w:val="-1"/>
        </w:rPr>
        <w:t> </w:t>
      </w:r>
      <w:r>
        <w:rPr/>
        <w:t>O.R.</w:t>
      </w:r>
      <w:r>
        <w:rPr>
          <w:spacing w:val="-1"/>
        </w:rPr>
        <w:t> </w:t>
      </w:r>
      <w:r>
        <w:rPr/>
        <w:t>(2009). A</w:t>
      </w:r>
      <w:r>
        <w:rPr>
          <w:spacing w:val="-1"/>
        </w:rPr>
        <w:t> </w:t>
      </w:r>
      <w:r>
        <w:rPr/>
        <w:t>Small Open</w:t>
      </w:r>
      <w:r>
        <w:rPr>
          <w:spacing w:val="-1"/>
        </w:rPr>
        <w:t> </w:t>
      </w:r>
      <w:r>
        <w:rPr/>
        <w:t>Economy</w:t>
      </w:r>
      <w:r>
        <w:rPr>
          <w:spacing w:val="-5"/>
        </w:rPr>
        <w:t> </w:t>
      </w:r>
      <w:r>
        <w:rPr/>
        <w:t>Model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Nigeria:</w:t>
      </w:r>
      <w:r>
        <w:rPr>
          <w:spacing w:val="-1"/>
        </w:rPr>
        <w:t> </w:t>
      </w:r>
      <w:r>
        <w:rPr/>
        <w:t>A BVAR-DSGE</w:t>
      </w:r>
      <w:r>
        <w:rPr>
          <w:spacing w:val="-1"/>
        </w:rPr>
        <w:t> </w:t>
      </w:r>
      <w:r>
        <w:rPr/>
        <w:t>Approach.</w:t>
      </w:r>
      <w:r>
        <w:rPr>
          <w:spacing w:val="-57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from: </w:t>
      </w:r>
      <w:hyperlink r:id="rId99">
        <w:r>
          <w:rPr>
            <w:color w:val="0000FF"/>
            <w:u w:val="single" w:color="0000FF"/>
          </w:rPr>
          <w:t>http://mpra.ub.uni-muechen.de/16180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00" w:right="495"/>
      </w:pPr>
      <w:r>
        <w:rPr/>
        <w:t>Olekah, J.K. and Oyaromade, R. (2007). Estimating A DSGE model of the Nigerian economy.</w:t>
      </w:r>
      <w:r>
        <w:rPr>
          <w:spacing w:val="1"/>
        </w:rPr>
        <w:t> </w:t>
      </w:r>
      <w:r>
        <w:rPr/>
        <w:t>Draft</w:t>
      </w:r>
      <w:r>
        <w:rPr>
          <w:spacing w:val="-5"/>
        </w:rPr>
        <w:t> </w:t>
      </w:r>
      <w:r>
        <w:rPr/>
        <w:t>paper</w:t>
      </w:r>
      <w:r>
        <w:rPr>
          <w:spacing w:val="-5"/>
        </w:rPr>
        <w:t> </w:t>
      </w:r>
      <w:r>
        <w:rPr/>
        <w:t>scheduled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presentation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12</w:t>
      </w:r>
      <w:r>
        <w:rPr>
          <w:vertAlign w:val="superscript"/>
        </w:rPr>
        <w:t>th</w:t>
      </w:r>
      <w:r>
        <w:rPr>
          <w:spacing w:val="-5"/>
          <w:vertAlign w:val="baseline"/>
        </w:rPr>
        <w:t> </w:t>
      </w:r>
      <w:r>
        <w:rPr>
          <w:vertAlign w:val="baseline"/>
        </w:rPr>
        <w:t>African</w:t>
      </w:r>
      <w:r>
        <w:rPr>
          <w:spacing w:val="-3"/>
          <w:vertAlign w:val="baseline"/>
        </w:rPr>
        <w:t> </w:t>
      </w:r>
      <w:r>
        <w:rPr>
          <w:vertAlign w:val="baseline"/>
        </w:rPr>
        <w:t>Econometric</w:t>
      </w:r>
      <w:r>
        <w:rPr>
          <w:spacing w:val="-6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-9"/>
          <w:vertAlign w:val="baseline"/>
        </w:rPr>
        <w:t> </w:t>
      </w:r>
      <w:r>
        <w:rPr>
          <w:vertAlign w:val="baseline"/>
        </w:rPr>
        <w:t>(AES)</w:t>
      </w:r>
      <w:r>
        <w:rPr>
          <w:spacing w:val="-5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-57"/>
          <w:vertAlign w:val="baseline"/>
        </w:rPr>
        <w:t> </w:t>
      </w:r>
      <w:r>
        <w:rPr>
          <w:vertAlign w:val="baseline"/>
        </w:rPr>
        <w:t>in Cape Town, South Africa, July 4-6, 2007. Available from:</w:t>
      </w:r>
      <w:r>
        <w:rPr>
          <w:spacing w:val="1"/>
          <w:vertAlign w:val="baseline"/>
        </w:rPr>
        <w:t> </w:t>
      </w:r>
      <w:hyperlink r:id="rId100">
        <w:r>
          <w:rPr>
            <w:color w:val="0000FF"/>
            <w:u w:val="single" w:color="0000FF"/>
            <w:vertAlign w:val="baseline"/>
          </w:rPr>
          <w:t>http://citeseerx.ist.psu.edu/viewdoc/download?doi=10.1.1.528.9169&amp;rep=rep1&amp;type=pdf</w:t>
        </w:r>
      </w:hyperlink>
      <w:r>
        <w:rPr>
          <w:vertAlign w:val="baseline"/>
        </w:rPr>
        <w:t>.</w:t>
      </w:r>
    </w:p>
    <w:p>
      <w:pPr>
        <w:pStyle w:val="BodyText"/>
        <w:spacing w:before="3"/>
        <w:rPr>
          <w:sz w:val="16"/>
        </w:rPr>
      </w:pPr>
    </w:p>
    <w:p>
      <w:pPr>
        <w:spacing w:before="90"/>
        <w:ind w:left="500" w:right="502" w:firstLine="0"/>
        <w:jc w:val="both"/>
        <w:rPr>
          <w:sz w:val="24"/>
        </w:rPr>
      </w:pPr>
      <w:r>
        <w:rPr>
          <w:sz w:val="24"/>
        </w:rPr>
        <w:t>Onodugo, I. and Amujiri, A. (2015). Towards achieving fiscal responsibility for sustainable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contextual</w:t>
      </w:r>
      <w:r>
        <w:rPr>
          <w:spacing w:val="1"/>
          <w:sz w:val="24"/>
        </w:rPr>
        <w:t> </w:t>
      </w:r>
      <w:r>
        <w:rPr>
          <w:sz w:val="24"/>
        </w:rPr>
        <w:t>insight.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i/>
          <w:sz w:val="24"/>
        </w:rPr>
        <w:t>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Innovative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Technology, </w:t>
      </w:r>
      <w:r>
        <w:rPr>
          <w:sz w:val="24"/>
        </w:rPr>
        <w:t>2(5): 476-484.</w:t>
      </w:r>
    </w:p>
    <w:p>
      <w:pPr>
        <w:pStyle w:val="BodyText"/>
      </w:pPr>
    </w:p>
    <w:p>
      <w:pPr>
        <w:pStyle w:val="BodyText"/>
        <w:ind w:left="500" w:right="497"/>
        <w:jc w:val="both"/>
        <w:rPr>
          <w:i/>
        </w:rPr>
      </w:pPr>
      <w:r>
        <w:rPr/>
        <w:t>Ornellas, R. and Portugal, M. (2011). Fiscal and monetary interaction in Brazil. Available from:</w:t>
      </w:r>
      <w:r>
        <w:rPr>
          <w:spacing w:val="1"/>
        </w:rPr>
        <w:t> </w:t>
      </w:r>
      <w:hyperlink r:id="rId101">
        <w:r>
          <w:rPr>
            <w:color w:val="0000FF"/>
            <w:u w:val="single" w:color="0000FF"/>
          </w:rPr>
          <w:t>www.bcu.gub.uy/Comunicaciones/.../t_portugal_marcelo_2011_.pdf</w:t>
        </w:r>
        <w:r>
          <w:rPr>
            <w:i/>
          </w:rPr>
          <w:t>.</w:t>
        </w:r>
      </w:hyperlink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spacing w:before="90"/>
        <w:ind w:left="500" w:right="501"/>
        <w:rPr>
          <w:i/>
        </w:rPr>
      </w:pPr>
      <w:r>
        <w:rPr/>
        <w:t>Persson,</w:t>
      </w:r>
      <w:r>
        <w:rPr>
          <w:spacing w:val="-11"/>
        </w:rPr>
        <w:t> </w:t>
      </w:r>
      <w:r>
        <w:rPr/>
        <w:t>T.</w:t>
      </w:r>
      <w:r>
        <w:rPr>
          <w:spacing w:val="-10"/>
        </w:rPr>
        <w:t> </w:t>
      </w:r>
      <w:r>
        <w:rPr/>
        <w:t>(2001).</w:t>
      </w:r>
      <w:r>
        <w:rPr>
          <w:spacing w:val="-10"/>
        </w:rPr>
        <w:t> </w:t>
      </w:r>
      <w:r>
        <w:rPr/>
        <w:t>Do</w:t>
      </w:r>
      <w:r>
        <w:rPr>
          <w:spacing w:val="-10"/>
        </w:rPr>
        <w:t> </w:t>
      </w:r>
      <w:r>
        <w:rPr/>
        <w:t>political</w:t>
      </w:r>
      <w:r>
        <w:rPr>
          <w:spacing w:val="-9"/>
        </w:rPr>
        <w:t> </w:t>
      </w:r>
      <w:r>
        <w:rPr/>
        <w:t>institutions</w:t>
      </w:r>
      <w:r>
        <w:rPr>
          <w:spacing w:val="-11"/>
        </w:rPr>
        <w:t> </w:t>
      </w:r>
      <w:r>
        <w:rPr/>
        <w:t>shape</w:t>
      </w:r>
      <w:r>
        <w:rPr>
          <w:spacing w:val="-11"/>
        </w:rPr>
        <w:t> </w:t>
      </w:r>
      <w:r>
        <w:rPr/>
        <w:t>economic</w:t>
      </w:r>
      <w:r>
        <w:rPr>
          <w:spacing w:val="-11"/>
        </w:rPr>
        <w:t> </w:t>
      </w:r>
      <w:r>
        <w:rPr/>
        <w:t>policy?</w:t>
      </w:r>
      <w:r>
        <w:rPr>
          <w:spacing w:val="-7"/>
        </w:rPr>
        <w:t> </w:t>
      </w:r>
      <w:r>
        <w:rPr/>
        <w:t>National</w:t>
      </w:r>
      <w:r>
        <w:rPr>
          <w:spacing w:val="-9"/>
        </w:rPr>
        <w:t> </w:t>
      </w:r>
      <w:r>
        <w:rPr/>
        <w:t>Bureau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Economic</w:t>
      </w:r>
      <w:r>
        <w:rPr>
          <w:spacing w:val="-57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Working</w:t>
      </w:r>
      <w:r>
        <w:rPr>
          <w:spacing w:val="-3"/>
        </w:rPr>
        <w:t> </w:t>
      </w:r>
      <w:r>
        <w:rPr/>
        <w:t>Paper</w:t>
      </w:r>
      <w:r>
        <w:rPr>
          <w:spacing w:val="1"/>
        </w:rPr>
        <w:t> </w:t>
      </w:r>
      <w:r>
        <w:rPr/>
        <w:t>8214.</w:t>
      </w:r>
      <w:r>
        <w:rPr>
          <w:spacing w:val="-1"/>
        </w:rPr>
        <w:t> </w:t>
      </w:r>
      <w:r>
        <w:rPr/>
        <w:t>Available from:</w:t>
      </w:r>
      <w:r>
        <w:rPr>
          <w:spacing w:val="2"/>
        </w:rPr>
        <w:t> </w:t>
      </w:r>
      <w:hyperlink r:id="rId102">
        <w:r>
          <w:rPr>
            <w:color w:val="0000FF"/>
            <w:u w:val="single" w:color="0000FF"/>
          </w:rPr>
          <w:t>www.nber.org/papers/w8214</w:t>
        </w:r>
      </w:hyperlink>
      <w:r>
        <w:rPr>
          <w:i/>
        </w:rPr>
        <w:t>.</w:t>
      </w:r>
    </w:p>
    <w:p>
      <w:pPr>
        <w:pStyle w:val="BodyText"/>
        <w:spacing w:before="3"/>
        <w:rPr>
          <w:i/>
          <w:sz w:val="16"/>
        </w:rPr>
      </w:pPr>
    </w:p>
    <w:p>
      <w:pPr>
        <w:pStyle w:val="BodyText"/>
        <w:spacing w:before="90"/>
        <w:ind w:left="500"/>
      </w:pPr>
      <w:r>
        <w:rPr/>
        <w:t>Petit,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L.</w:t>
      </w:r>
      <w:r>
        <w:rPr>
          <w:spacing w:val="1"/>
        </w:rPr>
        <w:t> </w:t>
      </w:r>
      <w:r>
        <w:rPr/>
        <w:t>(1989). Fiscal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monetary</w:t>
      </w:r>
      <w:r>
        <w:rPr>
          <w:spacing w:val="-6"/>
        </w:rPr>
        <w:t> </w:t>
      </w:r>
      <w:r>
        <w:rPr/>
        <w:t>policy</w:t>
      </w:r>
      <w:r>
        <w:rPr>
          <w:spacing w:val="-4"/>
        </w:rPr>
        <w:t> </w:t>
      </w:r>
      <w:r>
        <w:rPr/>
        <w:t>co-ordination: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differential</w:t>
      </w:r>
      <w:r>
        <w:rPr>
          <w:spacing w:val="-1"/>
        </w:rPr>
        <w:t> </w:t>
      </w:r>
      <w:r>
        <w:rPr/>
        <w:t>game</w:t>
      </w:r>
      <w:r>
        <w:rPr>
          <w:spacing w:val="1"/>
        </w:rPr>
        <w:t> </w:t>
      </w:r>
      <w:r>
        <w:rPr/>
        <w:t>approach.</w:t>
      </w:r>
    </w:p>
    <w:p>
      <w:pPr>
        <w:spacing w:before="0"/>
        <w:ind w:left="50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Econometrics, </w:t>
      </w:r>
      <w:r>
        <w:rPr>
          <w:sz w:val="24"/>
        </w:rPr>
        <w:t>4(2):</w:t>
      </w:r>
      <w:r>
        <w:rPr>
          <w:spacing w:val="-2"/>
          <w:sz w:val="24"/>
        </w:rPr>
        <w:t> </w:t>
      </w:r>
      <w:r>
        <w:rPr>
          <w:sz w:val="24"/>
        </w:rPr>
        <w:t>161-179.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500" w:right="504"/>
      </w:pPr>
      <w:r>
        <w:rPr/>
        <w:t>Petrevski,</w:t>
      </w:r>
      <w:r>
        <w:rPr>
          <w:spacing w:val="16"/>
        </w:rPr>
        <w:t> </w:t>
      </w:r>
      <w:r>
        <w:rPr/>
        <w:t>G.</w:t>
      </w:r>
      <w:r>
        <w:rPr>
          <w:spacing w:val="16"/>
        </w:rPr>
        <w:t> </w:t>
      </w:r>
      <w:r>
        <w:rPr/>
        <w:t>(2013).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interactions</w:t>
      </w:r>
      <w:r>
        <w:rPr>
          <w:spacing w:val="17"/>
        </w:rPr>
        <w:t> </w:t>
      </w:r>
      <w:r>
        <w:rPr/>
        <w:t>between</w:t>
      </w:r>
      <w:r>
        <w:rPr>
          <w:spacing w:val="17"/>
        </w:rPr>
        <w:t> </w:t>
      </w:r>
      <w:r>
        <w:rPr/>
        <w:t>monetary</w:t>
      </w:r>
      <w:r>
        <w:rPr>
          <w:spacing w:val="12"/>
        </w:rPr>
        <w:t> </w:t>
      </w:r>
      <w:r>
        <w:rPr/>
        <w:t>and</w:t>
      </w:r>
      <w:r>
        <w:rPr>
          <w:spacing w:val="16"/>
        </w:rPr>
        <w:t> </w:t>
      </w:r>
      <w:r>
        <w:rPr/>
        <w:t>fiscal</w:t>
      </w:r>
      <w:r>
        <w:rPr>
          <w:spacing w:val="17"/>
        </w:rPr>
        <w:t> </w:t>
      </w:r>
      <w:r>
        <w:rPr/>
        <w:t>policy: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survey.</w:t>
      </w:r>
      <w:r>
        <w:rPr>
          <w:spacing w:val="16"/>
        </w:rPr>
        <w:t> </w:t>
      </w:r>
      <w:r>
        <w:rPr/>
        <w:t>Available</w:t>
      </w:r>
      <w:r>
        <w:rPr>
          <w:spacing w:val="-57"/>
        </w:rPr>
        <w:t> </w:t>
      </w:r>
      <w:r>
        <w:rPr/>
        <w:t>from:</w:t>
      </w:r>
      <w:r>
        <w:rPr>
          <w:spacing w:val="-1"/>
        </w:rPr>
        <w:t> </w:t>
      </w:r>
      <w:hyperlink r:id="rId103">
        <w:r>
          <w:rPr>
            <w:color w:val="0000FF"/>
            <w:u w:val="single" w:color="0000FF"/>
          </w:rPr>
          <w:t>https://www.researchgate.net/publication/258507275</w:t>
        </w:r>
      </w:hyperlink>
      <w:r>
        <w:rPr/>
        <w:t>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4825" w:val="left" w:leader="none"/>
          <w:tab w:pos="9329" w:val="left" w:leader="none"/>
        </w:tabs>
        <w:spacing w:before="90"/>
        <w:ind w:left="500" w:right="496"/>
        <w:jc w:val="both"/>
        <w:rPr>
          <w:i/>
        </w:rPr>
      </w:pPr>
      <w:r>
        <w:rPr/>
        <w:t>Pierse,</w:t>
      </w:r>
      <w:r>
        <w:rPr>
          <w:spacing w:val="-6"/>
        </w:rPr>
        <w:t> </w:t>
      </w:r>
      <w:r>
        <w:rPr/>
        <w:t>R.G.</w:t>
      </w:r>
      <w:r>
        <w:rPr>
          <w:spacing w:val="-6"/>
        </w:rPr>
        <w:t> </w:t>
      </w:r>
      <w:r>
        <w:rPr/>
        <w:t>(2006).</w:t>
      </w:r>
      <w:r>
        <w:rPr>
          <w:spacing w:val="-4"/>
        </w:rPr>
        <w:t> </w:t>
      </w:r>
      <w:r>
        <w:rPr/>
        <w:t>Building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solving</w:t>
      </w:r>
      <w:r>
        <w:rPr>
          <w:spacing w:val="-8"/>
        </w:rPr>
        <w:t> </w:t>
      </w:r>
      <w:r>
        <w:rPr/>
        <w:t>macroeconomic</w:t>
      </w:r>
      <w:r>
        <w:rPr>
          <w:spacing w:val="-6"/>
        </w:rPr>
        <w:t> </w:t>
      </w:r>
      <w:r>
        <w:rPr/>
        <w:t>models</w:t>
      </w:r>
      <w:r>
        <w:rPr>
          <w:spacing w:val="-5"/>
        </w:rPr>
        <w:t> </w:t>
      </w:r>
      <w:r>
        <w:rPr/>
        <w:t>using</w:t>
      </w:r>
      <w:r>
        <w:rPr>
          <w:spacing w:val="-5"/>
        </w:rPr>
        <w:t> </w:t>
      </w:r>
      <w:r>
        <w:rPr/>
        <w:t>winsolve:</w:t>
      </w:r>
      <w:r>
        <w:rPr>
          <w:spacing w:val="-6"/>
        </w:rPr>
        <w:t> </w:t>
      </w:r>
      <w:r>
        <w:rPr/>
        <w:t>Solving</w:t>
      </w:r>
      <w:r>
        <w:rPr>
          <w:spacing w:val="-8"/>
        </w:rPr>
        <w:t> </w:t>
      </w:r>
      <w:r>
        <w:rPr/>
        <w:t>DSGE</w:t>
      </w:r>
      <w:r>
        <w:rPr>
          <w:spacing w:val="-57"/>
        </w:rPr>
        <w:t> </w:t>
      </w:r>
      <w:r>
        <w:rPr/>
        <w:t>models.</w:t>
        <w:tab/>
        <w:t>Available</w:t>
        <w:tab/>
      </w:r>
      <w:r>
        <w:rPr>
          <w:spacing w:val="-1"/>
        </w:rPr>
        <w:t>from:</w:t>
      </w:r>
      <w:r>
        <w:rPr>
          <w:spacing w:val="-58"/>
        </w:rPr>
        <w:t> </w:t>
      </w:r>
      <w:hyperlink r:id="rId104">
        <w:r>
          <w:rPr>
            <w:color w:val="0000FF"/>
            <w:u w:val="single" w:color="0000FF"/>
          </w:rPr>
          <w:t>www.hkimr.org/uploads/conference_detail/697/con_paper_0_284_hktut3.pdf</w:t>
        </w:r>
      </w:hyperlink>
      <w:r>
        <w:rPr>
          <w:i/>
        </w:rPr>
        <w:t>.</w:t>
      </w:r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spacing w:before="90"/>
        <w:ind w:left="500" w:right="494"/>
      </w:pPr>
      <w:r>
        <w:rPr/>
        <w:t>Ramsey,</w:t>
      </w:r>
      <w:r>
        <w:rPr>
          <w:spacing w:val="-4"/>
        </w:rPr>
        <w:t> </w:t>
      </w:r>
      <w:r>
        <w:rPr/>
        <w:t>F.P.</w:t>
      </w:r>
      <w:r>
        <w:rPr>
          <w:spacing w:val="-6"/>
        </w:rPr>
        <w:t> </w:t>
      </w:r>
      <w:r>
        <w:rPr/>
        <w:t>(1928).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mathematical</w:t>
      </w:r>
      <w:r>
        <w:rPr>
          <w:spacing w:val="-6"/>
        </w:rPr>
        <w:t> </w:t>
      </w:r>
      <w:r>
        <w:rPr/>
        <w:t>theory</w:t>
      </w:r>
      <w:r>
        <w:rPr>
          <w:spacing w:val="-11"/>
        </w:rPr>
        <w:t> </w:t>
      </w:r>
      <w:r>
        <w:rPr/>
        <w:t>of</w:t>
      </w:r>
      <w:r>
        <w:rPr>
          <w:spacing w:val="-7"/>
        </w:rPr>
        <w:t> </w:t>
      </w:r>
      <w:r>
        <w:rPr/>
        <w:t>saving.</w:t>
      </w:r>
      <w:r>
        <w:rPr>
          <w:spacing w:val="-4"/>
        </w:rPr>
        <w:t> </w:t>
      </w:r>
      <w:r>
        <w:rPr>
          <w:i/>
        </w:rPr>
        <w:t>The</w:t>
      </w:r>
      <w:r>
        <w:rPr>
          <w:i/>
          <w:spacing w:val="-7"/>
        </w:rPr>
        <w:t> </w:t>
      </w:r>
      <w:r>
        <w:rPr>
          <w:i/>
        </w:rPr>
        <w:t>Economic</w:t>
      </w:r>
      <w:r>
        <w:rPr>
          <w:i/>
          <w:spacing w:val="-7"/>
        </w:rPr>
        <w:t> </w:t>
      </w:r>
      <w:r>
        <w:rPr>
          <w:i/>
        </w:rPr>
        <w:t>Journal,</w:t>
      </w:r>
      <w:r>
        <w:rPr>
          <w:i/>
          <w:spacing w:val="-4"/>
        </w:rPr>
        <w:t> </w:t>
      </w:r>
      <w:r>
        <w:rPr/>
        <w:t>38</w:t>
      </w:r>
      <w:r>
        <w:rPr>
          <w:spacing w:val="-6"/>
        </w:rPr>
        <w:t> </w:t>
      </w:r>
      <w:r>
        <w:rPr/>
        <w:t>(152):543-559.</w:t>
      </w:r>
      <w:r>
        <w:rPr>
          <w:spacing w:val="-57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from: </w:t>
      </w:r>
      <w:hyperlink r:id="rId105">
        <w:r>
          <w:rPr>
            <w:color w:val="0000FF"/>
            <w:u w:val="single" w:color="0000FF"/>
          </w:rPr>
          <w:t>http://www.jstor.org/stable/2224098</w:t>
        </w:r>
      </w:hyperlink>
      <w:r>
        <w:rPr/>
        <w:t>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500" w:right="501"/>
        <w:jc w:val="both"/>
      </w:pPr>
      <w:r>
        <w:rPr/>
        <w:t>Rasaki,</w:t>
      </w:r>
      <w:r>
        <w:rPr>
          <w:spacing w:val="1"/>
        </w:rPr>
        <w:t> </w:t>
      </w:r>
      <w:r>
        <w:rPr/>
        <w:t>M.G.</w:t>
      </w:r>
      <w:r>
        <w:rPr>
          <w:spacing w:val="1"/>
        </w:rPr>
        <w:t> </w:t>
      </w:r>
      <w:r>
        <w:rPr/>
        <w:t>(2017)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Bayesian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DSGE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economy.</w:t>
      </w:r>
      <w:r>
        <w:rPr>
          <w:spacing w:val="1"/>
        </w:rPr>
        <w:t> </w:t>
      </w:r>
      <w:r>
        <w:rPr/>
        <w:t>Eu</w:t>
      </w:r>
      <w:r>
        <w:rPr>
          <w:i/>
        </w:rPr>
        <w:t>roEconomica,</w:t>
      </w:r>
      <w:r>
        <w:rPr>
          <w:i/>
          <w:spacing w:val="-1"/>
        </w:rPr>
        <w:t> </w:t>
      </w:r>
      <w:r>
        <w:rPr/>
        <w:t>36(2):145-158.</w:t>
      </w:r>
    </w:p>
    <w:p>
      <w:pPr>
        <w:pStyle w:val="BodyText"/>
      </w:pPr>
    </w:p>
    <w:p>
      <w:pPr>
        <w:pStyle w:val="BodyText"/>
        <w:ind w:left="500" w:right="495"/>
        <w:jc w:val="both"/>
        <w:rPr>
          <w:i/>
        </w:rPr>
      </w:pPr>
      <w:r>
        <w:rPr/>
        <w:t>Reade, J.J. (2011). Modelling monetary and fiscal policy in the US: A cointegration approach.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Birmingham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11-02.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from:</w:t>
      </w:r>
      <w:hyperlink r:id="rId106">
        <w:r>
          <w:rPr>
            <w:color w:val="0000FF"/>
            <w:u w:val="single" w:color="0000FF"/>
          </w:rPr>
          <w:t>https://www.birmingham.ac.uk/Documents/college-social-sciences/.../11-02.pdf</w:t>
        </w:r>
        <w:r>
          <w:rPr>
            <w:i/>
          </w:rPr>
          <w:t>.</w:t>
        </w:r>
      </w:hyperlink>
    </w:p>
    <w:p>
      <w:pPr>
        <w:spacing w:after="0"/>
        <w:jc w:val="both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72"/>
        <w:ind w:left="500" w:right="498"/>
      </w:pPr>
      <w:r>
        <w:rPr/>
        <w:t>Rebelo,</w:t>
      </w:r>
      <w:r>
        <w:rPr>
          <w:spacing w:val="38"/>
        </w:rPr>
        <w:t> </w:t>
      </w:r>
      <w:r>
        <w:rPr/>
        <w:t>S.</w:t>
      </w:r>
      <w:r>
        <w:rPr>
          <w:spacing w:val="38"/>
        </w:rPr>
        <w:t> </w:t>
      </w:r>
      <w:r>
        <w:rPr/>
        <w:t>(2005).</w:t>
      </w:r>
      <w:r>
        <w:rPr>
          <w:spacing w:val="38"/>
        </w:rPr>
        <w:t> </w:t>
      </w:r>
      <w:r>
        <w:rPr/>
        <w:t>Real</w:t>
      </w:r>
      <w:r>
        <w:rPr>
          <w:spacing w:val="36"/>
        </w:rPr>
        <w:t> </w:t>
      </w:r>
      <w:r>
        <w:rPr/>
        <w:t>business</w:t>
      </w:r>
      <w:r>
        <w:rPr>
          <w:spacing w:val="39"/>
        </w:rPr>
        <w:t> </w:t>
      </w:r>
      <w:r>
        <w:rPr/>
        <w:t>cycle</w:t>
      </w:r>
      <w:r>
        <w:rPr>
          <w:spacing w:val="38"/>
        </w:rPr>
        <w:t> </w:t>
      </w:r>
      <w:r>
        <w:rPr/>
        <w:t>models:</w:t>
      </w:r>
      <w:r>
        <w:rPr>
          <w:spacing w:val="39"/>
        </w:rPr>
        <w:t> </w:t>
      </w:r>
      <w:r>
        <w:rPr/>
        <w:t>Past,</w:t>
      </w:r>
      <w:r>
        <w:rPr>
          <w:spacing w:val="39"/>
        </w:rPr>
        <w:t> </w:t>
      </w:r>
      <w:r>
        <w:rPr/>
        <w:t>present,</w:t>
      </w:r>
      <w:r>
        <w:rPr>
          <w:spacing w:val="39"/>
        </w:rPr>
        <w:t> </w:t>
      </w:r>
      <w:r>
        <w:rPr/>
        <w:t>and</w:t>
      </w:r>
      <w:r>
        <w:rPr>
          <w:spacing w:val="38"/>
        </w:rPr>
        <w:t> </w:t>
      </w:r>
      <w:r>
        <w:rPr/>
        <w:t>future.</w:t>
      </w:r>
      <w:r>
        <w:rPr>
          <w:spacing w:val="38"/>
        </w:rPr>
        <w:t> </w:t>
      </w:r>
      <w:r>
        <w:rPr/>
        <w:t>National</w:t>
      </w:r>
      <w:r>
        <w:rPr>
          <w:spacing w:val="39"/>
        </w:rPr>
        <w:t> </w:t>
      </w:r>
      <w:r>
        <w:rPr/>
        <w:t>Bureau</w:t>
      </w:r>
      <w:r>
        <w:rPr>
          <w:spacing w:val="38"/>
        </w:rPr>
        <w:t> </w:t>
      </w:r>
      <w:r>
        <w:rPr/>
        <w:t>of</w:t>
      </w:r>
      <w:r>
        <w:rPr>
          <w:spacing w:val="-57"/>
        </w:rPr>
        <w:t> </w:t>
      </w:r>
      <w:r>
        <w:rPr/>
        <w:t>Economic</w:t>
      </w:r>
      <w:r>
        <w:rPr>
          <w:spacing w:val="-3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Working</w:t>
      </w:r>
      <w:r>
        <w:rPr>
          <w:spacing w:val="-3"/>
        </w:rPr>
        <w:t> </w:t>
      </w:r>
      <w:r>
        <w:rPr/>
        <w:t>Paper</w:t>
      </w:r>
      <w:r>
        <w:rPr>
          <w:spacing w:val="-1"/>
        </w:rPr>
        <w:t> </w:t>
      </w:r>
      <w:r>
        <w:rPr/>
        <w:t>11401.</w:t>
      </w:r>
      <w:r>
        <w:rPr>
          <w:spacing w:val="-2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from: </w:t>
      </w:r>
      <w:hyperlink r:id="rId107">
        <w:r>
          <w:rPr>
            <w:color w:val="0000FF"/>
            <w:u w:val="single" w:color="0000FF"/>
          </w:rPr>
          <w:t>http://www.nber.org/papers/w11401</w:t>
        </w:r>
        <w:r>
          <w:rPr/>
          <w:t>.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00" w:right="496"/>
      </w:pPr>
      <w:r>
        <w:rPr/>
        <w:pict>
          <v:rect style="position:absolute;margin-left:445.869995pt;margin-top:30.823145pt;width:3.024pt;height:.600010pt;mso-position-horizontal-relative:page;mso-position-vertical-relative:paragraph;z-index:15843840" filled="true" fillcolor="#000000" stroked="false">
            <v:fill type="solid"/>
            <w10:wrap type="none"/>
          </v:rect>
        </w:pict>
      </w:r>
      <w:r>
        <w:rPr/>
        <w:t>Reserve</w:t>
      </w:r>
      <w:r>
        <w:rPr>
          <w:spacing w:val="-4"/>
        </w:rPr>
        <w:t> </w:t>
      </w:r>
      <w:r>
        <w:rPr/>
        <w:t>Bank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India</w:t>
      </w:r>
      <w:r>
        <w:rPr>
          <w:spacing w:val="-6"/>
        </w:rPr>
        <w:t> </w:t>
      </w:r>
      <w:r>
        <w:rPr/>
        <w:t>(2013).</w:t>
      </w:r>
      <w:r>
        <w:rPr>
          <w:spacing w:val="-4"/>
        </w:rPr>
        <w:t> </w:t>
      </w:r>
      <w:r>
        <w:rPr/>
        <w:t>Fiscal-monetary</w:t>
      </w:r>
      <w:r>
        <w:rPr>
          <w:spacing w:val="-9"/>
        </w:rPr>
        <w:t> </w:t>
      </w:r>
      <w:r>
        <w:rPr/>
        <w:t>co-ordination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India: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aassessment.</w:t>
      </w:r>
      <w:r>
        <w:rPr>
          <w:spacing w:val="-2"/>
        </w:rPr>
        <w:t> </w:t>
      </w:r>
      <w:r>
        <w:rPr/>
        <w:t>Available</w:t>
      </w:r>
      <w:r>
        <w:rPr>
          <w:spacing w:val="-57"/>
        </w:rPr>
        <w:t> </w:t>
      </w:r>
      <w:r>
        <w:rPr/>
        <w:t>from:</w:t>
      </w:r>
      <w:r>
        <w:rPr>
          <w:spacing w:val="-1"/>
        </w:rPr>
        <w:t> </w:t>
      </w:r>
      <w:hyperlink r:id="rId108">
        <w:r>
          <w:rPr>
            <w:color w:val="0000FF"/>
            <w:u w:val="single" w:color="0000FF"/>
          </w:rPr>
          <w:t>https://rbidocs.rbi.org.in/rdocs/Publications/PDFs/5FISCAL250213.pdf</w:t>
        </w:r>
      </w:hyperlink>
      <w:r>
        <w:rPr/>
        <w:t>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00" w:right="495"/>
      </w:pPr>
      <w:r>
        <w:rPr/>
        <w:t>Romer,</w:t>
      </w:r>
      <w:r>
        <w:rPr>
          <w:spacing w:val="39"/>
        </w:rPr>
        <w:t> </w:t>
      </w:r>
      <w:r>
        <w:rPr/>
        <w:t>D.</w:t>
      </w:r>
      <w:r>
        <w:rPr>
          <w:spacing w:val="39"/>
        </w:rPr>
        <w:t> </w:t>
      </w:r>
      <w:r>
        <w:rPr/>
        <w:t>(2006).</w:t>
      </w:r>
      <w:r>
        <w:rPr>
          <w:spacing w:val="37"/>
        </w:rPr>
        <w:t> </w:t>
      </w:r>
      <w:r>
        <w:rPr/>
        <w:t>Advanced</w:t>
      </w:r>
      <w:r>
        <w:rPr>
          <w:spacing w:val="39"/>
        </w:rPr>
        <w:t> </w:t>
      </w:r>
      <w:r>
        <w:rPr/>
        <w:t>macroeconomics.</w:t>
      </w:r>
      <w:r>
        <w:rPr>
          <w:spacing w:val="42"/>
        </w:rPr>
        <w:t> </w:t>
      </w:r>
      <w:r>
        <w:rPr/>
        <w:t>3rd</w:t>
      </w:r>
      <w:r>
        <w:rPr>
          <w:spacing w:val="38"/>
        </w:rPr>
        <w:t> </w:t>
      </w:r>
      <w:r>
        <w:rPr/>
        <w:t>Edn.,</w:t>
      </w:r>
      <w:r>
        <w:rPr>
          <w:spacing w:val="39"/>
        </w:rPr>
        <w:t> </w:t>
      </w:r>
      <w:r>
        <w:rPr/>
        <w:t>New</w:t>
      </w:r>
      <w:r>
        <w:rPr>
          <w:spacing w:val="40"/>
        </w:rPr>
        <w:t> </w:t>
      </w:r>
      <w:r>
        <w:rPr/>
        <w:t>York:</w:t>
      </w:r>
      <w:r>
        <w:rPr>
          <w:spacing w:val="42"/>
        </w:rPr>
        <w:t> </w:t>
      </w:r>
      <w:r>
        <w:rPr/>
        <w:t>McGraw-Hill.ISBN</w:t>
      </w:r>
      <w:r>
        <w:rPr>
          <w:spacing w:val="38"/>
        </w:rPr>
        <w:t> </w:t>
      </w:r>
      <w:r>
        <w:rPr/>
        <w:t>No</w:t>
      </w:r>
      <w:r>
        <w:rPr>
          <w:spacing w:val="-57"/>
        </w:rPr>
        <w:t> </w:t>
      </w:r>
      <w:r>
        <w:rPr/>
        <w:t>0070536678, 9780070536678.</w:t>
      </w:r>
    </w:p>
    <w:p>
      <w:pPr>
        <w:pStyle w:val="BodyText"/>
      </w:pPr>
    </w:p>
    <w:p>
      <w:pPr>
        <w:pStyle w:val="BodyText"/>
        <w:tabs>
          <w:tab w:pos="9434" w:val="left" w:leader="none"/>
        </w:tabs>
        <w:ind w:left="500" w:right="496"/>
      </w:pPr>
      <w:r>
        <w:rPr/>
        <w:t>Rossi,</w:t>
      </w:r>
      <w:r>
        <w:rPr>
          <w:spacing w:val="-1"/>
        </w:rPr>
        <w:t> </w:t>
      </w:r>
      <w:r>
        <w:rPr/>
        <w:t>R. (2014). Designing</w:t>
      </w:r>
      <w:r>
        <w:rPr>
          <w:spacing w:val="-3"/>
        </w:rPr>
        <w:t> </w:t>
      </w:r>
      <w:r>
        <w:rPr/>
        <w:t>monetary</w:t>
      </w:r>
      <w:r>
        <w:rPr>
          <w:spacing w:val="-5"/>
        </w:rPr>
        <w:t> </w:t>
      </w:r>
      <w:r>
        <w:rPr/>
        <w:t>and fiscal policy</w:t>
      </w:r>
      <w:r>
        <w:rPr>
          <w:spacing w:val="-5"/>
        </w:rPr>
        <w:t> </w:t>
      </w:r>
      <w:r>
        <w:rPr/>
        <w:t>rules in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new Keynesian</w:t>
      </w:r>
      <w:r>
        <w:rPr>
          <w:spacing w:val="97"/>
        </w:rPr>
        <w:t> </w:t>
      </w:r>
      <w:r>
        <w:rPr/>
        <w:t>model</w:t>
        <w:tab/>
      </w:r>
      <w:r>
        <w:rPr>
          <w:spacing w:val="-1"/>
        </w:rPr>
        <w:t>with</w:t>
      </w:r>
      <w:r>
        <w:rPr>
          <w:spacing w:val="-57"/>
        </w:rPr>
        <w:t> </w:t>
      </w:r>
      <w:r>
        <w:rPr/>
        <w:t>rule-of-thumb</w:t>
      </w:r>
      <w:r>
        <w:rPr>
          <w:spacing w:val="-1"/>
        </w:rPr>
        <w:t> </w:t>
      </w:r>
      <w:r>
        <w:rPr/>
        <w:t>consumers.</w:t>
      </w:r>
      <w:r>
        <w:rPr>
          <w:spacing w:val="1"/>
        </w:rPr>
        <w:t> </w:t>
      </w:r>
      <w:r>
        <w:rPr>
          <w:i/>
        </w:rPr>
        <w:t>Macroeconomic</w:t>
      </w:r>
      <w:r>
        <w:rPr>
          <w:i/>
          <w:spacing w:val="-1"/>
        </w:rPr>
        <w:t> </w:t>
      </w:r>
      <w:r>
        <w:rPr>
          <w:i/>
        </w:rPr>
        <w:t>Dynamics,</w:t>
      </w:r>
      <w:r>
        <w:rPr>
          <w:i/>
          <w:spacing w:val="1"/>
        </w:rPr>
        <w:t> </w:t>
      </w:r>
      <w:r>
        <w:rPr/>
        <w:t>2(18): 395-417.</w:t>
      </w:r>
    </w:p>
    <w:p>
      <w:pPr>
        <w:pStyle w:val="BodyText"/>
      </w:pPr>
    </w:p>
    <w:p>
      <w:pPr>
        <w:pStyle w:val="BodyText"/>
        <w:ind w:left="500" w:right="502"/>
      </w:pPr>
      <w:r>
        <w:rPr/>
        <w:t>Rothenberg,</w:t>
      </w:r>
      <w:r>
        <w:rPr>
          <w:spacing w:val="36"/>
        </w:rPr>
        <w:t> </w:t>
      </w:r>
      <w:r>
        <w:rPr/>
        <w:t>A.D.,</w:t>
      </w:r>
      <w:r>
        <w:rPr>
          <w:spacing w:val="36"/>
        </w:rPr>
        <w:t> </w:t>
      </w:r>
      <w:r>
        <w:rPr/>
        <w:t>(2004).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monetary-fiscal</w:t>
      </w:r>
      <w:r>
        <w:rPr>
          <w:spacing w:val="39"/>
        </w:rPr>
        <w:t> </w:t>
      </w:r>
      <w:r>
        <w:rPr/>
        <w:t>policy</w:t>
      </w:r>
      <w:r>
        <w:rPr>
          <w:spacing w:val="31"/>
        </w:rPr>
        <w:t> </w:t>
      </w:r>
      <w:r>
        <w:rPr/>
        <w:t>mix</w:t>
      </w:r>
      <w:r>
        <w:rPr>
          <w:spacing w:val="39"/>
        </w:rPr>
        <w:t> </w:t>
      </w:r>
      <w:r>
        <w:rPr/>
        <w:t>empirical</w:t>
      </w:r>
      <w:r>
        <w:rPr>
          <w:spacing w:val="36"/>
        </w:rPr>
        <w:t> </w:t>
      </w:r>
      <w:r>
        <w:rPr/>
        <w:t>analysis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Theoretical</w:t>
      </w:r>
      <w:r>
        <w:rPr>
          <w:spacing w:val="-57"/>
        </w:rPr>
        <w:t> </w:t>
      </w:r>
      <w:r>
        <w:rPr/>
        <w:t>implications. Available from:</w:t>
      </w:r>
      <w:r>
        <w:rPr>
          <w:spacing w:val="1"/>
        </w:rPr>
        <w:t> </w:t>
      </w:r>
      <w:hyperlink r:id="rId109">
        <w:r>
          <w:rPr>
            <w:color w:val="0000FF"/>
            <w:u w:val="single" w:color="0000FF"/>
          </w:rPr>
          <w:t>http://citeseerx.ist.psu.edu/viewdoc/download?doi=10.1.1.695.1582&amp;rep=rep1&amp;type</w:t>
        </w:r>
        <w:r>
          <w:rPr>
            <w:color w:val="0000FF"/>
            <w:spacing w:val="59"/>
            <w:u w:val="single" w:color="0000FF"/>
          </w:rPr>
          <w:t> </w:t>
        </w:r>
        <w:r>
          <w:rPr>
            <w:color w:val="0000FF"/>
            <w:u w:val="single" w:color="0000FF"/>
          </w:rPr>
          <w:t>=pdf</w:t>
        </w:r>
      </w:hyperlink>
      <w:r>
        <w:rPr/>
        <w:t>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500" w:right="501"/>
        <w:rPr>
          <w:i/>
        </w:rPr>
      </w:pPr>
      <w:r>
        <w:rPr/>
        <w:t>Ruge-Murcia,</w:t>
      </w:r>
      <w:r>
        <w:rPr>
          <w:spacing w:val="18"/>
        </w:rPr>
        <w:t> </w:t>
      </w:r>
      <w:r>
        <w:rPr/>
        <w:t>F.J.</w:t>
      </w:r>
      <w:r>
        <w:rPr>
          <w:spacing w:val="17"/>
        </w:rPr>
        <w:t> </w:t>
      </w:r>
      <w:r>
        <w:rPr/>
        <w:t>(2005).</w:t>
      </w:r>
      <w:r>
        <w:rPr>
          <w:spacing w:val="16"/>
        </w:rPr>
        <w:t> </w:t>
      </w:r>
      <w:r>
        <w:rPr/>
        <w:t>Methods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estimate</w:t>
      </w:r>
      <w:r>
        <w:rPr>
          <w:spacing w:val="16"/>
        </w:rPr>
        <w:t> </w:t>
      </w:r>
      <w:r>
        <w:rPr/>
        <w:t>dynamic</w:t>
      </w:r>
      <w:r>
        <w:rPr>
          <w:spacing w:val="17"/>
        </w:rPr>
        <w:t> </w:t>
      </w:r>
      <w:r>
        <w:rPr/>
        <w:t>stochastic</w:t>
      </w:r>
      <w:r>
        <w:rPr>
          <w:spacing w:val="18"/>
        </w:rPr>
        <w:t> </w:t>
      </w:r>
      <w:r>
        <w:rPr/>
        <w:t>general</w:t>
      </w:r>
      <w:r>
        <w:rPr>
          <w:spacing w:val="18"/>
        </w:rPr>
        <w:t> </w:t>
      </w:r>
      <w:r>
        <w:rPr/>
        <w:t>equilibrium</w:t>
      </w:r>
      <w:r>
        <w:rPr>
          <w:spacing w:val="18"/>
        </w:rPr>
        <w:t> </w:t>
      </w:r>
      <w:r>
        <w:rPr/>
        <w:t>models.</w:t>
      </w:r>
      <w:r>
        <w:rPr>
          <w:spacing w:val="-57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from:</w:t>
      </w:r>
      <w:r>
        <w:rPr>
          <w:spacing w:val="1"/>
        </w:rPr>
        <w:t> </w:t>
      </w:r>
      <w:hyperlink r:id="rId110">
        <w:r>
          <w:rPr>
            <w:color w:val="0000FF"/>
            <w:u w:val="single" w:color="0000FF"/>
          </w:rPr>
          <w:t>https://pdfs.semanticscholar.org/e032/efaf5b37de4820487b1c23e5efb7c68ce8ba.pdf</w:t>
        </w:r>
      </w:hyperlink>
      <w:r>
        <w:rPr>
          <w:i/>
        </w:rPr>
        <w:t>.</w:t>
      </w:r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spacing w:before="90"/>
        <w:ind w:left="500" w:right="497"/>
      </w:pPr>
      <w:r>
        <w:rPr/>
        <w:t>Sanusi,</w:t>
      </w:r>
      <w:r>
        <w:rPr>
          <w:spacing w:val="54"/>
        </w:rPr>
        <w:t> </w:t>
      </w:r>
      <w:r>
        <w:rPr/>
        <w:t>S.L.</w:t>
      </w:r>
      <w:r>
        <w:rPr>
          <w:spacing w:val="54"/>
        </w:rPr>
        <w:t> </w:t>
      </w:r>
      <w:r>
        <w:rPr/>
        <w:t>(2010).</w:t>
      </w:r>
      <w:r>
        <w:rPr>
          <w:spacing w:val="53"/>
        </w:rPr>
        <w:t> </w:t>
      </w:r>
      <w:r>
        <w:rPr/>
        <w:t>Growth</w:t>
      </w:r>
      <w:r>
        <w:rPr>
          <w:spacing w:val="54"/>
        </w:rPr>
        <w:t> </w:t>
      </w:r>
      <w:r>
        <w:rPr/>
        <w:t>prospects</w:t>
      </w:r>
      <w:r>
        <w:rPr>
          <w:spacing w:val="56"/>
        </w:rPr>
        <w:t> </w:t>
      </w:r>
      <w:r>
        <w:rPr/>
        <w:t>for</w:t>
      </w:r>
      <w:r>
        <w:rPr>
          <w:spacing w:val="52"/>
        </w:rPr>
        <w:t> </w:t>
      </w:r>
      <w:r>
        <w:rPr/>
        <w:t>the</w:t>
      </w:r>
      <w:r>
        <w:rPr>
          <w:spacing w:val="53"/>
        </w:rPr>
        <w:t> </w:t>
      </w:r>
      <w:r>
        <w:rPr/>
        <w:t>Nigerian</w:t>
      </w:r>
      <w:r>
        <w:rPr>
          <w:spacing w:val="54"/>
        </w:rPr>
        <w:t> </w:t>
      </w:r>
      <w:r>
        <w:rPr/>
        <w:t>economy.</w:t>
      </w:r>
      <w:r>
        <w:rPr>
          <w:spacing w:val="56"/>
        </w:rPr>
        <w:t> </w:t>
      </w:r>
      <w:r>
        <w:rPr/>
        <w:t>In:  Convocation</w:t>
      </w:r>
      <w:r>
        <w:rPr>
          <w:spacing w:val="56"/>
        </w:rPr>
        <w:t> </w:t>
      </w:r>
      <w:r>
        <w:rPr/>
        <w:t>Lecture,</w:t>
      </w:r>
      <w:r>
        <w:rPr>
          <w:spacing w:val="-57"/>
        </w:rPr>
        <w:t> </w:t>
      </w:r>
      <w:r>
        <w:rPr/>
        <w:t>Igbinedion</w:t>
      </w:r>
      <w:r>
        <w:rPr>
          <w:spacing w:val="1"/>
        </w:rPr>
        <w:t> </w:t>
      </w:r>
      <w:r>
        <w:rPr/>
        <w:t>University, 26 November</w:t>
      </w:r>
      <w:r>
        <w:rPr>
          <w:spacing w:val="-2"/>
        </w:rPr>
        <w:t> </w:t>
      </w:r>
      <w:r>
        <w:rPr/>
        <w:t>2010.</w:t>
      </w:r>
    </w:p>
    <w:p>
      <w:pPr>
        <w:pStyle w:val="BodyText"/>
      </w:pPr>
    </w:p>
    <w:p>
      <w:pPr>
        <w:spacing w:before="0"/>
        <w:ind w:left="500" w:right="497" w:firstLine="0"/>
        <w:jc w:val="left"/>
        <w:rPr>
          <w:sz w:val="24"/>
        </w:rPr>
      </w:pPr>
      <w:r>
        <w:rPr>
          <w:sz w:val="24"/>
        </w:rPr>
        <w:t>Sargent,</w:t>
      </w:r>
      <w:r>
        <w:rPr>
          <w:spacing w:val="-12"/>
          <w:sz w:val="24"/>
        </w:rPr>
        <w:t> </w:t>
      </w:r>
      <w:r>
        <w:rPr>
          <w:sz w:val="24"/>
        </w:rPr>
        <w:t>T.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Wallace,</w:t>
      </w:r>
      <w:r>
        <w:rPr>
          <w:spacing w:val="-9"/>
          <w:sz w:val="24"/>
        </w:rPr>
        <w:t> </w:t>
      </w:r>
      <w:r>
        <w:rPr>
          <w:sz w:val="24"/>
        </w:rPr>
        <w:t>N.</w:t>
      </w:r>
      <w:r>
        <w:rPr>
          <w:spacing w:val="-13"/>
          <w:sz w:val="24"/>
        </w:rPr>
        <w:t> </w:t>
      </w:r>
      <w:r>
        <w:rPr>
          <w:sz w:val="24"/>
        </w:rPr>
        <w:t>(1981).</w:t>
      </w:r>
      <w:r>
        <w:rPr>
          <w:spacing w:val="-11"/>
          <w:sz w:val="24"/>
        </w:rPr>
        <w:t> </w:t>
      </w:r>
      <w:r>
        <w:rPr>
          <w:sz w:val="24"/>
        </w:rPr>
        <w:t>Some</w:t>
      </w:r>
      <w:r>
        <w:rPr>
          <w:spacing w:val="-13"/>
          <w:sz w:val="24"/>
        </w:rPr>
        <w:t> </w:t>
      </w:r>
      <w:r>
        <w:rPr>
          <w:sz w:val="24"/>
        </w:rPr>
        <w:t>unpleasant</w:t>
      </w:r>
      <w:r>
        <w:rPr>
          <w:spacing w:val="-11"/>
          <w:sz w:val="24"/>
        </w:rPr>
        <w:t> </w:t>
      </w:r>
      <w:r>
        <w:rPr>
          <w:sz w:val="24"/>
        </w:rPr>
        <w:t>monetarist</w:t>
      </w:r>
      <w:r>
        <w:rPr>
          <w:spacing w:val="-12"/>
          <w:sz w:val="24"/>
        </w:rPr>
        <w:t> </w:t>
      </w:r>
      <w:r>
        <w:rPr>
          <w:sz w:val="24"/>
        </w:rPr>
        <w:t>arithmetic.</w:t>
      </w:r>
      <w:r>
        <w:rPr>
          <w:spacing w:val="-7"/>
          <w:sz w:val="24"/>
        </w:rPr>
        <w:t> </w:t>
      </w:r>
      <w:r>
        <w:rPr>
          <w:i/>
          <w:sz w:val="24"/>
        </w:rPr>
        <w:t>Federal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Reserve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Bank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Minneapolis Quarterly Review,</w:t>
      </w:r>
      <w:r>
        <w:rPr>
          <w:i/>
          <w:spacing w:val="1"/>
          <w:sz w:val="24"/>
        </w:rPr>
        <w:t> </w:t>
      </w:r>
      <w:r>
        <w:rPr>
          <w:sz w:val="24"/>
        </w:rPr>
        <w:t>5(3): 1-17.</w:t>
      </w:r>
    </w:p>
    <w:p>
      <w:pPr>
        <w:pStyle w:val="BodyText"/>
      </w:pPr>
    </w:p>
    <w:p>
      <w:pPr>
        <w:pStyle w:val="BodyText"/>
        <w:spacing w:before="1"/>
        <w:ind w:left="500" w:right="497"/>
      </w:pPr>
      <w:r>
        <w:rPr/>
        <w:t>Saulo,</w:t>
      </w:r>
      <w:r>
        <w:rPr>
          <w:spacing w:val="6"/>
        </w:rPr>
        <w:t> </w:t>
      </w:r>
      <w:r>
        <w:rPr/>
        <w:t>H.,</w:t>
      </w:r>
      <w:r>
        <w:rPr>
          <w:spacing w:val="5"/>
        </w:rPr>
        <w:t> </w:t>
      </w:r>
      <w:r>
        <w:rPr/>
        <w:t>Rêgo,</w:t>
      </w:r>
      <w:r>
        <w:rPr>
          <w:spacing w:val="8"/>
        </w:rPr>
        <w:t> </w:t>
      </w:r>
      <w:r>
        <w:rPr/>
        <w:t>L.</w:t>
      </w:r>
      <w:r>
        <w:rPr>
          <w:spacing w:val="5"/>
        </w:rPr>
        <w:t> </w:t>
      </w:r>
      <w:r>
        <w:rPr/>
        <w:t>C.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Divino,</w:t>
      </w:r>
      <w:r>
        <w:rPr>
          <w:spacing w:val="4"/>
        </w:rPr>
        <w:t> </w:t>
      </w:r>
      <w:r>
        <w:rPr/>
        <w:t>J.A.</w:t>
      </w:r>
      <w:r>
        <w:rPr>
          <w:spacing w:val="5"/>
        </w:rPr>
        <w:t> </w:t>
      </w:r>
      <w:r>
        <w:rPr/>
        <w:t>(2013).</w:t>
      </w:r>
      <w:r>
        <w:rPr>
          <w:spacing w:val="5"/>
        </w:rPr>
        <w:t> </w:t>
      </w:r>
      <w:r>
        <w:rPr/>
        <w:t>Fiscal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monetary</w:t>
      </w:r>
      <w:r>
        <w:rPr>
          <w:spacing w:val="1"/>
        </w:rPr>
        <w:t> </w:t>
      </w:r>
      <w:r>
        <w:rPr/>
        <w:t>policy</w:t>
      </w:r>
      <w:r>
        <w:rPr>
          <w:spacing w:val="3"/>
        </w:rPr>
        <w:t> </w:t>
      </w:r>
      <w:r>
        <w:rPr/>
        <w:t>interactions: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game</w:t>
      </w:r>
      <w:r>
        <w:rPr>
          <w:spacing w:val="-57"/>
        </w:rPr>
        <w:t> </w:t>
      </w:r>
      <w:r>
        <w:rPr/>
        <w:t>theoretical</w:t>
      </w:r>
      <w:r>
        <w:rPr>
          <w:spacing w:val="-1"/>
        </w:rPr>
        <w:t> </w:t>
      </w:r>
      <w:r>
        <w:rPr/>
        <w:t>approach.</w:t>
      </w:r>
      <w:r>
        <w:rPr>
          <w:spacing w:val="2"/>
        </w:rPr>
        <w:t> </w:t>
      </w:r>
      <w:hyperlink r:id="rId111">
        <w:r>
          <w:rPr>
            <w:i/>
            <w:color w:val="0000FF"/>
            <w:u w:val="single" w:color="0000FF"/>
          </w:rPr>
          <w:t>Annals of Operations</w:t>
        </w:r>
        <w:r>
          <w:rPr>
            <w:i/>
            <w:color w:val="0000FF"/>
            <w:spacing w:val="-1"/>
            <w:u w:val="single" w:color="0000FF"/>
          </w:rPr>
          <w:t> </w:t>
        </w:r>
        <w:r>
          <w:rPr>
            <w:i/>
            <w:color w:val="0000FF"/>
            <w:u w:val="single" w:color="0000FF"/>
          </w:rPr>
          <w:t>Research</w:t>
        </w:r>
      </w:hyperlink>
      <w:r>
        <w:rPr>
          <w:color w:val="0000FF"/>
          <w:u w:val="single" w:color="0000FF"/>
        </w:rPr>
        <w:t>,</w:t>
      </w:r>
      <w:r>
        <w:rPr>
          <w:color w:val="0000FF"/>
        </w:rPr>
        <w:t> </w:t>
      </w:r>
      <w:r>
        <w:rPr/>
        <w:t>206(1): 341-366.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00"/>
        <w:jc w:val="both"/>
      </w:pPr>
      <w:r>
        <w:rPr/>
        <w:t>Schmitt-Grohe</w:t>
      </w:r>
      <w:r>
        <w:rPr>
          <w:spacing w:val="7"/>
        </w:rPr>
        <w:t> </w:t>
      </w:r>
      <w:r>
        <w:rPr/>
        <w:t>S.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Uribe,</w:t>
      </w:r>
      <w:r>
        <w:rPr>
          <w:spacing w:val="8"/>
        </w:rPr>
        <w:t> </w:t>
      </w:r>
      <w:r>
        <w:rPr/>
        <w:t>M.</w:t>
      </w:r>
      <w:r>
        <w:rPr>
          <w:spacing w:val="9"/>
        </w:rPr>
        <w:t> </w:t>
      </w:r>
      <w:r>
        <w:rPr/>
        <w:t>(2004).</w:t>
      </w:r>
      <w:r>
        <w:rPr>
          <w:spacing w:val="8"/>
        </w:rPr>
        <w:t> </w:t>
      </w:r>
      <w:r>
        <w:rPr/>
        <w:t>Optimal</w:t>
      </w:r>
      <w:r>
        <w:rPr>
          <w:spacing w:val="9"/>
        </w:rPr>
        <w:t> </w:t>
      </w:r>
      <w:r>
        <w:rPr/>
        <w:t>fiscal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monetary</w:t>
      </w:r>
      <w:r>
        <w:rPr>
          <w:spacing w:val="4"/>
        </w:rPr>
        <w:t> </w:t>
      </w:r>
      <w:r>
        <w:rPr/>
        <w:t>policy</w:t>
      </w:r>
      <w:r>
        <w:rPr>
          <w:spacing w:val="4"/>
        </w:rPr>
        <w:t> </w:t>
      </w:r>
      <w:r>
        <w:rPr/>
        <w:t>under</w:t>
      </w:r>
      <w:r>
        <w:rPr>
          <w:spacing w:val="8"/>
        </w:rPr>
        <w:t> </w:t>
      </w:r>
      <w:r>
        <w:rPr/>
        <w:t>sticky</w:t>
      </w:r>
      <w:r>
        <w:rPr>
          <w:spacing w:val="4"/>
        </w:rPr>
        <w:t> </w:t>
      </w:r>
      <w:r>
        <w:rPr/>
        <w:t>prices.</w:t>
      </w:r>
    </w:p>
    <w:p>
      <w:pPr>
        <w:spacing w:before="0"/>
        <w:ind w:left="500" w:right="0" w:firstLine="0"/>
        <w:jc w:val="both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Theory, </w:t>
      </w:r>
      <w:r>
        <w:rPr>
          <w:sz w:val="24"/>
        </w:rPr>
        <w:t>114: 198–230.</w:t>
      </w:r>
    </w:p>
    <w:p>
      <w:pPr>
        <w:pStyle w:val="BodyText"/>
      </w:pPr>
    </w:p>
    <w:p>
      <w:pPr>
        <w:spacing w:before="0"/>
        <w:ind w:left="500" w:right="501" w:firstLine="0"/>
        <w:jc w:val="both"/>
        <w:rPr>
          <w:sz w:val="24"/>
        </w:rPr>
      </w:pPr>
      <w:r>
        <w:rPr>
          <w:sz w:val="24"/>
        </w:rPr>
        <w:t>Schmitt-Grohe, S., and Uribe, M. (2007). Optimal simple and implementable monetary and fiscal</w:t>
      </w:r>
      <w:r>
        <w:rPr>
          <w:spacing w:val="-58"/>
          <w:sz w:val="24"/>
        </w:rPr>
        <w:t> </w:t>
      </w:r>
      <w:r>
        <w:rPr>
          <w:sz w:val="24"/>
        </w:rPr>
        <w:t>rules.</w:t>
      </w:r>
      <w:r>
        <w:rPr>
          <w:spacing w:val="-1"/>
          <w:sz w:val="24"/>
        </w:rPr>
        <w:t> </w:t>
      </w:r>
      <w:r>
        <w:rPr>
          <w:i/>
          <w:sz w:val="24"/>
        </w:rPr>
        <w:t>Journal of Monetary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Economics,</w:t>
      </w:r>
      <w:r>
        <w:rPr>
          <w:i/>
          <w:spacing w:val="1"/>
          <w:sz w:val="24"/>
        </w:rPr>
        <w:t> </w:t>
      </w:r>
      <w:r>
        <w:rPr>
          <w:sz w:val="24"/>
        </w:rPr>
        <w:t>54: 1702–1725.</w:t>
      </w:r>
    </w:p>
    <w:p>
      <w:pPr>
        <w:pStyle w:val="BodyText"/>
      </w:pPr>
    </w:p>
    <w:p>
      <w:pPr>
        <w:pStyle w:val="BodyText"/>
        <w:tabs>
          <w:tab w:pos="2640" w:val="left" w:leader="none"/>
          <w:tab w:pos="4982" w:val="left" w:leader="none"/>
          <w:tab w:pos="7156" w:val="left" w:leader="none"/>
          <w:tab w:pos="9325" w:val="left" w:leader="none"/>
        </w:tabs>
        <w:ind w:left="500" w:right="501"/>
        <w:jc w:val="both"/>
      </w:pPr>
      <w:r>
        <w:rPr/>
        <w:pict>
          <v:rect style="position:absolute;margin-left:314.450012pt;margin-top:40.153091pt;width:3pt;height:.60004pt;mso-position-horizontal-relative:page;mso-position-vertical-relative:paragraph;z-index:15844352" filled="true" fillcolor="#000000" stroked="false">
            <v:fill type="solid"/>
            <w10:wrap type="none"/>
          </v:rect>
        </w:pict>
      </w:r>
      <w:r>
        <w:rPr/>
        <w:t>Senbeta, S.R. (2011). A Small Open Economy New Keynesian DSGE model for a foreign</w:t>
      </w:r>
      <w:r>
        <w:rPr>
          <w:spacing w:val="1"/>
        </w:rPr>
        <w:t> </w:t>
      </w:r>
      <w:r>
        <w:rPr/>
        <w:t>exchange</w:t>
        <w:tab/>
        <w:t>constrained</w:t>
        <w:tab/>
        <w:t>economy.</w:t>
        <w:tab/>
        <w:t>Available</w:t>
        <w:tab/>
      </w:r>
      <w:r>
        <w:rPr>
          <w:spacing w:val="-2"/>
        </w:rPr>
        <w:t>from:</w:t>
      </w:r>
      <w:r>
        <w:rPr>
          <w:spacing w:val="-58"/>
        </w:rPr>
        <w:t> </w:t>
      </w:r>
      <w:hyperlink r:id="rId112">
        <w:r>
          <w:rPr>
            <w:color w:val="0000FF"/>
            <w:u w:val="single" w:color="0000FF"/>
          </w:rPr>
          <w:t>https://ideas.repec.org/p/ant/wpaper/2011004.html</w:t>
        </w:r>
      </w:hyperlink>
      <w:r>
        <w:rPr/>
        <w:t>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500" w:right="490"/>
        <w:rPr>
          <w:i/>
        </w:rPr>
      </w:pPr>
      <w:r>
        <w:rPr/>
        <w:t>Shahid</w:t>
      </w:r>
      <w:r>
        <w:rPr>
          <w:i/>
        </w:rPr>
        <w:t>, </w:t>
      </w:r>
      <w:r>
        <w:rPr/>
        <w:t>M., Qayyum</w:t>
      </w:r>
      <w:r>
        <w:rPr>
          <w:i/>
        </w:rPr>
        <w:t>, </w:t>
      </w:r>
      <w:r>
        <w:rPr/>
        <w:t>A. and Shahid, W. (2016)</w:t>
      </w:r>
      <w:r>
        <w:rPr>
          <w:i/>
        </w:rPr>
        <w:t>. </w:t>
      </w:r>
      <w:r>
        <w:rPr/>
        <w:t>Fiscal and monetary policy interactions in</w:t>
      </w:r>
      <w:r>
        <w:rPr>
          <w:spacing w:val="1"/>
        </w:rPr>
        <w:t> </w:t>
      </w:r>
      <w:r>
        <w:rPr/>
        <w:t>Pakistan</w:t>
      </w:r>
      <w:r>
        <w:rPr>
          <w:spacing w:val="37"/>
        </w:rPr>
        <w:t> </w:t>
      </w:r>
      <w:r>
        <w:rPr/>
        <w:t>using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dynamic</w:t>
      </w:r>
      <w:r>
        <w:rPr>
          <w:spacing w:val="36"/>
        </w:rPr>
        <w:t> </w:t>
      </w:r>
      <w:r>
        <w:rPr/>
        <w:t>stochastic</w:t>
      </w:r>
      <w:r>
        <w:rPr>
          <w:spacing w:val="38"/>
        </w:rPr>
        <w:t> </w:t>
      </w:r>
      <w:r>
        <w:rPr/>
        <w:t>general</w:t>
      </w:r>
      <w:r>
        <w:rPr>
          <w:spacing w:val="37"/>
        </w:rPr>
        <w:t> </w:t>
      </w:r>
      <w:r>
        <w:rPr/>
        <w:t>equilibrium.</w:t>
      </w:r>
      <w:r>
        <w:rPr>
          <w:spacing w:val="37"/>
        </w:rPr>
        <w:t> </w:t>
      </w:r>
      <w:r>
        <w:rPr/>
        <w:t>Available</w:t>
      </w:r>
      <w:r>
        <w:rPr>
          <w:spacing w:val="36"/>
        </w:rPr>
        <w:t> </w:t>
      </w:r>
      <w:r>
        <w:rPr/>
        <w:t>from:</w:t>
      </w:r>
      <w:r>
        <w:rPr>
          <w:spacing w:val="43"/>
        </w:rPr>
        <w:t> </w:t>
      </w:r>
      <w:hyperlink r:id="rId113">
        <w:r>
          <w:rPr>
            <w:color w:val="0000FF"/>
            <w:u w:val="single" w:color="0000FF"/>
          </w:rPr>
          <w:t>https://mpra.ub.uni-</w:t>
        </w:r>
      </w:hyperlink>
      <w:r>
        <w:rPr>
          <w:color w:val="0000FF"/>
          <w:spacing w:val="-57"/>
        </w:rPr>
        <w:t> </w:t>
      </w:r>
      <w:hyperlink r:id="rId113">
        <w:r>
          <w:rPr>
            <w:color w:val="0000FF"/>
            <w:u w:val="single" w:color="0000FF"/>
          </w:rPr>
          <w:t>muenchen.de/72595/</w:t>
        </w:r>
        <w:r>
          <w:rPr>
            <w:i/>
          </w:rPr>
          <w:t>.</w:t>
        </w:r>
      </w:hyperlink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spacing w:before="90"/>
        <w:ind w:left="500" w:right="490"/>
      </w:pPr>
      <w:r>
        <w:rPr/>
        <w:t>Serbanoiu,</w:t>
      </w:r>
      <w:r>
        <w:rPr>
          <w:spacing w:val="20"/>
        </w:rPr>
        <w:t> </w:t>
      </w:r>
      <w:r>
        <w:rPr/>
        <w:t>G.V.</w:t>
      </w:r>
      <w:r>
        <w:rPr>
          <w:spacing w:val="20"/>
        </w:rPr>
        <w:t> </w:t>
      </w:r>
      <w:r>
        <w:rPr/>
        <w:t>(2012).</w:t>
      </w:r>
      <w:r>
        <w:rPr>
          <w:spacing w:val="23"/>
        </w:rPr>
        <w:t> </w:t>
      </w:r>
      <w:r>
        <w:rPr/>
        <w:t>Transmission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fiscal</w:t>
      </w:r>
      <w:r>
        <w:rPr>
          <w:spacing w:val="20"/>
        </w:rPr>
        <w:t> </w:t>
      </w:r>
      <w:r>
        <w:rPr/>
        <w:t>policy</w:t>
      </w:r>
      <w:r>
        <w:rPr>
          <w:spacing w:val="16"/>
        </w:rPr>
        <w:t> </w:t>
      </w:r>
      <w:r>
        <w:rPr/>
        <w:t>shocks</w:t>
      </w:r>
      <w:r>
        <w:rPr>
          <w:spacing w:val="20"/>
        </w:rPr>
        <w:t> </w:t>
      </w:r>
      <w:r>
        <w:rPr/>
        <w:t>into</w:t>
      </w:r>
      <w:r>
        <w:rPr>
          <w:spacing w:val="20"/>
        </w:rPr>
        <w:t> </w:t>
      </w:r>
      <w:r>
        <w:rPr/>
        <w:t>Romania's</w:t>
      </w:r>
      <w:r>
        <w:rPr>
          <w:spacing w:val="23"/>
        </w:rPr>
        <w:t> </w:t>
      </w:r>
      <w:r>
        <w:rPr/>
        <w:t>economy.</w:t>
      </w:r>
      <w:r>
        <w:rPr>
          <w:spacing w:val="26"/>
        </w:rPr>
        <w:t> </w:t>
      </w:r>
      <w:r>
        <w:rPr/>
        <w:t>MPRA</w:t>
      </w:r>
      <w:r>
        <w:rPr>
          <w:spacing w:val="-57"/>
        </w:rPr>
        <w:t> </w:t>
      </w:r>
      <w:r>
        <w:rPr/>
        <w:t>paper</w:t>
      </w:r>
      <w:r>
        <w:rPr>
          <w:spacing w:val="-1"/>
        </w:rPr>
        <w:t> </w:t>
      </w:r>
      <w:r>
        <w:rPr/>
        <w:t>40947. Available from: </w:t>
      </w:r>
      <w:hyperlink r:id="rId114">
        <w:r>
          <w:rPr>
            <w:color w:val="0000FF"/>
            <w:u w:val="single" w:color="0000FF"/>
          </w:rPr>
          <w:t>https://mpra.ub.uni-muenchen.de/40947/</w:t>
        </w:r>
        <w:r>
          <w:rPr/>
          <w:t>.</w:t>
        </w:r>
      </w:hyperlink>
    </w:p>
    <w:p>
      <w:pPr>
        <w:spacing w:after="0"/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72"/>
        <w:ind w:left="500" w:right="1085"/>
      </w:pPr>
      <w:r>
        <w:rPr/>
        <w:t>Sims,</w:t>
      </w:r>
      <w:r>
        <w:rPr>
          <w:spacing w:val="-1"/>
        </w:rPr>
        <w:t> </w:t>
      </w:r>
      <w:r>
        <w:rPr/>
        <w:t>C.A.</w:t>
      </w:r>
      <w:r>
        <w:rPr>
          <w:spacing w:val="-1"/>
        </w:rPr>
        <w:t> </w:t>
      </w:r>
      <w:r>
        <w:rPr/>
        <w:t>(1994). A</w:t>
      </w:r>
      <w:r>
        <w:rPr>
          <w:spacing w:val="-1"/>
        </w:rPr>
        <w:t> </w:t>
      </w:r>
      <w:r>
        <w:rPr/>
        <w:t>simple model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study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price</w:t>
      </w:r>
      <w:r>
        <w:rPr>
          <w:spacing w:val="-1"/>
        </w:rPr>
        <w:t> </w:t>
      </w:r>
      <w:r>
        <w:rPr/>
        <w:t>level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monetary</w:t>
      </w:r>
      <w:r>
        <w:rPr>
          <w:spacing w:val="-5"/>
        </w:rPr>
        <w:t> </w:t>
      </w:r>
      <w:r>
        <w:rPr/>
        <w:t>and fiscal policy.</w:t>
      </w:r>
      <w:r>
        <w:rPr>
          <w:spacing w:val="1"/>
        </w:rPr>
        <w:t> </w:t>
      </w:r>
      <w:r>
        <w:rPr>
          <w:i/>
        </w:rPr>
        <w:t>Economic</w:t>
      </w:r>
      <w:r>
        <w:rPr>
          <w:i/>
          <w:spacing w:val="-1"/>
        </w:rPr>
        <w:t> </w:t>
      </w:r>
      <w:r>
        <w:rPr>
          <w:i/>
        </w:rPr>
        <w:t>Theory,</w:t>
      </w:r>
      <w:r>
        <w:rPr>
          <w:i/>
          <w:spacing w:val="1"/>
        </w:rPr>
        <w:t> </w:t>
      </w:r>
      <w:r>
        <w:rPr/>
        <w:t>4(3):381-399.</w:t>
      </w:r>
    </w:p>
    <w:p>
      <w:pPr>
        <w:pStyle w:val="BodyText"/>
      </w:pPr>
    </w:p>
    <w:p>
      <w:pPr>
        <w:pStyle w:val="BodyText"/>
        <w:tabs>
          <w:tab w:pos="1279" w:val="left" w:leader="none"/>
          <w:tab w:pos="1970" w:val="left" w:leader="none"/>
          <w:tab w:pos="2908" w:val="left" w:leader="none"/>
          <w:tab w:pos="3517" w:val="left" w:leader="none"/>
          <w:tab w:pos="4755" w:val="left" w:leader="none"/>
          <w:tab w:pos="5514" w:val="left" w:leader="none"/>
          <w:tab w:pos="6883" w:val="left" w:leader="none"/>
          <w:tab w:pos="7320" w:val="left" w:leader="none"/>
          <w:tab w:pos="8152" w:val="left" w:leader="none"/>
          <w:tab w:pos="9323" w:val="left" w:leader="none"/>
        </w:tabs>
        <w:ind w:left="500"/>
      </w:pPr>
      <w:r>
        <w:rPr/>
        <w:t>Sims,</w:t>
        <w:tab/>
        <w:t>C.A.</w:t>
        <w:tab/>
        <w:t>(1999).</w:t>
        <w:tab/>
        <w:t>The</w:t>
        <w:tab/>
        <w:t>precarious</w:t>
        <w:tab/>
        <w:t>fiscal</w:t>
        <w:tab/>
        <w:t>foundations</w:t>
        <w:tab/>
        <w:t>of</w:t>
        <w:tab/>
        <w:t>EMU.</w:t>
        <w:tab/>
        <w:t>Available</w:t>
        <w:tab/>
        <w:t>from:</w:t>
      </w:r>
    </w:p>
    <w:p>
      <w:pPr>
        <w:spacing w:before="0"/>
        <w:ind w:left="500" w:right="0" w:firstLine="0"/>
        <w:jc w:val="left"/>
        <w:rPr>
          <w:i/>
          <w:sz w:val="24"/>
        </w:rPr>
      </w:pPr>
      <w:r>
        <w:rPr>
          <w:i/>
          <w:sz w:val="24"/>
        </w:rPr>
        <w:t>sims.princeton.edu/yftp/Amsterdam/EMU.pdf.</w:t>
      </w:r>
    </w:p>
    <w:p>
      <w:pPr>
        <w:pStyle w:val="BodyText"/>
        <w:rPr>
          <w:i/>
        </w:rPr>
      </w:pPr>
    </w:p>
    <w:p>
      <w:pPr>
        <w:spacing w:before="0"/>
        <w:ind w:left="500" w:right="493" w:firstLine="0"/>
        <w:jc w:val="both"/>
        <w:rPr>
          <w:sz w:val="24"/>
        </w:rPr>
      </w:pPr>
      <w:r>
        <w:rPr>
          <w:sz w:val="24"/>
        </w:rPr>
        <w:t>Smets,</w:t>
      </w:r>
      <w:r>
        <w:rPr>
          <w:spacing w:val="-2"/>
          <w:sz w:val="24"/>
        </w:rPr>
        <w:t> </w:t>
      </w:r>
      <w:r>
        <w:rPr>
          <w:sz w:val="24"/>
        </w:rPr>
        <w:t>F.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Wouters,</w:t>
      </w:r>
      <w:r>
        <w:rPr>
          <w:spacing w:val="-4"/>
          <w:sz w:val="24"/>
        </w:rPr>
        <w:t> </w:t>
      </w:r>
      <w:r>
        <w:rPr>
          <w:sz w:val="24"/>
        </w:rPr>
        <w:t>R.</w:t>
      </w:r>
      <w:r>
        <w:rPr>
          <w:spacing w:val="-2"/>
          <w:sz w:val="24"/>
        </w:rPr>
        <w:t> </w:t>
      </w:r>
      <w:r>
        <w:rPr>
          <w:sz w:val="24"/>
        </w:rPr>
        <w:t>(2003).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estimated</w:t>
      </w:r>
      <w:r>
        <w:rPr>
          <w:spacing w:val="-4"/>
          <w:sz w:val="24"/>
        </w:rPr>
        <w:t> </w:t>
      </w:r>
      <w:r>
        <w:rPr>
          <w:sz w:val="24"/>
        </w:rPr>
        <w:t>dynamic</w:t>
      </w:r>
      <w:r>
        <w:rPr>
          <w:spacing w:val="-2"/>
          <w:sz w:val="24"/>
        </w:rPr>
        <w:t> </w:t>
      </w:r>
      <w:r>
        <w:rPr>
          <w:sz w:val="24"/>
        </w:rPr>
        <w:t>stochastic</w:t>
      </w:r>
      <w:r>
        <w:rPr>
          <w:spacing w:val="-1"/>
          <w:sz w:val="24"/>
        </w:rPr>
        <w:t> </w:t>
      </w:r>
      <w:r>
        <w:rPr>
          <w:sz w:val="24"/>
        </w:rPr>
        <w:t>general</w:t>
      </w:r>
      <w:r>
        <w:rPr>
          <w:spacing w:val="-1"/>
          <w:sz w:val="24"/>
        </w:rPr>
        <w:t> </w:t>
      </w:r>
      <w:r>
        <w:rPr>
          <w:sz w:val="24"/>
        </w:rPr>
        <w:t>equilibrium</w:t>
      </w:r>
      <w:r>
        <w:rPr>
          <w:spacing w:val="-2"/>
          <w:sz w:val="24"/>
        </w:rPr>
        <w:t> </w:t>
      </w: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Euro</w:t>
      </w:r>
      <w:r>
        <w:rPr>
          <w:spacing w:val="1"/>
          <w:sz w:val="24"/>
        </w:rPr>
        <w:t> </w:t>
      </w:r>
      <w:r>
        <w:rPr>
          <w:sz w:val="24"/>
        </w:rPr>
        <w:t>area.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Association,</w:t>
      </w:r>
      <w:r>
        <w:rPr>
          <w:i/>
          <w:spacing w:val="1"/>
          <w:sz w:val="24"/>
        </w:rPr>
        <w:t> </w:t>
      </w:r>
      <w:r>
        <w:rPr>
          <w:sz w:val="24"/>
        </w:rPr>
        <w:t>1(5):</w:t>
      </w:r>
      <w:r>
        <w:rPr>
          <w:spacing w:val="1"/>
          <w:sz w:val="24"/>
        </w:rPr>
        <w:t> </w:t>
      </w:r>
      <w:r>
        <w:rPr>
          <w:sz w:val="24"/>
        </w:rPr>
        <w:t>1123–1175.</w:t>
      </w:r>
      <w:r>
        <w:rPr>
          <w:spacing w:val="1"/>
          <w:sz w:val="24"/>
        </w:rPr>
        <w:t> </w:t>
      </w:r>
      <w:r>
        <w:rPr>
          <w:sz w:val="24"/>
        </w:rPr>
        <w:t>DOI:10.1162/154247603770383415.</w:t>
      </w:r>
    </w:p>
    <w:p>
      <w:pPr>
        <w:pStyle w:val="BodyText"/>
      </w:pPr>
    </w:p>
    <w:p>
      <w:pPr>
        <w:pStyle w:val="BodyText"/>
        <w:ind w:left="500" w:right="729"/>
      </w:pPr>
      <w:r>
        <w:rPr/>
        <w:t>Smets,</w:t>
      </w:r>
      <w:r>
        <w:rPr>
          <w:spacing w:val="-1"/>
        </w:rPr>
        <w:t> </w:t>
      </w:r>
      <w:r>
        <w:rPr/>
        <w:t>F.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Wouters,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(2007).</w:t>
      </w:r>
      <w:r>
        <w:rPr>
          <w:spacing w:val="-1"/>
        </w:rPr>
        <w:t> </w:t>
      </w:r>
      <w:r>
        <w:rPr/>
        <w:t>Shocks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frictions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US</w:t>
      </w:r>
      <w:r>
        <w:rPr>
          <w:spacing w:val="-1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cycles:</w:t>
      </w:r>
      <w:r>
        <w:rPr>
          <w:spacing w:val="-1"/>
        </w:rPr>
        <w:t> </w:t>
      </w:r>
      <w:r>
        <w:rPr/>
        <w:t>A</w:t>
      </w:r>
      <w:r>
        <w:rPr>
          <w:spacing w:val="56"/>
        </w:rPr>
        <w:t> </w:t>
      </w:r>
      <w:r>
        <w:rPr/>
        <w:t>Bayesian</w:t>
      </w:r>
      <w:r>
        <w:rPr>
          <w:spacing w:val="-57"/>
        </w:rPr>
        <w:t> </w:t>
      </w:r>
      <w:r>
        <w:rPr/>
        <w:t>DSGE</w:t>
      </w:r>
      <w:r>
        <w:rPr>
          <w:spacing w:val="-1"/>
        </w:rPr>
        <w:t> </w:t>
      </w:r>
      <w:r>
        <w:rPr/>
        <w:t>approach. </w:t>
      </w:r>
      <w:r>
        <w:rPr>
          <w:i/>
        </w:rPr>
        <w:t>American Economic</w:t>
      </w:r>
      <w:r>
        <w:rPr>
          <w:i/>
          <w:spacing w:val="-1"/>
        </w:rPr>
        <w:t> </w:t>
      </w:r>
      <w:r>
        <w:rPr>
          <w:i/>
        </w:rPr>
        <w:t>Review,</w:t>
      </w:r>
      <w:r>
        <w:rPr>
          <w:i/>
          <w:spacing w:val="1"/>
        </w:rPr>
        <w:t> </w:t>
      </w:r>
      <w:r>
        <w:rPr/>
        <w:t>97(3):586-606.</w:t>
      </w:r>
    </w:p>
    <w:p>
      <w:pPr>
        <w:pStyle w:val="BodyText"/>
        <w:spacing w:before="1"/>
      </w:pPr>
    </w:p>
    <w:p>
      <w:pPr>
        <w:spacing w:before="0"/>
        <w:ind w:left="500" w:right="499" w:firstLine="0"/>
        <w:jc w:val="both"/>
        <w:rPr>
          <w:sz w:val="24"/>
        </w:rPr>
      </w:pPr>
      <w:r>
        <w:rPr>
          <w:sz w:val="24"/>
        </w:rPr>
        <w:t>Solow,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(1956).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contribution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theory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growth.</w:t>
      </w:r>
      <w:r>
        <w:rPr>
          <w:spacing w:val="1"/>
          <w:sz w:val="24"/>
        </w:rPr>
        <w:t> </w:t>
      </w:r>
      <w:r>
        <w:rPr>
          <w:i/>
          <w:sz w:val="24"/>
        </w:rPr>
        <w:t>Quarterly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Economics,</w:t>
      </w:r>
      <w:r>
        <w:rPr>
          <w:i/>
          <w:spacing w:val="-1"/>
          <w:sz w:val="24"/>
        </w:rPr>
        <w:t> </w:t>
      </w:r>
      <w:r>
        <w:rPr>
          <w:sz w:val="24"/>
        </w:rPr>
        <w:t>70: 65-94.</w:t>
      </w:r>
    </w:p>
    <w:p>
      <w:pPr>
        <w:pStyle w:val="BodyText"/>
      </w:pPr>
    </w:p>
    <w:p>
      <w:pPr>
        <w:pStyle w:val="BodyText"/>
        <w:ind w:left="500" w:right="495"/>
        <w:jc w:val="both"/>
      </w:pPr>
      <w:r>
        <w:rPr/>
        <w:t>Theil,</w:t>
      </w:r>
      <w:r>
        <w:rPr>
          <w:spacing w:val="-7"/>
        </w:rPr>
        <w:t> </w:t>
      </w:r>
      <w:r>
        <w:rPr/>
        <w:t>H.</w:t>
      </w:r>
      <w:r>
        <w:rPr>
          <w:spacing w:val="-7"/>
        </w:rPr>
        <w:t> </w:t>
      </w:r>
      <w:r>
        <w:rPr/>
        <w:t>(1957).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note</w:t>
      </w:r>
      <w:r>
        <w:rPr>
          <w:spacing w:val="-9"/>
        </w:rPr>
        <w:t> </w:t>
      </w:r>
      <w:r>
        <w:rPr/>
        <w:t>on</w:t>
      </w:r>
      <w:r>
        <w:rPr>
          <w:spacing w:val="-6"/>
        </w:rPr>
        <w:t> </w:t>
      </w:r>
      <w:r>
        <w:rPr/>
        <w:t>certainty</w:t>
      </w:r>
      <w:r>
        <w:rPr>
          <w:spacing w:val="-11"/>
        </w:rPr>
        <w:t> </w:t>
      </w:r>
      <w:r>
        <w:rPr/>
        <w:t>equivalence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dynamic</w:t>
      </w:r>
      <w:r>
        <w:rPr>
          <w:spacing w:val="-7"/>
        </w:rPr>
        <w:t> </w:t>
      </w:r>
      <w:r>
        <w:rPr/>
        <w:t>planning.</w:t>
      </w:r>
      <w:r>
        <w:rPr>
          <w:spacing w:val="-3"/>
        </w:rPr>
        <w:t> </w:t>
      </w:r>
      <w:r>
        <w:rPr>
          <w:i/>
        </w:rPr>
        <w:t>Econometrica,</w:t>
      </w:r>
      <w:r>
        <w:rPr>
          <w:i/>
          <w:spacing w:val="-5"/>
        </w:rPr>
        <w:t> </w:t>
      </w:r>
      <w:r>
        <w:rPr/>
        <w:t>25(2):</w:t>
      </w:r>
      <w:r>
        <w:rPr>
          <w:spacing w:val="-6"/>
        </w:rPr>
        <w:t> </w:t>
      </w:r>
      <w:r>
        <w:rPr/>
        <w:t>346-</w:t>
      </w:r>
      <w:r>
        <w:rPr>
          <w:spacing w:val="-58"/>
        </w:rPr>
        <w:t> </w:t>
      </w:r>
      <w:r>
        <w:rPr/>
        <w:t>349.</w:t>
      </w:r>
    </w:p>
    <w:p>
      <w:pPr>
        <w:pStyle w:val="BodyText"/>
      </w:pPr>
    </w:p>
    <w:p>
      <w:pPr>
        <w:pStyle w:val="BodyText"/>
        <w:ind w:left="500" w:right="502"/>
        <w:jc w:val="both"/>
      </w:pPr>
      <w:r>
        <w:rPr/>
        <w:t>Tinbergen, J. (1952). On the theory of economic policy. North-Holland Publishing Company,</w:t>
      </w:r>
      <w:r>
        <w:rPr>
          <w:spacing w:val="1"/>
        </w:rPr>
        <w:t> </w:t>
      </w:r>
      <w:r>
        <w:rPr/>
        <w:t>Amsterdam.</w:t>
      </w:r>
      <w:r>
        <w:rPr>
          <w:spacing w:val="-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from</w:t>
      </w:r>
      <w:r>
        <w:rPr>
          <w:spacing w:val="3"/>
        </w:rPr>
        <w:t> </w:t>
      </w:r>
      <w:hyperlink r:id="rId115">
        <w:r>
          <w:rPr>
            <w:color w:val="0000FF"/>
            <w:u w:val="single" w:color="0000FF"/>
          </w:rPr>
          <w:t>http://hdl.handle.net/1765/15884</w:t>
        </w:r>
      </w:hyperlink>
      <w:r>
        <w:rPr/>
        <w:t>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00" w:right="1080"/>
      </w:pPr>
      <w:r>
        <w:rPr/>
        <w:t>Torres,</w:t>
      </w:r>
      <w:r>
        <w:rPr>
          <w:spacing w:val="-2"/>
        </w:rPr>
        <w:t> </w:t>
      </w:r>
      <w:r>
        <w:rPr/>
        <w:t>J.L.</w:t>
      </w:r>
      <w:r>
        <w:rPr>
          <w:spacing w:val="-1"/>
        </w:rPr>
        <w:t> </w:t>
      </w:r>
      <w:r>
        <w:rPr/>
        <w:t>(2015).</w:t>
      </w:r>
      <w:r>
        <w:rPr>
          <w:spacing w:val="-1"/>
        </w:rPr>
        <w:t> </w:t>
      </w:r>
      <w:r>
        <w:rPr/>
        <w:t>Introduction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dynamic</w:t>
      </w:r>
      <w:r>
        <w:rPr>
          <w:spacing w:val="-2"/>
        </w:rPr>
        <w:t> </w:t>
      </w:r>
      <w:r>
        <w:rPr/>
        <w:t>macroeconomic general</w:t>
      </w:r>
      <w:r>
        <w:rPr>
          <w:spacing w:val="-2"/>
        </w:rPr>
        <w:t> </w:t>
      </w:r>
      <w:r>
        <w:rPr/>
        <w:t>equilibrium</w:t>
      </w:r>
      <w:r>
        <w:rPr>
          <w:spacing w:val="18"/>
        </w:rPr>
        <w:t> </w:t>
      </w:r>
      <w:r>
        <w:rPr/>
        <w:t>models.</w:t>
      </w:r>
      <w:r>
        <w:rPr>
          <w:spacing w:val="-57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vertAlign w:val="baseline"/>
        </w:rPr>
        <w:t> Edn., Vernon</w:t>
      </w:r>
      <w:r>
        <w:rPr>
          <w:spacing w:val="-1"/>
          <w:vertAlign w:val="baseline"/>
        </w:rPr>
        <w:t> </w:t>
      </w:r>
      <w:r>
        <w:rPr>
          <w:vertAlign w:val="baseline"/>
        </w:rPr>
        <w:t>Press.</w:t>
      </w:r>
      <w:r>
        <w:rPr>
          <w:spacing w:val="2"/>
          <w:vertAlign w:val="baseline"/>
        </w:rPr>
        <w:t> </w:t>
      </w:r>
      <w:r>
        <w:rPr>
          <w:vertAlign w:val="baseline"/>
        </w:rPr>
        <w:t>ISBN: 978-1-62273-024-7.</w:t>
      </w:r>
    </w:p>
    <w:p>
      <w:pPr>
        <w:pStyle w:val="BodyText"/>
      </w:pPr>
    </w:p>
    <w:p>
      <w:pPr>
        <w:pStyle w:val="BodyText"/>
        <w:spacing w:before="1"/>
        <w:ind w:left="500" w:right="491"/>
        <w:rPr>
          <w:i/>
        </w:rPr>
      </w:pPr>
      <w:r>
        <w:rPr/>
        <w:t>Tovar,</w:t>
      </w:r>
      <w:r>
        <w:rPr>
          <w:spacing w:val="-7"/>
        </w:rPr>
        <w:t> </w:t>
      </w:r>
      <w:r>
        <w:rPr/>
        <w:t>C.E.</w:t>
      </w:r>
      <w:r>
        <w:rPr>
          <w:spacing w:val="-4"/>
        </w:rPr>
        <w:t> </w:t>
      </w:r>
      <w:r>
        <w:rPr/>
        <w:t>(2008).</w:t>
      </w:r>
      <w:r>
        <w:rPr>
          <w:spacing w:val="-4"/>
        </w:rPr>
        <w:t> </w:t>
      </w:r>
      <w:hyperlink r:id="rId116">
        <w:r>
          <w:rPr>
            <w:color w:val="0000FF"/>
            <w:u w:val="single" w:color="0000FF"/>
          </w:rPr>
          <w:t>DSGE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models</w:t>
        </w:r>
        <w:r>
          <w:rPr>
            <w:color w:val="0000FF"/>
            <w:spacing w:val="-6"/>
            <w:u w:val="single" w:color="0000FF"/>
          </w:rPr>
          <w:t> </w:t>
        </w:r>
        <w:r>
          <w:rPr>
            <w:color w:val="0000FF"/>
            <w:u w:val="single" w:color="0000FF"/>
          </w:rPr>
          <w:t>and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central</w:t>
        </w:r>
        <w:r>
          <w:rPr>
            <w:color w:val="0000FF"/>
            <w:spacing w:val="-6"/>
            <w:u w:val="single" w:color="0000FF"/>
          </w:rPr>
          <w:t> </w:t>
        </w:r>
        <w:r>
          <w:rPr>
            <w:color w:val="0000FF"/>
            <w:u w:val="single" w:color="0000FF"/>
          </w:rPr>
          <w:t>banks</w:t>
        </w:r>
      </w:hyperlink>
      <w:r>
        <w:rPr/>
        <w:t>.</w:t>
      </w:r>
      <w:r>
        <w:rPr>
          <w:spacing w:val="-6"/>
        </w:rPr>
        <w:t> </w:t>
      </w:r>
      <w:hyperlink r:id="rId117">
        <w:r>
          <w:rPr>
            <w:color w:val="0000FF"/>
            <w:u w:val="single" w:color="0000FF"/>
          </w:rPr>
          <w:t>Bank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for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International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Settlements</w:t>
        </w:r>
        <w:r>
          <w:rPr>
            <w:color w:val="0000FF"/>
            <w:spacing w:val="-3"/>
            <w:u w:val="single" w:color="0000FF"/>
          </w:rPr>
          <w:t> </w:t>
        </w:r>
      </w:hyperlink>
      <w:r>
        <w:rPr/>
        <w:t>Working</w:t>
      </w:r>
      <w:r>
        <w:rPr>
          <w:spacing w:val="-57"/>
        </w:rPr>
        <w:t> </w:t>
      </w:r>
      <w:r>
        <w:rPr/>
        <w:t>Paper</w:t>
      </w:r>
      <w:r>
        <w:rPr>
          <w:spacing w:val="-1"/>
        </w:rPr>
        <w:t> </w:t>
      </w:r>
      <w:r>
        <w:rPr/>
        <w:t>258. Available</w:t>
      </w:r>
      <w:r>
        <w:rPr>
          <w:spacing w:val="1"/>
        </w:rPr>
        <w:t> </w:t>
      </w:r>
      <w:r>
        <w:rPr/>
        <w:t>from:</w:t>
      </w:r>
      <w:r>
        <w:rPr>
          <w:spacing w:val="1"/>
        </w:rPr>
        <w:t> </w:t>
      </w:r>
      <w:hyperlink r:id="rId118">
        <w:r>
          <w:rPr>
            <w:color w:val="0000FF"/>
            <w:u w:val="single" w:color="0000FF"/>
          </w:rPr>
          <w:t>https://www.bis.org/publ/work258.pdf</w:t>
        </w:r>
      </w:hyperlink>
      <w:r>
        <w:rPr>
          <w:i/>
        </w:rPr>
        <w:t>.</w:t>
      </w:r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tabs>
          <w:tab w:pos="2083" w:val="left" w:leader="none"/>
          <w:tab w:pos="3647" w:val="left" w:leader="none"/>
          <w:tab w:pos="4624" w:val="left" w:leader="none"/>
          <w:tab w:pos="5955" w:val="left" w:leader="none"/>
          <w:tab w:pos="7243" w:val="left" w:leader="none"/>
          <w:tab w:pos="8116" w:val="left" w:leader="none"/>
          <w:tab w:pos="9325" w:val="left" w:leader="none"/>
        </w:tabs>
        <w:spacing w:before="90"/>
        <w:ind w:left="500" w:right="500"/>
      </w:pPr>
      <w:r>
        <w:rPr/>
        <w:t>Transparency</w:t>
        <w:tab/>
        <w:t>International.</w:t>
        <w:tab/>
        <w:t>(2016).</w:t>
        <w:tab/>
        <w:t>Corruption</w:t>
        <w:tab/>
        <w:t>perception</w:t>
        <w:tab/>
        <w:t>index.</w:t>
        <w:tab/>
        <w:t>Available</w:t>
        <w:tab/>
      </w:r>
      <w:r>
        <w:rPr>
          <w:spacing w:val="-1"/>
        </w:rPr>
        <w:t>from:</w:t>
      </w:r>
      <w:r>
        <w:rPr>
          <w:spacing w:val="-57"/>
        </w:rPr>
        <w:t> </w:t>
      </w:r>
      <w:hyperlink r:id="rId119">
        <w:r>
          <w:rPr>
            <w:color w:val="0000FF"/>
            <w:u w:val="single" w:color="0000FF"/>
          </w:rPr>
          <w:t>www.transparency.org/cpi</w:t>
        </w:r>
      </w:hyperlink>
      <w:r>
        <w:rPr/>
        <w:t>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75" w:lineRule="exact" w:before="90"/>
        <w:ind w:left="500"/>
      </w:pPr>
      <w:r>
        <w:rPr/>
        <w:t>Traum,</w:t>
      </w:r>
      <w:r>
        <w:rPr>
          <w:spacing w:val="35"/>
        </w:rPr>
        <w:t> </w:t>
      </w:r>
      <w:r>
        <w:rPr/>
        <w:t>N.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Yang,</w:t>
      </w:r>
      <w:r>
        <w:rPr>
          <w:spacing w:val="35"/>
        </w:rPr>
        <w:t> </w:t>
      </w:r>
      <w:r>
        <w:rPr/>
        <w:t>S.</w:t>
      </w:r>
      <w:r>
        <w:rPr>
          <w:spacing w:val="35"/>
        </w:rPr>
        <w:t> </w:t>
      </w:r>
      <w:r>
        <w:rPr/>
        <w:t>(2011).</w:t>
      </w:r>
      <w:r>
        <w:rPr>
          <w:spacing w:val="35"/>
        </w:rPr>
        <w:t> </w:t>
      </w:r>
      <w:r>
        <w:rPr/>
        <w:t>Monetary</w:t>
      </w:r>
      <w:r>
        <w:rPr>
          <w:spacing w:val="32"/>
        </w:rPr>
        <w:t> </w:t>
      </w:r>
      <w:r>
        <w:rPr/>
        <w:t>and</w:t>
      </w:r>
      <w:r>
        <w:rPr>
          <w:spacing w:val="35"/>
        </w:rPr>
        <w:t> </w:t>
      </w:r>
      <w:r>
        <w:rPr/>
        <w:t>fiscal</w:t>
      </w:r>
      <w:r>
        <w:rPr>
          <w:spacing w:val="36"/>
        </w:rPr>
        <w:t> </w:t>
      </w:r>
      <w:r>
        <w:rPr/>
        <w:t>policy</w:t>
      </w:r>
      <w:r>
        <w:rPr>
          <w:spacing w:val="30"/>
        </w:rPr>
        <w:t> </w:t>
      </w:r>
      <w:r>
        <w:rPr/>
        <w:t>interactions</w:t>
      </w:r>
      <w:r>
        <w:rPr>
          <w:spacing w:val="38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post-war</w:t>
      </w:r>
      <w:r>
        <w:rPr>
          <w:spacing w:val="35"/>
        </w:rPr>
        <w:t> </w:t>
      </w:r>
      <w:r>
        <w:rPr/>
        <w:t>U.S.</w:t>
      </w:r>
    </w:p>
    <w:p>
      <w:pPr>
        <w:spacing w:line="275" w:lineRule="exact" w:before="0"/>
        <w:ind w:left="500" w:right="0" w:firstLine="0"/>
        <w:jc w:val="left"/>
        <w:rPr>
          <w:sz w:val="24"/>
        </w:rPr>
      </w:pPr>
      <w:hyperlink r:id="rId120">
        <w:r>
          <w:rPr>
            <w:i/>
            <w:color w:val="0000FF"/>
            <w:sz w:val="24"/>
            <w:u w:val="single" w:color="0000FF"/>
          </w:rPr>
          <w:t>European</w:t>
        </w:r>
        <w:r>
          <w:rPr>
            <w:i/>
            <w:color w:val="0000FF"/>
            <w:spacing w:val="-2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Economic</w:t>
        </w:r>
        <w:r>
          <w:rPr>
            <w:i/>
            <w:color w:val="0000FF"/>
            <w:spacing w:val="-2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Review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55(1):140-164.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90"/>
        <w:ind w:left="500" w:right="949"/>
        <w:rPr>
          <w:i/>
        </w:rPr>
      </w:pPr>
      <w:r>
        <w:rPr/>
        <w:t>Valdivia, D. and Pérez, D. (2013). Dynamic economic and coordination of fiscal – monetary</w:t>
      </w:r>
      <w:r>
        <w:rPr>
          <w:spacing w:val="-57"/>
        </w:rPr>
        <w:t> </w:t>
      </w:r>
      <w:r>
        <w:rPr/>
        <w:t>policies in Latin America: Evaluation through a DSGE model. Available from:</w:t>
      </w:r>
      <w:r>
        <w:rPr>
          <w:spacing w:val="1"/>
        </w:rPr>
        <w:t> </w:t>
      </w:r>
      <w:hyperlink r:id="rId121">
        <w:r>
          <w:rPr>
            <w:color w:val="0000FF"/>
            <w:u w:val="single" w:color="0000FF"/>
          </w:rPr>
          <w:t>https://ideas.repec.org/p/pra/mprapa/51562.html</w:t>
        </w:r>
      </w:hyperlink>
      <w:r>
        <w:rPr>
          <w:i/>
        </w:rPr>
        <w:t>.</w:t>
      </w:r>
    </w:p>
    <w:p>
      <w:pPr>
        <w:pStyle w:val="BodyText"/>
        <w:spacing w:before="3"/>
        <w:rPr>
          <w:i/>
          <w:sz w:val="16"/>
        </w:rPr>
      </w:pPr>
    </w:p>
    <w:p>
      <w:pPr>
        <w:pStyle w:val="BodyText"/>
        <w:spacing w:before="90"/>
        <w:ind w:left="500" w:right="504"/>
        <w:jc w:val="both"/>
      </w:pPr>
      <w:r>
        <w:rPr/>
        <w:t>Vangu,</w:t>
      </w:r>
      <w:r>
        <w:rPr>
          <w:spacing w:val="1"/>
        </w:rPr>
        <w:t> </w:t>
      </w:r>
      <w:r>
        <w:rPr/>
        <w:t>J.K.T.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DSGE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characterizes</w:t>
      </w:r>
      <w:r>
        <w:rPr>
          <w:spacing w:val="1"/>
        </w:rPr>
        <w:t> </w:t>
      </w:r>
      <w:r>
        <w:rPr/>
        <w:t>correctly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cyclicality in the African least developed countries? International Household Survey Network</w:t>
      </w:r>
      <w:r>
        <w:rPr>
          <w:spacing w:val="1"/>
        </w:rPr>
        <w:t> </w:t>
      </w:r>
      <w:r>
        <w:rPr/>
        <w:t>Working</w:t>
      </w:r>
      <w:r>
        <w:rPr>
          <w:spacing w:val="-3"/>
        </w:rPr>
        <w:t> </w:t>
      </w:r>
      <w:r>
        <w:rPr/>
        <w:t>Paper.</w:t>
      </w:r>
    </w:p>
    <w:p>
      <w:pPr>
        <w:pStyle w:val="BodyText"/>
      </w:pPr>
    </w:p>
    <w:p>
      <w:pPr>
        <w:pStyle w:val="BodyText"/>
        <w:ind w:left="500" w:right="857"/>
      </w:pPr>
      <w:r>
        <w:rPr/>
        <w:t>Walsh</w:t>
      </w:r>
      <w:r>
        <w:rPr>
          <w:i/>
        </w:rPr>
        <w:t>,</w:t>
      </w:r>
      <w:r>
        <w:rPr>
          <w:i/>
          <w:spacing w:val="-1"/>
        </w:rPr>
        <w:t> </w:t>
      </w:r>
      <w:r>
        <w:rPr/>
        <w:t>C.E.</w:t>
      </w:r>
      <w:r>
        <w:rPr>
          <w:spacing w:val="-1"/>
        </w:rPr>
        <w:t> </w:t>
      </w:r>
      <w:r>
        <w:rPr/>
        <w:t>(2010). Monetary</w:t>
      </w:r>
      <w:r>
        <w:rPr>
          <w:spacing w:val="-6"/>
        </w:rPr>
        <w:t> </w:t>
      </w:r>
      <w:r>
        <w:rPr/>
        <w:t>Theory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Policy</w:t>
      </w:r>
      <w:r>
        <w:rPr>
          <w:i/>
        </w:rPr>
        <w:t>.</w:t>
      </w:r>
      <w:r>
        <w:rPr>
          <w:i/>
          <w:spacing w:val="2"/>
        </w:rPr>
        <w:t> </w:t>
      </w:r>
      <w:r>
        <w:rPr/>
        <w:t>3rd</w:t>
      </w:r>
      <w:r>
        <w:rPr>
          <w:spacing w:val="-1"/>
        </w:rPr>
        <w:t> </w:t>
      </w:r>
      <w:r>
        <w:rPr/>
        <w:t>Edn., MIT</w:t>
      </w:r>
      <w:r>
        <w:rPr>
          <w:spacing w:val="-1"/>
        </w:rPr>
        <w:t> </w:t>
      </w:r>
      <w:r>
        <w:rPr/>
        <w:t>Press.</w:t>
      </w:r>
      <w:r>
        <w:rPr>
          <w:spacing w:val="2"/>
        </w:rPr>
        <w:t> </w:t>
      </w:r>
      <w:r>
        <w:rPr/>
        <w:t>ISBN</w:t>
      </w:r>
      <w:r>
        <w:rPr>
          <w:spacing w:val="-1"/>
        </w:rPr>
        <w:t> </w:t>
      </w:r>
      <w:r>
        <w:rPr/>
        <w:t>No</w:t>
      </w:r>
      <w:r>
        <w:rPr>
          <w:spacing w:val="20"/>
        </w:rPr>
        <w:t> </w:t>
      </w:r>
      <w:r>
        <w:rPr/>
        <w:t>978-0-262-</w:t>
      </w:r>
      <w:r>
        <w:rPr>
          <w:spacing w:val="-57"/>
        </w:rPr>
        <w:t> </w:t>
      </w:r>
      <w:r>
        <w:rPr/>
        <w:t>01377-2.</w:t>
      </w:r>
    </w:p>
    <w:p>
      <w:pPr>
        <w:spacing w:after="0"/>
        <w:sectPr>
          <w:pgSz w:w="12240" w:h="15840"/>
          <w:pgMar w:header="0" w:footer="935" w:top="1360" w:bottom="1200" w:left="940" w:right="940"/>
        </w:sectPr>
      </w:pPr>
    </w:p>
    <w:p>
      <w:pPr>
        <w:spacing w:before="72"/>
        <w:ind w:left="500" w:right="489" w:firstLine="0"/>
        <w:jc w:val="left"/>
        <w:rPr>
          <w:sz w:val="24"/>
        </w:rPr>
      </w:pPr>
      <w:r>
        <w:rPr>
          <w:spacing w:val="-1"/>
          <w:sz w:val="24"/>
        </w:rPr>
        <w:t>Weil,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P.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(1987).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Permanent</w:t>
      </w:r>
      <w:r>
        <w:rPr>
          <w:spacing w:val="-12"/>
          <w:sz w:val="24"/>
        </w:rPr>
        <w:t> </w:t>
      </w:r>
      <w:r>
        <w:rPr>
          <w:sz w:val="24"/>
        </w:rPr>
        <w:t>budget</w:t>
      </w:r>
      <w:r>
        <w:rPr>
          <w:spacing w:val="-11"/>
          <w:sz w:val="24"/>
        </w:rPr>
        <w:t> </w:t>
      </w:r>
      <w:r>
        <w:rPr>
          <w:sz w:val="24"/>
        </w:rPr>
        <w:t>deficits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inflation.</w:t>
      </w:r>
      <w:r>
        <w:rPr>
          <w:spacing w:val="-10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Monetary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Economics,</w:t>
      </w:r>
      <w:r>
        <w:rPr>
          <w:i/>
          <w:spacing w:val="-11"/>
          <w:sz w:val="24"/>
        </w:rPr>
        <w:t> </w:t>
      </w:r>
      <w:r>
        <w:rPr>
          <w:sz w:val="24"/>
        </w:rPr>
        <w:t>20:</w:t>
      </w:r>
      <w:r>
        <w:rPr>
          <w:spacing w:val="-12"/>
          <w:sz w:val="24"/>
        </w:rPr>
        <w:t> </w:t>
      </w:r>
      <w:r>
        <w:rPr>
          <w:sz w:val="24"/>
        </w:rPr>
        <w:t>393-</w:t>
      </w:r>
      <w:r>
        <w:rPr>
          <w:spacing w:val="-57"/>
          <w:sz w:val="24"/>
        </w:rPr>
        <w:t> </w:t>
      </w:r>
      <w:r>
        <w:rPr>
          <w:sz w:val="24"/>
        </w:rPr>
        <w:t>410.</w:t>
      </w:r>
    </w:p>
    <w:p>
      <w:pPr>
        <w:pStyle w:val="BodyText"/>
      </w:pPr>
    </w:p>
    <w:p>
      <w:pPr>
        <w:pStyle w:val="BodyText"/>
        <w:ind w:left="500" w:right="500"/>
      </w:pPr>
      <w:r>
        <w:rPr/>
        <w:t>Woodford,</w:t>
      </w:r>
      <w:r>
        <w:rPr>
          <w:spacing w:val="16"/>
        </w:rPr>
        <w:t> </w:t>
      </w:r>
      <w:r>
        <w:rPr/>
        <w:t>M.</w:t>
      </w:r>
      <w:r>
        <w:rPr>
          <w:spacing w:val="18"/>
        </w:rPr>
        <w:t> </w:t>
      </w:r>
      <w:r>
        <w:rPr/>
        <w:t>(1995).</w:t>
      </w:r>
      <w:r>
        <w:rPr>
          <w:spacing w:val="17"/>
        </w:rPr>
        <w:t> </w:t>
      </w:r>
      <w:r>
        <w:rPr/>
        <w:t>Price</w:t>
      </w:r>
      <w:r>
        <w:rPr>
          <w:spacing w:val="17"/>
        </w:rPr>
        <w:t> </w:t>
      </w:r>
      <w:r>
        <w:rPr/>
        <w:t>level</w:t>
      </w:r>
      <w:r>
        <w:rPr>
          <w:spacing w:val="18"/>
        </w:rPr>
        <w:t> </w:t>
      </w:r>
      <w:r>
        <w:rPr/>
        <w:t>determinacy</w:t>
      </w:r>
      <w:r>
        <w:rPr>
          <w:spacing w:val="13"/>
        </w:rPr>
        <w:t> </w:t>
      </w:r>
      <w:r>
        <w:rPr/>
        <w:t>without</w:t>
      </w:r>
      <w:r>
        <w:rPr>
          <w:spacing w:val="18"/>
        </w:rPr>
        <w:t> </w:t>
      </w:r>
      <w:r>
        <w:rPr/>
        <w:t>control</w:t>
      </w:r>
      <w:r>
        <w:rPr>
          <w:spacing w:val="18"/>
        </w:rPr>
        <w:t> </w:t>
      </w:r>
      <w:r>
        <w:rPr/>
        <w:t>of</w:t>
      </w:r>
      <w:r>
        <w:rPr>
          <w:spacing w:val="14"/>
        </w:rPr>
        <w:t> </w:t>
      </w:r>
      <w:r>
        <w:rPr/>
        <w:t>a</w:t>
      </w:r>
      <w:r>
        <w:rPr>
          <w:spacing w:val="17"/>
        </w:rPr>
        <w:t> </w:t>
      </w:r>
      <w:r>
        <w:rPr/>
        <w:t>monetary</w:t>
      </w:r>
      <w:r>
        <w:rPr>
          <w:spacing w:val="13"/>
        </w:rPr>
        <w:t> </w:t>
      </w:r>
      <w:r>
        <w:rPr/>
        <w:t>aggregate.</w:t>
      </w:r>
      <w:r>
        <w:rPr>
          <w:spacing w:val="17"/>
        </w:rPr>
        <w:t> </w:t>
      </w:r>
      <w:r>
        <w:rPr/>
        <w:t>NBER</w:t>
      </w:r>
      <w:r>
        <w:rPr>
          <w:spacing w:val="-57"/>
        </w:rPr>
        <w:t> </w:t>
      </w:r>
      <w:r>
        <w:rPr/>
        <w:t>Working</w:t>
      </w:r>
      <w:r>
        <w:rPr>
          <w:spacing w:val="-4"/>
        </w:rPr>
        <w:t> </w:t>
      </w:r>
      <w:r>
        <w:rPr/>
        <w:t>Paper 5204.</w:t>
      </w:r>
    </w:p>
    <w:p>
      <w:pPr>
        <w:pStyle w:val="BodyText"/>
      </w:pPr>
    </w:p>
    <w:p>
      <w:pPr>
        <w:pStyle w:val="BodyText"/>
        <w:ind w:left="500" w:right="1137"/>
      </w:pPr>
      <w:r>
        <w:rPr/>
        <w:t>Woodford,</w:t>
      </w:r>
      <w:r>
        <w:rPr>
          <w:spacing w:val="-2"/>
        </w:rPr>
        <w:t> </w:t>
      </w:r>
      <w:r>
        <w:rPr/>
        <w:t>M.</w:t>
      </w:r>
      <w:r>
        <w:rPr>
          <w:spacing w:val="-1"/>
        </w:rPr>
        <w:t> </w:t>
      </w:r>
      <w:r>
        <w:rPr/>
        <w:t>(1996).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public</w:t>
      </w:r>
      <w:r>
        <w:rPr>
          <w:spacing w:val="-2"/>
        </w:rPr>
        <w:t> </w:t>
      </w:r>
      <w:r>
        <w:rPr/>
        <w:t>debt: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requirement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price</w:t>
      </w:r>
      <w:r>
        <w:rPr>
          <w:spacing w:val="-2"/>
        </w:rPr>
        <w:t> </w:t>
      </w:r>
      <w:r>
        <w:rPr/>
        <w:t>stability?</w:t>
      </w:r>
      <w:r>
        <w:rPr>
          <w:spacing w:val="2"/>
        </w:rPr>
        <w:t> </w:t>
      </w:r>
      <w:r>
        <w:rPr/>
        <w:t>NBER</w:t>
      </w:r>
      <w:r>
        <w:rPr>
          <w:spacing w:val="-57"/>
        </w:rPr>
        <w:t> </w:t>
      </w:r>
      <w:r>
        <w:rPr/>
        <w:t>Working</w:t>
      </w:r>
      <w:r>
        <w:rPr>
          <w:spacing w:val="-3"/>
        </w:rPr>
        <w:t> </w:t>
      </w:r>
      <w:r>
        <w:rPr/>
        <w:t>Paper</w:t>
      </w:r>
      <w:r>
        <w:rPr>
          <w:spacing w:val="-1"/>
        </w:rPr>
        <w:t> </w:t>
      </w:r>
      <w:r>
        <w:rPr/>
        <w:t>5684.</w:t>
      </w:r>
    </w:p>
    <w:p>
      <w:pPr>
        <w:pStyle w:val="BodyText"/>
      </w:pPr>
    </w:p>
    <w:p>
      <w:pPr>
        <w:spacing w:before="0"/>
        <w:ind w:left="500" w:right="1074" w:firstLine="0"/>
        <w:jc w:val="left"/>
        <w:rPr>
          <w:sz w:val="24"/>
        </w:rPr>
      </w:pPr>
      <w:r>
        <w:rPr>
          <w:sz w:val="24"/>
        </w:rPr>
        <w:t>Woodford,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(2001).</w:t>
      </w:r>
      <w:r>
        <w:rPr>
          <w:spacing w:val="-1"/>
          <w:sz w:val="24"/>
        </w:rPr>
        <w:t> </w:t>
      </w:r>
      <w:r>
        <w:rPr>
          <w:sz w:val="24"/>
        </w:rPr>
        <w:t>Fiscal</w:t>
      </w:r>
      <w:r>
        <w:rPr>
          <w:spacing w:val="-1"/>
          <w:sz w:val="24"/>
        </w:rPr>
        <w:t> </w:t>
      </w:r>
      <w:r>
        <w:rPr>
          <w:sz w:val="24"/>
        </w:rPr>
        <w:t>requirements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price</w:t>
      </w:r>
      <w:r>
        <w:rPr>
          <w:spacing w:val="-2"/>
          <w:sz w:val="24"/>
        </w:rPr>
        <w:t> </w:t>
      </w:r>
      <w:r>
        <w:rPr>
          <w:sz w:val="24"/>
        </w:rPr>
        <w:t>stability.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Money,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Credit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Banking,</w:t>
      </w:r>
      <w:r>
        <w:rPr>
          <w:i/>
          <w:spacing w:val="-2"/>
          <w:sz w:val="24"/>
        </w:rPr>
        <w:t> </w:t>
      </w:r>
      <w:r>
        <w:rPr>
          <w:sz w:val="24"/>
        </w:rPr>
        <w:t>33(3):</w:t>
      </w:r>
      <w:r>
        <w:rPr>
          <w:spacing w:val="-1"/>
          <w:sz w:val="24"/>
        </w:rPr>
        <w:t> </w:t>
      </w:r>
      <w:r>
        <w:rPr>
          <w:sz w:val="24"/>
        </w:rPr>
        <w:t>669-728.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-1"/>
          <w:sz w:val="24"/>
        </w:rPr>
        <w:t> </w:t>
      </w:r>
      <w:r>
        <w:rPr>
          <w:sz w:val="24"/>
        </w:rPr>
        <w:t>from: </w:t>
      </w:r>
      <w:hyperlink r:id="rId122">
        <w:r>
          <w:rPr>
            <w:color w:val="0000FF"/>
            <w:sz w:val="24"/>
            <w:u w:val="single" w:color="0000FF"/>
          </w:rPr>
          <w:t>www.gla.ac.uk/media/media_22210_en.pdf</w:t>
        </w:r>
        <w:r>
          <w:rPr>
            <w:sz w:val="24"/>
          </w:rPr>
          <w:t>.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00" w:right="1917"/>
      </w:pPr>
      <w:r>
        <w:rPr/>
        <w:t>World Bank (2014). Macroeconomic policy. Available from:</w:t>
      </w:r>
      <w:r>
        <w:rPr>
          <w:spacing w:val="1"/>
        </w:rPr>
        <w:t> </w:t>
      </w:r>
      <w:hyperlink r:id="rId123">
        <w:r>
          <w:rPr>
            <w:color w:val="0000FF"/>
            <w:u w:val="single" w:color="0000FF"/>
          </w:rPr>
          <w:t>http://www.worldbank.org/en/topic/macroeconomics/brief/macroeconomic</w:t>
        </w:r>
        <w:r>
          <w:rPr>
            <w:color w:val="0000FF"/>
            <w:spacing w:val="-9"/>
            <w:u w:val="single" w:color="0000FF"/>
          </w:rPr>
          <w:t> </w:t>
        </w:r>
        <w:r>
          <w:rPr>
            <w:color w:val="0000FF"/>
            <w:u w:val="single" w:color="0000FF"/>
          </w:rPr>
          <w:t>policy</w:t>
        </w:r>
      </w:hyperlink>
      <w:r>
        <w:rPr/>
        <w:t>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1980" w:val="left" w:leader="none"/>
          <w:tab w:pos="4140" w:val="left" w:leader="none"/>
          <w:tab w:pos="5963" w:val="left" w:leader="none"/>
          <w:tab w:pos="7530" w:val="left" w:leader="none"/>
          <w:tab w:pos="9327" w:val="left" w:leader="none"/>
        </w:tabs>
        <w:spacing w:before="90"/>
        <w:ind w:left="500" w:right="498"/>
      </w:pPr>
      <w:r>
        <w:rPr/>
        <w:t>World</w:t>
        <w:tab/>
        <w:t>Development</w:t>
        <w:tab/>
        <w:t>Indicators</w:t>
        <w:tab/>
        <w:t>(2016).</w:t>
        <w:tab/>
        <w:t>Available</w:t>
        <w:tab/>
      </w:r>
      <w:r>
        <w:rPr>
          <w:spacing w:val="-1"/>
        </w:rPr>
        <w:t>from:</w:t>
      </w:r>
      <w:r>
        <w:rPr>
          <w:spacing w:val="-57"/>
        </w:rPr>
        <w:t> </w:t>
      </w:r>
      <w:hyperlink r:id="rId124">
        <w:r>
          <w:rPr>
            <w:color w:val="0000FF"/>
            <w:u w:val="single" w:color="0000FF"/>
          </w:rPr>
          <w:t>https://datacatalog.worldbank.org/dataset/world-development-indicators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00"/>
      </w:pPr>
      <w:r>
        <w:rPr/>
        <w:t>World</w:t>
      </w:r>
      <w:r>
        <w:rPr>
          <w:spacing w:val="-3"/>
        </w:rPr>
        <w:t> </w:t>
      </w:r>
      <w:r>
        <w:rPr/>
        <w:t>Governance</w:t>
      </w:r>
      <w:r>
        <w:rPr>
          <w:spacing w:val="-1"/>
        </w:rPr>
        <w:t> </w:t>
      </w:r>
      <w:r>
        <w:rPr/>
        <w:t>Indicators</w:t>
      </w:r>
      <w:r>
        <w:rPr>
          <w:spacing w:val="-2"/>
        </w:rPr>
        <w:t> </w:t>
      </w:r>
      <w:r>
        <w:rPr/>
        <w:t>(2015).</w:t>
      </w:r>
      <w:r>
        <w:rPr>
          <w:spacing w:val="-2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from:</w:t>
      </w:r>
      <w:hyperlink r:id="rId125">
        <w:r>
          <w:rPr>
            <w:color w:val="0000FF"/>
            <w:u w:val="single" w:color="0000FF"/>
          </w:rPr>
          <w:t>http://www.govindicators.org</w:t>
        </w:r>
        <w:r>
          <w:rPr/>
          <w:t>.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00" w:right="496"/>
      </w:pPr>
      <w:r>
        <w:rPr/>
        <w:t>Wren-Lewis, S. (2011). Comparing the delegation of monetary and fiscal policy. Available from:</w:t>
      </w:r>
      <w:r>
        <w:rPr>
          <w:spacing w:val="-57"/>
        </w:rPr>
        <w:t> </w:t>
      </w:r>
      <w:hyperlink r:id="rId126">
        <w:r>
          <w:rPr>
            <w:color w:val="0000FF"/>
            <w:u w:val="single" w:color="0000FF"/>
          </w:rPr>
          <w:t>https://www.economics.ox.ac.uk/materials/working_papers/paper540.pdf</w:t>
        </w:r>
      </w:hyperlink>
    </w:p>
    <w:p>
      <w:pPr>
        <w:pStyle w:val="BodyText"/>
        <w:spacing w:before="2"/>
        <w:rPr>
          <w:sz w:val="16"/>
        </w:rPr>
      </w:pPr>
    </w:p>
    <w:p>
      <w:pPr>
        <w:spacing w:before="90"/>
        <w:ind w:left="500" w:right="712" w:firstLine="0"/>
        <w:jc w:val="left"/>
        <w:rPr>
          <w:i/>
          <w:sz w:val="24"/>
        </w:rPr>
      </w:pPr>
      <w:r>
        <w:rPr>
          <w:sz w:val="24"/>
        </w:rPr>
        <w:t>Yemba, B. (2014). Tax and monetary policy rules in a small open economy with disaggregated</w:t>
      </w:r>
      <w:r>
        <w:rPr>
          <w:spacing w:val="-57"/>
          <w:sz w:val="24"/>
        </w:rPr>
        <w:t> </w:t>
      </w:r>
      <w:r>
        <w:rPr>
          <w:sz w:val="24"/>
        </w:rPr>
        <w:t>government</w:t>
      </w:r>
      <w:r>
        <w:rPr>
          <w:spacing w:val="-4"/>
          <w:sz w:val="24"/>
        </w:rPr>
        <w:t> </w:t>
      </w:r>
      <w:r>
        <w:rPr>
          <w:sz w:val="24"/>
        </w:rPr>
        <w:t>purchases.</w:t>
      </w:r>
      <w:r>
        <w:rPr>
          <w:spacing w:val="-4"/>
          <w:sz w:val="24"/>
        </w:rPr>
        <w:t> </w:t>
      </w:r>
      <w:r>
        <w:rPr>
          <w:sz w:val="24"/>
        </w:rPr>
        <w:t>Available</w:t>
      </w:r>
      <w:r>
        <w:rPr>
          <w:spacing w:val="-3"/>
          <w:sz w:val="24"/>
        </w:rPr>
        <w:t> </w:t>
      </w:r>
      <w:r>
        <w:rPr>
          <w:sz w:val="24"/>
        </w:rPr>
        <w:t>from:</w:t>
      </w:r>
      <w:r>
        <w:rPr>
          <w:spacing w:val="-2"/>
          <w:sz w:val="24"/>
        </w:rPr>
        <w:t> </w:t>
      </w:r>
      <w:r>
        <w:rPr>
          <w:i/>
          <w:sz w:val="24"/>
        </w:rPr>
        <w:t>www2.ku.edu/~econ/people/documents/yemba_000.pdf</w:t>
      </w:r>
    </w:p>
    <w:p>
      <w:pPr>
        <w:pStyle w:val="BodyText"/>
        <w:rPr>
          <w:i/>
        </w:rPr>
      </w:pPr>
    </w:p>
    <w:p>
      <w:pPr>
        <w:pStyle w:val="BodyText"/>
        <w:tabs>
          <w:tab w:pos="1517" w:val="left" w:leader="none"/>
          <w:tab w:pos="2669" w:val="left" w:leader="none"/>
          <w:tab w:pos="4601" w:val="left" w:leader="none"/>
          <w:tab w:pos="5394" w:val="left" w:leader="none"/>
          <w:tab w:pos="6508" w:val="left" w:leader="none"/>
          <w:tab w:pos="7719" w:val="left" w:leader="none"/>
          <w:tab w:pos="9324" w:val="left" w:leader="none"/>
        </w:tabs>
        <w:spacing w:before="1"/>
        <w:ind w:left="500" w:right="499"/>
      </w:pPr>
      <w:r>
        <w:rPr/>
        <w:t>Yelwa,</w:t>
      </w:r>
      <w:r>
        <w:rPr>
          <w:spacing w:val="15"/>
        </w:rPr>
        <w:t> </w:t>
      </w:r>
      <w:r>
        <w:rPr/>
        <w:t>A.J.</w:t>
      </w:r>
      <w:r>
        <w:rPr>
          <w:spacing w:val="13"/>
        </w:rPr>
        <w:t> </w:t>
      </w:r>
      <w:r>
        <w:rPr/>
        <w:t>(2010).</w:t>
      </w:r>
      <w:r>
        <w:rPr>
          <w:spacing w:val="12"/>
        </w:rPr>
        <w:t> </w:t>
      </w:r>
      <w:r>
        <w:rPr/>
        <w:t>Debt</w:t>
      </w:r>
      <w:r>
        <w:rPr>
          <w:spacing w:val="13"/>
        </w:rPr>
        <w:t> </w:t>
      </w:r>
      <w:r>
        <w:rPr/>
        <w:t>management</w:t>
      </w:r>
      <w:r>
        <w:rPr>
          <w:spacing w:val="18"/>
        </w:rPr>
        <w:t> </w:t>
      </w:r>
      <w:r>
        <w:rPr/>
        <w:t>in</w:t>
      </w:r>
      <w:r>
        <w:rPr>
          <w:spacing w:val="13"/>
        </w:rPr>
        <w:t> </w:t>
      </w:r>
      <w:r>
        <w:rPr/>
        <w:t>Nigeria:</w:t>
      </w:r>
      <w:r>
        <w:rPr>
          <w:spacing w:val="14"/>
        </w:rPr>
        <w:t> </w:t>
      </w:r>
      <w:r>
        <w:rPr/>
        <w:t>Fiscal</w:t>
      </w:r>
      <w:r>
        <w:rPr>
          <w:spacing w:val="15"/>
        </w:rPr>
        <w:t> </w:t>
      </w:r>
      <w:r>
        <w:rPr/>
        <w:t>responsibility</w:t>
      </w:r>
      <w:r>
        <w:rPr>
          <w:spacing w:val="10"/>
        </w:rPr>
        <w:t> </w:t>
      </w:r>
      <w:r>
        <w:rPr/>
        <w:t>and</w:t>
      </w:r>
      <w:r>
        <w:rPr>
          <w:spacing w:val="13"/>
        </w:rPr>
        <w:t> </w:t>
      </w:r>
      <w:r>
        <w:rPr/>
        <w:t>public</w:t>
      </w:r>
      <w:r>
        <w:rPr>
          <w:spacing w:val="12"/>
        </w:rPr>
        <w:t> </w:t>
      </w:r>
      <w:r>
        <w:rPr/>
        <w:t>debt.</w:t>
      </w:r>
      <w:r>
        <w:rPr>
          <w:spacing w:val="18"/>
        </w:rPr>
        <w:t> </w:t>
      </w:r>
      <w:r>
        <w:rPr/>
        <w:t>In:</w:t>
      </w:r>
      <w:r>
        <w:rPr>
          <w:spacing w:val="13"/>
        </w:rPr>
        <w:t> </w:t>
      </w:r>
      <w:r>
        <w:rPr/>
        <w:t>The</w:t>
      </w:r>
      <w:r>
        <w:rPr>
          <w:spacing w:val="-57"/>
        </w:rPr>
        <w:t> </w:t>
      </w:r>
      <w:r>
        <w:rPr/>
        <w:t>process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procedure</w:t>
      </w:r>
      <w:r>
        <w:rPr>
          <w:spacing w:val="21"/>
        </w:rPr>
        <w:t> </w:t>
      </w:r>
      <w:r>
        <w:rPr/>
        <w:t>for</w:t>
      </w:r>
      <w:r>
        <w:rPr>
          <w:spacing w:val="23"/>
        </w:rPr>
        <w:t> </w:t>
      </w:r>
      <w:r>
        <w:rPr/>
        <w:t>obtaining</w:t>
      </w:r>
      <w:r>
        <w:rPr>
          <w:spacing w:val="20"/>
        </w:rPr>
        <w:t> </w:t>
      </w:r>
      <w:r>
        <w:rPr/>
        <w:t>foreign</w:t>
      </w:r>
      <w:r>
        <w:rPr>
          <w:spacing w:val="23"/>
        </w:rPr>
        <w:t> </w:t>
      </w:r>
      <w:r>
        <w:rPr/>
        <w:t>loans</w:t>
      </w:r>
      <w:r>
        <w:rPr>
          <w:spacing w:val="23"/>
        </w:rPr>
        <w:t> </w:t>
      </w:r>
      <w:r>
        <w:rPr/>
        <w:t>by</w:t>
      </w:r>
      <w:r>
        <w:rPr>
          <w:spacing w:val="18"/>
        </w:rPr>
        <w:t> </w:t>
      </w:r>
      <w:r>
        <w:rPr/>
        <w:t>Federal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State</w:t>
      </w:r>
      <w:r>
        <w:rPr>
          <w:spacing w:val="24"/>
        </w:rPr>
        <w:t> </w:t>
      </w:r>
      <w:r>
        <w:rPr/>
        <w:t>Government.</w:t>
      </w:r>
      <w:r>
        <w:rPr>
          <w:spacing w:val="24"/>
        </w:rPr>
        <w:t> </w:t>
      </w:r>
      <w:r>
        <w:rPr/>
        <w:t>House</w:t>
      </w:r>
      <w:r>
        <w:rPr>
          <w:spacing w:val="21"/>
        </w:rPr>
        <w:t> </w:t>
      </w:r>
      <w:r>
        <w:rPr/>
        <w:t>of</w:t>
      </w:r>
      <w:r>
        <w:rPr>
          <w:spacing w:val="-57"/>
        </w:rPr>
        <w:t> </w:t>
      </w:r>
      <w:r>
        <w:rPr/>
        <w:t>Representative</w:t>
      </w:r>
      <w:r>
        <w:rPr>
          <w:spacing w:val="-7"/>
        </w:rPr>
        <w:t> </w:t>
      </w:r>
      <w:r>
        <w:rPr/>
        <w:t>Ad-hoc</w:t>
      </w:r>
      <w:r>
        <w:rPr>
          <w:spacing w:val="-7"/>
        </w:rPr>
        <w:t> </w:t>
      </w:r>
      <w:r>
        <w:rPr/>
        <w:t>committee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investigation</w:t>
      </w:r>
      <w:r>
        <w:rPr>
          <w:spacing w:val="-8"/>
        </w:rPr>
        <w:t> </w:t>
      </w:r>
      <w:r>
        <w:rPr/>
        <w:t>into</w:t>
      </w:r>
      <w:r>
        <w:rPr>
          <w:spacing w:val="-9"/>
        </w:rPr>
        <w:t> </w:t>
      </w:r>
      <w:r>
        <w:rPr/>
        <w:t>foreign</w:t>
      </w:r>
      <w:r>
        <w:rPr>
          <w:spacing w:val="-9"/>
        </w:rPr>
        <w:t> </w:t>
      </w:r>
      <w:r>
        <w:rPr/>
        <w:t>loans</w:t>
      </w:r>
      <w:r>
        <w:rPr>
          <w:spacing w:val="-6"/>
        </w:rPr>
        <w:t> </w:t>
      </w:r>
      <w:r>
        <w:rPr/>
        <w:t>obtained</w:t>
      </w:r>
      <w:r>
        <w:rPr>
          <w:spacing w:val="-9"/>
        </w:rPr>
        <w:t> </w:t>
      </w:r>
      <w:r>
        <w:rPr/>
        <w:t>by</w:t>
      </w:r>
      <w:r>
        <w:rPr>
          <w:spacing w:val="-12"/>
        </w:rPr>
        <w:t> </w:t>
      </w:r>
      <w:r>
        <w:rPr/>
        <w:t>both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Federal</w:t>
      </w:r>
      <w:r>
        <w:rPr>
          <w:spacing w:val="-57"/>
        </w:rPr>
        <w:t> </w:t>
      </w:r>
      <w:r>
        <w:rPr/>
        <w:t>and</w:t>
        <w:tab/>
        <w:t>State</w:t>
        <w:tab/>
        <w:t>Government,</w:t>
        <w:tab/>
        <w:t>8</w:t>
        <w:tab/>
        <w:t>June</w:t>
        <w:tab/>
        <w:t>2010.</w:t>
        <w:tab/>
        <w:t>Available</w:t>
        <w:tab/>
      </w:r>
      <w:r>
        <w:rPr>
          <w:spacing w:val="-1"/>
        </w:rPr>
        <w:t>from:</w:t>
      </w:r>
      <w:r>
        <w:rPr>
          <w:spacing w:val="-57"/>
        </w:rPr>
        <w:t> </w:t>
      </w:r>
      <w:hyperlink r:id="rId127">
        <w:r>
          <w:rPr>
            <w:color w:val="0000FF"/>
            <w:spacing w:val="-1"/>
            <w:u w:val="single" w:color="0000FF"/>
          </w:rPr>
          <w:t>http://www.nigerianmuse.com/20130907011016zg/nigeria-watch/debt-manageme </w:t>
        </w:r>
        <w:r>
          <w:rPr>
            <w:color w:val="0000FF"/>
            <w:u w:val="single" w:color="0000FF"/>
          </w:rPr>
          <w:t>nt-in-nigeria-</w:t>
        </w:r>
      </w:hyperlink>
      <w:r>
        <w:rPr>
          <w:color w:val="0000FF"/>
          <w:spacing w:val="1"/>
        </w:rPr>
        <w:t> </w:t>
      </w:r>
      <w:hyperlink r:id="rId127">
        <w:r>
          <w:rPr>
            <w:color w:val="0000FF"/>
            <w:u w:val="single" w:color="0000FF"/>
          </w:rPr>
          <w:t>fiscal-responsibility-and-public-debt-by-alhaji-dr-aliyu-jibril-yelwa/</w:t>
        </w:r>
      </w:hyperlink>
    </w:p>
    <w:p>
      <w:pPr>
        <w:spacing w:after="0"/>
        <w:sectPr>
          <w:pgSz w:w="12240" w:h="15840"/>
          <w:pgMar w:header="0" w:footer="935" w:top="1360" w:bottom="1200" w:left="940" w:right="940"/>
        </w:sectPr>
      </w:pPr>
    </w:p>
    <w:p>
      <w:pPr>
        <w:spacing w:before="74"/>
        <w:ind w:left="3615" w:right="3615" w:firstLine="0"/>
        <w:jc w:val="center"/>
        <w:rPr>
          <w:sz w:val="22"/>
        </w:rPr>
      </w:pPr>
      <w:r>
        <w:rPr>
          <w:sz w:val="22"/>
        </w:rPr>
        <w:t>APPENDICES</w:t>
      </w:r>
    </w:p>
    <w:p>
      <w:pPr>
        <w:spacing w:after="0"/>
        <w:jc w:val="center"/>
        <w:rPr>
          <w:sz w:val="22"/>
        </w:rPr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10"/>
        <w:rPr>
          <w:sz w:val="9"/>
        </w:rPr>
      </w:pPr>
    </w:p>
    <w:p>
      <w:pPr>
        <w:pStyle w:val="BodyText"/>
        <w:ind w:left="3382"/>
        <w:rPr>
          <w:sz w:val="20"/>
        </w:rPr>
      </w:pPr>
      <w:r>
        <w:rPr>
          <w:sz w:val="20"/>
        </w:rPr>
        <w:drawing>
          <wp:inline distT="0" distB="0" distL="0" distR="0">
            <wp:extent cx="3706302" cy="2982944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302" cy="298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0"/>
        <w:ind w:left="500"/>
      </w:pPr>
      <w:r>
        <w:rPr/>
        <w:t>Appendix</w:t>
      </w:r>
      <w:r>
        <w:rPr>
          <w:spacing w:val="1"/>
        </w:rPr>
        <w:t> </w:t>
      </w:r>
      <w:r>
        <w:rPr/>
        <w:t>One:</w:t>
      </w:r>
      <w:r>
        <w:rPr>
          <w:spacing w:val="-1"/>
        </w:rPr>
        <w:t> </w:t>
      </w:r>
      <w:r>
        <w:rPr/>
        <w:t>Prior</w:t>
      </w:r>
    </w:p>
    <w:p>
      <w:pPr>
        <w:pStyle w:val="BodyText"/>
        <w:spacing w:before="6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27">
            <wp:simplePos x="0" y="0"/>
            <wp:positionH relativeFrom="page">
              <wp:posOffset>1451488</wp:posOffset>
            </wp:positionH>
            <wp:positionV relativeFrom="paragraph">
              <wp:posOffset>196755</wp:posOffset>
            </wp:positionV>
            <wp:extent cx="3825965" cy="2829972"/>
            <wp:effectExtent l="0" t="0" r="0" b="0"/>
            <wp:wrapTopAndBottom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965" cy="2829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2240" w:h="15840"/>
          <w:pgMar w:header="0" w:footer="935" w:top="1500" w:bottom="1200" w:left="940" w:right="940"/>
        </w:sect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312"/>
        <w:rPr>
          <w:sz w:val="20"/>
        </w:rPr>
      </w:pPr>
      <w:r>
        <w:rPr>
          <w:sz w:val="20"/>
        </w:rPr>
        <w:drawing>
          <wp:inline distT="0" distB="0" distL="0" distR="0">
            <wp:extent cx="3679965" cy="3059429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965" cy="305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90"/>
        <w:ind w:left="500"/>
      </w:pPr>
      <w:r>
        <w:rPr/>
        <w:t>Appendix Two:</w:t>
      </w:r>
      <w:r>
        <w:rPr>
          <w:spacing w:val="-2"/>
        </w:rPr>
        <w:t> </w:t>
      </w:r>
      <w:r>
        <w:rPr/>
        <w:t>MCMC</w:t>
      </w:r>
      <w:r>
        <w:rPr>
          <w:spacing w:val="-3"/>
        </w:rPr>
        <w:t> </w:t>
      </w:r>
      <w:r>
        <w:rPr/>
        <w:t>Univariate</w:t>
      </w:r>
      <w:r>
        <w:rPr>
          <w:spacing w:val="-2"/>
        </w:rPr>
        <w:t> </w:t>
      </w:r>
      <w:r>
        <w:rPr/>
        <w:t>Diagnostics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28">
            <wp:simplePos x="0" y="0"/>
            <wp:positionH relativeFrom="page">
              <wp:posOffset>1188833</wp:posOffset>
            </wp:positionH>
            <wp:positionV relativeFrom="paragraph">
              <wp:posOffset>122343</wp:posOffset>
            </wp:positionV>
            <wp:extent cx="3150230" cy="2144268"/>
            <wp:effectExtent l="0" t="0" r="0" b="0"/>
            <wp:wrapTopAndBottom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230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2240" w:h="15840"/>
          <w:pgMar w:header="0" w:footer="935" w:top="1500" w:bottom="1200" w:left="940" w:right="940"/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961"/>
        <w:rPr>
          <w:sz w:val="20"/>
        </w:rPr>
      </w:pPr>
      <w:r>
        <w:rPr>
          <w:sz w:val="20"/>
        </w:rPr>
        <w:drawing>
          <wp:inline distT="0" distB="0" distL="0" distR="0">
            <wp:extent cx="2909945" cy="2199131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945" cy="219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29">
            <wp:simplePos x="0" y="0"/>
            <wp:positionH relativeFrom="page">
              <wp:posOffset>1253016</wp:posOffset>
            </wp:positionH>
            <wp:positionV relativeFrom="paragraph">
              <wp:posOffset>160045</wp:posOffset>
            </wp:positionV>
            <wp:extent cx="2999990" cy="2176272"/>
            <wp:effectExtent l="0" t="0" r="0" b="0"/>
            <wp:wrapTopAndBottom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990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2240" w:h="15840"/>
          <w:pgMar w:header="0" w:footer="935" w:top="1500" w:bottom="1120" w:left="94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1105"/>
        <w:rPr>
          <w:sz w:val="20"/>
        </w:rPr>
      </w:pPr>
      <w:r>
        <w:rPr>
          <w:sz w:val="20"/>
        </w:rPr>
        <w:drawing>
          <wp:inline distT="0" distB="0" distL="0" distR="0">
            <wp:extent cx="3353457" cy="2460307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457" cy="246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30">
            <wp:simplePos x="0" y="0"/>
            <wp:positionH relativeFrom="page">
              <wp:posOffset>1302265</wp:posOffset>
            </wp:positionH>
            <wp:positionV relativeFrom="paragraph">
              <wp:posOffset>156736</wp:posOffset>
            </wp:positionV>
            <wp:extent cx="3353392" cy="2460307"/>
            <wp:effectExtent l="0" t="0" r="0" b="0"/>
            <wp:wrapTopAndBottom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392" cy="246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2240" w:h="15840"/>
          <w:pgMar w:header="0" w:footer="935" w:top="1500" w:bottom="1120" w:left="940" w:right="94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1081"/>
        <w:rPr>
          <w:sz w:val="20"/>
        </w:rPr>
      </w:pPr>
      <w:r>
        <w:rPr>
          <w:sz w:val="20"/>
        </w:rPr>
        <w:drawing>
          <wp:inline distT="0" distB="0" distL="0" distR="0">
            <wp:extent cx="3580369" cy="2706624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369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31">
            <wp:simplePos x="0" y="0"/>
            <wp:positionH relativeFrom="page">
              <wp:posOffset>1332529</wp:posOffset>
            </wp:positionH>
            <wp:positionV relativeFrom="paragraph">
              <wp:posOffset>218255</wp:posOffset>
            </wp:positionV>
            <wp:extent cx="3958771" cy="2999232"/>
            <wp:effectExtent l="0" t="0" r="0" b="0"/>
            <wp:wrapTopAndBottom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8771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2240" w:h="15840"/>
          <w:pgMar w:header="0" w:footer="935" w:top="1500" w:bottom="1120" w:left="940" w:right="940"/>
        </w:sectPr>
      </w:pPr>
    </w:p>
    <w:p>
      <w:pPr>
        <w:pStyle w:val="BodyText"/>
        <w:spacing w:before="72"/>
        <w:ind w:left="500"/>
      </w:pPr>
      <w:r>
        <w:rPr/>
        <w:t>Appendix</w:t>
      </w:r>
      <w:r>
        <w:rPr>
          <w:spacing w:val="1"/>
        </w:rPr>
        <w:t> </w:t>
      </w:r>
      <w:r>
        <w:rPr/>
        <w:t>Three:</w:t>
      </w:r>
      <w:r>
        <w:rPr>
          <w:spacing w:val="-1"/>
        </w:rPr>
        <w:t> </w:t>
      </w:r>
      <w:r>
        <w:rPr/>
        <w:t>Dynare Code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Bayesian</w:t>
      </w:r>
      <w:r>
        <w:rPr>
          <w:spacing w:val="-1"/>
        </w:rPr>
        <w:t> </w:t>
      </w:r>
      <w:r>
        <w:rPr/>
        <w:t>Estimation</w:t>
      </w:r>
    </w:p>
    <w:p>
      <w:pPr>
        <w:pStyle w:val="BodyText"/>
        <w:spacing w:before="9"/>
      </w:pPr>
    </w:p>
    <w:p>
      <w:pPr>
        <w:spacing w:before="0"/>
        <w:ind w:left="500" w:right="497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var</w:t>
      </w:r>
      <w:r>
        <w:rPr>
          <w:rFonts w:ascii="Courier New"/>
          <w:spacing w:val="-3"/>
          <w:sz w:val="18"/>
        </w:rPr>
        <w:t> </w:t>
      </w:r>
      <w:r>
        <w:rPr>
          <w:rFonts w:ascii="Courier New"/>
          <w:sz w:val="18"/>
        </w:rPr>
        <w:t>CR</w:t>
      </w:r>
      <w:r>
        <w:rPr>
          <w:rFonts w:ascii="Courier New"/>
          <w:spacing w:val="-3"/>
          <w:sz w:val="18"/>
        </w:rPr>
        <w:t> </w:t>
      </w:r>
      <w:r>
        <w:rPr>
          <w:rFonts w:ascii="Courier New"/>
          <w:sz w:val="18"/>
        </w:rPr>
        <w:t>CNR</w:t>
      </w:r>
      <w:r>
        <w:rPr>
          <w:rFonts w:ascii="Courier New"/>
          <w:spacing w:val="-3"/>
          <w:sz w:val="18"/>
        </w:rPr>
        <w:t> </w:t>
      </w:r>
      <w:r>
        <w:rPr>
          <w:rFonts w:ascii="Courier New"/>
          <w:sz w:val="18"/>
        </w:rPr>
        <w:t>C</w:t>
      </w:r>
      <w:r>
        <w:rPr>
          <w:rFonts w:ascii="Courier New"/>
          <w:spacing w:val="-3"/>
          <w:sz w:val="18"/>
        </w:rPr>
        <w:t> </w:t>
      </w:r>
      <w:r>
        <w:rPr>
          <w:rFonts w:ascii="Courier New"/>
          <w:sz w:val="18"/>
        </w:rPr>
        <w:t>y</w:t>
      </w:r>
      <w:r>
        <w:rPr>
          <w:rFonts w:ascii="Courier New"/>
          <w:spacing w:val="-3"/>
          <w:sz w:val="18"/>
        </w:rPr>
        <w:t> </w:t>
      </w:r>
      <w:r>
        <w:rPr>
          <w:rFonts w:ascii="Courier New"/>
          <w:sz w:val="18"/>
        </w:rPr>
        <w:t>pii_D</w:t>
      </w:r>
      <w:r>
        <w:rPr>
          <w:rFonts w:ascii="Courier New"/>
          <w:spacing w:val="-3"/>
          <w:sz w:val="18"/>
        </w:rPr>
        <w:t> </w:t>
      </w:r>
      <w:r>
        <w:rPr>
          <w:rFonts w:ascii="Courier New"/>
          <w:sz w:val="18"/>
        </w:rPr>
        <w:t>mc</w:t>
      </w:r>
      <w:r>
        <w:rPr>
          <w:rFonts w:ascii="Courier New"/>
          <w:spacing w:val="-3"/>
          <w:sz w:val="18"/>
        </w:rPr>
        <w:t> </w:t>
      </w:r>
      <w:r>
        <w:rPr>
          <w:rFonts w:ascii="Courier New"/>
          <w:sz w:val="18"/>
        </w:rPr>
        <w:t>s</w:t>
      </w:r>
      <w:r>
        <w:rPr>
          <w:rFonts w:ascii="Courier New"/>
          <w:spacing w:val="-3"/>
          <w:sz w:val="18"/>
        </w:rPr>
        <w:t> </w:t>
      </w:r>
      <w:r>
        <w:rPr>
          <w:rFonts w:ascii="Courier New"/>
          <w:sz w:val="18"/>
        </w:rPr>
        <w:t>r</w:t>
      </w:r>
      <w:r>
        <w:rPr>
          <w:rFonts w:ascii="Courier New"/>
          <w:spacing w:val="-3"/>
          <w:sz w:val="18"/>
        </w:rPr>
        <w:t> </w:t>
      </w:r>
      <w:r>
        <w:rPr>
          <w:rFonts w:ascii="Courier New"/>
          <w:sz w:val="18"/>
        </w:rPr>
        <w:t>exr</w:t>
      </w:r>
      <w:r>
        <w:rPr>
          <w:rFonts w:ascii="Courier New"/>
          <w:spacing w:val="-3"/>
          <w:sz w:val="18"/>
        </w:rPr>
        <w:t> </w:t>
      </w:r>
      <w:r>
        <w:rPr>
          <w:rFonts w:ascii="Courier New"/>
          <w:sz w:val="18"/>
        </w:rPr>
        <w:t>g</w:t>
      </w:r>
      <w:r>
        <w:rPr>
          <w:rFonts w:ascii="Courier New"/>
          <w:spacing w:val="-3"/>
          <w:sz w:val="18"/>
        </w:rPr>
        <w:t> </w:t>
      </w:r>
      <w:r>
        <w:rPr>
          <w:rFonts w:ascii="Courier New"/>
          <w:sz w:val="18"/>
        </w:rPr>
        <w:t>ytilde</w:t>
      </w:r>
      <w:r>
        <w:rPr>
          <w:rFonts w:ascii="Courier New"/>
          <w:spacing w:val="-3"/>
          <w:sz w:val="18"/>
        </w:rPr>
        <w:t> </w:t>
      </w:r>
      <w:r>
        <w:rPr>
          <w:rFonts w:ascii="Courier New"/>
          <w:sz w:val="18"/>
        </w:rPr>
        <w:t>pii_F</w:t>
      </w:r>
      <w:r>
        <w:rPr>
          <w:rFonts w:ascii="Courier New"/>
          <w:spacing w:val="-3"/>
          <w:sz w:val="18"/>
        </w:rPr>
        <w:t> </w:t>
      </w:r>
      <w:r>
        <w:rPr>
          <w:rFonts w:ascii="Courier New"/>
          <w:sz w:val="18"/>
        </w:rPr>
        <w:t>ystar</w:t>
      </w:r>
      <w:r>
        <w:rPr>
          <w:rFonts w:ascii="Courier New"/>
          <w:spacing w:val="-3"/>
          <w:sz w:val="18"/>
        </w:rPr>
        <w:t> </w:t>
      </w:r>
      <w:r>
        <w:rPr>
          <w:rFonts w:ascii="Courier New"/>
          <w:sz w:val="18"/>
        </w:rPr>
        <w:t>piistar</w:t>
      </w:r>
      <w:r>
        <w:rPr>
          <w:rFonts w:ascii="Courier New"/>
          <w:spacing w:val="-3"/>
          <w:sz w:val="18"/>
        </w:rPr>
        <w:t> </w:t>
      </w:r>
      <w:r>
        <w:rPr>
          <w:rFonts w:ascii="Courier New"/>
          <w:sz w:val="18"/>
        </w:rPr>
        <w:t>rstar</w:t>
      </w:r>
      <w:r>
        <w:rPr>
          <w:rFonts w:ascii="Courier New"/>
          <w:spacing w:val="-3"/>
          <w:sz w:val="18"/>
        </w:rPr>
        <w:t> </w:t>
      </w:r>
      <w:r>
        <w:rPr>
          <w:rFonts w:ascii="Courier New"/>
          <w:sz w:val="18"/>
        </w:rPr>
        <w:t>a</w:t>
      </w:r>
      <w:r>
        <w:rPr>
          <w:rFonts w:ascii="Courier New"/>
          <w:spacing w:val="-3"/>
          <w:sz w:val="18"/>
        </w:rPr>
        <w:t> </w:t>
      </w:r>
      <w:r>
        <w:rPr>
          <w:rFonts w:ascii="Courier New"/>
          <w:sz w:val="18"/>
        </w:rPr>
        <w:t>taxx</w:t>
      </w:r>
      <w:r>
        <w:rPr>
          <w:rFonts w:ascii="Courier New"/>
          <w:spacing w:val="-3"/>
          <w:sz w:val="18"/>
        </w:rPr>
        <w:t> </w:t>
      </w:r>
      <w:r>
        <w:rPr>
          <w:rFonts w:ascii="Courier New"/>
          <w:sz w:val="18"/>
        </w:rPr>
        <w:t>w</w:t>
      </w:r>
      <w:r>
        <w:rPr>
          <w:rFonts w:ascii="Courier New"/>
          <w:spacing w:val="-3"/>
          <w:sz w:val="18"/>
        </w:rPr>
        <w:t> </w:t>
      </w:r>
      <w:r>
        <w:rPr>
          <w:rFonts w:ascii="Courier New"/>
          <w:sz w:val="18"/>
        </w:rPr>
        <w:t>NNR</w:t>
      </w:r>
      <w:r>
        <w:rPr>
          <w:rFonts w:ascii="Courier New"/>
          <w:spacing w:val="-3"/>
          <w:sz w:val="18"/>
        </w:rPr>
        <w:t> </w:t>
      </w:r>
      <w:r>
        <w:rPr>
          <w:rFonts w:ascii="Courier New"/>
          <w:sz w:val="18"/>
        </w:rPr>
        <w:t>TP</w:t>
      </w:r>
      <w:r>
        <w:rPr>
          <w:rFonts w:ascii="Courier New"/>
          <w:spacing w:val="-3"/>
          <w:sz w:val="18"/>
        </w:rPr>
        <w:t> </w:t>
      </w:r>
      <w:r>
        <w:rPr>
          <w:rFonts w:ascii="Courier New"/>
          <w:sz w:val="18"/>
        </w:rPr>
        <w:t>rn</w:t>
      </w:r>
      <w:r>
        <w:rPr>
          <w:rFonts w:ascii="Courier New"/>
          <w:spacing w:val="-105"/>
          <w:sz w:val="18"/>
        </w:rPr>
        <w:t> </w:t>
      </w:r>
      <w:r>
        <w:rPr>
          <w:rFonts w:ascii="Courier New"/>
          <w:sz w:val="18"/>
        </w:rPr>
        <w:t>pii</w:t>
      </w:r>
      <w:r>
        <w:rPr>
          <w:rFonts w:ascii="Courier New"/>
          <w:spacing w:val="-2"/>
          <w:sz w:val="18"/>
        </w:rPr>
        <w:t> </w:t>
      </w:r>
      <w:r>
        <w:rPr>
          <w:rFonts w:ascii="Courier New"/>
          <w:sz w:val="18"/>
        </w:rPr>
        <w:t>s_piiD</w:t>
      </w:r>
      <w:r>
        <w:rPr>
          <w:rFonts w:ascii="Courier New"/>
          <w:spacing w:val="-1"/>
          <w:sz w:val="18"/>
        </w:rPr>
        <w:t> </w:t>
      </w:r>
      <w:r>
        <w:rPr>
          <w:rFonts w:ascii="Courier New"/>
          <w:sz w:val="18"/>
        </w:rPr>
        <w:t>s_r</w:t>
      </w:r>
      <w:r>
        <w:rPr>
          <w:rFonts w:ascii="Courier New"/>
          <w:spacing w:val="-1"/>
          <w:sz w:val="18"/>
        </w:rPr>
        <w:t> </w:t>
      </w:r>
      <w:r>
        <w:rPr>
          <w:rFonts w:ascii="Courier New"/>
          <w:sz w:val="18"/>
        </w:rPr>
        <w:t>s_y</w:t>
      </w:r>
      <w:r>
        <w:rPr>
          <w:rFonts w:ascii="Courier New"/>
          <w:spacing w:val="-2"/>
          <w:sz w:val="18"/>
        </w:rPr>
        <w:t> </w:t>
      </w:r>
      <w:r>
        <w:rPr>
          <w:rFonts w:ascii="Courier New"/>
          <w:sz w:val="18"/>
        </w:rPr>
        <w:t>s_g</w:t>
      </w:r>
      <w:r>
        <w:rPr>
          <w:rFonts w:ascii="Courier New"/>
          <w:spacing w:val="-1"/>
          <w:sz w:val="18"/>
        </w:rPr>
        <w:t> </w:t>
      </w:r>
      <w:r>
        <w:rPr>
          <w:rFonts w:ascii="Courier New"/>
          <w:sz w:val="18"/>
        </w:rPr>
        <w:t>s_rn;</w:t>
      </w:r>
    </w:p>
    <w:p>
      <w:pPr>
        <w:pStyle w:val="BodyText"/>
        <w:spacing w:before="1"/>
        <w:rPr>
          <w:rFonts w:ascii="Courier New"/>
          <w:sz w:val="18"/>
        </w:rPr>
      </w:pPr>
    </w:p>
    <w:p>
      <w:pPr>
        <w:spacing w:before="0"/>
        <w:ind w:left="500" w:right="497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varexo</w:t>
      </w:r>
      <w:r>
        <w:rPr>
          <w:rFonts w:ascii="Courier New"/>
          <w:spacing w:val="-7"/>
          <w:sz w:val="18"/>
        </w:rPr>
        <w:t> </w:t>
      </w:r>
      <w:r>
        <w:rPr>
          <w:rFonts w:ascii="Courier New"/>
          <w:sz w:val="18"/>
        </w:rPr>
        <w:t>eps_g</w:t>
      </w:r>
      <w:r>
        <w:rPr>
          <w:rFonts w:ascii="Courier New"/>
          <w:spacing w:val="-7"/>
          <w:sz w:val="18"/>
        </w:rPr>
        <w:t> </w:t>
      </w:r>
      <w:r>
        <w:rPr>
          <w:rFonts w:ascii="Courier New"/>
          <w:sz w:val="18"/>
        </w:rPr>
        <w:t>eps_r</w:t>
      </w:r>
      <w:r>
        <w:rPr>
          <w:rFonts w:ascii="Courier New"/>
          <w:spacing w:val="-7"/>
          <w:sz w:val="18"/>
        </w:rPr>
        <w:t> </w:t>
      </w:r>
      <w:r>
        <w:rPr>
          <w:rFonts w:ascii="Courier New"/>
          <w:sz w:val="18"/>
        </w:rPr>
        <w:t>eps_ystar</w:t>
      </w:r>
      <w:r>
        <w:rPr>
          <w:rFonts w:ascii="Courier New"/>
          <w:spacing w:val="-7"/>
          <w:sz w:val="18"/>
        </w:rPr>
        <w:t> </w:t>
      </w:r>
      <w:r>
        <w:rPr>
          <w:rFonts w:ascii="Courier New"/>
          <w:sz w:val="18"/>
        </w:rPr>
        <w:t>eps_piistar</w:t>
      </w:r>
      <w:r>
        <w:rPr>
          <w:rFonts w:ascii="Courier New"/>
          <w:spacing w:val="-7"/>
          <w:sz w:val="18"/>
        </w:rPr>
        <w:t> </w:t>
      </w:r>
      <w:r>
        <w:rPr>
          <w:rFonts w:ascii="Courier New"/>
          <w:sz w:val="18"/>
        </w:rPr>
        <w:t>eps_rstar</w:t>
      </w:r>
      <w:r>
        <w:rPr>
          <w:rFonts w:ascii="Courier New"/>
          <w:spacing w:val="-7"/>
          <w:sz w:val="18"/>
        </w:rPr>
        <w:t> </w:t>
      </w:r>
      <w:r>
        <w:rPr>
          <w:rFonts w:ascii="Courier New"/>
          <w:sz w:val="18"/>
        </w:rPr>
        <w:t>eps_a</w:t>
      </w:r>
      <w:r>
        <w:rPr>
          <w:rFonts w:ascii="Courier New"/>
          <w:spacing w:val="-7"/>
          <w:sz w:val="18"/>
        </w:rPr>
        <w:t> </w:t>
      </w:r>
      <w:r>
        <w:rPr>
          <w:rFonts w:ascii="Courier New"/>
          <w:sz w:val="18"/>
        </w:rPr>
        <w:t>eps_taxx</w:t>
      </w:r>
      <w:r>
        <w:rPr>
          <w:rFonts w:ascii="Courier New"/>
          <w:spacing w:val="-7"/>
          <w:sz w:val="18"/>
        </w:rPr>
        <w:t> </w:t>
      </w:r>
      <w:r>
        <w:rPr>
          <w:rFonts w:ascii="Courier New"/>
          <w:sz w:val="18"/>
        </w:rPr>
        <w:t>eps_TP</w:t>
      </w:r>
      <w:r>
        <w:rPr>
          <w:rFonts w:ascii="Courier New"/>
          <w:spacing w:val="-7"/>
          <w:sz w:val="18"/>
        </w:rPr>
        <w:t> </w:t>
      </w:r>
      <w:r>
        <w:rPr>
          <w:rFonts w:ascii="Courier New"/>
          <w:sz w:val="18"/>
        </w:rPr>
        <w:t>e_piiD</w:t>
      </w:r>
      <w:r>
        <w:rPr>
          <w:rFonts w:ascii="Courier New"/>
          <w:spacing w:val="-6"/>
          <w:sz w:val="18"/>
        </w:rPr>
        <w:t> </w:t>
      </w:r>
      <w:r>
        <w:rPr>
          <w:rFonts w:ascii="Courier New"/>
          <w:sz w:val="18"/>
        </w:rPr>
        <w:t>e_y</w:t>
      </w:r>
      <w:r>
        <w:rPr>
          <w:rFonts w:ascii="Courier New"/>
          <w:spacing w:val="-105"/>
          <w:sz w:val="18"/>
        </w:rPr>
        <w:t> </w:t>
      </w:r>
      <w:r>
        <w:rPr>
          <w:rFonts w:ascii="Courier New"/>
          <w:sz w:val="18"/>
        </w:rPr>
        <w:t>eps_rn;</w:t>
      </w:r>
    </w:p>
    <w:p>
      <w:pPr>
        <w:pStyle w:val="BodyText"/>
        <w:rPr>
          <w:rFonts w:ascii="Courier New"/>
          <w:sz w:val="18"/>
        </w:rPr>
      </w:pPr>
    </w:p>
    <w:p>
      <w:pPr>
        <w:spacing w:before="0"/>
        <w:ind w:left="500" w:right="497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parameters h sigmma pssi alphha omegga betta phii rrho_r rrho_ystar rrho_piistar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rrho_rstar rrho_a rrho_taxx rrho_TP cchi zetta gamarr etta thetta upssilon_pii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upssilon_y</w:t>
      </w:r>
      <w:r>
        <w:rPr>
          <w:rFonts w:ascii="Courier New"/>
          <w:spacing w:val="-9"/>
          <w:sz w:val="18"/>
        </w:rPr>
        <w:t> </w:t>
      </w:r>
      <w:r>
        <w:rPr>
          <w:rFonts w:ascii="Courier New"/>
          <w:sz w:val="18"/>
        </w:rPr>
        <w:t>upssilon_exr</w:t>
      </w:r>
      <w:r>
        <w:rPr>
          <w:rFonts w:ascii="Courier New"/>
          <w:spacing w:val="-9"/>
          <w:sz w:val="18"/>
        </w:rPr>
        <w:t> </w:t>
      </w:r>
      <w:r>
        <w:rPr>
          <w:rFonts w:ascii="Courier New"/>
          <w:sz w:val="18"/>
        </w:rPr>
        <w:t>kapa_alphha</w:t>
      </w:r>
      <w:r>
        <w:rPr>
          <w:rFonts w:ascii="Courier New"/>
          <w:spacing w:val="-9"/>
          <w:sz w:val="18"/>
        </w:rPr>
        <w:t> </w:t>
      </w:r>
      <w:r>
        <w:rPr>
          <w:rFonts w:ascii="Courier New"/>
          <w:sz w:val="18"/>
        </w:rPr>
        <w:t>sigmma_alphha</w:t>
      </w:r>
      <w:r>
        <w:rPr>
          <w:rFonts w:ascii="Courier New"/>
          <w:spacing w:val="-9"/>
          <w:sz w:val="18"/>
        </w:rPr>
        <w:t> </w:t>
      </w:r>
      <w:r>
        <w:rPr>
          <w:rFonts w:ascii="Courier New"/>
          <w:sz w:val="18"/>
        </w:rPr>
        <w:t>paw</w:t>
      </w:r>
      <w:r>
        <w:rPr>
          <w:rFonts w:ascii="Courier New"/>
          <w:spacing w:val="-9"/>
          <w:sz w:val="18"/>
        </w:rPr>
        <w:t> </w:t>
      </w:r>
      <w:r>
        <w:rPr>
          <w:rFonts w:ascii="Courier New"/>
          <w:sz w:val="18"/>
        </w:rPr>
        <w:t>patp</w:t>
      </w:r>
      <w:r>
        <w:rPr>
          <w:rFonts w:ascii="Courier New"/>
          <w:spacing w:val="-8"/>
          <w:sz w:val="18"/>
        </w:rPr>
        <w:t> </w:t>
      </w:r>
      <w:r>
        <w:rPr>
          <w:rFonts w:ascii="Courier New"/>
          <w:sz w:val="18"/>
        </w:rPr>
        <w:t>rrho_rn</w:t>
      </w:r>
      <w:r>
        <w:rPr>
          <w:rFonts w:ascii="Courier New"/>
          <w:spacing w:val="-9"/>
          <w:sz w:val="18"/>
        </w:rPr>
        <w:t> </w:t>
      </w:r>
      <w:r>
        <w:rPr>
          <w:rFonts w:ascii="Courier New"/>
          <w:sz w:val="18"/>
        </w:rPr>
        <w:t>rrho_piiD</w:t>
      </w:r>
      <w:r>
        <w:rPr>
          <w:rFonts w:ascii="Courier New"/>
          <w:spacing w:val="-9"/>
          <w:sz w:val="18"/>
        </w:rPr>
        <w:t> </w:t>
      </w:r>
      <w:r>
        <w:rPr>
          <w:rFonts w:ascii="Courier New"/>
          <w:sz w:val="18"/>
        </w:rPr>
        <w:t>rrho_sr</w:t>
      </w:r>
      <w:r>
        <w:rPr>
          <w:rFonts w:ascii="Courier New"/>
          <w:spacing w:val="-105"/>
          <w:sz w:val="18"/>
        </w:rPr>
        <w:t> </w:t>
      </w:r>
      <w:r>
        <w:rPr>
          <w:rFonts w:ascii="Courier New"/>
          <w:sz w:val="18"/>
        </w:rPr>
        <w:t>rrho_sg</w:t>
      </w:r>
      <w:r>
        <w:rPr>
          <w:rFonts w:ascii="Courier New"/>
          <w:spacing w:val="-2"/>
          <w:sz w:val="18"/>
        </w:rPr>
        <w:t> </w:t>
      </w:r>
      <w:r>
        <w:rPr>
          <w:rFonts w:ascii="Courier New"/>
          <w:sz w:val="18"/>
        </w:rPr>
        <w:t>rrho_sy</w:t>
      </w:r>
      <w:r>
        <w:rPr>
          <w:rFonts w:ascii="Courier New"/>
          <w:spacing w:val="-1"/>
          <w:sz w:val="18"/>
        </w:rPr>
        <w:t> </w:t>
      </w:r>
      <w:r>
        <w:rPr>
          <w:rFonts w:ascii="Courier New"/>
          <w:sz w:val="18"/>
        </w:rPr>
        <w:t>rrho_srn;</w:t>
      </w:r>
    </w:p>
    <w:p>
      <w:pPr>
        <w:pStyle w:val="BodyText"/>
        <w:rPr>
          <w:rFonts w:ascii="Courier New"/>
          <w:sz w:val="18"/>
        </w:rPr>
      </w:pPr>
    </w:p>
    <w:p>
      <w:pPr>
        <w:spacing w:before="1"/>
        <w:ind w:left="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h=0.7;</w:t>
      </w:r>
    </w:p>
    <w:p>
      <w:pPr>
        <w:spacing w:line="240" w:lineRule="auto" w:before="0"/>
        <w:ind w:left="500" w:right="802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sigmma=3.0;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pssi=0.7;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alphha=0.4;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betta=0.95;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phii=4.38;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rrho_r=0.8;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rrho_ystar=0.7;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pacing w:val="-1"/>
          <w:sz w:val="18"/>
        </w:rPr>
        <w:t>rrho_piistar=0.7;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rrho_rstar=0.7;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rrho_a=0.7;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rrho_rn=0.3;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rrho_taxx=0.7;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rrho_TP=0.7;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rrho_piiD=0.7;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rrho_sr=0.7;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rrho_sg=0.7;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rrho_sy=0.7;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rrho_srn=0.7;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pacing w:val="-1"/>
          <w:sz w:val="18"/>
        </w:rPr>
        <w:t>upssilon_pii=1.5;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upssilon_y=0.5;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pacing w:val="-1"/>
          <w:sz w:val="18"/>
        </w:rPr>
        <w:t>upssilon_exr=0.8;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cchi=0.5;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zetta=0.35;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gamarr=0.75;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etta=11.42;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thetta=0.5;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paw=3.2;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patp=1.35;</w:t>
      </w:r>
    </w:p>
    <w:p>
      <w:pPr>
        <w:spacing w:before="0"/>
        <w:ind w:left="500" w:right="4024" w:firstLine="0"/>
        <w:jc w:val="left"/>
        <w:rPr>
          <w:rFonts w:ascii="Courier New"/>
          <w:sz w:val="18"/>
        </w:rPr>
      </w:pPr>
      <w:r>
        <w:rPr>
          <w:rFonts w:ascii="Courier New"/>
          <w:spacing w:val="-1"/>
          <w:sz w:val="18"/>
        </w:rPr>
        <w:t>omegga=((sigmma*gamarr)+(1-alphha)*((sigmma*etta)-1));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sigmma_alphha=sigmma/((1-alphha)+(alphha*omegga));</w:t>
      </w:r>
    </w:p>
    <w:p>
      <w:pPr>
        <w:spacing w:before="0"/>
        <w:ind w:left="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kapa_alphha=(1-thetta)*(1-(betta*thetta))/(thetta*(sigmma_alphha+phii));</w:t>
      </w:r>
    </w:p>
    <w:p>
      <w:pPr>
        <w:pStyle w:val="BodyText"/>
        <w:spacing w:before="10"/>
        <w:rPr>
          <w:rFonts w:ascii="Courier New"/>
          <w:sz w:val="17"/>
        </w:rPr>
      </w:pPr>
    </w:p>
    <w:p>
      <w:pPr>
        <w:spacing w:before="0"/>
        <w:ind w:left="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model(linear);</w:t>
      </w:r>
    </w:p>
    <w:p>
      <w:pPr>
        <w:spacing w:before="0"/>
        <w:ind w:left="500" w:right="3868" w:firstLine="0"/>
        <w:jc w:val="left"/>
        <w:rPr>
          <w:rFonts w:ascii="Courier New"/>
          <w:sz w:val="18"/>
        </w:rPr>
      </w:pPr>
      <w:r>
        <w:rPr>
          <w:rFonts w:ascii="Courier New"/>
          <w:spacing w:val="-1"/>
          <w:sz w:val="18"/>
        </w:rPr>
        <w:t>CR-h*CR(-1)=CR(+1)-h*CR-(1-h/sigmma)*(r-pii_D(+1));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CNR=paw*(w+NNR)+(patp*TP);</w:t>
      </w:r>
    </w:p>
    <w:p>
      <w:pPr>
        <w:spacing w:before="0"/>
        <w:ind w:left="500" w:right="5538" w:firstLine="0"/>
        <w:jc w:val="left"/>
        <w:rPr>
          <w:rFonts w:ascii="Courier New"/>
          <w:sz w:val="18"/>
        </w:rPr>
      </w:pPr>
      <w:r>
        <w:rPr>
          <w:rFonts w:ascii="Courier New"/>
          <w:spacing w:val="-1"/>
          <w:sz w:val="18"/>
        </w:rPr>
        <w:t>w=(sigmma/(1-h))*CNR-h*CNR(-1)+phii*NNR;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mc=w-a;</w:t>
      </w:r>
    </w:p>
    <w:p>
      <w:pPr>
        <w:spacing w:before="1"/>
        <w:ind w:left="500" w:right="7157" w:firstLine="0"/>
        <w:jc w:val="left"/>
        <w:rPr>
          <w:rFonts w:ascii="Courier New"/>
          <w:sz w:val="18"/>
        </w:rPr>
      </w:pPr>
      <w:r>
        <w:rPr>
          <w:rFonts w:ascii="Courier New"/>
          <w:spacing w:val="-1"/>
          <w:sz w:val="18"/>
        </w:rPr>
        <w:t>TP=rrho_TP*TP(-1)+eps_TP;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C=pssi*CR+(1-pssi)*CNR;</w:t>
      </w:r>
    </w:p>
    <w:p>
      <w:pPr>
        <w:spacing w:before="0"/>
        <w:ind w:left="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y=CR+(((alphha*omegga)/sigmma)*s)+g+s_y;</w:t>
      </w:r>
    </w:p>
    <w:p>
      <w:pPr>
        <w:spacing w:before="0"/>
        <w:ind w:left="500" w:right="3162" w:firstLine="0"/>
        <w:jc w:val="left"/>
        <w:rPr>
          <w:rFonts w:ascii="Courier New"/>
          <w:sz w:val="18"/>
        </w:rPr>
      </w:pPr>
      <w:r>
        <w:rPr>
          <w:rFonts w:ascii="Courier New"/>
          <w:spacing w:val="-1"/>
          <w:sz w:val="18"/>
        </w:rPr>
        <w:t>CR-h*CR(-1)=ystar+h*ystar(-1)+(((1-h)*(1-alphha))/sigmma)*s+g;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pii_D=betta*pii_D(+1)+(kapa_alphha*ytilde)+s_piiD;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mc=(sigmma/(1-h))*CR-h*CR(-1)+phii*y-(phii+1)*a+(alphha*s);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s=s(-1)+pii_F-pii_D;</w:t>
      </w:r>
    </w:p>
    <w:p>
      <w:pPr>
        <w:spacing w:before="1"/>
        <w:ind w:left="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r-rstar=exr(+1)-exr;</w:t>
      </w:r>
    </w:p>
    <w:p>
      <w:pPr>
        <w:spacing w:before="0"/>
        <w:ind w:left="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exr-exr(-1)=piistar-pii_F;</w:t>
      </w:r>
    </w:p>
    <w:p>
      <w:pPr>
        <w:spacing w:before="0"/>
        <w:ind w:left="500" w:right="497" w:firstLine="0"/>
        <w:jc w:val="left"/>
        <w:rPr>
          <w:rFonts w:ascii="Courier New"/>
          <w:sz w:val="18"/>
        </w:rPr>
      </w:pPr>
      <w:r>
        <w:rPr>
          <w:rFonts w:ascii="Courier New"/>
          <w:spacing w:val="-1"/>
          <w:sz w:val="18"/>
        </w:rPr>
        <w:t>r=rrho_r*r(-1)+(1-rrho_r)*(upssilon_pii*pii_D+upssilon_y*y+upssilon_exr*(exr-exr(-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1)))+s_r;</w:t>
      </w:r>
    </w:p>
    <w:p>
      <w:pPr>
        <w:spacing w:after="0"/>
        <w:jc w:val="left"/>
        <w:rPr>
          <w:rFonts w:ascii="Courier New"/>
          <w:sz w:val="18"/>
        </w:rPr>
        <w:sectPr>
          <w:pgSz w:w="12240" w:h="15840"/>
          <w:pgMar w:header="0" w:footer="935" w:top="1360" w:bottom="1120" w:left="940" w:right="940"/>
        </w:sectPr>
      </w:pPr>
    </w:p>
    <w:p>
      <w:pPr>
        <w:spacing w:before="81"/>
        <w:ind w:left="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g=((1/zetta)*(rn))+s_g;</w:t>
      </w:r>
    </w:p>
    <w:p>
      <w:pPr>
        <w:spacing w:before="1"/>
        <w:ind w:left="500" w:right="4781" w:firstLine="0"/>
        <w:jc w:val="left"/>
        <w:rPr>
          <w:rFonts w:ascii="Courier New"/>
          <w:sz w:val="18"/>
        </w:rPr>
      </w:pPr>
      <w:r>
        <w:rPr>
          <w:rFonts w:ascii="Courier New"/>
          <w:spacing w:val="-1"/>
          <w:sz w:val="18"/>
        </w:rPr>
        <w:t>rn=rrho_rn*rn(-1)+(1-rrho_rn)*(cchi*taxx)+s_rn;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ystar=rrho_ystar*ystar(-1)+eps_ystar;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piistar=rrho_piistar*piistar(-1)+eps_piistar;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rstar=rrho_rstar*rstar(-1)+eps_rstar;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a=rrho_a*a(-1)+eps_a;</w:t>
      </w:r>
    </w:p>
    <w:p>
      <w:pPr>
        <w:spacing w:before="0"/>
        <w:ind w:left="500" w:right="6078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taxx=rrho_taxx*taxx(-1)+eps_taxx;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pii=pii_D+pii_F;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pacing w:val="-1"/>
          <w:sz w:val="18"/>
        </w:rPr>
        <w:t>s_piiD=rrho_piiD*s_piiD(-1)+e_piiD;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s_r=rrho_sr*s_r(-1)+eps_r;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s_g=rrho_sg*s_g(-1)+eps_g;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s_y=rrho_sy*s_y(-1)+e_y;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s_rn=rrho_srn*s_rn(-1)+eps_rn;</w:t>
      </w:r>
    </w:p>
    <w:p>
      <w:pPr>
        <w:spacing w:line="202" w:lineRule="exact" w:before="0"/>
        <w:ind w:left="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end;</w:t>
      </w:r>
    </w:p>
    <w:p>
      <w:pPr>
        <w:pStyle w:val="BodyText"/>
        <w:rPr>
          <w:rFonts w:ascii="Courier New"/>
          <w:sz w:val="18"/>
        </w:rPr>
      </w:pPr>
    </w:p>
    <w:p>
      <w:pPr>
        <w:spacing w:before="0"/>
        <w:ind w:left="500" w:right="9090" w:firstLine="0"/>
        <w:jc w:val="left"/>
        <w:rPr>
          <w:rFonts w:ascii="Courier New"/>
          <w:sz w:val="18"/>
        </w:rPr>
      </w:pPr>
      <w:r>
        <w:rPr>
          <w:rFonts w:ascii="Courier New"/>
          <w:spacing w:val="-1"/>
          <w:sz w:val="18"/>
        </w:rPr>
        <w:t>steady;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check;</w:t>
      </w:r>
    </w:p>
    <w:p>
      <w:pPr>
        <w:pStyle w:val="BodyText"/>
        <w:spacing w:before="1"/>
        <w:rPr>
          <w:rFonts w:ascii="Courier New"/>
          <w:sz w:val="18"/>
        </w:rPr>
      </w:pPr>
    </w:p>
    <w:p>
      <w:pPr>
        <w:spacing w:before="0"/>
        <w:ind w:left="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shocks;</w:t>
      </w:r>
    </w:p>
    <w:p>
      <w:pPr>
        <w:spacing w:before="0"/>
        <w:ind w:left="500" w:right="7571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var eps_ystar=0.01;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var eps_piistar=0.01;</w:t>
      </w:r>
      <w:r>
        <w:rPr>
          <w:rFonts w:ascii="Courier New"/>
          <w:spacing w:val="-107"/>
          <w:sz w:val="18"/>
        </w:rPr>
        <w:t> </w:t>
      </w:r>
      <w:r>
        <w:rPr>
          <w:rFonts w:ascii="Courier New"/>
          <w:sz w:val="18"/>
        </w:rPr>
        <w:t>var eps_rstar=0.01;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var</w:t>
      </w:r>
      <w:r>
        <w:rPr>
          <w:rFonts w:ascii="Courier New"/>
          <w:spacing w:val="-3"/>
          <w:sz w:val="18"/>
        </w:rPr>
        <w:t> </w:t>
      </w:r>
      <w:r>
        <w:rPr>
          <w:rFonts w:ascii="Courier New"/>
          <w:sz w:val="18"/>
        </w:rPr>
        <w:t>eps_a=0.01;</w:t>
      </w:r>
    </w:p>
    <w:p>
      <w:pPr>
        <w:spacing w:before="1"/>
        <w:ind w:left="500" w:right="7913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var</w:t>
      </w:r>
      <w:r>
        <w:rPr>
          <w:rFonts w:ascii="Courier New"/>
          <w:spacing w:val="2"/>
          <w:sz w:val="18"/>
        </w:rPr>
        <w:t> </w:t>
      </w:r>
      <w:r>
        <w:rPr>
          <w:rFonts w:ascii="Courier New"/>
          <w:sz w:val="18"/>
        </w:rPr>
        <w:t>eps_g=0.01;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var</w:t>
      </w:r>
      <w:r>
        <w:rPr>
          <w:rFonts w:ascii="Courier New"/>
          <w:spacing w:val="2"/>
          <w:sz w:val="18"/>
        </w:rPr>
        <w:t> </w:t>
      </w:r>
      <w:r>
        <w:rPr>
          <w:rFonts w:ascii="Courier New"/>
          <w:sz w:val="18"/>
        </w:rPr>
        <w:t>eps_r=0.01;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var eps_taxx=0.01;</w:t>
      </w:r>
      <w:r>
        <w:rPr>
          <w:rFonts w:ascii="Courier New"/>
          <w:spacing w:val="-107"/>
          <w:sz w:val="18"/>
        </w:rPr>
        <w:t> </w:t>
      </w:r>
      <w:r>
        <w:rPr>
          <w:rFonts w:ascii="Courier New"/>
          <w:sz w:val="18"/>
        </w:rPr>
        <w:t>var eps_TP=0.01;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var e_piiD=0.01;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var</w:t>
      </w:r>
      <w:r>
        <w:rPr>
          <w:rFonts w:ascii="Courier New"/>
          <w:spacing w:val="-3"/>
          <w:sz w:val="18"/>
        </w:rPr>
        <w:t> </w:t>
      </w:r>
      <w:r>
        <w:rPr>
          <w:rFonts w:ascii="Courier New"/>
          <w:sz w:val="18"/>
        </w:rPr>
        <w:t>e_y=0.01;</w:t>
      </w:r>
    </w:p>
    <w:p>
      <w:pPr>
        <w:spacing w:before="0"/>
        <w:ind w:left="500" w:right="8111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var eps_rn=0.01;</w:t>
      </w:r>
      <w:r>
        <w:rPr>
          <w:rFonts w:ascii="Courier New"/>
          <w:spacing w:val="-107"/>
          <w:sz w:val="18"/>
        </w:rPr>
        <w:t> </w:t>
      </w:r>
      <w:r>
        <w:rPr>
          <w:rFonts w:ascii="Courier New"/>
          <w:sz w:val="18"/>
        </w:rPr>
        <w:t>end;</w:t>
      </w:r>
    </w:p>
    <w:p>
      <w:pPr>
        <w:pStyle w:val="BodyText"/>
        <w:rPr>
          <w:rFonts w:ascii="Courier New"/>
          <w:sz w:val="18"/>
        </w:rPr>
      </w:pPr>
    </w:p>
    <w:p>
      <w:pPr>
        <w:spacing w:before="0"/>
        <w:ind w:left="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estimated_params;</w:t>
      </w:r>
    </w:p>
    <w:p>
      <w:pPr>
        <w:spacing w:before="0"/>
        <w:ind w:left="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h,</w:t>
      </w:r>
      <w:r>
        <w:rPr>
          <w:rFonts w:ascii="Courier New"/>
          <w:spacing w:val="-6"/>
          <w:sz w:val="18"/>
        </w:rPr>
        <w:t> </w:t>
      </w:r>
      <w:r>
        <w:rPr>
          <w:rFonts w:ascii="Courier New"/>
          <w:sz w:val="18"/>
        </w:rPr>
        <w:t>beta_pdf,</w:t>
      </w:r>
      <w:r>
        <w:rPr>
          <w:rFonts w:ascii="Courier New"/>
          <w:spacing w:val="-5"/>
          <w:sz w:val="18"/>
        </w:rPr>
        <w:t> </w:t>
      </w:r>
      <w:r>
        <w:rPr>
          <w:rFonts w:ascii="Courier New"/>
          <w:sz w:val="18"/>
        </w:rPr>
        <w:t>0.7,</w:t>
      </w:r>
      <w:r>
        <w:rPr>
          <w:rFonts w:ascii="Courier New"/>
          <w:spacing w:val="-6"/>
          <w:sz w:val="18"/>
        </w:rPr>
        <w:t> </w:t>
      </w:r>
      <w:r>
        <w:rPr>
          <w:rFonts w:ascii="Courier New"/>
          <w:sz w:val="18"/>
        </w:rPr>
        <w:t>0.1;</w:t>
      </w:r>
    </w:p>
    <w:p>
      <w:pPr>
        <w:spacing w:before="1"/>
        <w:ind w:left="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sigmma,</w:t>
      </w:r>
      <w:r>
        <w:rPr>
          <w:rFonts w:ascii="Courier New"/>
          <w:spacing w:val="-7"/>
          <w:sz w:val="18"/>
        </w:rPr>
        <w:t> </w:t>
      </w:r>
      <w:r>
        <w:rPr>
          <w:rFonts w:ascii="Courier New"/>
          <w:sz w:val="18"/>
        </w:rPr>
        <w:t>normal_pdf,</w:t>
      </w:r>
      <w:r>
        <w:rPr>
          <w:rFonts w:ascii="Courier New"/>
          <w:spacing w:val="-7"/>
          <w:sz w:val="18"/>
        </w:rPr>
        <w:t> </w:t>
      </w:r>
      <w:r>
        <w:rPr>
          <w:rFonts w:ascii="Courier New"/>
          <w:sz w:val="18"/>
        </w:rPr>
        <w:t>3.0,</w:t>
      </w:r>
      <w:r>
        <w:rPr>
          <w:rFonts w:ascii="Courier New"/>
          <w:spacing w:val="-7"/>
          <w:sz w:val="18"/>
        </w:rPr>
        <w:t> </w:t>
      </w:r>
      <w:r>
        <w:rPr>
          <w:rFonts w:ascii="Courier New"/>
          <w:sz w:val="18"/>
        </w:rPr>
        <w:t>1;</w:t>
      </w:r>
    </w:p>
    <w:p>
      <w:pPr>
        <w:spacing w:before="0"/>
        <w:ind w:left="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pssi,</w:t>
      </w:r>
      <w:r>
        <w:rPr>
          <w:rFonts w:ascii="Courier New"/>
          <w:spacing w:val="-7"/>
          <w:sz w:val="18"/>
        </w:rPr>
        <w:t> </w:t>
      </w:r>
      <w:r>
        <w:rPr>
          <w:rFonts w:ascii="Courier New"/>
          <w:sz w:val="18"/>
        </w:rPr>
        <w:t>beta_pdf,</w:t>
      </w:r>
      <w:r>
        <w:rPr>
          <w:rFonts w:ascii="Courier New"/>
          <w:spacing w:val="-6"/>
          <w:sz w:val="18"/>
        </w:rPr>
        <w:t> </w:t>
      </w:r>
      <w:r>
        <w:rPr>
          <w:rFonts w:ascii="Courier New"/>
          <w:sz w:val="18"/>
        </w:rPr>
        <w:t>0.7,</w:t>
      </w:r>
      <w:r>
        <w:rPr>
          <w:rFonts w:ascii="Courier New"/>
          <w:spacing w:val="-6"/>
          <w:sz w:val="18"/>
        </w:rPr>
        <w:t> </w:t>
      </w:r>
      <w:r>
        <w:rPr>
          <w:rFonts w:ascii="Courier New"/>
          <w:sz w:val="18"/>
        </w:rPr>
        <w:t>0.1;</w:t>
      </w:r>
    </w:p>
    <w:p>
      <w:pPr>
        <w:spacing w:before="0"/>
        <w:ind w:left="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alphha,</w:t>
      </w:r>
      <w:r>
        <w:rPr>
          <w:rFonts w:ascii="Courier New"/>
          <w:spacing w:val="-7"/>
          <w:sz w:val="18"/>
        </w:rPr>
        <w:t> </w:t>
      </w:r>
      <w:r>
        <w:rPr>
          <w:rFonts w:ascii="Courier New"/>
          <w:sz w:val="18"/>
        </w:rPr>
        <w:t>beta_pdf,</w:t>
      </w:r>
      <w:r>
        <w:rPr>
          <w:rFonts w:ascii="Courier New"/>
          <w:spacing w:val="-7"/>
          <w:sz w:val="18"/>
        </w:rPr>
        <w:t> </w:t>
      </w:r>
      <w:r>
        <w:rPr>
          <w:rFonts w:ascii="Courier New"/>
          <w:sz w:val="18"/>
        </w:rPr>
        <w:t>0.4,</w:t>
      </w:r>
      <w:r>
        <w:rPr>
          <w:rFonts w:ascii="Courier New"/>
          <w:spacing w:val="-7"/>
          <w:sz w:val="18"/>
        </w:rPr>
        <w:t> </w:t>
      </w:r>
      <w:r>
        <w:rPr>
          <w:rFonts w:ascii="Courier New"/>
          <w:sz w:val="18"/>
        </w:rPr>
        <w:t>0.1;</w:t>
      </w:r>
    </w:p>
    <w:p>
      <w:pPr>
        <w:spacing w:before="0"/>
        <w:ind w:left="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phii,</w:t>
      </w:r>
      <w:r>
        <w:rPr>
          <w:rFonts w:ascii="Courier New"/>
          <w:spacing w:val="-7"/>
          <w:sz w:val="18"/>
        </w:rPr>
        <w:t> </w:t>
      </w:r>
      <w:r>
        <w:rPr>
          <w:rFonts w:ascii="Courier New"/>
          <w:sz w:val="18"/>
        </w:rPr>
        <w:t>normal_pdf,</w:t>
      </w:r>
      <w:r>
        <w:rPr>
          <w:rFonts w:ascii="Courier New"/>
          <w:spacing w:val="-7"/>
          <w:sz w:val="18"/>
        </w:rPr>
        <w:t> </w:t>
      </w:r>
      <w:r>
        <w:rPr>
          <w:rFonts w:ascii="Courier New"/>
          <w:sz w:val="18"/>
        </w:rPr>
        <w:t>4.38,</w:t>
      </w:r>
      <w:r>
        <w:rPr>
          <w:rFonts w:ascii="Courier New"/>
          <w:spacing w:val="-6"/>
          <w:sz w:val="18"/>
        </w:rPr>
        <w:t> </w:t>
      </w:r>
      <w:r>
        <w:rPr>
          <w:rFonts w:ascii="Courier New"/>
          <w:sz w:val="18"/>
        </w:rPr>
        <w:t>2;</w:t>
      </w:r>
    </w:p>
    <w:p>
      <w:pPr>
        <w:spacing w:line="203" w:lineRule="exact" w:before="0"/>
        <w:ind w:left="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rrho_r,</w:t>
      </w:r>
      <w:r>
        <w:rPr>
          <w:rFonts w:ascii="Courier New"/>
          <w:spacing w:val="-6"/>
          <w:sz w:val="18"/>
        </w:rPr>
        <w:t> </w:t>
      </w:r>
      <w:r>
        <w:rPr>
          <w:rFonts w:ascii="Courier New"/>
          <w:sz w:val="18"/>
        </w:rPr>
        <w:t>beta_pdf,</w:t>
      </w:r>
      <w:r>
        <w:rPr>
          <w:rFonts w:ascii="Courier New"/>
          <w:spacing w:val="-5"/>
          <w:sz w:val="18"/>
        </w:rPr>
        <w:t> </w:t>
      </w:r>
      <w:r>
        <w:rPr>
          <w:rFonts w:ascii="Courier New"/>
          <w:sz w:val="18"/>
        </w:rPr>
        <w:t>0.7,</w:t>
      </w:r>
      <w:r>
        <w:rPr>
          <w:rFonts w:ascii="Courier New"/>
          <w:spacing w:val="-5"/>
          <w:sz w:val="18"/>
        </w:rPr>
        <w:t> </w:t>
      </w:r>
      <w:r>
        <w:rPr>
          <w:rFonts w:ascii="Courier New"/>
          <w:sz w:val="18"/>
        </w:rPr>
        <w:t>0.1</w:t>
      </w:r>
      <w:r>
        <w:rPr>
          <w:rFonts w:ascii="Courier New"/>
          <w:spacing w:val="-5"/>
          <w:sz w:val="18"/>
        </w:rPr>
        <w:t> </w:t>
      </w:r>
      <w:r>
        <w:rPr>
          <w:rFonts w:ascii="Courier New"/>
          <w:sz w:val="18"/>
        </w:rPr>
        <w:t>;</w:t>
      </w:r>
    </w:p>
    <w:p>
      <w:pPr>
        <w:spacing w:line="203" w:lineRule="exact" w:before="0"/>
        <w:ind w:left="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rrho_ystar,</w:t>
      </w:r>
      <w:r>
        <w:rPr>
          <w:rFonts w:ascii="Courier New"/>
          <w:spacing w:val="-9"/>
          <w:sz w:val="18"/>
        </w:rPr>
        <w:t> </w:t>
      </w:r>
      <w:r>
        <w:rPr>
          <w:rFonts w:ascii="Courier New"/>
          <w:sz w:val="18"/>
        </w:rPr>
        <w:t>beta_pdf,</w:t>
      </w:r>
      <w:r>
        <w:rPr>
          <w:rFonts w:ascii="Courier New"/>
          <w:spacing w:val="-8"/>
          <w:sz w:val="18"/>
        </w:rPr>
        <w:t> </w:t>
      </w:r>
      <w:r>
        <w:rPr>
          <w:rFonts w:ascii="Courier New"/>
          <w:sz w:val="18"/>
        </w:rPr>
        <w:t>0.7,</w:t>
      </w:r>
      <w:r>
        <w:rPr>
          <w:rFonts w:ascii="Courier New"/>
          <w:spacing w:val="-8"/>
          <w:sz w:val="18"/>
        </w:rPr>
        <w:t> </w:t>
      </w:r>
      <w:r>
        <w:rPr>
          <w:rFonts w:ascii="Courier New"/>
          <w:sz w:val="18"/>
        </w:rPr>
        <w:t>0.1;</w:t>
      </w:r>
    </w:p>
    <w:p>
      <w:pPr>
        <w:spacing w:before="0"/>
        <w:ind w:left="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rrho_a,</w:t>
      </w:r>
      <w:r>
        <w:rPr>
          <w:rFonts w:ascii="Courier New"/>
          <w:spacing w:val="-7"/>
          <w:sz w:val="18"/>
        </w:rPr>
        <w:t> </w:t>
      </w:r>
      <w:r>
        <w:rPr>
          <w:rFonts w:ascii="Courier New"/>
          <w:sz w:val="18"/>
        </w:rPr>
        <w:t>beta_pdf,</w:t>
      </w:r>
      <w:r>
        <w:rPr>
          <w:rFonts w:ascii="Courier New"/>
          <w:spacing w:val="-7"/>
          <w:sz w:val="18"/>
        </w:rPr>
        <w:t> </w:t>
      </w:r>
      <w:r>
        <w:rPr>
          <w:rFonts w:ascii="Courier New"/>
          <w:sz w:val="18"/>
        </w:rPr>
        <w:t>0.7,</w:t>
      </w:r>
      <w:r>
        <w:rPr>
          <w:rFonts w:ascii="Courier New"/>
          <w:spacing w:val="-7"/>
          <w:sz w:val="18"/>
        </w:rPr>
        <w:t> </w:t>
      </w:r>
      <w:r>
        <w:rPr>
          <w:rFonts w:ascii="Courier New"/>
          <w:sz w:val="18"/>
        </w:rPr>
        <w:t>0.1;</w:t>
      </w:r>
    </w:p>
    <w:p>
      <w:pPr>
        <w:spacing w:before="1"/>
        <w:ind w:left="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rrho_piiD,</w:t>
      </w:r>
      <w:r>
        <w:rPr>
          <w:rFonts w:ascii="Courier New"/>
          <w:spacing w:val="-8"/>
          <w:sz w:val="18"/>
        </w:rPr>
        <w:t> </w:t>
      </w:r>
      <w:r>
        <w:rPr>
          <w:rFonts w:ascii="Courier New"/>
          <w:sz w:val="18"/>
        </w:rPr>
        <w:t>beta_pdf,</w:t>
      </w:r>
      <w:r>
        <w:rPr>
          <w:rFonts w:ascii="Courier New"/>
          <w:spacing w:val="-8"/>
          <w:sz w:val="18"/>
        </w:rPr>
        <w:t> </w:t>
      </w:r>
      <w:r>
        <w:rPr>
          <w:rFonts w:ascii="Courier New"/>
          <w:sz w:val="18"/>
        </w:rPr>
        <w:t>0.7,</w:t>
      </w:r>
      <w:r>
        <w:rPr>
          <w:rFonts w:ascii="Courier New"/>
          <w:spacing w:val="-8"/>
          <w:sz w:val="18"/>
        </w:rPr>
        <w:t> </w:t>
      </w:r>
      <w:r>
        <w:rPr>
          <w:rFonts w:ascii="Courier New"/>
          <w:sz w:val="18"/>
        </w:rPr>
        <w:t>0.1;</w:t>
      </w:r>
    </w:p>
    <w:p>
      <w:pPr>
        <w:spacing w:before="0"/>
        <w:ind w:left="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rrho_sr,</w:t>
      </w:r>
      <w:r>
        <w:rPr>
          <w:rFonts w:ascii="Courier New"/>
          <w:spacing w:val="-8"/>
          <w:sz w:val="18"/>
        </w:rPr>
        <w:t> </w:t>
      </w:r>
      <w:r>
        <w:rPr>
          <w:rFonts w:ascii="Courier New"/>
          <w:sz w:val="18"/>
        </w:rPr>
        <w:t>beta_pdf,</w:t>
      </w:r>
      <w:r>
        <w:rPr>
          <w:rFonts w:ascii="Courier New"/>
          <w:spacing w:val="-8"/>
          <w:sz w:val="18"/>
        </w:rPr>
        <w:t> </w:t>
      </w:r>
      <w:r>
        <w:rPr>
          <w:rFonts w:ascii="Courier New"/>
          <w:sz w:val="18"/>
        </w:rPr>
        <w:t>0.7,</w:t>
      </w:r>
      <w:r>
        <w:rPr>
          <w:rFonts w:ascii="Courier New"/>
          <w:spacing w:val="-8"/>
          <w:sz w:val="18"/>
        </w:rPr>
        <w:t> </w:t>
      </w:r>
      <w:r>
        <w:rPr>
          <w:rFonts w:ascii="Courier New"/>
          <w:sz w:val="18"/>
        </w:rPr>
        <w:t>0.1;</w:t>
      </w:r>
    </w:p>
    <w:p>
      <w:pPr>
        <w:spacing w:before="0"/>
        <w:ind w:left="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rrho_sg,</w:t>
      </w:r>
      <w:r>
        <w:rPr>
          <w:rFonts w:ascii="Courier New"/>
          <w:spacing w:val="-9"/>
          <w:sz w:val="18"/>
        </w:rPr>
        <w:t> </w:t>
      </w:r>
      <w:r>
        <w:rPr>
          <w:rFonts w:ascii="Courier New"/>
          <w:sz w:val="18"/>
        </w:rPr>
        <w:t>beta_pdf,</w:t>
      </w:r>
      <w:r>
        <w:rPr>
          <w:rFonts w:ascii="Courier New"/>
          <w:spacing w:val="-8"/>
          <w:sz w:val="18"/>
        </w:rPr>
        <w:t> </w:t>
      </w:r>
      <w:r>
        <w:rPr>
          <w:rFonts w:ascii="Courier New"/>
          <w:sz w:val="18"/>
        </w:rPr>
        <w:t>0.7,</w:t>
      </w:r>
      <w:r>
        <w:rPr>
          <w:rFonts w:ascii="Courier New"/>
          <w:spacing w:val="-8"/>
          <w:sz w:val="18"/>
        </w:rPr>
        <w:t> </w:t>
      </w:r>
      <w:r>
        <w:rPr>
          <w:rFonts w:ascii="Courier New"/>
          <w:sz w:val="18"/>
        </w:rPr>
        <w:t>0.1;</w:t>
      </w:r>
    </w:p>
    <w:p>
      <w:pPr>
        <w:spacing w:before="0"/>
        <w:ind w:left="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rrho_sy,</w:t>
      </w:r>
      <w:r>
        <w:rPr>
          <w:rFonts w:ascii="Courier New"/>
          <w:spacing w:val="-9"/>
          <w:sz w:val="18"/>
        </w:rPr>
        <w:t> </w:t>
      </w:r>
      <w:r>
        <w:rPr>
          <w:rFonts w:ascii="Courier New"/>
          <w:sz w:val="18"/>
        </w:rPr>
        <w:t>beta_pdf,</w:t>
      </w:r>
      <w:r>
        <w:rPr>
          <w:rFonts w:ascii="Courier New"/>
          <w:spacing w:val="-8"/>
          <w:sz w:val="18"/>
        </w:rPr>
        <w:t> </w:t>
      </w:r>
      <w:r>
        <w:rPr>
          <w:rFonts w:ascii="Courier New"/>
          <w:sz w:val="18"/>
        </w:rPr>
        <w:t>0.7,</w:t>
      </w:r>
      <w:r>
        <w:rPr>
          <w:rFonts w:ascii="Courier New"/>
          <w:spacing w:val="-8"/>
          <w:sz w:val="18"/>
        </w:rPr>
        <w:t> </w:t>
      </w:r>
      <w:r>
        <w:rPr>
          <w:rFonts w:ascii="Courier New"/>
          <w:sz w:val="18"/>
        </w:rPr>
        <w:t>0.1;</w:t>
      </w:r>
    </w:p>
    <w:p>
      <w:pPr>
        <w:spacing w:before="0"/>
        <w:ind w:left="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rrho_srn,</w:t>
      </w:r>
      <w:r>
        <w:rPr>
          <w:rFonts w:ascii="Courier New"/>
          <w:spacing w:val="-8"/>
          <w:sz w:val="18"/>
        </w:rPr>
        <w:t> </w:t>
      </w:r>
      <w:r>
        <w:rPr>
          <w:rFonts w:ascii="Courier New"/>
          <w:sz w:val="18"/>
        </w:rPr>
        <w:t>beta_pdf,</w:t>
      </w:r>
      <w:r>
        <w:rPr>
          <w:rFonts w:ascii="Courier New"/>
          <w:spacing w:val="-7"/>
          <w:sz w:val="18"/>
        </w:rPr>
        <w:t> </w:t>
      </w:r>
      <w:r>
        <w:rPr>
          <w:rFonts w:ascii="Courier New"/>
          <w:sz w:val="18"/>
        </w:rPr>
        <w:t>0.7,</w:t>
      </w:r>
      <w:r>
        <w:rPr>
          <w:rFonts w:ascii="Courier New"/>
          <w:spacing w:val="-8"/>
          <w:sz w:val="18"/>
        </w:rPr>
        <w:t> </w:t>
      </w:r>
      <w:r>
        <w:rPr>
          <w:rFonts w:ascii="Courier New"/>
          <w:sz w:val="18"/>
        </w:rPr>
        <w:t>0.1;</w:t>
      </w:r>
    </w:p>
    <w:p>
      <w:pPr>
        <w:spacing w:before="0"/>
        <w:ind w:left="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upssilon_pii,</w:t>
      </w:r>
      <w:r>
        <w:rPr>
          <w:rFonts w:ascii="Courier New"/>
          <w:spacing w:val="-9"/>
          <w:sz w:val="18"/>
        </w:rPr>
        <w:t> </w:t>
      </w:r>
      <w:r>
        <w:rPr>
          <w:rFonts w:ascii="Courier New"/>
          <w:sz w:val="18"/>
        </w:rPr>
        <w:t>gamma_pdf,</w:t>
      </w:r>
      <w:r>
        <w:rPr>
          <w:rFonts w:ascii="Courier New"/>
          <w:spacing w:val="-9"/>
          <w:sz w:val="18"/>
        </w:rPr>
        <w:t> </w:t>
      </w:r>
      <w:r>
        <w:rPr>
          <w:rFonts w:ascii="Courier New"/>
          <w:sz w:val="18"/>
        </w:rPr>
        <w:t>1.5,</w:t>
      </w:r>
      <w:r>
        <w:rPr>
          <w:rFonts w:ascii="Courier New"/>
          <w:spacing w:val="-9"/>
          <w:sz w:val="18"/>
        </w:rPr>
        <w:t> </w:t>
      </w:r>
      <w:r>
        <w:rPr>
          <w:rFonts w:ascii="Courier New"/>
          <w:sz w:val="18"/>
        </w:rPr>
        <w:t>0.2;</w:t>
      </w:r>
    </w:p>
    <w:p>
      <w:pPr>
        <w:spacing w:before="0"/>
        <w:ind w:left="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upssilon_y,</w:t>
      </w:r>
      <w:r>
        <w:rPr>
          <w:rFonts w:ascii="Courier New"/>
          <w:spacing w:val="-9"/>
          <w:sz w:val="18"/>
        </w:rPr>
        <w:t> </w:t>
      </w:r>
      <w:r>
        <w:rPr>
          <w:rFonts w:ascii="Courier New"/>
          <w:sz w:val="18"/>
        </w:rPr>
        <w:t>gamma_pdf,</w:t>
      </w:r>
      <w:r>
        <w:rPr>
          <w:rFonts w:ascii="Courier New"/>
          <w:spacing w:val="-8"/>
          <w:sz w:val="18"/>
        </w:rPr>
        <w:t> </w:t>
      </w:r>
      <w:r>
        <w:rPr>
          <w:rFonts w:ascii="Courier New"/>
          <w:sz w:val="18"/>
        </w:rPr>
        <w:t>0.5,</w:t>
      </w:r>
      <w:r>
        <w:rPr>
          <w:rFonts w:ascii="Courier New"/>
          <w:spacing w:val="-8"/>
          <w:sz w:val="18"/>
        </w:rPr>
        <w:t> </w:t>
      </w:r>
      <w:r>
        <w:rPr>
          <w:rFonts w:ascii="Courier New"/>
          <w:sz w:val="18"/>
        </w:rPr>
        <w:t>0.1;</w:t>
      </w:r>
    </w:p>
    <w:p>
      <w:pPr>
        <w:spacing w:before="0"/>
        <w:ind w:left="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upssilon_exr,</w:t>
      </w:r>
      <w:r>
        <w:rPr>
          <w:rFonts w:ascii="Courier New"/>
          <w:spacing w:val="-9"/>
          <w:sz w:val="18"/>
        </w:rPr>
        <w:t> </w:t>
      </w:r>
      <w:r>
        <w:rPr>
          <w:rFonts w:ascii="Courier New"/>
          <w:sz w:val="18"/>
        </w:rPr>
        <w:t>gamma_pdf,</w:t>
      </w:r>
      <w:r>
        <w:rPr>
          <w:rFonts w:ascii="Courier New"/>
          <w:spacing w:val="-9"/>
          <w:sz w:val="18"/>
        </w:rPr>
        <w:t> </w:t>
      </w:r>
      <w:r>
        <w:rPr>
          <w:rFonts w:ascii="Courier New"/>
          <w:sz w:val="18"/>
        </w:rPr>
        <w:t>0.8,</w:t>
      </w:r>
      <w:r>
        <w:rPr>
          <w:rFonts w:ascii="Courier New"/>
          <w:spacing w:val="-9"/>
          <w:sz w:val="18"/>
        </w:rPr>
        <w:t> </w:t>
      </w:r>
      <w:r>
        <w:rPr>
          <w:rFonts w:ascii="Courier New"/>
          <w:sz w:val="18"/>
        </w:rPr>
        <w:t>0.1;</w:t>
      </w:r>
    </w:p>
    <w:p>
      <w:pPr>
        <w:spacing w:before="0"/>
        <w:ind w:left="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cchi,</w:t>
      </w:r>
      <w:r>
        <w:rPr>
          <w:rFonts w:ascii="Courier New"/>
          <w:spacing w:val="-7"/>
          <w:sz w:val="18"/>
        </w:rPr>
        <w:t> </w:t>
      </w:r>
      <w:r>
        <w:rPr>
          <w:rFonts w:ascii="Courier New"/>
          <w:sz w:val="18"/>
        </w:rPr>
        <w:t>beta_pdf,</w:t>
      </w:r>
      <w:r>
        <w:rPr>
          <w:rFonts w:ascii="Courier New"/>
          <w:spacing w:val="-6"/>
          <w:sz w:val="18"/>
        </w:rPr>
        <w:t> </w:t>
      </w:r>
      <w:r>
        <w:rPr>
          <w:rFonts w:ascii="Courier New"/>
          <w:sz w:val="18"/>
        </w:rPr>
        <w:t>0.5,</w:t>
      </w:r>
      <w:r>
        <w:rPr>
          <w:rFonts w:ascii="Courier New"/>
          <w:spacing w:val="-6"/>
          <w:sz w:val="18"/>
        </w:rPr>
        <w:t> </w:t>
      </w:r>
      <w:r>
        <w:rPr>
          <w:rFonts w:ascii="Courier New"/>
          <w:sz w:val="18"/>
        </w:rPr>
        <w:t>0.1;</w:t>
      </w:r>
    </w:p>
    <w:p>
      <w:pPr>
        <w:spacing w:before="1"/>
        <w:ind w:left="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zetta,</w:t>
      </w:r>
      <w:r>
        <w:rPr>
          <w:rFonts w:ascii="Courier New"/>
          <w:spacing w:val="-7"/>
          <w:sz w:val="18"/>
        </w:rPr>
        <w:t> </w:t>
      </w:r>
      <w:r>
        <w:rPr>
          <w:rFonts w:ascii="Courier New"/>
          <w:sz w:val="18"/>
        </w:rPr>
        <w:t>beta_pdf,</w:t>
      </w:r>
      <w:r>
        <w:rPr>
          <w:rFonts w:ascii="Courier New"/>
          <w:spacing w:val="-7"/>
          <w:sz w:val="18"/>
        </w:rPr>
        <w:t> </w:t>
      </w:r>
      <w:r>
        <w:rPr>
          <w:rFonts w:ascii="Courier New"/>
          <w:sz w:val="18"/>
        </w:rPr>
        <w:t>0.35,</w:t>
      </w:r>
      <w:r>
        <w:rPr>
          <w:rFonts w:ascii="Courier New"/>
          <w:spacing w:val="-6"/>
          <w:sz w:val="18"/>
        </w:rPr>
        <w:t> </w:t>
      </w:r>
      <w:r>
        <w:rPr>
          <w:rFonts w:ascii="Courier New"/>
          <w:sz w:val="18"/>
        </w:rPr>
        <w:t>0.1;</w:t>
      </w:r>
    </w:p>
    <w:p>
      <w:pPr>
        <w:spacing w:before="0"/>
        <w:ind w:left="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etta,</w:t>
      </w:r>
      <w:r>
        <w:rPr>
          <w:rFonts w:ascii="Courier New"/>
          <w:spacing w:val="-7"/>
          <w:sz w:val="18"/>
        </w:rPr>
        <w:t> </w:t>
      </w:r>
      <w:r>
        <w:rPr>
          <w:rFonts w:ascii="Courier New"/>
          <w:sz w:val="18"/>
        </w:rPr>
        <w:t>gamma_pdf,</w:t>
      </w:r>
      <w:r>
        <w:rPr>
          <w:rFonts w:ascii="Courier New"/>
          <w:spacing w:val="-7"/>
          <w:sz w:val="18"/>
        </w:rPr>
        <w:t> </w:t>
      </w:r>
      <w:r>
        <w:rPr>
          <w:rFonts w:ascii="Courier New"/>
          <w:sz w:val="18"/>
        </w:rPr>
        <w:t>11.42,</w:t>
      </w:r>
      <w:r>
        <w:rPr>
          <w:rFonts w:ascii="Courier New"/>
          <w:spacing w:val="-6"/>
          <w:sz w:val="18"/>
        </w:rPr>
        <w:t> </w:t>
      </w:r>
      <w:r>
        <w:rPr>
          <w:rFonts w:ascii="Courier New"/>
          <w:sz w:val="18"/>
        </w:rPr>
        <w:t>1;</w:t>
      </w:r>
    </w:p>
    <w:p>
      <w:pPr>
        <w:spacing w:before="0"/>
        <w:ind w:left="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thetta,</w:t>
      </w:r>
      <w:r>
        <w:rPr>
          <w:rFonts w:ascii="Courier New"/>
          <w:spacing w:val="-7"/>
          <w:sz w:val="18"/>
        </w:rPr>
        <w:t> </w:t>
      </w:r>
      <w:r>
        <w:rPr>
          <w:rFonts w:ascii="Courier New"/>
          <w:sz w:val="18"/>
        </w:rPr>
        <w:t>beta_pdf,</w:t>
      </w:r>
      <w:r>
        <w:rPr>
          <w:rFonts w:ascii="Courier New"/>
          <w:spacing w:val="-7"/>
          <w:sz w:val="18"/>
        </w:rPr>
        <w:t> </w:t>
      </w:r>
      <w:r>
        <w:rPr>
          <w:rFonts w:ascii="Courier New"/>
          <w:sz w:val="18"/>
        </w:rPr>
        <w:t>0.5,</w:t>
      </w:r>
      <w:r>
        <w:rPr>
          <w:rFonts w:ascii="Courier New"/>
          <w:spacing w:val="-7"/>
          <w:sz w:val="18"/>
        </w:rPr>
        <w:t> </w:t>
      </w:r>
      <w:r>
        <w:rPr>
          <w:rFonts w:ascii="Courier New"/>
          <w:sz w:val="18"/>
        </w:rPr>
        <w:t>0.1;</w:t>
      </w:r>
    </w:p>
    <w:p>
      <w:pPr>
        <w:spacing w:before="0"/>
        <w:ind w:left="500" w:right="5214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stderr</w:t>
      </w:r>
      <w:r>
        <w:rPr>
          <w:rFonts w:ascii="Courier New"/>
          <w:spacing w:val="-9"/>
          <w:sz w:val="18"/>
        </w:rPr>
        <w:t> </w:t>
      </w:r>
      <w:r>
        <w:rPr>
          <w:rFonts w:ascii="Courier New"/>
          <w:sz w:val="18"/>
        </w:rPr>
        <w:t>eps_ystar,</w:t>
      </w:r>
      <w:r>
        <w:rPr>
          <w:rFonts w:ascii="Courier New"/>
          <w:spacing w:val="-9"/>
          <w:sz w:val="18"/>
        </w:rPr>
        <w:t> </w:t>
      </w:r>
      <w:r>
        <w:rPr>
          <w:rFonts w:ascii="Courier New"/>
          <w:sz w:val="18"/>
        </w:rPr>
        <w:t>inv_gamma_pdf,</w:t>
      </w:r>
      <w:r>
        <w:rPr>
          <w:rFonts w:ascii="Courier New"/>
          <w:spacing w:val="-9"/>
          <w:sz w:val="18"/>
        </w:rPr>
        <w:t> </w:t>
      </w:r>
      <w:r>
        <w:rPr>
          <w:rFonts w:ascii="Courier New"/>
          <w:sz w:val="18"/>
        </w:rPr>
        <w:t>0.25,</w:t>
      </w:r>
      <w:r>
        <w:rPr>
          <w:rFonts w:ascii="Courier New"/>
          <w:spacing w:val="-9"/>
          <w:sz w:val="18"/>
        </w:rPr>
        <w:t> </w:t>
      </w:r>
      <w:r>
        <w:rPr>
          <w:rFonts w:ascii="Courier New"/>
          <w:sz w:val="18"/>
        </w:rPr>
        <w:t>inf;</w:t>
      </w:r>
      <w:r>
        <w:rPr>
          <w:rFonts w:ascii="Courier New"/>
          <w:spacing w:val="-105"/>
          <w:sz w:val="18"/>
        </w:rPr>
        <w:t> </w:t>
      </w:r>
      <w:r>
        <w:rPr>
          <w:rFonts w:ascii="Courier New"/>
          <w:sz w:val="18"/>
        </w:rPr>
        <w:t>stderr eps_a, inv_gamma_pdf, 0.25, inf;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stderr eps_g, inv_gamma_pdf, 0.25, inf;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stderr eps_r, inv_gamma_pdf, 0.25, inf;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stderr e_piiD, inv_gamma_pdf, 0.25, inf;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stderr e_y, inv_gamma_pdf, 0.25,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inf;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stderr</w:t>
      </w:r>
      <w:r>
        <w:rPr>
          <w:rFonts w:ascii="Courier New"/>
          <w:spacing w:val="-6"/>
          <w:sz w:val="18"/>
        </w:rPr>
        <w:t> </w:t>
      </w:r>
      <w:r>
        <w:rPr>
          <w:rFonts w:ascii="Courier New"/>
          <w:sz w:val="18"/>
        </w:rPr>
        <w:t>eps_rn,</w:t>
      </w:r>
      <w:r>
        <w:rPr>
          <w:rFonts w:ascii="Courier New"/>
          <w:spacing w:val="-5"/>
          <w:sz w:val="18"/>
        </w:rPr>
        <w:t> </w:t>
      </w:r>
      <w:r>
        <w:rPr>
          <w:rFonts w:ascii="Courier New"/>
          <w:sz w:val="18"/>
        </w:rPr>
        <w:t>inv_gamma_pdf,</w:t>
      </w:r>
      <w:r>
        <w:rPr>
          <w:rFonts w:ascii="Courier New"/>
          <w:spacing w:val="-6"/>
          <w:sz w:val="18"/>
        </w:rPr>
        <w:t> </w:t>
      </w:r>
      <w:r>
        <w:rPr>
          <w:rFonts w:ascii="Courier New"/>
          <w:sz w:val="18"/>
        </w:rPr>
        <w:t>0.25,</w:t>
      </w:r>
      <w:r>
        <w:rPr>
          <w:rFonts w:ascii="Courier New"/>
          <w:spacing w:val="-5"/>
          <w:sz w:val="18"/>
        </w:rPr>
        <w:t> </w:t>
      </w:r>
      <w:r>
        <w:rPr>
          <w:rFonts w:ascii="Courier New"/>
          <w:sz w:val="18"/>
        </w:rPr>
        <w:t>inf;</w:t>
      </w:r>
    </w:p>
    <w:p>
      <w:pPr>
        <w:pStyle w:val="BodyText"/>
        <w:spacing w:before="1"/>
        <w:rPr>
          <w:rFonts w:ascii="Courier New"/>
          <w:sz w:val="18"/>
        </w:rPr>
      </w:pPr>
    </w:p>
    <w:p>
      <w:pPr>
        <w:spacing w:before="0"/>
        <w:ind w:left="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end;</w:t>
      </w:r>
    </w:p>
    <w:p>
      <w:pPr>
        <w:spacing w:after="0"/>
        <w:jc w:val="left"/>
        <w:rPr>
          <w:rFonts w:ascii="Courier New"/>
          <w:sz w:val="18"/>
        </w:rPr>
        <w:sectPr>
          <w:pgSz w:w="12240" w:h="15840"/>
          <w:pgMar w:header="0" w:footer="935" w:top="1360" w:bottom="1200" w:left="940" w:right="940"/>
        </w:sectPr>
      </w:pPr>
    </w:p>
    <w:p>
      <w:pPr>
        <w:spacing w:line="480" w:lineRule="auto" w:before="81"/>
        <w:ind w:left="500" w:right="6941" w:firstLine="0"/>
        <w:jc w:val="both"/>
        <w:rPr>
          <w:rFonts w:ascii="Courier New"/>
          <w:sz w:val="18"/>
        </w:rPr>
      </w:pPr>
      <w:r>
        <w:rPr>
          <w:rFonts w:ascii="Courier New"/>
          <w:sz w:val="18"/>
        </w:rPr>
        <w:t>varobs y pii_D s r g ystar;</w:t>
      </w:r>
      <w:r>
        <w:rPr>
          <w:rFonts w:ascii="Courier New"/>
          <w:spacing w:val="-107"/>
          <w:sz w:val="18"/>
        </w:rPr>
        <w:t> </w:t>
      </w:r>
      <w:r>
        <w:rPr>
          <w:rFonts w:ascii="Courier New"/>
          <w:sz w:val="18"/>
        </w:rPr>
        <w:t>identification;</w:t>
      </w:r>
    </w:p>
    <w:p>
      <w:pPr>
        <w:spacing w:before="1"/>
        <w:ind w:left="500" w:right="570" w:firstLine="0"/>
        <w:jc w:val="both"/>
        <w:rPr>
          <w:rFonts w:ascii="Courier New"/>
          <w:sz w:val="18"/>
        </w:rPr>
      </w:pPr>
      <w:r>
        <w:rPr>
          <w:rFonts w:ascii="Courier New"/>
          <w:spacing w:val="-1"/>
          <w:sz w:val="18"/>
        </w:rPr>
        <w:t>estimation(datafile=quarter,mode_file=trialseven_mode,mode_compute=6,mh_replic=100000,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pacing w:val="-1"/>
          <w:sz w:val="18"/>
        </w:rPr>
        <w:t>mh_nblocks=5,mh_jscale=0.24,mh_drop=0.3,mode_check,diffuse_filter,moments_varendo,filt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ered_vars,bayesian_irf,irf=20)y</w:t>
      </w:r>
      <w:r>
        <w:rPr>
          <w:rFonts w:ascii="Courier New"/>
          <w:spacing w:val="-2"/>
          <w:sz w:val="18"/>
        </w:rPr>
        <w:t> </w:t>
      </w:r>
      <w:r>
        <w:rPr>
          <w:rFonts w:ascii="Courier New"/>
          <w:sz w:val="18"/>
        </w:rPr>
        <w:t>pii_D</w:t>
      </w:r>
      <w:r>
        <w:rPr>
          <w:rFonts w:ascii="Courier New"/>
          <w:spacing w:val="-2"/>
          <w:sz w:val="18"/>
        </w:rPr>
        <w:t> </w:t>
      </w:r>
      <w:r>
        <w:rPr>
          <w:rFonts w:ascii="Courier New"/>
          <w:sz w:val="18"/>
        </w:rPr>
        <w:t>rn</w:t>
      </w:r>
      <w:r>
        <w:rPr>
          <w:rFonts w:ascii="Courier New"/>
          <w:spacing w:val="-2"/>
          <w:sz w:val="18"/>
        </w:rPr>
        <w:t> </w:t>
      </w:r>
      <w:r>
        <w:rPr>
          <w:rFonts w:ascii="Courier New"/>
          <w:sz w:val="18"/>
        </w:rPr>
        <w:t>r</w:t>
      </w:r>
      <w:r>
        <w:rPr>
          <w:rFonts w:ascii="Courier New"/>
          <w:spacing w:val="-2"/>
          <w:sz w:val="18"/>
        </w:rPr>
        <w:t> </w:t>
      </w:r>
      <w:r>
        <w:rPr>
          <w:rFonts w:ascii="Courier New"/>
          <w:sz w:val="18"/>
        </w:rPr>
        <w:t>g</w:t>
      </w:r>
      <w:r>
        <w:rPr>
          <w:rFonts w:ascii="Courier New"/>
          <w:spacing w:val="-1"/>
          <w:sz w:val="18"/>
        </w:rPr>
        <w:t> </w:t>
      </w:r>
      <w:r>
        <w:rPr>
          <w:rFonts w:ascii="Courier New"/>
          <w:sz w:val="18"/>
        </w:rPr>
        <w:t>;</w:t>
      </w:r>
    </w:p>
    <w:p>
      <w:pPr>
        <w:spacing w:after="0"/>
        <w:jc w:val="both"/>
        <w:rPr>
          <w:rFonts w:ascii="Courier New"/>
          <w:sz w:val="18"/>
        </w:rPr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74"/>
        <w:ind w:left="500"/>
      </w:pPr>
      <w:r>
        <w:rPr/>
        <w:t>Appendix Four: Dynare</w:t>
      </w:r>
      <w:r>
        <w:rPr>
          <w:spacing w:val="-1"/>
        </w:rPr>
        <w:t> </w:t>
      </w:r>
      <w:r>
        <w:rPr/>
        <w:t>Code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Optimal</w:t>
      </w:r>
      <w:r>
        <w:rPr>
          <w:spacing w:val="-1"/>
        </w:rPr>
        <w:t> </w:t>
      </w:r>
      <w:r>
        <w:rPr/>
        <w:t>Ramsey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Benevolent</w:t>
      </w:r>
      <w:r>
        <w:rPr>
          <w:spacing w:val="-1"/>
        </w:rPr>
        <w:t> </w:t>
      </w:r>
      <w:r>
        <w:rPr/>
        <w:t>Government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500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var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pii_D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ytilde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r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g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r_nat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a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ystar;</w: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10"/>
        <w:rPr>
          <w:rFonts w:ascii="Courier New"/>
          <w:sz w:val="19"/>
        </w:rPr>
      </w:pPr>
    </w:p>
    <w:p>
      <w:pPr>
        <w:spacing w:before="0"/>
        <w:ind w:left="500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varexo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eps_ytilde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z w:val="22"/>
        </w:rPr>
        <w:t>eps_g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z w:val="22"/>
        </w:rPr>
        <w:t>eps_ystar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z w:val="22"/>
        </w:rPr>
        <w:t>eps_a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eps_piiD;</w:t>
      </w:r>
    </w:p>
    <w:p>
      <w:pPr>
        <w:pStyle w:val="BodyText"/>
        <w:spacing w:before="1"/>
        <w:rPr>
          <w:rFonts w:ascii="Courier New"/>
          <w:sz w:val="22"/>
        </w:rPr>
      </w:pPr>
    </w:p>
    <w:p>
      <w:pPr>
        <w:spacing w:line="240" w:lineRule="auto" w:before="0"/>
        <w:ind w:left="500" w:right="729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parameters betta sigmma alphha thetta phii etta gamarr rrho_ystar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rrho_a</w:t>
      </w:r>
      <w:r>
        <w:rPr>
          <w:rFonts w:ascii="Courier New"/>
          <w:spacing w:val="-6"/>
          <w:sz w:val="22"/>
        </w:rPr>
        <w:t> </w:t>
      </w:r>
      <w:r>
        <w:rPr>
          <w:rFonts w:ascii="Courier New"/>
          <w:sz w:val="22"/>
        </w:rPr>
        <w:t>pssi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lambda1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lambda2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sigmma_alphha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kapa_alphha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rrho_sytilde</w:t>
      </w:r>
      <w:r>
        <w:rPr>
          <w:rFonts w:ascii="Courier New"/>
          <w:spacing w:val="-129"/>
          <w:sz w:val="22"/>
        </w:rPr>
        <w:t> </w:t>
      </w:r>
      <w:r>
        <w:rPr>
          <w:rFonts w:ascii="Courier New"/>
          <w:sz w:val="22"/>
        </w:rPr>
        <w:t>rrho_sg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rrho_spiiD</w:t>
      </w:r>
      <w:r>
        <w:rPr>
          <w:rFonts w:ascii="Courier New"/>
          <w:spacing w:val="-1"/>
          <w:sz w:val="22"/>
        </w:rPr>
        <w:t> </w:t>
      </w:r>
      <w:r>
        <w:rPr>
          <w:rFonts w:ascii="Courier New"/>
          <w:sz w:val="22"/>
        </w:rPr>
        <w:t>upssilon_g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rrho_g;</w: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11"/>
        <w:rPr>
          <w:rFonts w:ascii="Courier New"/>
          <w:sz w:val="19"/>
        </w:rPr>
      </w:pPr>
    </w:p>
    <w:p>
      <w:pPr>
        <w:spacing w:line="240" w:lineRule="auto" w:before="0"/>
        <w:ind w:left="500" w:right="7612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betta=0.99;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sigmma=3;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alphha=0.4;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thetta=0.5;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phii=4.38;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etta=11.42;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gamarr=1;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pssi=0.8;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upssilon_g=0.8;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rrho_g=0.7;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rrho_ystar=0.7;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rrho_a=0.7;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pacing w:val="-1"/>
          <w:sz w:val="22"/>
        </w:rPr>
        <w:t>rrho_sytilde=0.7;</w:t>
      </w:r>
      <w:r>
        <w:rPr>
          <w:rFonts w:ascii="Courier New"/>
          <w:spacing w:val="-130"/>
          <w:sz w:val="22"/>
        </w:rPr>
        <w:t> </w:t>
      </w:r>
      <w:r>
        <w:rPr>
          <w:rFonts w:ascii="Courier New"/>
          <w:sz w:val="22"/>
        </w:rPr>
        <w:t>rrho_sg=0.7;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rrho_spiiD=0.7;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lambda1=0.5;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lambda2=0.5;</w:t>
      </w:r>
    </w:p>
    <w:p>
      <w:pPr>
        <w:spacing w:before="0"/>
        <w:ind w:left="500" w:right="2728" w:firstLine="0"/>
        <w:jc w:val="left"/>
        <w:rPr>
          <w:rFonts w:ascii="Courier New"/>
          <w:sz w:val="22"/>
        </w:rPr>
      </w:pPr>
      <w:r>
        <w:rPr>
          <w:rFonts w:ascii="Courier New"/>
          <w:spacing w:val="-1"/>
          <w:sz w:val="22"/>
        </w:rPr>
        <w:t>omegga=((sigmma*gamarr)+(1-alphha)*((sigmma*etta)-1));</w:t>
      </w:r>
      <w:r>
        <w:rPr>
          <w:rFonts w:ascii="Courier New"/>
          <w:spacing w:val="-130"/>
          <w:sz w:val="22"/>
        </w:rPr>
        <w:t> </w:t>
      </w:r>
      <w:r>
        <w:rPr>
          <w:rFonts w:ascii="Courier New"/>
          <w:sz w:val="22"/>
        </w:rPr>
        <w:t>sigmma_alphha=sigmma/((1-alphha)+(alphha*omegga));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kapa_alphha=(((1-thetta)*(1-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(betta*thetta)))/thetta)*(sigmma_alphha+phii);</w:t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  <w:sz w:val="20"/>
        </w:rPr>
      </w:pPr>
    </w:p>
    <w:p>
      <w:pPr>
        <w:spacing w:before="0"/>
        <w:ind w:left="500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model(linear);</w:t>
      </w:r>
    </w:p>
    <w:p>
      <w:pPr>
        <w:spacing w:before="0"/>
        <w:ind w:left="500" w:right="497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//1.Open economy NK Philips curve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pacing w:val="-1"/>
          <w:sz w:val="22"/>
        </w:rPr>
        <w:t>pii_D=betta*pii_D(+1)+kapa_alphha*ytilde+eps_piiD;</w:t>
      </w:r>
    </w:p>
    <w:p>
      <w:pPr>
        <w:pStyle w:val="BodyText"/>
        <w:spacing w:before="1"/>
        <w:rPr>
          <w:rFonts w:ascii="Courier New"/>
          <w:sz w:val="22"/>
        </w:rPr>
      </w:pPr>
    </w:p>
    <w:p>
      <w:pPr>
        <w:spacing w:before="0"/>
        <w:ind w:left="500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//2.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Open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economy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Dynamic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IS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Curve</w:t>
      </w:r>
    </w:p>
    <w:p>
      <w:pPr>
        <w:spacing w:before="1"/>
        <w:ind w:left="500" w:right="1012" w:firstLine="0"/>
        <w:jc w:val="left"/>
        <w:rPr>
          <w:rFonts w:ascii="Courier New"/>
          <w:sz w:val="22"/>
        </w:rPr>
      </w:pPr>
      <w:r>
        <w:rPr>
          <w:rFonts w:ascii="Courier New"/>
          <w:spacing w:val="-1"/>
          <w:sz w:val="22"/>
        </w:rPr>
        <w:t>ytilde=ytilde(+1)-(1/sigmma_alphha)*(r-pii_D(+1)-r_nat)+eps_ytilde;</w:t>
      </w:r>
      <w:r>
        <w:rPr>
          <w:rFonts w:ascii="Courier New"/>
          <w:spacing w:val="-130"/>
          <w:sz w:val="22"/>
        </w:rPr>
        <w:t> </w:t>
      </w:r>
      <w:r>
        <w:rPr>
          <w:rFonts w:ascii="Courier New"/>
          <w:sz w:val="22"/>
        </w:rPr>
        <w:t>r_nat= -sigmma_alphha*gamarr*(1-rrho_a)*a +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alphha*sigmma_alphha*(thetta+pssi)*(ystar(+1)-ystar);</w:t>
      </w:r>
    </w:p>
    <w:p>
      <w:pPr>
        <w:spacing w:line="249" w:lineRule="exact" w:before="0"/>
        <w:ind w:left="500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a=rrho_a*a(-1)+eps_a;</w:t>
      </w:r>
    </w:p>
    <w:p>
      <w:pPr>
        <w:spacing w:before="0"/>
        <w:ind w:left="500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ystar=</w:t>
      </w:r>
      <w:r>
        <w:rPr>
          <w:rFonts w:ascii="Courier New"/>
          <w:spacing w:val="-6"/>
          <w:sz w:val="22"/>
        </w:rPr>
        <w:t> </w:t>
      </w:r>
      <w:r>
        <w:rPr>
          <w:rFonts w:ascii="Courier New"/>
          <w:sz w:val="22"/>
        </w:rPr>
        <w:t>rrho_ystar*ystar(-1)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+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eps_ystar;</w:t>
      </w:r>
    </w:p>
    <w:p>
      <w:pPr>
        <w:pStyle w:val="BodyText"/>
        <w:spacing w:before="1"/>
        <w:rPr>
          <w:rFonts w:ascii="Courier New"/>
          <w:sz w:val="22"/>
        </w:rPr>
      </w:pPr>
    </w:p>
    <w:p>
      <w:pPr>
        <w:spacing w:line="248" w:lineRule="exact" w:before="0"/>
        <w:ind w:left="500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//3.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z w:val="22"/>
        </w:rPr>
        <w:t>Fiscal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z w:val="22"/>
        </w:rPr>
        <w:t>policy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decision</w:t>
      </w:r>
    </w:p>
    <w:p>
      <w:pPr>
        <w:spacing w:line="720" w:lineRule="auto" w:before="0"/>
        <w:ind w:left="500" w:right="2728" w:firstLine="0"/>
        <w:jc w:val="left"/>
        <w:rPr>
          <w:rFonts w:ascii="Courier New"/>
          <w:sz w:val="22"/>
        </w:rPr>
      </w:pPr>
      <w:r>
        <w:rPr>
          <w:rFonts w:ascii="Courier New"/>
          <w:spacing w:val="-1"/>
          <w:sz w:val="22"/>
        </w:rPr>
        <w:t>g=rrho_g*g(-1)+(1-rrho_g)*(upssilon_g*ytilde)+eps_g;</w:t>
      </w:r>
      <w:r>
        <w:rPr>
          <w:rFonts w:ascii="Courier New"/>
          <w:spacing w:val="-130"/>
          <w:sz w:val="22"/>
        </w:rPr>
        <w:t> </w:t>
      </w:r>
      <w:r>
        <w:rPr>
          <w:rFonts w:ascii="Courier New"/>
          <w:sz w:val="22"/>
        </w:rPr>
        <w:t>end;</w:t>
      </w:r>
    </w:p>
    <w:p>
      <w:pPr>
        <w:spacing w:after="0" w:line="720" w:lineRule="auto"/>
        <w:jc w:val="left"/>
        <w:rPr>
          <w:rFonts w:ascii="Courier New"/>
          <w:sz w:val="22"/>
        </w:rPr>
        <w:sectPr>
          <w:pgSz w:w="12240" w:h="15840"/>
          <w:pgMar w:header="0" w:footer="935" w:top="1360" w:bottom="1200" w:left="940" w:right="940"/>
        </w:sectPr>
      </w:pPr>
    </w:p>
    <w:p>
      <w:pPr>
        <w:spacing w:before="194"/>
        <w:ind w:left="500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shocks;</w:t>
      </w:r>
    </w:p>
    <w:p>
      <w:pPr>
        <w:spacing w:line="240" w:lineRule="auto" w:before="0"/>
        <w:ind w:left="500" w:right="7877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var eps_ytilde;</w:t>
      </w:r>
      <w:r>
        <w:rPr>
          <w:rFonts w:ascii="Courier New"/>
          <w:spacing w:val="-131"/>
          <w:sz w:val="22"/>
        </w:rPr>
        <w:t> </w:t>
      </w:r>
      <w:r>
        <w:rPr>
          <w:rFonts w:ascii="Courier New"/>
          <w:sz w:val="22"/>
        </w:rPr>
        <w:t>stderr</w:t>
      </w:r>
      <w:r>
        <w:rPr>
          <w:rFonts w:ascii="Courier New"/>
          <w:spacing w:val="2"/>
          <w:sz w:val="22"/>
        </w:rPr>
        <w:t> </w:t>
      </w:r>
      <w:r>
        <w:rPr>
          <w:rFonts w:ascii="Courier New"/>
          <w:sz w:val="22"/>
        </w:rPr>
        <w:t>0.01;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var eps_g;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stderr</w:t>
      </w:r>
      <w:r>
        <w:rPr>
          <w:rFonts w:ascii="Courier New"/>
          <w:spacing w:val="2"/>
          <w:sz w:val="22"/>
        </w:rPr>
        <w:t> </w:t>
      </w:r>
      <w:r>
        <w:rPr>
          <w:rFonts w:ascii="Courier New"/>
          <w:sz w:val="22"/>
        </w:rPr>
        <w:t>0.01;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var eps_ystar;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stderr</w:t>
      </w:r>
      <w:r>
        <w:rPr>
          <w:rFonts w:ascii="Courier New"/>
          <w:spacing w:val="2"/>
          <w:sz w:val="22"/>
        </w:rPr>
        <w:t> </w:t>
      </w:r>
      <w:r>
        <w:rPr>
          <w:rFonts w:ascii="Courier New"/>
          <w:sz w:val="22"/>
        </w:rPr>
        <w:t>0.01;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var eps_a;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stderr 0.01;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end;</w:t>
      </w:r>
    </w:p>
    <w:p>
      <w:pPr>
        <w:pStyle w:val="BodyText"/>
        <w:spacing w:before="10"/>
        <w:rPr>
          <w:rFonts w:ascii="Courier New"/>
          <w:sz w:val="21"/>
        </w:rPr>
      </w:pPr>
    </w:p>
    <w:p>
      <w:pPr>
        <w:spacing w:line="722" w:lineRule="auto" w:before="0"/>
        <w:ind w:left="500" w:right="497" w:firstLine="0"/>
        <w:jc w:val="left"/>
        <w:rPr>
          <w:rFonts w:ascii="Courier New"/>
          <w:sz w:val="22"/>
        </w:rPr>
      </w:pPr>
      <w:r>
        <w:rPr>
          <w:rFonts w:ascii="Courier New"/>
          <w:spacing w:val="-1"/>
          <w:sz w:val="22"/>
        </w:rPr>
        <w:t>planner_objective(pii_D^2+lambda1*(ytilde^2)+lambda2*(g^2));</w:t>
      </w:r>
      <w:r>
        <w:rPr>
          <w:rFonts w:ascii="Courier New"/>
          <w:spacing w:val="-130"/>
          <w:sz w:val="22"/>
        </w:rPr>
        <w:t> </w:t>
      </w:r>
      <w:r>
        <w:rPr>
          <w:rFonts w:ascii="Courier New"/>
          <w:sz w:val="22"/>
        </w:rPr>
        <w:t>ramsey_policy(order=1,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planner_discount=0.99);</w:t>
      </w:r>
    </w:p>
    <w:p>
      <w:pPr>
        <w:spacing w:after="0" w:line="722" w:lineRule="auto"/>
        <w:jc w:val="left"/>
        <w:rPr>
          <w:rFonts w:ascii="Courier New"/>
          <w:sz w:val="22"/>
        </w:rPr>
        <w:sectPr>
          <w:pgSz w:w="12240" w:h="15840"/>
          <w:pgMar w:header="0" w:footer="935" w:top="1500" w:bottom="1200" w:left="940" w:right="940"/>
        </w:sectPr>
      </w:pPr>
    </w:p>
    <w:p>
      <w:pPr>
        <w:pStyle w:val="BodyText"/>
        <w:spacing w:before="74"/>
        <w:ind w:left="500"/>
      </w:pPr>
      <w:r>
        <w:rPr/>
        <w:t>Appendix</w:t>
      </w:r>
      <w:r>
        <w:rPr>
          <w:spacing w:val="1"/>
        </w:rPr>
        <w:t> </w:t>
      </w:r>
      <w:r>
        <w:rPr/>
        <w:t>Five:</w:t>
      </w:r>
      <w:r>
        <w:rPr>
          <w:spacing w:val="-1"/>
        </w:rPr>
        <w:t> </w:t>
      </w:r>
      <w:r>
        <w:rPr/>
        <w:t>Dynare Code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Optimal</w:t>
      </w:r>
      <w:r>
        <w:rPr>
          <w:spacing w:val="-1"/>
        </w:rPr>
        <w:t> </w:t>
      </w:r>
      <w:r>
        <w:rPr/>
        <w:t>Ramsey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Rent-seeking</w:t>
      </w:r>
      <w:r>
        <w:rPr>
          <w:spacing w:val="-3"/>
        </w:rPr>
        <w:t> </w:t>
      </w:r>
      <w:r>
        <w:rPr/>
        <w:t>Government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500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var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pii_D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ytilde</w:t>
      </w:r>
      <w:r>
        <w:rPr>
          <w:rFonts w:ascii="Courier New"/>
          <w:spacing w:val="-1"/>
          <w:sz w:val="22"/>
        </w:rPr>
        <w:t> </w:t>
      </w:r>
      <w:r>
        <w:rPr>
          <w:rFonts w:ascii="Courier New"/>
          <w:sz w:val="22"/>
        </w:rPr>
        <w:t>r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g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taxx</w:t>
      </w:r>
      <w:r>
        <w:rPr>
          <w:rFonts w:ascii="Courier New"/>
          <w:spacing w:val="-1"/>
          <w:sz w:val="22"/>
        </w:rPr>
        <w:t> </w:t>
      </w:r>
      <w:r>
        <w:rPr>
          <w:rFonts w:ascii="Courier New"/>
          <w:sz w:val="22"/>
        </w:rPr>
        <w:t>r_nat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a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ystar</w:t>
      </w:r>
      <w:r>
        <w:rPr>
          <w:rFonts w:ascii="Courier New"/>
          <w:spacing w:val="-1"/>
          <w:sz w:val="22"/>
        </w:rPr>
        <w:t> </w:t>
      </w:r>
      <w:r>
        <w:rPr>
          <w:rFonts w:ascii="Courier New"/>
          <w:sz w:val="22"/>
        </w:rPr>
        <w:t>rn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;</w:t>
      </w:r>
    </w:p>
    <w:p>
      <w:pPr>
        <w:pStyle w:val="BodyText"/>
        <w:spacing w:before="10"/>
        <w:rPr>
          <w:rFonts w:ascii="Courier New"/>
          <w:sz w:val="21"/>
        </w:rPr>
      </w:pPr>
    </w:p>
    <w:p>
      <w:pPr>
        <w:spacing w:before="0"/>
        <w:ind w:left="500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varexo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eps_ytilde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z w:val="22"/>
        </w:rPr>
        <w:t>eps_g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z w:val="22"/>
        </w:rPr>
        <w:t>eps_taxx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z w:val="22"/>
        </w:rPr>
        <w:t>eps_ystar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eps_a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z w:val="22"/>
        </w:rPr>
        <w:t>eps_piiD;</w:t>
      </w:r>
    </w:p>
    <w:p>
      <w:pPr>
        <w:pStyle w:val="BodyText"/>
        <w:rPr>
          <w:rFonts w:ascii="Courier New"/>
          <w:sz w:val="22"/>
        </w:rPr>
      </w:pPr>
    </w:p>
    <w:p>
      <w:pPr>
        <w:spacing w:before="1"/>
        <w:ind w:left="500" w:right="497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parameters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betta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zetta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cchi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sigmma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alphha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thetta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phii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etta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gamarr</w:t>
      </w:r>
      <w:r>
        <w:rPr>
          <w:rFonts w:ascii="Courier New"/>
          <w:spacing w:val="-129"/>
          <w:sz w:val="22"/>
        </w:rPr>
        <w:t> </w:t>
      </w:r>
      <w:r>
        <w:rPr>
          <w:rFonts w:ascii="Courier New"/>
          <w:sz w:val="22"/>
        </w:rPr>
        <w:t>rrho_taxx rrho_ystar rrho_a pssi lambda1 lambda2 sigmma_alphha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kapa_alphha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rrho_sytilde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rrho_sg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rrho_spiiD;</w: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10"/>
        <w:rPr>
          <w:rFonts w:ascii="Courier New"/>
          <w:sz w:val="19"/>
        </w:rPr>
      </w:pPr>
    </w:p>
    <w:p>
      <w:pPr>
        <w:spacing w:line="240" w:lineRule="auto" w:before="0"/>
        <w:ind w:left="500" w:right="7612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betta=0.99;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zetta=0.35;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cchi=0.7;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sigmma=3;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alphha=0.4;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thetta=0.5;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phii=4.38;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etta=11.42;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gamarr=1;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pssi=0.8;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rrho_taxx=0.7;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rrho_ystar=0.7;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rrho_a=0.7;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pacing w:val="-1"/>
          <w:sz w:val="22"/>
        </w:rPr>
        <w:t>rrho_sytilde=0.7;</w:t>
      </w:r>
      <w:r>
        <w:rPr>
          <w:rFonts w:ascii="Courier New"/>
          <w:spacing w:val="-130"/>
          <w:sz w:val="22"/>
        </w:rPr>
        <w:t> </w:t>
      </w:r>
      <w:r>
        <w:rPr>
          <w:rFonts w:ascii="Courier New"/>
          <w:sz w:val="22"/>
        </w:rPr>
        <w:t>rrho_sg=0.7;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rrho_spiiD=0.7;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lambda1=0.5;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lambda2=0.5;</w:t>
      </w:r>
    </w:p>
    <w:p>
      <w:pPr>
        <w:spacing w:before="1"/>
        <w:ind w:left="500" w:right="2728" w:firstLine="0"/>
        <w:jc w:val="left"/>
        <w:rPr>
          <w:rFonts w:ascii="Courier New"/>
          <w:sz w:val="22"/>
        </w:rPr>
      </w:pPr>
      <w:r>
        <w:rPr>
          <w:rFonts w:ascii="Courier New"/>
          <w:spacing w:val="-1"/>
          <w:sz w:val="22"/>
        </w:rPr>
        <w:t>omegga=((sigmma*gamarr)+(1-alphha)*((sigmma*etta)-1));</w:t>
      </w:r>
      <w:r>
        <w:rPr>
          <w:rFonts w:ascii="Courier New"/>
          <w:spacing w:val="-130"/>
          <w:sz w:val="22"/>
        </w:rPr>
        <w:t> </w:t>
      </w:r>
      <w:r>
        <w:rPr>
          <w:rFonts w:ascii="Courier New"/>
          <w:sz w:val="22"/>
        </w:rPr>
        <w:t>sigmma_alphha=sigmma/((1-alphha)+(alphha*omegga));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kapa_alphha=(((1-thetta)*(1-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(betta*thetta)))/thetta)*(sigmma_alphha+phii);</w:t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  <w:sz w:val="20"/>
        </w:rPr>
      </w:pPr>
    </w:p>
    <w:p>
      <w:pPr>
        <w:spacing w:before="0"/>
        <w:ind w:left="500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model(linear);</w:t>
      </w:r>
    </w:p>
    <w:p>
      <w:pPr>
        <w:spacing w:before="0"/>
        <w:ind w:left="500" w:right="497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//1.Open economy NK Philips curve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pacing w:val="-1"/>
          <w:sz w:val="22"/>
        </w:rPr>
        <w:t>pii_D=betta*pii_D(+1)+kapa_alphha*ytilde+eps_piiD;</w:t>
      </w:r>
    </w:p>
    <w:p>
      <w:pPr>
        <w:pStyle w:val="BodyText"/>
        <w:spacing w:before="1"/>
        <w:rPr>
          <w:rFonts w:ascii="Courier New"/>
          <w:sz w:val="22"/>
        </w:rPr>
      </w:pPr>
    </w:p>
    <w:p>
      <w:pPr>
        <w:spacing w:before="0"/>
        <w:ind w:left="500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//2.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Open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economy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Dynamic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IS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Curve</w:t>
      </w:r>
    </w:p>
    <w:p>
      <w:pPr>
        <w:spacing w:before="1"/>
        <w:ind w:left="500" w:right="1012" w:firstLine="0"/>
        <w:jc w:val="left"/>
        <w:rPr>
          <w:rFonts w:ascii="Courier New"/>
          <w:sz w:val="22"/>
        </w:rPr>
      </w:pPr>
      <w:r>
        <w:rPr>
          <w:rFonts w:ascii="Courier New"/>
          <w:spacing w:val="-1"/>
          <w:sz w:val="22"/>
        </w:rPr>
        <w:t>ytilde=ytilde(+1)-(1/sigmma_alphha)*(r-pii_D(+1)-r_nat)+eps_ytilde;</w:t>
      </w:r>
      <w:r>
        <w:rPr>
          <w:rFonts w:ascii="Courier New"/>
          <w:spacing w:val="-130"/>
          <w:sz w:val="22"/>
        </w:rPr>
        <w:t> </w:t>
      </w:r>
      <w:r>
        <w:rPr>
          <w:rFonts w:ascii="Courier New"/>
          <w:sz w:val="22"/>
        </w:rPr>
        <w:t>r_nat= -sigmma_alphha*gamarr*(1-rrho_a)*a +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alphha*sigmma_alphha*(thetta+pssi)*(ystar(+1)-ystar);</w:t>
      </w:r>
    </w:p>
    <w:p>
      <w:pPr>
        <w:spacing w:line="249" w:lineRule="exact" w:before="0"/>
        <w:ind w:left="500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a=rrho_a*a(-1)+eps_a;</w:t>
      </w:r>
    </w:p>
    <w:p>
      <w:pPr>
        <w:spacing w:before="0"/>
        <w:ind w:left="500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ystar=</w:t>
      </w:r>
      <w:r>
        <w:rPr>
          <w:rFonts w:ascii="Courier New"/>
          <w:spacing w:val="-6"/>
          <w:sz w:val="22"/>
        </w:rPr>
        <w:t> </w:t>
      </w:r>
      <w:r>
        <w:rPr>
          <w:rFonts w:ascii="Courier New"/>
          <w:sz w:val="22"/>
        </w:rPr>
        <w:t>rrho_ystar*ystar(-1)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+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eps_ystar;</w:t>
      </w:r>
    </w:p>
    <w:p>
      <w:pPr>
        <w:pStyle w:val="BodyText"/>
        <w:spacing w:before="1"/>
        <w:rPr>
          <w:rFonts w:ascii="Courier New"/>
          <w:sz w:val="22"/>
        </w:rPr>
      </w:pPr>
    </w:p>
    <w:p>
      <w:pPr>
        <w:spacing w:line="240" w:lineRule="auto" w:before="0"/>
        <w:ind w:left="500" w:right="6275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//3. Fiscal policy decision</w:t>
      </w:r>
      <w:r>
        <w:rPr>
          <w:rFonts w:ascii="Courier New"/>
          <w:spacing w:val="-131"/>
          <w:sz w:val="22"/>
        </w:rPr>
        <w:t> </w:t>
      </w:r>
      <w:r>
        <w:rPr>
          <w:rFonts w:ascii="Courier New"/>
          <w:sz w:val="22"/>
        </w:rPr>
        <w:t>g=(1/zetta)*(rn)+eps_g;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rn=cchi*taxx;</w:t>
      </w:r>
    </w:p>
    <w:p>
      <w:pPr>
        <w:pStyle w:val="BodyText"/>
        <w:spacing w:before="10"/>
        <w:rPr>
          <w:rFonts w:ascii="Courier New"/>
          <w:sz w:val="21"/>
        </w:rPr>
      </w:pPr>
    </w:p>
    <w:p>
      <w:pPr>
        <w:spacing w:before="0"/>
        <w:ind w:left="500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taxx=rrho_taxx*taxx(-1)+eps_taxx;</w:t>
      </w:r>
    </w:p>
    <w:p>
      <w:pPr>
        <w:spacing w:after="0"/>
        <w:jc w:val="left"/>
        <w:rPr>
          <w:rFonts w:ascii="Courier New"/>
          <w:sz w:val="22"/>
        </w:rPr>
        <w:sectPr>
          <w:pgSz w:w="12240" w:h="15840"/>
          <w:pgMar w:header="0" w:footer="935" w:top="1360" w:bottom="1200" w:left="940" w:right="940"/>
        </w:sectPr>
      </w:pPr>
    </w:p>
    <w:p>
      <w:pPr>
        <w:spacing w:before="84"/>
        <w:ind w:left="500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end;</w: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1"/>
        <w:rPr>
          <w:rFonts w:ascii="Courier New"/>
          <w:sz w:val="20"/>
        </w:rPr>
      </w:pPr>
    </w:p>
    <w:p>
      <w:pPr>
        <w:spacing w:line="248" w:lineRule="exact" w:before="0"/>
        <w:ind w:left="500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shocks;</w:t>
      </w:r>
    </w:p>
    <w:p>
      <w:pPr>
        <w:spacing w:line="240" w:lineRule="auto" w:before="0"/>
        <w:ind w:left="500" w:right="7877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var eps_ytilde;</w:t>
      </w:r>
      <w:r>
        <w:rPr>
          <w:rFonts w:ascii="Courier New"/>
          <w:spacing w:val="-131"/>
          <w:sz w:val="22"/>
        </w:rPr>
        <w:t> </w:t>
      </w:r>
      <w:r>
        <w:rPr>
          <w:rFonts w:ascii="Courier New"/>
          <w:sz w:val="22"/>
        </w:rPr>
        <w:t>stderr</w:t>
      </w:r>
      <w:r>
        <w:rPr>
          <w:rFonts w:ascii="Courier New"/>
          <w:spacing w:val="2"/>
          <w:sz w:val="22"/>
        </w:rPr>
        <w:t> </w:t>
      </w:r>
      <w:r>
        <w:rPr>
          <w:rFonts w:ascii="Courier New"/>
          <w:sz w:val="22"/>
        </w:rPr>
        <w:t>0.01;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var eps_g;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stderr</w:t>
      </w:r>
      <w:r>
        <w:rPr>
          <w:rFonts w:ascii="Courier New"/>
          <w:spacing w:val="2"/>
          <w:sz w:val="22"/>
        </w:rPr>
        <w:t> </w:t>
      </w:r>
      <w:r>
        <w:rPr>
          <w:rFonts w:ascii="Courier New"/>
          <w:sz w:val="22"/>
        </w:rPr>
        <w:t>0.01;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var eps_taxx;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stderr</w:t>
      </w:r>
      <w:r>
        <w:rPr>
          <w:rFonts w:ascii="Courier New"/>
          <w:spacing w:val="2"/>
          <w:sz w:val="22"/>
        </w:rPr>
        <w:t> </w:t>
      </w:r>
      <w:r>
        <w:rPr>
          <w:rFonts w:ascii="Courier New"/>
          <w:sz w:val="22"/>
        </w:rPr>
        <w:t>0.01;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var eps_ystar;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stderr</w:t>
      </w:r>
      <w:r>
        <w:rPr>
          <w:rFonts w:ascii="Courier New"/>
          <w:spacing w:val="2"/>
          <w:sz w:val="22"/>
        </w:rPr>
        <w:t> </w:t>
      </w:r>
      <w:r>
        <w:rPr>
          <w:rFonts w:ascii="Courier New"/>
          <w:sz w:val="22"/>
        </w:rPr>
        <w:t>0.01;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var eps_a;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stderr 0.01;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end;</w:t>
      </w:r>
    </w:p>
    <w:p>
      <w:pPr>
        <w:pStyle w:val="BodyText"/>
        <w:spacing w:before="11"/>
        <w:rPr>
          <w:rFonts w:ascii="Courier New"/>
          <w:sz w:val="21"/>
        </w:rPr>
      </w:pPr>
    </w:p>
    <w:p>
      <w:pPr>
        <w:spacing w:line="480" w:lineRule="auto" w:before="0"/>
        <w:ind w:left="500" w:right="497" w:firstLine="0"/>
        <w:jc w:val="left"/>
        <w:rPr>
          <w:rFonts w:ascii="Courier New"/>
          <w:sz w:val="22"/>
        </w:rPr>
      </w:pPr>
      <w:r>
        <w:rPr>
          <w:rFonts w:ascii="Courier New"/>
          <w:spacing w:val="-1"/>
          <w:sz w:val="22"/>
        </w:rPr>
        <w:t>planner_objective(pii_D^2+lambda1*(ytilde^2)+lambda2*(g^2));</w:t>
      </w:r>
      <w:r>
        <w:rPr>
          <w:rFonts w:ascii="Courier New"/>
          <w:spacing w:val="-130"/>
          <w:sz w:val="22"/>
        </w:rPr>
        <w:t> </w:t>
      </w:r>
      <w:r>
        <w:rPr>
          <w:rFonts w:ascii="Courier New"/>
          <w:sz w:val="22"/>
        </w:rPr>
        <w:t>ramsey_policy(order=1,periods=288,</w:t>
      </w:r>
      <w:r>
        <w:rPr>
          <w:rFonts w:ascii="Courier New"/>
          <w:spacing w:val="-10"/>
          <w:sz w:val="22"/>
        </w:rPr>
        <w:t> </w:t>
      </w:r>
      <w:r>
        <w:rPr>
          <w:rFonts w:ascii="Courier New"/>
          <w:sz w:val="22"/>
        </w:rPr>
        <w:t>planner_discount=0.99);</w:t>
      </w:r>
    </w:p>
    <w:p>
      <w:pPr>
        <w:spacing w:after="0" w:line="480" w:lineRule="auto"/>
        <w:jc w:val="left"/>
        <w:rPr>
          <w:rFonts w:ascii="Courier New"/>
          <w:sz w:val="22"/>
        </w:rPr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74"/>
        <w:ind w:left="500"/>
      </w:pPr>
      <w:r>
        <w:rPr/>
        <w:t>Appendix</w:t>
      </w:r>
      <w:r>
        <w:rPr>
          <w:spacing w:val="1"/>
        </w:rPr>
        <w:t> </w:t>
      </w:r>
      <w:r>
        <w:rPr/>
        <w:t>Six:</w:t>
      </w:r>
      <w:r>
        <w:rPr>
          <w:spacing w:val="-1"/>
        </w:rPr>
        <w:t> </w:t>
      </w:r>
      <w:r>
        <w:rPr/>
        <w:t>Dynare</w:t>
      </w:r>
      <w:r>
        <w:rPr>
          <w:spacing w:val="-3"/>
        </w:rPr>
        <w:t> </w:t>
      </w:r>
      <w:r>
        <w:rPr/>
        <w:t>Code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Optimal</w:t>
      </w:r>
      <w:r>
        <w:rPr>
          <w:spacing w:val="-1"/>
        </w:rPr>
        <w:t> </w:t>
      </w:r>
      <w:r>
        <w:rPr/>
        <w:t>Discretionary</w:t>
      </w:r>
      <w:r>
        <w:rPr>
          <w:spacing w:val="-6"/>
        </w:rPr>
        <w:t> </w:t>
      </w:r>
      <w:r>
        <w:rPr/>
        <w:t>and</w:t>
      </w:r>
      <w:r>
        <w:rPr>
          <w:spacing w:val="1"/>
        </w:rPr>
        <w:t> </w:t>
      </w:r>
      <w:r>
        <w:rPr/>
        <w:t>Benevolent</w:t>
      </w:r>
      <w:r>
        <w:rPr>
          <w:spacing w:val="-1"/>
        </w:rPr>
        <w:t> </w:t>
      </w:r>
      <w:r>
        <w:rPr/>
        <w:t>Government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500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var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pii_D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ytilde</w:t>
      </w:r>
      <w:r>
        <w:rPr>
          <w:rFonts w:ascii="Courier New"/>
          <w:spacing w:val="-1"/>
          <w:sz w:val="22"/>
        </w:rPr>
        <w:t> </w:t>
      </w:r>
      <w:r>
        <w:rPr>
          <w:rFonts w:ascii="Courier New"/>
          <w:sz w:val="22"/>
        </w:rPr>
        <w:t>r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g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r_nat</w:t>
      </w:r>
      <w:r>
        <w:rPr>
          <w:rFonts w:ascii="Courier New"/>
          <w:spacing w:val="-1"/>
          <w:sz w:val="22"/>
        </w:rPr>
        <w:t> </w:t>
      </w:r>
      <w:r>
        <w:rPr>
          <w:rFonts w:ascii="Courier New"/>
          <w:sz w:val="22"/>
        </w:rPr>
        <w:t>a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ystar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;</w:t>
      </w:r>
    </w:p>
    <w:p>
      <w:pPr>
        <w:pStyle w:val="BodyText"/>
        <w:spacing w:before="10"/>
        <w:rPr>
          <w:rFonts w:ascii="Courier New"/>
          <w:sz w:val="21"/>
        </w:rPr>
      </w:pPr>
    </w:p>
    <w:p>
      <w:pPr>
        <w:spacing w:before="0"/>
        <w:ind w:left="500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varexo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eps_ytilde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z w:val="22"/>
        </w:rPr>
        <w:t>eps_g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z w:val="22"/>
        </w:rPr>
        <w:t>eps_ystar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z w:val="22"/>
        </w:rPr>
        <w:t>eps_a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eps_piiD;</w:t>
      </w:r>
    </w:p>
    <w:p>
      <w:pPr>
        <w:pStyle w:val="BodyText"/>
        <w:rPr>
          <w:rFonts w:ascii="Courier New"/>
          <w:sz w:val="22"/>
        </w:rPr>
      </w:pPr>
    </w:p>
    <w:p>
      <w:pPr>
        <w:spacing w:before="1"/>
        <w:ind w:left="500" w:right="729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parameters betta sigmma alphha thetta phii etta gamarr rrho_ystar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rrho_a</w:t>
      </w:r>
      <w:r>
        <w:rPr>
          <w:rFonts w:ascii="Courier New"/>
          <w:spacing w:val="-6"/>
          <w:sz w:val="22"/>
        </w:rPr>
        <w:t> </w:t>
      </w:r>
      <w:r>
        <w:rPr>
          <w:rFonts w:ascii="Courier New"/>
          <w:sz w:val="22"/>
        </w:rPr>
        <w:t>pssi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lambda1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lambda2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sigmma_alphha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kapa_alphha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rrho_sytilde</w:t>
      </w:r>
      <w:r>
        <w:rPr>
          <w:rFonts w:ascii="Courier New"/>
          <w:spacing w:val="-129"/>
          <w:sz w:val="22"/>
        </w:rPr>
        <w:t> </w:t>
      </w:r>
      <w:r>
        <w:rPr>
          <w:rFonts w:ascii="Courier New"/>
          <w:sz w:val="22"/>
        </w:rPr>
        <w:t>rrho_sg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rrho_spiiD</w:t>
      </w:r>
      <w:r>
        <w:rPr>
          <w:rFonts w:ascii="Courier New"/>
          <w:spacing w:val="-1"/>
          <w:sz w:val="22"/>
        </w:rPr>
        <w:t> </w:t>
      </w:r>
      <w:r>
        <w:rPr>
          <w:rFonts w:ascii="Courier New"/>
          <w:sz w:val="22"/>
        </w:rPr>
        <w:t>upssilon_g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rrho_g;</w: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10"/>
        <w:rPr>
          <w:rFonts w:ascii="Courier New"/>
          <w:sz w:val="19"/>
        </w:rPr>
      </w:pPr>
    </w:p>
    <w:p>
      <w:pPr>
        <w:spacing w:line="240" w:lineRule="auto" w:before="0"/>
        <w:ind w:left="500" w:right="7612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betta=0.99;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sigmma=3;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alphha=0.4;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thetta=0.5;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phii=4.38;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etta=11.42;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gamarr=1;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pssi=0.8;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upssilon_g=0.8;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rrho_g=0.7;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rrho_ystar=0.7;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rrho_a=0.7;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pacing w:val="-1"/>
          <w:sz w:val="22"/>
        </w:rPr>
        <w:t>rrho_sytilde=0.7;</w:t>
      </w:r>
      <w:r>
        <w:rPr>
          <w:rFonts w:ascii="Courier New"/>
          <w:spacing w:val="-130"/>
          <w:sz w:val="22"/>
        </w:rPr>
        <w:t> </w:t>
      </w:r>
      <w:r>
        <w:rPr>
          <w:rFonts w:ascii="Courier New"/>
          <w:sz w:val="22"/>
        </w:rPr>
        <w:t>rrho_sg=0.7;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rrho_spiiD=0.7;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lambda1=0.5;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lambda2=0.5;</w:t>
      </w:r>
    </w:p>
    <w:p>
      <w:pPr>
        <w:spacing w:before="1"/>
        <w:ind w:left="500" w:right="2728" w:firstLine="0"/>
        <w:jc w:val="left"/>
        <w:rPr>
          <w:rFonts w:ascii="Courier New"/>
          <w:sz w:val="22"/>
        </w:rPr>
      </w:pPr>
      <w:r>
        <w:rPr>
          <w:rFonts w:ascii="Courier New"/>
          <w:spacing w:val="-1"/>
          <w:sz w:val="22"/>
        </w:rPr>
        <w:t>omegga=((sigmma*gamarr)+(1-alphha)*((sigmma*etta)-1));</w:t>
      </w:r>
      <w:r>
        <w:rPr>
          <w:rFonts w:ascii="Courier New"/>
          <w:spacing w:val="-130"/>
          <w:sz w:val="22"/>
        </w:rPr>
        <w:t> </w:t>
      </w:r>
      <w:r>
        <w:rPr>
          <w:rFonts w:ascii="Courier New"/>
          <w:sz w:val="22"/>
        </w:rPr>
        <w:t>sigmma_alphha=sigmma/((1-alphha)+(alphha*omegga));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kapa_alphha=(((1-thetta)*(1-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(betta*thetta)))/thetta)*(sigmma_alphha+phii);</w: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11"/>
        <w:rPr>
          <w:rFonts w:ascii="Courier New"/>
          <w:sz w:val="19"/>
        </w:rPr>
      </w:pPr>
    </w:p>
    <w:p>
      <w:pPr>
        <w:spacing w:before="0"/>
        <w:ind w:left="500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model(linear);</w:t>
      </w:r>
    </w:p>
    <w:p>
      <w:pPr>
        <w:spacing w:before="0"/>
        <w:ind w:left="500" w:right="497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//1.Open economy NK Philips curve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pacing w:val="-1"/>
          <w:sz w:val="22"/>
        </w:rPr>
        <w:t>pii_D=betta*pii_D(+1)+kapa_alphha*ytilde+eps_piiD;</w:t>
      </w:r>
    </w:p>
    <w:p>
      <w:pPr>
        <w:pStyle w:val="BodyText"/>
        <w:spacing w:before="1"/>
        <w:rPr>
          <w:rFonts w:ascii="Courier New"/>
          <w:sz w:val="22"/>
        </w:rPr>
      </w:pPr>
    </w:p>
    <w:p>
      <w:pPr>
        <w:spacing w:before="0"/>
        <w:ind w:left="500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//2.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Open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economy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Dynamic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IS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Curve</w:t>
      </w:r>
    </w:p>
    <w:p>
      <w:pPr>
        <w:spacing w:before="1"/>
        <w:ind w:left="500" w:right="1012" w:firstLine="0"/>
        <w:jc w:val="left"/>
        <w:rPr>
          <w:rFonts w:ascii="Courier New"/>
          <w:sz w:val="22"/>
        </w:rPr>
      </w:pPr>
      <w:r>
        <w:rPr>
          <w:rFonts w:ascii="Courier New"/>
          <w:spacing w:val="-1"/>
          <w:sz w:val="22"/>
        </w:rPr>
        <w:t>ytilde=ytilde(+1)-(1/sigmma_alphha)*(r-pii_D(+1)-r_nat)+eps_ytilde;</w:t>
      </w:r>
      <w:r>
        <w:rPr>
          <w:rFonts w:ascii="Courier New"/>
          <w:spacing w:val="-130"/>
          <w:sz w:val="22"/>
        </w:rPr>
        <w:t> </w:t>
      </w:r>
      <w:r>
        <w:rPr>
          <w:rFonts w:ascii="Courier New"/>
          <w:sz w:val="22"/>
        </w:rPr>
        <w:t>r_nat= -sigmma_alphha*gamarr*(1-rrho_a)*a +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alphha*sigmma_alphha*(thetta+pssi)*(ystar(+1)-ystar);</w:t>
      </w:r>
    </w:p>
    <w:p>
      <w:pPr>
        <w:spacing w:line="249" w:lineRule="exact" w:before="0"/>
        <w:ind w:left="500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a=rrho_a*a(-1)+eps_a;</w:t>
      </w:r>
    </w:p>
    <w:p>
      <w:pPr>
        <w:spacing w:before="0"/>
        <w:ind w:left="500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ystar=</w:t>
      </w:r>
      <w:r>
        <w:rPr>
          <w:rFonts w:ascii="Courier New"/>
          <w:spacing w:val="-6"/>
          <w:sz w:val="22"/>
        </w:rPr>
        <w:t> </w:t>
      </w:r>
      <w:r>
        <w:rPr>
          <w:rFonts w:ascii="Courier New"/>
          <w:sz w:val="22"/>
        </w:rPr>
        <w:t>rrho_ystar*ystar(-1)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+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eps_ystar;</w:t>
      </w:r>
    </w:p>
    <w:p>
      <w:pPr>
        <w:pStyle w:val="BodyText"/>
        <w:spacing w:before="1"/>
        <w:rPr>
          <w:rFonts w:ascii="Courier New"/>
          <w:sz w:val="22"/>
        </w:rPr>
      </w:pPr>
    </w:p>
    <w:p>
      <w:pPr>
        <w:spacing w:before="0"/>
        <w:ind w:left="500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//3.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z w:val="22"/>
        </w:rPr>
        <w:t>Fiscal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z w:val="22"/>
        </w:rPr>
        <w:t>policy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decision</w:t>
      </w:r>
    </w:p>
    <w:p>
      <w:pPr>
        <w:spacing w:line="717" w:lineRule="auto" w:before="0"/>
        <w:ind w:left="500" w:right="2728" w:firstLine="0"/>
        <w:jc w:val="left"/>
        <w:rPr>
          <w:rFonts w:ascii="Courier New"/>
          <w:sz w:val="22"/>
        </w:rPr>
      </w:pPr>
      <w:r>
        <w:rPr>
          <w:rFonts w:ascii="Courier New"/>
          <w:spacing w:val="-1"/>
          <w:sz w:val="22"/>
        </w:rPr>
        <w:t>g=rrho_g*g(-1)+(1-rrho_g)*(upssilon_g*ytilde)+eps_g;</w:t>
      </w:r>
      <w:r>
        <w:rPr>
          <w:rFonts w:ascii="Courier New"/>
          <w:spacing w:val="-130"/>
          <w:sz w:val="22"/>
        </w:rPr>
        <w:t> </w:t>
      </w:r>
      <w:r>
        <w:rPr>
          <w:rFonts w:ascii="Courier New"/>
          <w:sz w:val="22"/>
        </w:rPr>
        <w:t>end;</w:t>
      </w:r>
    </w:p>
    <w:p>
      <w:pPr>
        <w:spacing w:after="0" w:line="717" w:lineRule="auto"/>
        <w:jc w:val="left"/>
        <w:rPr>
          <w:rFonts w:ascii="Courier New"/>
          <w:sz w:val="22"/>
        </w:rPr>
        <w:sectPr>
          <w:pgSz w:w="12240" w:h="15840"/>
          <w:pgMar w:header="0" w:footer="935" w:top="1360" w:bottom="1200" w:left="940" w:right="940"/>
        </w:sectPr>
      </w:pPr>
    </w:p>
    <w:p>
      <w:pPr>
        <w:spacing w:before="84"/>
        <w:ind w:left="500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shocks;</w:t>
      </w:r>
    </w:p>
    <w:p>
      <w:pPr>
        <w:spacing w:line="240" w:lineRule="auto" w:before="1"/>
        <w:ind w:left="500" w:right="7877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var eps_ytilde;</w:t>
      </w:r>
      <w:r>
        <w:rPr>
          <w:rFonts w:ascii="Courier New"/>
          <w:spacing w:val="-131"/>
          <w:sz w:val="22"/>
        </w:rPr>
        <w:t> </w:t>
      </w:r>
      <w:r>
        <w:rPr>
          <w:rFonts w:ascii="Courier New"/>
          <w:sz w:val="22"/>
        </w:rPr>
        <w:t>stderr</w:t>
      </w:r>
      <w:r>
        <w:rPr>
          <w:rFonts w:ascii="Courier New"/>
          <w:spacing w:val="2"/>
          <w:sz w:val="22"/>
        </w:rPr>
        <w:t> </w:t>
      </w:r>
      <w:r>
        <w:rPr>
          <w:rFonts w:ascii="Courier New"/>
          <w:sz w:val="22"/>
        </w:rPr>
        <w:t>0.01;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var eps_g;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stderr</w:t>
      </w:r>
      <w:r>
        <w:rPr>
          <w:rFonts w:ascii="Courier New"/>
          <w:spacing w:val="2"/>
          <w:sz w:val="22"/>
        </w:rPr>
        <w:t> </w:t>
      </w:r>
      <w:r>
        <w:rPr>
          <w:rFonts w:ascii="Courier New"/>
          <w:sz w:val="22"/>
        </w:rPr>
        <w:t>0.01;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var eps_ystar;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stderr</w:t>
      </w:r>
      <w:r>
        <w:rPr>
          <w:rFonts w:ascii="Courier New"/>
          <w:spacing w:val="2"/>
          <w:sz w:val="22"/>
        </w:rPr>
        <w:t> </w:t>
      </w:r>
      <w:r>
        <w:rPr>
          <w:rFonts w:ascii="Courier New"/>
          <w:sz w:val="22"/>
        </w:rPr>
        <w:t>0.01;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var eps_a;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stderr 0.01;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end;</w:t>
      </w:r>
    </w:p>
    <w:p>
      <w:pPr>
        <w:pStyle w:val="BodyText"/>
        <w:spacing w:before="10"/>
        <w:rPr>
          <w:rFonts w:ascii="Courier New"/>
          <w:sz w:val="21"/>
        </w:rPr>
      </w:pPr>
    </w:p>
    <w:p>
      <w:pPr>
        <w:spacing w:before="0"/>
        <w:ind w:left="500" w:right="497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planner_objective(pii_D^2+lambda1*(ytilde^2)+lambda2*(g^2));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pacing w:val="-1"/>
          <w:sz w:val="22"/>
        </w:rPr>
        <w:t>discretionary_policy(irf=40,planner_discount=0.99,order=1,instruments=</w:t>
      </w:r>
      <w:r>
        <w:rPr>
          <w:rFonts w:ascii="Courier New"/>
          <w:spacing w:val="-130"/>
          <w:sz w:val="22"/>
        </w:rPr>
        <w:t> </w:t>
      </w:r>
      <w:r>
        <w:rPr>
          <w:rFonts w:ascii="Courier New"/>
          <w:sz w:val="22"/>
        </w:rPr>
        <w:t>(r));</w:t>
      </w:r>
    </w:p>
    <w:p>
      <w:pPr>
        <w:spacing w:after="0"/>
        <w:jc w:val="left"/>
        <w:rPr>
          <w:rFonts w:ascii="Courier New"/>
          <w:sz w:val="22"/>
        </w:rPr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74"/>
        <w:ind w:left="500"/>
      </w:pPr>
      <w:r>
        <w:rPr/>
        <w:t>Appendix Seven:</w:t>
      </w:r>
      <w:r>
        <w:rPr>
          <w:spacing w:val="-1"/>
        </w:rPr>
        <w:t> </w:t>
      </w:r>
      <w:r>
        <w:rPr/>
        <w:t>Dynare</w:t>
      </w:r>
      <w:r>
        <w:rPr>
          <w:spacing w:val="-1"/>
        </w:rPr>
        <w:t> </w:t>
      </w:r>
      <w:r>
        <w:rPr/>
        <w:t>Code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Optimal</w:t>
      </w:r>
      <w:r>
        <w:rPr>
          <w:spacing w:val="1"/>
        </w:rPr>
        <w:t> </w:t>
      </w:r>
      <w:r>
        <w:rPr/>
        <w:t>Discretionary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Rent-seeking</w:t>
      </w:r>
      <w:r>
        <w:rPr>
          <w:spacing w:val="-1"/>
        </w:rPr>
        <w:t> </w:t>
      </w:r>
      <w:r>
        <w:rPr/>
        <w:t>Government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500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var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pii_D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ytilde</w:t>
      </w:r>
      <w:r>
        <w:rPr>
          <w:rFonts w:ascii="Courier New"/>
          <w:spacing w:val="-1"/>
          <w:sz w:val="22"/>
        </w:rPr>
        <w:t> </w:t>
      </w:r>
      <w:r>
        <w:rPr>
          <w:rFonts w:ascii="Courier New"/>
          <w:sz w:val="22"/>
        </w:rPr>
        <w:t>r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g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taxx</w:t>
      </w:r>
      <w:r>
        <w:rPr>
          <w:rFonts w:ascii="Courier New"/>
          <w:spacing w:val="-1"/>
          <w:sz w:val="22"/>
        </w:rPr>
        <w:t> </w:t>
      </w:r>
      <w:r>
        <w:rPr>
          <w:rFonts w:ascii="Courier New"/>
          <w:sz w:val="22"/>
        </w:rPr>
        <w:t>r_nat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a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ystar</w:t>
      </w:r>
      <w:r>
        <w:rPr>
          <w:rFonts w:ascii="Courier New"/>
          <w:spacing w:val="-1"/>
          <w:sz w:val="22"/>
        </w:rPr>
        <w:t> </w:t>
      </w:r>
      <w:r>
        <w:rPr>
          <w:rFonts w:ascii="Courier New"/>
          <w:sz w:val="22"/>
        </w:rPr>
        <w:t>rn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;</w:t>
      </w:r>
    </w:p>
    <w:p>
      <w:pPr>
        <w:pStyle w:val="BodyText"/>
        <w:spacing w:before="10"/>
        <w:rPr>
          <w:rFonts w:ascii="Courier New"/>
          <w:sz w:val="21"/>
        </w:rPr>
      </w:pPr>
    </w:p>
    <w:p>
      <w:pPr>
        <w:spacing w:before="0"/>
        <w:ind w:left="500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varexo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eps_ytilde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z w:val="22"/>
        </w:rPr>
        <w:t>eps_g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z w:val="22"/>
        </w:rPr>
        <w:t>eps_taxx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z w:val="22"/>
        </w:rPr>
        <w:t>eps_ystar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eps_a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z w:val="22"/>
        </w:rPr>
        <w:t>eps_piiD;</w:t>
      </w:r>
    </w:p>
    <w:p>
      <w:pPr>
        <w:pStyle w:val="BodyText"/>
        <w:rPr>
          <w:rFonts w:ascii="Courier New"/>
          <w:sz w:val="22"/>
        </w:rPr>
      </w:pPr>
    </w:p>
    <w:p>
      <w:pPr>
        <w:spacing w:before="1"/>
        <w:ind w:left="500" w:right="497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parameters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z w:val="22"/>
        </w:rPr>
        <w:t>betta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zetta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cchi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sigmma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alphha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z w:val="22"/>
        </w:rPr>
        <w:t>thetta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phii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etta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gamarr</w:t>
      </w:r>
      <w:r>
        <w:rPr>
          <w:rFonts w:ascii="Courier New"/>
          <w:spacing w:val="-129"/>
          <w:sz w:val="22"/>
        </w:rPr>
        <w:t> </w:t>
      </w:r>
      <w:r>
        <w:rPr>
          <w:rFonts w:ascii="Courier New"/>
          <w:sz w:val="22"/>
        </w:rPr>
        <w:t>rrho_taxx rrho_ystar rrho_a pssi lambda1 lambda2 sigmma_alphha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kapa_alphha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rrho_sytilde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rrho_sg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rrho_spiiD;</w: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10"/>
        <w:rPr>
          <w:rFonts w:ascii="Courier New"/>
          <w:sz w:val="19"/>
        </w:rPr>
      </w:pPr>
    </w:p>
    <w:p>
      <w:pPr>
        <w:spacing w:line="240" w:lineRule="auto" w:before="0"/>
        <w:ind w:left="500" w:right="7612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betta=0.99;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zetta=0.35;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cchi=0.7;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sigmma=3;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alphha=0.4;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thetta=0.5;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phii=4.38;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etta=11.42;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gamarr=1;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pssi=0.8;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rrho_taxx=0.7;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rrho_ystar=0.7;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rrho_a=0.7;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pacing w:val="-1"/>
          <w:sz w:val="22"/>
        </w:rPr>
        <w:t>rrho_sytilde=0.7;</w:t>
      </w:r>
      <w:r>
        <w:rPr>
          <w:rFonts w:ascii="Courier New"/>
          <w:spacing w:val="-130"/>
          <w:sz w:val="22"/>
        </w:rPr>
        <w:t> </w:t>
      </w:r>
      <w:r>
        <w:rPr>
          <w:rFonts w:ascii="Courier New"/>
          <w:sz w:val="22"/>
        </w:rPr>
        <w:t>rrho_sg=0.7;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rrho_spiiD=0.7;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lambda1=0.5;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lambda2=0.5;</w:t>
      </w:r>
    </w:p>
    <w:p>
      <w:pPr>
        <w:spacing w:before="1"/>
        <w:ind w:left="500" w:right="2728" w:firstLine="0"/>
        <w:jc w:val="left"/>
        <w:rPr>
          <w:rFonts w:ascii="Courier New"/>
          <w:sz w:val="22"/>
        </w:rPr>
      </w:pPr>
      <w:r>
        <w:rPr>
          <w:rFonts w:ascii="Courier New"/>
          <w:spacing w:val="-1"/>
          <w:sz w:val="22"/>
        </w:rPr>
        <w:t>omegga=((sigmma*gamarr)+(1-alphha)*((sigmma*etta)-1));</w:t>
      </w:r>
      <w:r>
        <w:rPr>
          <w:rFonts w:ascii="Courier New"/>
          <w:spacing w:val="-130"/>
          <w:sz w:val="22"/>
        </w:rPr>
        <w:t> </w:t>
      </w:r>
      <w:r>
        <w:rPr>
          <w:rFonts w:ascii="Courier New"/>
          <w:sz w:val="22"/>
        </w:rPr>
        <w:t>sigmma_alphha=sigmma/((1-alphha)+(alphha*omegga));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kapa_alphha=(((1-thetta)*(1-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(betta*thetta)))/thetta)*(sigmma_alphha+phii);</w:t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  <w:sz w:val="20"/>
        </w:rPr>
      </w:pPr>
    </w:p>
    <w:p>
      <w:pPr>
        <w:spacing w:before="0"/>
        <w:ind w:left="500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model(linear);</w:t>
      </w:r>
    </w:p>
    <w:p>
      <w:pPr>
        <w:spacing w:before="0"/>
        <w:ind w:left="500" w:right="497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//1.Open economy NK Philips curve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pacing w:val="-1"/>
          <w:sz w:val="22"/>
        </w:rPr>
        <w:t>pii_D=betta*pii_D(+1)+kapa_alphha*ytilde+eps_piiD;</w:t>
      </w:r>
    </w:p>
    <w:p>
      <w:pPr>
        <w:pStyle w:val="BodyText"/>
        <w:spacing w:before="1"/>
        <w:rPr>
          <w:rFonts w:ascii="Courier New"/>
          <w:sz w:val="22"/>
        </w:rPr>
      </w:pPr>
    </w:p>
    <w:p>
      <w:pPr>
        <w:spacing w:before="0"/>
        <w:ind w:left="500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//2.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Open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economy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Dynamic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IS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Curve</w:t>
      </w:r>
    </w:p>
    <w:p>
      <w:pPr>
        <w:spacing w:before="1"/>
        <w:ind w:left="500" w:right="1012" w:firstLine="0"/>
        <w:jc w:val="left"/>
        <w:rPr>
          <w:rFonts w:ascii="Courier New"/>
          <w:sz w:val="22"/>
        </w:rPr>
      </w:pPr>
      <w:r>
        <w:rPr>
          <w:rFonts w:ascii="Courier New"/>
          <w:spacing w:val="-1"/>
          <w:sz w:val="22"/>
        </w:rPr>
        <w:t>ytilde=ytilde(+1)-(1/sigmma_alphha)*(r-pii_D(+1)-r_nat)+eps_ytilde;</w:t>
      </w:r>
      <w:r>
        <w:rPr>
          <w:rFonts w:ascii="Courier New"/>
          <w:spacing w:val="-130"/>
          <w:sz w:val="22"/>
        </w:rPr>
        <w:t> </w:t>
      </w:r>
      <w:r>
        <w:rPr>
          <w:rFonts w:ascii="Courier New"/>
          <w:sz w:val="22"/>
        </w:rPr>
        <w:t>r_nat= -sigmma_alphha*gamarr*(1-rrho_a)*a +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alphha*sigmma_alphha*(thetta+pssi)*(ystar(+1)-ystar);</w:t>
      </w:r>
    </w:p>
    <w:p>
      <w:pPr>
        <w:spacing w:line="249" w:lineRule="exact" w:before="0"/>
        <w:ind w:left="500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a=rrho_a*a(-1)+eps_a;</w:t>
      </w:r>
    </w:p>
    <w:p>
      <w:pPr>
        <w:spacing w:before="0"/>
        <w:ind w:left="500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ystar=</w:t>
      </w:r>
      <w:r>
        <w:rPr>
          <w:rFonts w:ascii="Courier New"/>
          <w:spacing w:val="-6"/>
          <w:sz w:val="22"/>
        </w:rPr>
        <w:t> </w:t>
      </w:r>
      <w:r>
        <w:rPr>
          <w:rFonts w:ascii="Courier New"/>
          <w:sz w:val="22"/>
        </w:rPr>
        <w:t>rrho_ystar*ystar(-1)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+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eps_ystar;</w:t>
      </w:r>
    </w:p>
    <w:p>
      <w:pPr>
        <w:pStyle w:val="BodyText"/>
        <w:spacing w:before="1"/>
        <w:rPr>
          <w:rFonts w:ascii="Courier New"/>
          <w:sz w:val="22"/>
        </w:rPr>
      </w:pPr>
    </w:p>
    <w:p>
      <w:pPr>
        <w:spacing w:line="240" w:lineRule="auto" w:before="0"/>
        <w:ind w:left="500" w:right="5502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//3. Fiscal policy decision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g=(1/zetta)*(cchi*taxx)+eps_g;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rn=cchi*taxx;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pacing w:val="-1"/>
          <w:sz w:val="22"/>
        </w:rPr>
        <w:t>taxx=rrho_taxx*taxx(-1)+eps_taxx;</w:t>
      </w:r>
      <w:r>
        <w:rPr>
          <w:rFonts w:ascii="Courier New"/>
          <w:spacing w:val="-130"/>
          <w:sz w:val="22"/>
        </w:rPr>
        <w:t> </w:t>
      </w:r>
      <w:r>
        <w:rPr>
          <w:rFonts w:ascii="Courier New"/>
          <w:sz w:val="22"/>
        </w:rPr>
        <w:t>end;</w:t>
      </w:r>
    </w:p>
    <w:p>
      <w:pPr>
        <w:spacing w:after="0" w:line="240" w:lineRule="auto"/>
        <w:jc w:val="left"/>
        <w:rPr>
          <w:rFonts w:ascii="Courier New"/>
          <w:sz w:val="22"/>
        </w:rPr>
        <w:sectPr>
          <w:pgSz w:w="12240" w:h="15840"/>
          <w:pgMar w:header="0" w:footer="935" w:top="1360" w:bottom="1200" w:left="940" w:right="940"/>
        </w:sectPr>
      </w:pPr>
    </w:p>
    <w:p>
      <w:pPr>
        <w:spacing w:before="84"/>
        <w:ind w:left="500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shocks;</w:t>
      </w:r>
    </w:p>
    <w:p>
      <w:pPr>
        <w:spacing w:line="240" w:lineRule="auto" w:before="1"/>
        <w:ind w:left="500" w:right="7877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var eps_ytilde;</w:t>
      </w:r>
      <w:r>
        <w:rPr>
          <w:rFonts w:ascii="Courier New"/>
          <w:spacing w:val="-131"/>
          <w:sz w:val="22"/>
        </w:rPr>
        <w:t> </w:t>
      </w:r>
      <w:r>
        <w:rPr>
          <w:rFonts w:ascii="Courier New"/>
          <w:sz w:val="22"/>
        </w:rPr>
        <w:t>stderr</w:t>
      </w:r>
      <w:r>
        <w:rPr>
          <w:rFonts w:ascii="Courier New"/>
          <w:spacing w:val="2"/>
          <w:sz w:val="22"/>
        </w:rPr>
        <w:t> </w:t>
      </w:r>
      <w:r>
        <w:rPr>
          <w:rFonts w:ascii="Courier New"/>
          <w:sz w:val="22"/>
        </w:rPr>
        <w:t>0.01;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var eps_g;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stderr</w:t>
      </w:r>
      <w:r>
        <w:rPr>
          <w:rFonts w:ascii="Courier New"/>
          <w:spacing w:val="2"/>
          <w:sz w:val="22"/>
        </w:rPr>
        <w:t> </w:t>
      </w:r>
      <w:r>
        <w:rPr>
          <w:rFonts w:ascii="Courier New"/>
          <w:sz w:val="22"/>
        </w:rPr>
        <w:t>0.01;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var eps_taxx;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stderr</w:t>
      </w:r>
      <w:r>
        <w:rPr>
          <w:rFonts w:ascii="Courier New"/>
          <w:spacing w:val="2"/>
          <w:sz w:val="22"/>
        </w:rPr>
        <w:t> </w:t>
      </w:r>
      <w:r>
        <w:rPr>
          <w:rFonts w:ascii="Courier New"/>
          <w:sz w:val="22"/>
        </w:rPr>
        <w:t>0.01;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var eps_ystar;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stderr</w:t>
      </w:r>
      <w:r>
        <w:rPr>
          <w:rFonts w:ascii="Courier New"/>
          <w:spacing w:val="2"/>
          <w:sz w:val="22"/>
        </w:rPr>
        <w:t> </w:t>
      </w:r>
      <w:r>
        <w:rPr>
          <w:rFonts w:ascii="Courier New"/>
          <w:sz w:val="22"/>
        </w:rPr>
        <w:t>0.01;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var eps_a;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stderr</w:t>
      </w:r>
      <w:r>
        <w:rPr>
          <w:rFonts w:ascii="Courier New"/>
          <w:spacing w:val="2"/>
          <w:sz w:val="22"/>
        </w:rPr>
        <w:t> </w:t>
      </w:r>
      <w:r>
        <w:rPr>
          <w:rFonts w:ascii="Courier New"/>
          <w:sz w:val="22"/>
        </w:rPr>
        <w:t>0.01;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var eps_piiD;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stderr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0.01;</w:t>
      </w:r>
    </w:p>
    <w:p>
      <w:pPr>
        <w:pStyle w:val="BodyText"/>
        <w:rPr>
          <w:rFonts w:ascii="Courier New"/>
          <w:sz w:val="22"/>
        </w:rPr>
      </w:pPr>
    </w:p>
    <w:p>
      <w:pPr>
        <w:spacing w:line="477" w:lineRule="auto" w:before="0"/>
        <w:ind w:left="500" w:right="1923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end;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pacing w:val="-1"/>
          <w:sz w:val="22"/>
        </w:rPr>
        <w:t>planner_objective(pii_D^2+lambda1*(ytilde^2)+lambda2*(g^2));</w:t>
      </w:r>
    </w:p>
    <w:p>
      <w:pPr>
        <w:spacing w:before="4"/>
        <w:ind w:left="500" w:right="497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discretionary_policy(irf=40,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pacing w:val="-1"/>
          <w:sz w:val="22"/>
        </w:rPr>
        <w:t>planner_discount=0.99,order=1,instruments=(r));</w:t>
      </w:r>
    </w:p>
    <w:p>
      <w:pPr>
        <w:spacing w:after="0"/>
        <w:jc w:val="left"/>
        <w:rPr>
          <w:rFonts w:ascii="Courier New"/>
          <w:sz w:val="22"/>
        </w:rPr>
        <w:sectPr>
          <w:pgSz w:w="12240" w:h="15840"/>
          <w:pgMar w:header="0" w:footer="935" w:top="1360" w:bottom="1200" w:left="940" w:right="940"/>
        </w:sectPr>
      </w:pPr>
    </w:p>
    <w:p>
      <w:pPr>
        <w:pStyle w:val="Heading3"/>
        <w:spacing w:before="79"/>
      </w:pPr>
      <w:r>
        <w:rPr/>
        <w:t>Appendix</w:t>
      </w:r>
      <w:r>
        <w:rPr>
          <w:spacing w:val="-2"/>
        </w:rPr>
        <w:t> </w:t>
      </w:r>
      <w:r>
        <w:rPr/>
        <w:t>Eight:</w:t>
      </w:r>
      <w:r>
        <w:rPr>
          <w:spacing w:val="-3"/>
        </w:rPr>
        <w:t> </w:t>
      </w:r>
      <w:r>
        <w:rPr/>
        <w:t>Derivation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optimal</w:t>
      </w:r>
      <w:r>
        <w:rPr>
          <w:spacing w:val="-1"/>
        </w:rPr>
        <w:t> </w:t>
      </w:r>
      <w:r>
        <w:rPr/>
        <w:t>pricing</w:t>
      </w:r>
      <w:r>
        <w:rPr>
          <w:spacing w:val="-1"/>
        </w:rPr>
        <w:t> </w:t>
      </w:r>
      <w:r>
        <w:rPr/>
        <w:t>equation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firm</w:t>
      </w:r>
    </w:p>
    <w:p>
      <w:pPr>
        <w:pStyle w:val="BodyText"/>
        <w:spacing w:before="10"/>
        <w:rPr>
          <w:b/>
          <w:sz w:val="9"/>
        </w:rPr>
      </w:pPr>
    </w:p>
    <w:p>
      <w:pPr>
        <w:spacing w:after="0"/>
        <w:rPr>
          <w:sz w:val="9"/>
        </w:rPr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line="156" w:lineRule="exact" w:before="94"/>
        <w:ind w:left="500"/>
        <w:rPr>
          <w:rFonts w:ascii="Cambria Math" w:hAnsi="Cambria Math"/>
        </w:rPr>
      </w:pPr>
      <w:r>
        <w:rPr>
          <w:rFonts w:ascii="Cambria Math" w:hAnsi="Cambria Math"/>
          <w:w w:val="105"/>
        </w:rPr>
        <w:t>Max</w:t>
      </w:r>
      <w:r>
        <w:rPr>
          <w:rFonts w:ascii="Cambria Math" w:hAnsi="Cambria Math"/>
          <w:spacing w:val="-13"/>
          <w:w w:val="105"/>
        </w:rPr>
        <w:t> </w:t>
      </w:r>
      <w:r>
        <w:rPr>
          <w:rFonts w:ascii="Cambria Math" w:hAnsi="Cambria Math"/>
          <w:w w:val="105"/>
        </w:rPr>
        <w:t>E</w:t>
      </w:r>
      <w:r>
        <w:rPr>
          <w:rFonts w:ascii="Cambria Math" w:hAnsi="Cambria Math"/>
          <w:w w:val="105"/>
          <w:vertAlign w:val="subscript"/>
        </w:rPr>
        <w:t>t</w:t>
      </w:r>
      <w:r>
        <w:rPr>
          <w:rFonts w:ascii="Cambria Math" w:hAnsi="Cambria Math"/>
          <w:spacing w:val="13"/>
          <w:w w:val="105"/>
          <w:vertAlign w:val="baseline"/>
        </w:rPr>
        <w:t> </w:t>
      </w:r>
      <w:r>
        <w:rPr>
          <w:rFonts w:ascii="Cambria Math" w:hAnsi="Cambria Math"/>
          <w:w w:val="105"/>
          <w:position w:val="1"/>
          <w:vertAlign w:val="baseline"/>
        </w:rPr>
        <w:t>∑</w:t>
      </w:r>
      <w:r>
        <w:rPr>
          <w:rFonts w:ascii="Cambria Math" w:hAnsi="Cambria Math"/>
          <w:w w:val="105"/>
          <w:position w:val="1"/>
          <w:vertAlign w:val="superscript"/>
        </w:rPr>
        <w:t>∞</w:t>
      </w:r>
    </w:p>
    <w:p>
      <w:pPr>
        <w:tabs>
          <w:tab w:pos="7260" w:val="left" w:leader="none"/>
        </w:tabs>
        <w:spacing w:line="171" w:lineRule="exact" w:before="78"/>
        <w:ind w:left="124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6"/>
          <w:sz w:val="24"/>
        </w:rPr>
        <w:t>(</w:t>
      </w:r>
      <w:r>
        <w:rPr>
          <w:rFonts w:ascii="Cambria Math" w:hAnsi="Cambria Math" w:eastAsia="Cambria Math"/>
          <w:w w:val="105"/>
          <w:position w:val="5"/>
          <w:sz w:val="24"/>
        </w:rPr>
        <w:t>βθ</w:t>
      </w:r>
      <w:r>
        <w:rPr>
          <w:rFonts w:ascii="Cambria Math" w:hAnsi="Cambria Math" w:eastAsia="Cambria Math"/>
          <w:w w:val="105"/>
          <w:position w:val="6"/>
          <w:sz w:val="24"/>
        </w:rPr>
        <w:t>)</w:t>
      </w:r>
      <w:r>
        <w:rPr>
          <w:rFonts w:ascii="Cambria Math" w:hAnsi="Cambria Math" w:eastAsia="Cambria Math"/>
          <w:w w:val="105"/>
          <w:position w:val="14"/>
          <w:sz w:val="17"/>
        </w:rPr>
        <w:t>k </w:t>
      </w:r>
      <w:r>
        <w:rPr>
          <w:rFonts w:ascii="Cambria Math" w:hAnsi="Cambria Math" w:eastAsia="Cambria Math"/>
          <w:w w:val="105"/>
          <w:position w:val="5"/>
          <w:sz w:val="24"/>
        </w:rPr>
        <w:t>E</w:t>
      </w:r>
      <w:r>
        <w:rPr>
          <w:rFonts w:ascii="Cambria Math" w:hAnsi="Cambria Math" w:eastAsia="Cambria Math"/>
          <w:w w:val="105"/>
          <w:sz w:val="17"/>
        </w:rPr>
        <w:t>t,t+k</w:t>
      </w:r>
      <w:r>
        <w:rPr>
          <w:rFonts w:ascii="Cambria Math" w:hAnsi="Cambria Math" w:eastAsia="Cambria Math"/>
          <w:spacing w:val="1"/>
          <w:w w:val="105"/>
          <w:sz w:val="17"/>
        </w:rPr>
        <w:t> </w:t>
      </w:r>
      <w:r>
        <w:rPr>
          <w:rFonts w:ascii="Cambria Math" w:hAnsi="Cambria Math" w:eastAsia="Cambria Math"/>
          <w:w w:val="105"/>
          <w:position w:val="5"/>
          <w:sz w:val="24"/>
        </w:rPr>
        <w:t>Y</w:t>
      </w:r>
      <w:r>
        <w:rPr>
          <w:rFonts w:ascii="Cambria Math" w:hAnsi="Cambria Math" w:eastAsia="Cambria Math"/>
          <w:w w:val="105"/>
          <w:sz w:val="17"/>
        </w:rPr>
        <w:t>t+k|t</w:t>
      </w:r>
      <w:r>
        <w:rPr>
          <w:rFonts w:ascii="Cambria Math" w:hAnsi="Cambria Math" w:eastAsia="Cambria Math"/>
          <w:spacing w:val="4"/>
          <w:w w:val="105"/>
          <w:sz w:val="17"/>
        </w:rPr>
        <w:t> </w:t>
      </w:r>
      <w:r>
        <w:rPr>
          <w:rFonts w:ascii="Cambria Math" w:hAnsi="Cambria Math" w:eastAsia="Cambria Math"/>
          <w:w w:val="105"/>
          <w:position w:val="5"/>
          <w:sz w:val="24"/>
        </w:rPr>
        <w:t>[𝑃</w:t>
      </w:r>
      <w:r>
        <w:rPr>
          <w:rFonts w:ascii="Cambria Math" w:hAnsi="Cambria Math" w:eastAsia="Cambria Math"/>
          <w:w w:val="105"/>
          <w:position w:val="14"/>
          <w:sz w:val="17"/>
        </w:rPr>
        <w:t>∗</w:t>
      </w:r>
      <w:r>
        <w:rPr>
          <w:rFonts w:ascii="Cambria Math" w:hAnsi="Cambria Math" w:eastAsia="Cambria Math"/>
          <w:spacing w:val="16"/>
          <w:w w:val="105"/>
          <w:position w:val="14"/>
          <w:sz w:val="17"/>
        </w:rPr>
        <w:t> </w:t>
      </w:r>
      <w:r>
        <w:rPr>
          <w:rFonts w:ascii="Cambria Math" w:hAnsi="Cambria Math" w:eastAsia="Cambria Math"/>
          <w:w w:val="105"/>
          <w:position w:val="5"/>
          <w:sz w:val="24"/>
        </w:rPr>
        <w:t>−</w:t>
      </w:r>
      <w:r>
        <w:rPr>
          <w:rFonts w:ascii="Cambria Math" w:hAnsi="Cambria Math" w:eastAsia="Cambria Math"/>
          <w:spacing w:val="36"/>
          <w:w w:val="105"/>
          <w:position w:val="5"/>
          <w:sz w:val="24"/>
        </w:rPr>
        <w:t> </w:t>
      </w:r>
      <w:r>
        <w:rPr>
          <w:rFonts w:ascii="Cambria Math" w:hAnsi="Cambria Math" w:eastAsia="Cambria Math"/>
          <w:w w:val="105"/>
          <w:position w:val="5"/>
          <w:sz w:val="24"/>
        </w:rPr>
        <w:t>mc</w:t>
      </w:r>
      <w:r>
        <w:rPr>
          <w:rFonts w:ascii="Cambria Math" w:hAnsi="Cambria Math" w:eastAsia="Cambria Math"/>
          <w:w w:val="105"/>
          <w:sz w:val="17"/>
        </w:rPr>
        <w:t>t+k|t</w:t>
      </w:r>
      <w:r>
        <w:rPr>
          <w:rFonts w:ascii="Cambria Math" w:hAnsi="Cambria Math" w:eastAsia="Cambria Math"/>
          <w:w w:val="105"/>
          <w:position w:val="5"/>
          <w:sz w:val="24"/>
        </w:rPr>
        <w:t>]</w:t>
        <w:tab/>
      </w:r>
      <w:r>
        <w:rPr>
          <w:w w:val="105"/>
          <w:position w:val="5"/>
          <w:sz w:val="24"/>
        </w:rPr>
        <w:t>(1)</w:t>
      </w:r>
    </w:p>
    <w:p>
      <w:pPr>
        <w:spacing w:after="0" w:line="171" w:lineRule="exact"/>
        <w:jc w:val="left"/>
        <w:rPr>
          <w:sz w:val="24"/>
        </w:rPr>
        <w:sectPr>
          <w:type w:val="continuous"/>
          <w:pgSz w:w="12240" w:h="15840"/>
          <w:pgMar w:top="1500" w:bottom="1120" w:left="940" w:right="940"/>
          <w:cols w:num="2" w:equalWidth="0">
            <w:col w:w="1602" w:space="40"/>
            <w:col w:w="8718"/>
          </w:cols>
        </w:sectPr>
      </w:pPr>
    </w:p>
    <w:p>
      <w:pPr>
        <w:tabs>
          <w:tab w:pos="3743" w:val="left" w:leader="none"/>
        </w:tabs>
        <w:spacing w:line="178" w:lineRule="exact" w:before="0"/>
        <w:ind w:left="1443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k=0</w:t>
        <w:tab/>
      </w:r>
      <w:r>
        <w:rPr>
          <w:rFonts w:ascii="Cambria Math" w:eastAsia="Cambria Math"/>
          <w:w w:val="110"/>
          <w:position w:val="1"/>
          <w:sz w:val="17"/>
        </w:rPr>
        <w:t>𝑡</w:t>
      </w:r>
    </w:p>
    <w:p>
      <w:pPr>
        <w:pStyle w:val="BodyText"/>
        <w:spacing w:before="4"/>
        <w:rPr>
          <w:rFonts w:ascii="Cambria Math"/>
          <w:sz w:val="20"/>
        </w:rPr>
      </w:pPr>
    </w:p>
    <w:p>
      <w:pPr>
        <w:pStyle w:val="BodyText"/>
        <w:spacing w:before="90"/>
        <w:ind w:left="500"/>
      </w:pPr>
      <w:r>
        <w:rPr/>
        <w:t>Subject</w:t>
      </w:r>
      <w:r>
        <w:rPr>
          <w:spacing w:val="-1"/>
        </w:rPr>
        <w:t> </w:t>
      </w:r>
      <w:r>
        <w:rPr/>
        <w:t>to</w:t>
      </w:r>
    </w:p>
    <w:p>
      <w:pPr>
        <w:pStyle w:val="BodyText"/>
        <w:spacing w:before="5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spacing w:line="177" w:lineRule="exact" w:before="115"/>
        <w:ind w:left="1532" w:right="0" w:firstLine="0"/>
        <w:jc w:val="left"/>
        <w:rPr>
          <w:rFonts w:ascii="Cambria Math" w:hAnsi="Cambria Math" w:eastAsia="Cambria Math"/>
          <w:sz w:val="14"/>
        </w:rPr>
      </w:pPr>
      <w:r>
        <w:rPr/>
        <w:pict>
          <v:shape style="position:absolute;margin-left:132.860001pt;margin-top:12.620842pt;width:9.6pt;height:7pt;mso-position-horizontal-relative:page;mso-position-vertical-relative:paragraph;z-index:-21346304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4"/>
                    </w:rPr>
                  </w:pPr>
                  <w:r>
                    <w:rPr>
                      <w:rFonts w:ascii="Cambria Math" w:eastAsia="Cambria Math"/>
                      <w:w w:val="120"/>
                      <w:sz w:val="14"/>
                      <w:u w:val="single"/>
                    </w:rPr>
                    <w:t>𝑡</w:t>
                  </w:r>
                  <w:r>
                    <w:rPr>
                      <w:rFonts w:ascii="Cambria Math" w:eastAsia="Cambria Math"/>
                      <w:spacing w:val="2"/>
                      <w:sz w:val="14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99"/>
          <w:position w:val="-10"/>
          <w:sz w:val="14"/>
          <w:u w:val="single"/>
        </w:rPr>
        <w:t> </w:t>
      </w:r>
      <w:r>
        <w:rPr>
          <w:position w:val="-10"/>
          <w:sz w:val="14"/>
          <w:u w:val="single"/>
        </w:rPr>
        <w:t> </w:t>
      </w:r>
      <w:r>
        <w:rPr>
          <w:spacing w:val="-12"/>
          <w:position w:val="-10"/>
          <w:sz w:val="14"/>
          <w:u w:val="single"/>
        </w:rPr>
        <w:t> </w:t>
      </w:r>
      <w:r>
        <w:rPr>
          <w:rFonts w:ascii="Cambria Math" w:hAnsi="Cambria Math" w:eastAsia="Cambria Math"/>
          <w:position w:val="-6"/>
          <w:sz w:val="17"/>
        </w:rPr>
        <w:t>𝑃</w:t>
      </w:r>
      <w:r>
        <w:rPr>
          <w:rFonts w:ascii="Cambria Math" w:hAnsi="Cambria Math" w:eastAsia="Cambria Math"/>
          <w:sz w:val="14"/>
        </w:rPr>
        <w:t>∗</w:t>
      </w:r>
    </w:p>
    <w:p>
      <w:pPr>
        <w:tabs>
          <w:tab w:pos="1909" w:val="left" w:leader="none"/>
        </w:tabs>
        <w:spacing w:line="187" w:lineRule="exact" w:before="0"/>
        <w:ind w:left="500" w:right="0" w:firstLine="0"/>
        <w:jc w:val="left"/>
        <w:rPr>
          <w:rFonts w:ascii="Cambria Math"/>
          <w:sz w:val="24"/>
        </w:rPr>
      </w:pPr>
      <w:r>
        <w:rPr>
          <w:rFonts w:ascii="Cambria Math"/>
          <w:w w:val="105"/>
          <w:position w:val="5"/>
          <w:sz w:val="24"/>
        </w:rPr>
        <w:t>Y</w:t>
      </w:r>
      <w:r>
        <w:rPr>
          <w:rFonts w:ascii="Cambria Math"/>
          <w:w w:val="105"/>
          <w:sz w:val="17"/>
        </w:rPr>
        <w:t>t+k|t </w:t>
      </w:r>
      <w:r>
        <w:rPr>
          <w:rFonts w:ascii="Cambria Math"/>
          <w:spacing w:val="23"/>
          <w:w w:val="105"/>
          <w:sz w:val="17"/>
        </w:rPr>
        <w:t> </w:t>
      </w:r>
      <w:r>
        <w:rPr>
          <w:rFonts w:ascii="Cambria Math"/>
          <w:w w:val="105"/>
          <w:position w:val="5"/>
          <w:sz w:val="24"/>
        </w:rPr>
        <w:t>= </w:t>
      </w:r>
      <w:r>
        <w:rPr>
          <w:rFonts w:ascii="Cambria Math"/>
          <w:spacing w:val="1"/>
          <w:w w:val="105"/>
          <w:position w:val="5"/>
          <w:sz w:val="24"/>
        </w:rPr>
        <w:t> </w:t>
      </w:r>
      <w:r>
        <w:rPr>
          <w:rFonts w:ascii="Cambria Math"/>
          <w:w w:val="105"/>
          <w:position w:val="5"/>
          <w:sz w:val="24"/>
        </w:rPr>
        <w:t>[</w:t>
        <w:tab/>
      </w:r>
      <w:r>
        <w:rPr>
          <w:rFonts w:ascii="Cambria Math"/>
          <w:spacing w:val="-8"/>
          <w:w w:val="105"/>
          <w:position w:val="5"/>
          <w:sz w:val="24"/>
        </w:rPr>
        <w:t>]</w:t>
      </w:r>
    </w:p>
    <w:p>
      <w:pPr>
        <w:spacing w:line="167" w:lineRule="exact" w:before="0"/>
        <w:ind w:left="1532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4"/>
          <w:sz w:val="17"/>
        </w:rPr>
        <w:t>𝑃</w:t>
      </w:r>
      <w:r>
        <w:rPr>
          <w:rFonts w:ascii="Cambria Math" w:eastAsia="Cambria Math"/>
          <w:w w:val="110"/>
          <w:sz w:val="14"/>
        </w:rPr>
        <w:t>𝑡+𝑘</w:t>
      </w:r>
    </w:p>
    <w:p>
      <w:pPr>
        <w:spacing w:before="72"/>
        <w:ind w:left="-39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−𝗌</w:t>
      </w:r>
    </w:p>
    <w:p>
      <w:pPr>
        <w:pStyle w:val="BodyText"/>
        <w:tabs>
          <w:tab w:pos="6653" w:val="left" w:leader="none"/>
        </w:tabs>
        <w:spacing w:before="231"/>
        <w:ind w:left="10"/>
      </w:pPr>
      <w:r>
        <w:rPr/>
        <w:br w:type="column"/>
      </w:r>
      <w:r>
        <w:rPr>
          <w:rFonts w:ascii="Cambria Math" w:eastAsia="Cambria Math"/>
          <w:w w:val="105"/>
        </w:rPr>
        <w:t>𝑌</w:t>
      </w:r>
      <w:r>
        <w:rPr>
          <w:rFonts w:ascii="Cambria Math" w:eastAsia="Cambria Math"/>
          <w:w w:val="105"/>
          <w:vertAlign w:val="subscript"/>
        </w:rPr>
        <w:t>𝑡+𝑘</w:t>
      </w:r>
      <w:r>
        <w:rPr>
          <w:rFonts w:ascii="Cambria Math" w:eastAsia="Cambria Math"/>
          <w:w w:val="105"/>
          <w:vertAlign w:val="baseline"/>
        </w:rPr>
        <w:tab/>
      </w:r>
      <w:r>
        <w:rPr>
          <w:w w:val="105"/>
          <w:vertAlign w:val="baseline"/>
        </w:rPr>
        <w:t>(2)</w:t>
      </w:r>
    </w:p>
    <w:p>
      <w:pPr>
        <w:spacing w:after="0"/>
        <w:sectPr>
          <w:type w:val="continuous"/>
          <w:pgSz w:w="12240" w:h="15840"/>
          <w:pgMar w:top="1500" w:bottom="1120" w:left="940" w:right="940"/>
          <w:cols w:num="3" w:equalWidth="0">
            <w:col w:w="1997" w:space="40"/>
            <w:col w:w="172" w:space="39"/>
            <w:col w:w="8112"/>
          </w:cols>
        </w:sect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before="90"/>
        <w:ind w:left="500"/>
      </w:pPr>
      <w:r>
        <w:rPr/>
        <w:t>Substitute</w:t>
      </w:r>
      <w:r>
        <w:rPr>
          <w:spacing w:val="-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(2)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(1):</w:t>
      </w:r>
    </w:p>
    <w:p>
      <w:pPr>
        <w:pStyle w:val="BodyText"/>
        <w:spacing w:before="6"/>
        <w:rPr>
          <w:sz w:val="19"/>
        </w:rPr>
      </w:pPr>
    </w:p>
    <w:p>
      <w:pPr>
        <w:tabs>
          <w:tab w:pos="3666" w:val="left" w:leader="none"/>
          <w:tab w:pos="4067" w:val="left" w:leader="none"/>
        </w:tabs>
        <w:spacing w:line="160" w:lineRule="exact" w:before="76"/>
        <w:ind w:left="1443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10"/>
          <w:position w:val="-10"/>
          <w:sz w:val="17"/>
        </w:rPr>
        <w:t>∞</w:t>
        <w:tab/>
      </w:r>
      <w:r>
        <w:rPr>
          <w:rFonts w:ascii="Cambria Math" w:hAnsi="Cambria Math" w:eastAsia="Cambria Math"/>
          <w:w w:val="110"/>
          <w:position w:val="-6"/>
          <w:sz w:val="17"/>
        </w:rPr>
        <w:t>𝑃</w:t>
      </w:r>
      <w:r>
        <w:rPr>
          <w:rFonts w:ascii="Cambria Math" w:hAnsi="Cambria Math" w:eastAsia="Cambria Math"/>
          <w:w w:val="110"/>
          <w:sz w:val="14"/>
        </w:rPr>
        <w:t>∗</w:t>
        <w:tab/>
      </w:r>
      <w:r>
        <w:rPr>
          <w:rFonts w:ascii="Cambria Math" w:hAnsi="Cambria Math" w:eastAsia="Cambria Math"/>
          <w:w w:val="110"/>
          <w:position w:val="1"/>
          <w:sz w:val="17"/>
        </w:rPr>
        <w:t>−𝗌</w:t>
      </w:r>
    </w:p>
    <w:p>
      <w:pPr>
        <w:tabs>
          <w:tab w:pos="1765" w:val="left" w:leader="none"/>
          <w:tab w:pos="4331" w:val="left" w:leader="none"/>
          <w:tab w:pos="8901" w:val="left" w:leader="none"/>
        </w:tabs>
        <w:spacing w:line="141" w:lineRule="exact" w:before="0"/>
        <w:ind w:left="500" w:right="0" w:firstLine="0"/>
        <w:jc w:val="left"/>
        <w:rPr>
          <w:sz w:val="24"/>
        </w:rPr>
      </w:pPr>
      <w:r>
        <w:rPr>
          <w:rFonts w:ascii="Cambria Math" w:hAnsi="Cambria Math" w:eastAsia="Cambria Math"/>
          <w:w w:val="105"/>
          <w:sz w:val="24"/>
        </w:rPr>
        <w:t>Max</w:t>
      </w:r>
      <w:r>
        <w:rPr>
          <w:rFonts w:ascii="Cambria Math" w:hAnsi="Cambria Math" w:eastAsia="Cambria Math"/>
          <w:spacing w:val="-9"/>
          <w:w w:val="105"/>
          <w:sz w:val="24"/>
        </w:rPr>
        <w:t> </w:t>
      </w:r>
      <w:r>
        <w:rPr>
          <w:rFonts w:ascii="Cambria Math" w:hAnsi="Cambria Math" w:eastAsia="Cambria Math"/>
          <w:w w:val="105"/>
          <w:sz w:val="24"/>
        </w:rPr>
        <w:t>E</w:t>
      </w:r>
      <w:r>
        <w:rPr>
          <w:rFonts w:ascii="Cambria Math" w:hAnsi="Cambria Math" w:eastAsia="Cambria Math"/>
          <w:w w:val="105"/>
          <w:position w:val="-4"/>
          <w:sz w:val="17"/>
        </w:rPr>
        <w:t>t</w:t>
      </w:r>
      <w:r>
        <w:rPr>
          <w:rFonts w:ascii="Cambria Math" w:hAnsi="Cambria Math" w:eastAsia="Cambria Math"/>
          <w:spacing w:val="36"/>
          <w:w w:val="105"/>
          <w:position w:val="-4"/>
          <w:sz w:val="17"/>
        </w:rPr>
        <w:t> </w:t>
      </w:r>
      <w:r>
        <w:rPr>
          <w:rFonts w:ascii="Cambria Math" w:hAnsi="Cambria Math" w:eastAsia="Cambria Math"/>
          <w:w w:val="105"/>
          <w:position w:val="1"/>
          <w:sz w:val="24"/>
        </w:rPr>
        <w:t>∑</w:t>
        <w:tab/>
        <w:t>(</w:t>
      </w:r>
      <w:r>
        <w:rPr>
          <w:rFonts w:ascii="Cambria Math" w:hAnsi="Cambria Math" w:eastAsia="Cambria Math"/>
          <w:w w:val="105"/>
          <w:sz w:val="24"/>
        </w:rPr>
        <w:t>βθ</w:t>
      </w:r>
      <w:r>
        <w:rPr>
          <w:rFonts w:ascii="Cambria Math" w:hAnsi="Cambria Math" w:eastAsia="Cambria Math"/>
          <w:w w:val="105"/>
          <w:position w:val="1"/>
          <w:sz w:val="24"/>
        </w:rPr>
        <w:t>)</w:t>
      </w:r>
      <w:r>
        <w:rPr>
          <w:rFonts w:ascii="Cambria Math" w:hAnsi="Cambria Math" w:eastAsia="Cambria Math"/>
          <w:w w:val="105"/>
          <w:position w:val="1"/>
          <w:sz w:val="24"/>
          <w:vertAlign w:val="superscript"/>
        </w:rPr>
        <w:t>k</w:t>
      </w:r>
      <w:r>
        <w:rPr>
          <w:rFonts w:ascii="Cambria Math" w:hAnsi="Cambria Math" w:eastAsia="Cambria Math"/>
          <w:spacing w:val="-10"/>
          <w:w w:val="105"/>
          <w:position w:val="1"/>
          <w:sz w:val="24"/>
          <w:vertAlign w:val="baseline"/>
        </w:rPr>
        <w:t> </w:t>
      </w:r>
      <w:r>
        <w:rPr>
          <w:rFonts w:ascii="Cambria Math" w:hAnsi="Cambria Math" w:eastAsia="Cambria Math"/>
          <w:w w:val="105"/>
          <w:sz w:val="24"/>
          <w:vertAlign w:val="baseline"/>
        </w:rPr>
        <w:t>E</w:t>
      </w:r>
      <w:r>
        <w:rPr>
          <w:rFonts w:ascii="Cambria Math" w:hAnsi="Cambria Math" w:eastAsia="Cambria Math"/>
          <w:w w:val="105"/>
          <w:position w:val="-4"/>
          <w:sz w:val="17"/>
          <w:vertAlign w:val="baseline"/>
        </w:rPr>
        <w:t>t,t+k</w:t>
      </w:r>
      <w:r>
        <w:rPr>
          <w:rFonts w:ascii="Cambria Math" w:hAnsi="Cambria Math" w:eastAsia="Cambria Math"/>
          <w:spacing w:val="7"/>
          <w:w w:val="105"/>
          <w:position w:val="-4"/>
          <w:sz w:val="17"/>
          <w:vertAlign w:val="baseline"/>
        </w:rPr>
        <w:t> </w:t>
      </w:r>
      <w:r>
        <w:rPr>
          <w:rFonts w:ascii="Cambria Math" w:hAnsi="Cambria Math" w:eastAsia="Cambria Math"/>
          <w:w w:val="105"/>
          <w:sz w:val="24"/>
          <w:vertAlign w:val="baseline"/>
        </w:rPr>
        <w:t>Y</w:t>
      </w:r>
      <w:r>
        <w:rPr>
          <w:rFonts w:ascii="Cambria Math" w:hAnsi="Cambria Math" w:eastAsia="Cambria Math"/>
          <w:w w:val="105"/>
          <w:position w:val="-4"/>
          <w:sz w:val="17"/>
          <w:vertAlign w:val="baseline"/>
        </w:rPr>
        <w:t>t+k </w:t>
      </w:r>
      <w:r>
        <w:rPr>
          <w:rFonts w:ascii="Cambria Math" w:hAnsi="Cambria Math" w:eastAsia="Cambria Math"/>
          <w:spacing w:val="5"/>
          <w:w w:val="105"/>
          <w:position w:val="-4"/>
          <w:sz w:val="17"/>
          <w:vertAlign w:val="baseline"/>
        </w:rPr>
        <w:t> </w:t>
      </w:r>
      <w:r>
        <w:rPr>
          <w:rFonts w:ascii="Cambria Math" w:hAnsi="Cambria Math" w:eastAsia="Cambria Math"/>
          <w:w w:val="105"/>
          <w:sz w:val="24"/>
          <w:vertAlign w:val="baseline"/>
        </w:rPr>
        <w:t>(</w:t>
      </w:r>
      <w:r>
        <w:rPr>
          <w:rFonts w:ascii="Cambria Math" w:hAnsi="Cambria Math" w:eastAsia="Cambria Math"/>
          <w:w w:val="105"/>
          <w:sz w:val="24"/>
          <w:u w:val="single"/>
          <w:vertAlign w:val="baseline"/>
        </w:rPr>
        <w:t>  </w:t>
      </w:r>
      <w:r>
        <w:rPr>
          <w:rFonts w:ascii="Cambria Math" w:hAnsi="Cambria Math" w:eastAsia="Cambria Math"/>
          <w:spacing w:val="18"/>
          <w:w w:val="105"/>
          <w:sz w:val="24"/>
          <w:u w:val="single"/>
          <w:vertAlign w:val="baseline"/>
        </w:rPr>
        <w:t> </w:t>
      </w:r>
      <w:r>
        <w:rPr>
          <w:rFonts w:ascii="Cambria Math" w:hAnsi="Cambria Math" w:eastAsia="Cambria Math"/>
          <w:w w:val="105"/>
          <w:sz w:val="24"/>
          <w:u w:val="single"/>
          <w:vertAlign w:val="superscript"/>
        </w:rPr>
        <w:t>𝑡</w:t>
      </w:r>
      <w:r>
        <w:rPr>
          <w:rFonts w:ascii="Cambria Math" w:hAnsi="Cambria Math" w:eastAsia="Cambria Math"/>
          <w:w w:val="105"/>
          <w:sz w:val="24"/>
          <w:u w:val="single"/>
          <w:vertAlign w:val="baseline"/>
        </w:rPr>
        <w:t> </w:t>
      </w:r>
      <w:r>
        <w:rPr>
          <w:rFonts w:ascii="Cambria Math" w:hAnsi="Cambria Math" w:eastAsia="Cambria Math"/>
          <w:spacing w:val="12"/>
          <w:w w:val="105"/>
          <w:sz w:val="24"/>
          <w:u w:val="single"/>
          <w:vertAlign w:val="baseline"/>
        </w:rPr>
        <w:t> </w:t>
      </w:r>
      <w:r>
        <w:rPr>
          <w:rFonts w:ascii="Cambria Math" w:hAnsi="Cambria Math" w:eastAsia="Cambria Math"/>
          <w:w w:val="105"/>
          <w:sz w:val="24"/>
          <w:vertAlign w:val="baseline"/>
        </w:rPr>
        <w:t>)</w:t>
        <w:tab/>
        <w:t>[𝑃</w:t>
      </w:r>
      <w:r>
        <w:rPr>
          <w:rFonts w:ascii="Cambria Math" w:hAnsi="Cambria Math" w:eastAsia="Cambria Math"/>
          <w:w w:val="105"/>
          <w:sz w:val="24"/>
          <w:vertAlign w:val="superscript"/>
        </w:rPr>
        <w:t>∗</w:t>
      </w:r>
      <w:r>
        <w:rPr>
          <w:rFonts w:ascii="Cambria Math" w:hAnsi="Cambria Math" w:eastAsia="Cambria Math"/>
          <w:spacing w:val="5"/>
          <w:w w:val="105"/>
          <w:sz w:val="24"/>
          <w:vertAlign w:val="baseline"/>
        </w:rPr>
        <w:t> </w:t>
      </w:r>
      <w:r>
        <w:rPr>
          <w:rFonts w:ascii="Cambria Math" w:hAnsi="Cambria Math" w:eastAsia="Cambria Math"/>
          <w:w w:val="105"/>
          <w:sz w:val="24"/>
          <w:vertAlign w:val="baseline"/>
        </w:rPr>
        <w:t>−</w:t>
      </w:r>
      <w:r>
        <w:rPr>
          <w:rFonts w:ascii="Cambria Math" w:hAnsi="Cambria Math" w:eastAsia="Cambria Math"/>
          <w:spacing w:val="45"/>
          <w:w w:val="105"/>
          <w:sz w:val="24"/>
          <w:vertAlign w:val="baseline"/>
        </w:rPr>
        <w:t> </w:t>
      </w:r>
      <w:r>
        <w:rPr>
          <w:rFonts w:ascii="Cambria Math" w:hAnsi="Cambria Math" w:eastAsia="Cambria Math"/>
          <w:w w:val="105"/>
          <w:sz w:val="24"/>
          <w:vertAlign w:val="baseline"/>
        </w:rPr>
        <w:t>mc</w:t>
      </w:r>
      <w:r>
        <w:rPr>
          <w:rFonts w:ascii="Cambria Math" w:hAnsi="Cambria Math" w:eastAsia="Cambria Math"/>
          <w:w w:val="105"/>
          <w:position w:val="-4"/>
          <w:sz w:val="17"/>
          <w:vertAlign w:val="baseline"/>
        </w:rPr>
        <w:t>t+k|t</w:t>
      </w:r>
      <w:r>
        <w:rPr>
          <w:rFonts w:ascii="Cambria Math" w:hAnsi="Cambria Math" w:eastAsia="Cambria Math"/>
          <w:w w:val="105"/>
          <w:sz w:val="24"/>
          <w:vertAlign w:val="baseline"/>
        </w:rPr>
        <w:t>]</w:t>
        <w:tab/>
      </w:r>
      <w:r>
        <w:rPr>
          <w:w w:val="105"/>
          <w:sz w:val="24"/>
          <w:vertAlign w:val="baseline"/>
        </w:rPr>
        <w:t>(3)</w:t>
      </w:r>
    </w:p>
    <w:p>
      <w:pPr>
        <w:spacing w:after="0" w:line="141" w:lineRule="exact"/>
        <w:jc w:val="left"/>
        <w:rPr>
          <w:sz w:val="24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spacing w:line="178" w:lineRule="exact" w:before="0"/>
        <w:ind w:left="0" w:right="38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k=0</w:t>
      </w:r>
    </w:p>
    <w:p>
      <w:pPr>
        <w:tabs>
          <w:tab w:pos="2413" w:val="left" w:leader="none"/>
        </w:tabs>
        <w:spacing w:line="269" w:lineRule="exact" w:before="0"/>
        <w:ind w:left="1443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position w:val="4"/>
          <w:sz w:val="17"/>
        </w:rPr>
        <w:t>𝑃</w:t>
      </w:r>
      <w:r>
        <w:rPr>
          <w:rFonts w:ascii="Cambria Math" w:eastAsia="Cambria Math"/>
          <w:w w:val="110"/>
          <w:sz w:val="14"/>
        </w:rPr>
        <w:t>𝑡+𝑘</w:t>
        <w:tab/>
      </w:r>
      <w:r>
        <w:rPr>
          <w:rFonts w:ascii="Cambria Math" w:eastAsia="Cambria Math"/>
          <w:w w:val="110"/>
          <w:position w:val="11"/>
          <w:sz w:val="17"/>
        </w:rPr>
        <w:t>𝑡</w:t>
      </w:r>
    </w:p>
    <w:p>
      <w:pPr>
        <w:spacing w:after="0" w:line="269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2" w:equalWidth="0">
            <w:col w:w="1808" w:space="319"/>
            <w:col w:w="8233"/>
          </w:cols>
        </w:sectPr>
      </w:pPr>
    </w:p>
    <w:p>
      <w:pPr>
        <w:pStyle w:val="BodyText"/>
        <w:spacing w:before="10"/>
        <w:rPr>
          <w:rFonts w:ascii="Cambria Math"/>
          <w:sz w:val="18"/>
        </w:rPr>
      </w:pPr>
    </w:p>
    <w:p>
      <w:pPr>
        <w:pStyle w:val="BodyText"/>
        <w:spacing w:before="90"/>
        <w:ind w:left="500"/>
      </w:pPr>
      <w:r>
        <w:rPr/>
        <w:t>After</w:t>
      </w:r>
      <w:r>
        <w:rPr>
          <w:spacing w:val="-3"/>
        </w:rPr>
        <w:t> </w:t>
      </w:r>
      <w:r>
        <w:rPr/>
        <w:t>expanding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bracket, this</w:t>
      </w:r>
      <w:r>
        <w:rPr>
          <w:spacing w:val="-1"/>
        </w:rPr>
        <w:t> </w:t>
      </w:r>
      <w:r>
        <w:rPr/>
        <w:t>leads to:</w:t>
      </w:r>
    </w:p>
    <w:p>
      <w:pPr>
        <w:pStyle w:val="BodyText"/>
        <w:spacing w:before="2"/>
        <w:rPr>
          <w:sz w:val="22"/>
        </w:rPr>
      </w:pPr>
    </w:p>
    <w:p>
      <w:pPr>
        <w:tabs>
          <w:tab w:pos="8181" w:val="left" w:leader="none"/>
        </w:tabs>
        <w:spacing w:line="179" w:lineRule="exact" w:before="70"/>
        <w:ind w:left="500" w:right="0" w:firstLine="0"/>
        <w:jc w:val="left"/>
        <w:rPr>
          <w:sz w:val="24"/>
        </w:rPr>
      </w:pPr>
      <w:r>
        <w:rPr>
          <w:rFonts w:ascii="Cambria Math" w:hAnsi="Cambria Math" w:eastAsia="Cambria Math"/>
          <w:w w:val="105"/>
          <w:sz w:val="24"/>
        </w:rPr>
        <w:t>Max</w:t>
      </w:r>
      <w:r>
        <w:rPr>
          <w:rFonts w:ascii="Cambria Math" w:hAnsi="Cambria Math" w:eastAsia="Cambria Math"/>
          <w:spacing w:val="-10"/>
          <w:w w:val="105"/>
          <w:sz w:val="24"/>
        </w:rPr>
        <w:t> </w:t>
      </w:r>
      <w:r>
        <w:rPr>
          <w:rFonts w:ascii="Cambria Math" w:hAnsi="Cambria Math" w:eastAsia="Cambria Math"/>
          <w:w w:val="105"/>
          <w:sz w:val="24"/>
        </w:rPr>
        <w:t>E</w:t>
      </w:r>
      <w:r>
        <w:rPr>
          <w:rFonts w:ascii="Cambria Math" w:hAnsi="Cambria Math" w:eastAsia="Cambria Math"/>
          <w:w w:val="105"/>
          <w:position w:val="-4"/>
          <w:sz w:val="17"/>
        </w:rPr>
        <w:t>t</w:t>
      </w:r>
      <w:r>
        <w:rPr>
          <w:rFonts w:ascii="Cambria Math" w:hAnsi="Cambria Math" w:eastAsia="Cambria Math"/>
          <w:spacing w:val="35"/>
          <w:w w:val="105"/>
          <w:position w:val="-4"/>
          <w:sz w:val="17"/>
        </w:rPr>
        <w:t> </w:t>
      </w:r>
      <w:r>
        <w:rPr>
          <w:rFonts w:ascii="Cambria Math" w:hAnsi="Cambria Math" w:eastAsia="Cambria Math"/>
          <w:w w:val="105"/>
          <w:position w:val="1"/>
          <w:sz w:val="24"/>
        </w:rPr>
        <w:t>∑</w:t>
      </w:r>
      <w:r>
        <w:rPr>
          <w:rFonts w:ascii="Cambria Math" w:hAnsi="Cambria Math" w:eastAsia="Cambria Math"/>
          <w:w w:val="105"/>
          <w:position w:val="10"/>
          <w:sz w:val="17"/>
        </w:rPr>
        <w:t>∞  </w:t>
      </w:r>
      <w:r>
        <w:rPr>
          <w:rFonts w:ascii="Cambria Math" w:hAnsi="Cambria Math" w:eastAsia="Cambria Math"/>
          <w:spacing w:val="27"/>
          <w:w w:val="105"/>
          <w:position w:val="10"/>
          <w:sz w:val="17"/>
        </w:rPr>
        <w:t> </w:t>
      </w:r>
      <w:r>
        <w:rPr>
          <w:rFonts w:ascii="Cambria Math" w:hAnsi="Cambria Math" w:eastAsia="Cambria Math"/>
          <w:w w:val="105"/>
          <w:position w:val="1"/>
          <w:sz w:val="24"/>
        </w:rPr>
        <w:t>(</w:t>
      </w:r>
      <w:r>
        <w:rPr>
          <w:rFonts w:ascii="Cambria Math" w:hAnsi="Cambria Math" w:eastAsia="Cambria Math"/>
          <w:w w:val="105"/>
          <w:sz w:val="24"/>
        </w:rPr>
        <w:t>βθ</w:t>
      </w:r>
      <w:r>
        <w:rPr>
          <w:rFonts w:ascii="Cambria Math" w:hAnsi="Cambria Math" w:eastAsia="Cambria Math"/>
          <w:w w:val="105"/>
          <w:position w:val="1"/>
          <w:sz w:val="24"/>
        </w:rPr>
        <w:t>)</w:t>
      </w:r>
      <w:r>
        <w:rPr>
          <w:rFonts w:ascii="Cambria Math" w:hAnsi="Cambria Math" w:eastAsia="Cambria Math"/>
          <w:w w:val="105"/>
          <w:position w:val="9"/>
          <w:sz w:val="17"/>
        </w:rPr>
        <w:t>k</w:t>
      </w:r>
      <w:r>
        <w:rPr>
          <w:rFonts w:ascii="Cambria Math" w:hAnsi="Cambria Math" w:eastAsia="Cambria Math"/>
          <w:spacing w:val="1"/>
          <w:w w:val="105"/>
          <w:position w:val="9"/>
          <w:sz w:val="17"/>
        </w:rPr>
        <w:t> </w:t>
      </w:r>
      <w:r>
        <w:rPr>
          <w:rFonts w:ascii="Cambria Math" w:hAnsi="Cambria Math" w:eastAsia="Cambria Math"/>
          <w:w w:val="105"/>
          <w:sz w:val="24"/>
        </w:rPr>
        <w:t>E</w:t>
      </w:r>
      <w:r>
        <w:rPr>
          <w:rFonts w:ascii="Cambria Math" w:hAnsi="Cambria Math" w:eastAsia="Cambria Math"/>
          <w:w w:val="105"/>
          <w:position w:val="-4"/>
          <w:sz w:val="17"/>
        </w:rPr>
        <w:t>t,t+k</w:t>
      </w:r>
      <w:r>
        <w:rPr>
          <w:rFonts w:ascii="Cambria Math" w:hAnsi="Cambria Math" w:eastAsia="Cambria Math"/>
          <w:spacing w:val="2"/>
          <w:w w:val="105"/>
          <w:position w:val="-4"/>
          <w:sz w:val="17"/>
        </w:rPr>
        <w:t> </w:t>
      </w:r>
      <w:r>
        <w:rPr>
          <w:rFonts w:ascii="Cambria Math" w:hAnsi="Cambria Math" w:eastAsia="Cambria Math"/>
          <w:w w:val="105"/>
          <w:sz w:val="24"/>
        </w:rPr>
        <w:t>Y</w:t>
      </w:r>
      <w:r>
        <w:rPr>
          <w:rFonts w:ascii="Cambria Math" w:hAnsi="Cambria Math" w:eastAsia="Cambria Math"/>
          <w:w w:val="105"/>
          <w:position w:val="-4"/>
          <w:sz w:val="17"/>
        </w:rPr>
        <w:t>t+k</w:t>
      </w:r>
      <w:r>
        <w:rPr>
          <w:rFonts w:ascii="Cambria Math" w:hAnsi="Cambria Math" w:eastAsia="Cambria Math"/>
          <w:spacing w:val="4"/>
          <w:w w:val="105"/>
          <w:position w:val="-4"/>
          <w:sz w:val="17"/>
        </w:rPr>
        <w:t> </w:t>
      </w:r>
      <w:r>
        <w:rPr>
          <w:rFonts w:ascii="Cambria Math" w:hAnsi="Cambria Math" w:eastAsia="Cambria Math"/>
          <w:w w:val="105"/>
          <w:sz w:val="24"/>
        </w:rPr>
        <w:t>[</w:t>
      </w:r>
      <w:r>
        <w:rPr>
          <w:rFonts w:ascii="Cambria Math" w:hAnsi="Cambria Math" w:eastAsia="Cambria Math"/>
          <w:w w:val="105"/>
          <w:position w:val="1"/>
          <w:sz w:val="24"/>
        </w:rPr>
        <w:t>(</w:t>
      </w:r>
      <w:r>
        <w:rPr>
          <w:rFonts w:ascii="Cambria Math" w:hAnsi="Cambria Math" w:eastAsia="Cambria Math"/>
          <w:w w:val="105"/>
          <w:sz w:val="24"/>
        </w:rPr>
        <w:t>𝑃</w:t>
      </w:r>
      <w:r>
        <w:rPr>
          <w:rFonts w:ascii="Cambria Math" w:hAnsi="Cambria Math" w:eastAsia="Cambria Math"/>
          <w:w w:val="105"/>
          <w:position w:val="-4"/>
          <w:sz w:val="17"/>
        </w:rPr>
        <w:t>𝑡+𝑘</w:t>
      </w:r>
      <w:r>
        <w:rPr>
          <w:rFonts w:ascii="Cambria Math" w:hAnsi="Cambria Math" w:eastAsia="Cambria Math"/>
          <w:w w:val="105"/>
          <w:position w:val="1"/>
          <w:sz w:val="24"/>
        </w:rPr>
        <w:t>)</w:t>
      </w:r>
      <w:r>
        <w:rPr>
          <w:rFonts w:ascii="Cambria Math" w:hAnsi="Cambria Math" w:eastAsia="Cambria Math"/>
          <w:w w:val="105"/>
          <w:position w:val="9"/>
          <w:sz w:val="17"/>
        </w:rPr>
        <w:t>𝗌</w:t>
      </w:r>
      <w:r>
        <w:rPr>
          <w:rFonts w:ascii="Cambria Math" w:hAnsi="Cambria Math" w:eastAsia="Cambria Math"/>
          <w:w w:val="105"/>
          <w:sz w:val="24"/>
        </w:rPr>
        <w:t>(𝑃</w:t>
      </w:r>
      <w:r>
        <w:rPr>
          <w:rFonts w:ascii="Cambria Math" w:hAnsi="Cambria Math" w:eastAsia="Cambria Math"/>
          <w:w w:val="105"/>
          <w:position w:val="9"/>
          <w:sz w:val="17"/>
        </w:rPr>
        <w:t>∗</w:t>
      </w:r>
      <w:r>
        <w:rPr>
          <w:rFonts w:ascii="Cambria Math" w:hAnsi="Cambria Math" w:eastAsia="Cambria Math"/>
          <w:w w:val="105"/>
          <w:sz w:val="24"/>
        </w:rPr>
        <w:t>)</w:t>
      </w:r>
      <w:r>
        <w:rPr>
          <w:rFonts w:ascii="Cambria Math" w:hAnsi="Cambria Math" w:eastAsia="Cambria Math"/>
          <w:w w:val="105"/>
          <w:position w:val="9"/>
          <w:sz w:val="17"/>
        </w:rPr>
        <w:t>1−𝗌</w:t>
      </w:r>
      <w:r>
        <w:rPr>
          <w:rFonts w:ascii="Cambria Math" w:hAnsi="Cambria Math" w:eastAsia="Cambria Math"/>
          <w:spacing w:val="13"/>
          <w:w w:val="105"/>
          <w:position w:val="9"/>
          <w:sz w:val="17"/>
        </w:rPr>
        <w:t> </w:t>
      </w:r>
      <w:r>
        <w:rPr>
          <w:rFonts w:ascii="Cambria Math" w:hAnsi="Cambria Math" w:eastAsia="Cambria Math"/>
          <w:w w:val="105"/>
          <w:sz w:val="24"/>
        </w:rPr>
        <w:t>−</w:t>
      </w:r>
      <w:r>
        <w:rPr>
          <w:rFonts w:ascii="Cambria Math" w:hAnsi="Cambria Math" w:eastAsia="Cambria Math"/>
          <w:spacing w:val="39"/>
          <w:w w:val="105"/>
          <w:sz w:val="24"/>
        </w:rPr>
        <w:t> </w:t>
      </w:r>
      <w:r>
        <w:rPr>
          <w:rFonts w:ascii="Cambria Math" w:hAnsi="Cambria Math" w:eastAsia="Cambria Math"/>
          <w:w w:val="105"/>
          <w:position w:val="1"/>
          <w:sz w:val="24"/>
        </w:rPr>
        <w:t>(</w:t>
      </w:r>
      <w:r>
        <w:rPr>
          <w:rFonts w:ascii="Cambria Math" w:hAnsi="Cambria Math" w:eastAsia="Cambria Math"/>
          <w:w w:val="105"/>
          <w:sz w:val="24"/>
        </w:rPr>
        <w:t>𝑃</w:t>
      </w:r>
      <w:r>
        <w:rPr>
          <w:rFonts w:ascii="Cambria Math" w:hAnsi="Cambria Math" w:eastAsia="Cambria Math"/>
          <w:w w:val="105"/>
          <w:position w:val="-4"/>
          <w:sz w:val="17"/>
        </w:rPr>
        <w:t>𝑡+𝑘</w:t>
      </w:r>
      <w:r>
        <w:rPr>
          <w:rFonts w:ascii="Cambria Math" w:hAnsi="Cambria Math" w:eastAsia="Cambria Math"/>
          <w:w w:val="105"/>
          <w:position w:val="1"/>
          <w:sz w:val="24"/>
        </w:rPr>
        <w:t>)</w:t>
      </w:r>
      <w:r>
        <w:rPr>
          <w:rFonts w:ascii="Cambria Math" w:hAnsi="Cambria Math" w:eastAsia="Cambria Math"/>
          <w:w w:val="105"/>
          <w:position w:val="9"/>
          <w:sz w:val="17"/>
        </w:rPr>
        <w:t>𝗌</w:t>
      </w:r>
      <w:r>
        <w:rPr>
          <w:rFonts w:ascii="Cambria Math" w:hAnsi="Cambria Math" w:eastAsia="Cambria Math"/>
          <w:w w:val="105"/>
          <w:sz w:val="24"/>
        </w:rPr>
        <w:t>(𝑃</w:t>
      </w:r>
      <w:r>
        <w:rPr>
          <w:rFonts w:ascii="Cambria Math" w:hAnsi="Cambria Math" w:eastAsia="Cambria Math"/>
          <w:w w:val="105"/>
          <w:position w:val="9"/>
          <w:sz w:val="17"/>
        </w:rPr>
        <w:t>∗</w:t>
      </w:r>
      <w:r>
        <w:rPr>
          <w:rFonts w:ascii="Cambria Math" w:hAnsi="Cambria Math" w:eastAsia="Cambria Math"/>
          <w:w w:val="105"/>
          <w:sz w:val="24"/>
        </w:rPr>
        <w:t>)</w:t>
      </w:r>
      <w:r>
        <w:rPr>
          <w:rFonts w:ascii="Cambria Math" w:hAnsi="Cambria Math" w:eastAsia="Cambria Math"/>
          <w:w w:val="105"/>
          <w:position w:val="9"/>
          <w:sz w:val="17"/>
        </w:rPr>
        <w:t>−𝗌</w:t>
      </w:r>
      <w:r>
        <w:rPr>
          <w:rFonts w:ascii="Cambria Math" w:hAnsi="Cambria Math" w:eastAsia="Cambria Math"/>
          <w:spacing w:val="16"/>
          <w:w w:val="105"/>
          <w:position w:val="9"/>
          <w:sz w:val="17"/>
        </w:rPr>
        <w:t> </w:t>
      </w:r>
      <w:r>
        <w:rPr>
          <w:rFonts w:ascii="Cambria Math" w:hAnsi="Cambria Math" w:eastAsia="Cambria Math"/>
          <w:w w:val="105"/>
          <w:sz w:val="24"/>
        </w:rPr>
        <w:t>mc</w:t>
      </w:r>
      <w:r>
        <w:rPr>
          <w:rFonts w:ascii="Cambria Math" w:hAnsi="Cambria Math" w:eastAsia="Cambria Math"/>
          <w:w w:val="105"/>
          <w:position w:val="-4"/>
          <w:sz w:val="17"/>
        </w:rPr>
        <w:t>t+k|t</w:t>
      </w:r>
      <w:r>
        <w:rPr>
          <w:rFonts w:ascii="Cambria Math" w:hAnsi="Cambria Math" w:eastAsia="Cambria Math"/>
          <w:w w:val="105"/>
          <w:sz w:val="24"/>
        </w:rPr>
        <w:t>]</w:t>
        <w:tab/>
      </w:r>
      <w:r>
        <w:rPr>
          <w:w w:val="105"/>
          <w:sz w:val="24"/>
        </w:rPr>
        <w:t>(4)</w:t>
      </w:r>
    </w:p>
    <w:p>
      <w:pPr>
        <w:tabs>
          <w:tab w:pos="4468" w:val="left" w:leader="none"/>
          <w:tab w:pos="6309" w:val="left" w:leader="none"/>
        </w:tabs>
        <w:spacing w:line="178" w:lineRule="exact" w:before="0"/>
        <w:ind w:left="1443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k=0</w:t>
        <w:tab/>
      </w:r>
      <w:r>
        <w:rPr>
          <w:rFonts w:ascii="Cambria Math" w:eastAsia="Cambria Math"/>
          <w:w w:val="110"/>
          <w:position w:val="1"/>
          <w:sz w:val="17"/>
        </w:rPr>
        <w:t>𝑡</w:t>
        <w:tab/>
        <w:t>𝑡</w:t>
      </w:r>
    </w:p>
    <w:p>
      <w:pPr>
        <w:pStyle w:val="BodyText"/>
        <w:spacing w:before="1"/>
        <w:rPr>
          <w:rFonts w:ascii="Cambria Math"/>
          <w:sz w:val="20"/>
        </w:rPr>
      </w:pPr>
    </w:p>
    <w:p>
      <w:pPr>
        <w:pStyle w:val="BodyText"/>
        <w:spacing w:before="84"/>
        <w:ind w:left="500"/>
      </w:pPr>
      <w:r>
        <w:rPr/>
        <w:pict>
          <v:shape style="position:absolute;margin-left:218.809998pt;margin-top:11.986892pt;width:3.8pt;height:8.550pt;mso-position-horizontal-relative:page;mso-position-vertical-relative:paragraph;z-index:-21345792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/>
        <w:t>The</w:t>
      </w:r>
      <w:r>
        <w:rPr>
          <w:spacing w:val="-1"/>
        </w:rPr>
        <w:t> </w:t>
      </w:r>
      <w:r>
        <w:rPr/>
        <w:t>first</w:t>
      </w:r>
      <w:r>
        <w:rPr>
          <w:spacing w:val="2"/>
        </w:rPr>
        <w:t> </w:t>
      </w:r>
      <w:r>
        <w:rPr/>
        <w:t>order</w:t>
      </w:r>
      <w:r>
        <w:rPr>
          <w:spacing w:val="1"/>
        </w:rPr>
        <w:t> </w:t>
      </w:r>
      <w:r>
        <w:rPr/>
        <w:t>condition</w:t>
      </w:r>
      <w:r>
        <w:rPr>
          <w:spacing w:val="3"/>
        </w:rPr>
        <w:t> </w:t>
      </w:r>
      <w:r>
        <w:rPr/>
        <w:t>on</w:t>
      </w:r>
      <w:r>
        <w:rPr>
          <w:spacing w:val="1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𝑃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3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is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obtained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as</w:t>
      </w:r>
      <w:r>
        <w:rPr>
          <w:vertAlign w:val="baseline"/>
        </w:rPr>
        <w:t>:</w:t>
      </w: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line="153" w:lineRule="exact" w:before="136"/>
        <w:ind w:left="500"/>
        <w:rPr>
          <w:rFonts w:ascii="Cambria Math" w:hAnsi="Cambria Math"/>
        </w:rPr>
      </w:pPr>
      <w:r>
        <w:rPr>
          <w:rFonts w:ascii="Cambria Math" w:hAnsi="Cambria Math"/>
          <w:w w:val="105"/>
        </w:rPr>
        <w:t>E </w:t>
      </w:r>
      <w:r>
        <w:rPr>
          <w:rFonts w:ascii="Cambria Math" w:hAnsi="Cambria Math"/>
          <w:spacing w:val="29"/>
          <w:w w:val="105"/>
        </w:rPr>
        <w:t> </w:t>
      </w:r>
      <w:r>
        <w:rPr>
          <w:rFonts w:ascii="Cambria Math" w:hAnsi="Cambria Math"/>
          <w:w w:val="105"/>
          <w:position w:val="1"/>
        </w:rPr>
        <w:t>∑</w:t>
      </w:r>
      <w:r>
        <w:rPr>
          <w:rFonts w:ascii="Cambria Math" w:hAnsi="Cambria Math"/>
          <w:w w:val="105"/>
          <w:position w:val="1"/>
          <w:vertAlign w:val="superscript"/>
        </w:rPr>
        <w:t>∞</w:t>
      </w:r>
      <w:r>
        <w:rPr>
          <w:rFonts w:ascii="Cambria Math" w:hAnsi="Cambria Math"/>
          <w:w w:val="105"/>
          <w:position w:val="1"/>
          <w:vertAlign w:val="baseline"/>
        </w:rPr>
        <w:t> </w:t>
      </w:r>
      <w:r>
        <w:rPr>
          <w:rFonts w:ascii="Cambria Math" w:hAnsi="Cambria Math"/>
          <w:spacing w:val="38"/>
          <w:w w:val="105"/>
          <w:position w:val="1"/>
          <w:vertAlign w:val="baseline"/>
        </w:rPr>
        <w:t> </w:t>
      </w:r>
      <w:r>
        <w:rPr>
          <w:rFonts w:ascii="Cambria Math" w:hAnsi="Cambria Math"/>
          <w:w w:val="105"/>
          <w:position w:val="1"/>
          <w:vertAlign w:val="baseline"/>
        </w:rPr>
        <w:t>(</w:t>
      </w:r>
      <w:r>
        <w:rPr>
          <w:rFonts w:ascii="Cambria Math" w:hAnsi="Cambria Math"/>
          <w:w w:val="105"/>
          <w:vertAlign w:val="baseline"/>
        </w:rPr>
        <w:t>βθ</w:t>
      </w:r>
      <w:r>
        <w:rPr>
          <w:rFonts w:ascii="Cambria Math" w:hAnsi="Cambria Math"/>
          <w:w w:val="105"/>
          <w:position w:val="1"/>
          <w:vertAlign w:val="baseline"/>
        </w:rPr>
        <w:t>)</w:t>
      </w:r>
      <w:r>
        <w:rPr>
          <w:rFonts w:ascii="Cambria Math" w:hAnsi="Cambria Math"/>
          <w:w w:val="105"/>
          <w:position w:val="1"/>
          <w:vertAlign w:val="superscript"/>
        </w:rPr>
        <w:t>k</w:t>
      </w:r>
      <w:r>
        <w:rPr>
          <w:rFonts w:ascii="Cambria Math" w:hAnsi="Cambria Math"/>
          <w:spacing w:val="-14"/>
          <w:w w:val="105"/>
          <w:position w:val="1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E</w:t>
      </w:r>
    </w:p>
    <w:p>
      <w:pPr>
        <w:pStyle w:val="BodyText"/>
        <w:tabs>
          <w:tab w:pos="859" w:val="left" w:leader="none"/>
          <w:tab w:pos="1401" w:val="left" w:leader="none"/>
        </w:tabs>
        <w:spacing w:line="217" w:lineRule="exact" w:before="73"/>
        <w:ind w:left="402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w w:val="105"/>
        </w:rPr>
        <w:t>Y</w:t>
        <w:tab/>
      </w: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𝑃</w:t>
        <w:tab/>
      </w:r>
      <w:r>
        <w:rPr>
          <w:rFonts w:ascii="Cambria Math" w:hAnsi="Cambria Math" w:eastAsia="Cambria Math"/>
          <w:w w:val="105"/>
          <w:position w:val="1"/>
        </w:rPr>
        <w:t>)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𝗌</w:t>
      </w:r>
      <w:r>
        <w:rPr>
          <w:rFonts w:ascii="Cambria Math" w:hAnsi="Cambria Math" w:eastAsia="Cambria Math"/>
          <w:w w:val="105"/>
          <w:vertAlign w:val="baseline"/>
        </w:rPr>
        <w:t>(𝑃</w:t>
      </w:r>
      <w:r>
        <w:rPr>
          <w:rFonts w:ascii="Cambria Math" w:hAnsi="Cambria Math" w:eastAsia="Cambria Math"/>
          <w:w w:val="105"/>
          <w:vertAlign w:val="superscript"/>
        </w:rPr>
        <w:t>∗</w:t>
      </w:r>
      <w:r>
        <w:rPr>
          <w:rFonts w:ascii="Cambria Math" w:hAnsi="Cambria Math" w:eastAsia="Cambria Math"/>
          <w:w w:val="105"/>
          <w:vertAlign w:val="baseline"/>
        </w:rPr>
        <w:t>)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  </w:t>
      </w:r>
      <w:r>
        <w:rPr>
          <w:rFonts w:ascii="Cambria Math" w:hAnsi="Cambria Math" w:eastAsia="Cambria Math"/>
          <w:spacing w:val="1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position w:val="14"/>
          <w:sz w:val="17"/>
          <w:vertAlign w:val="baseline"/>
        </w:rPr>
        <w:t>𝗌  </w:t>
      </w:r>
      <w:r>
        <w:rPr>
          <w:rFonts w:ascii="Cambria Math" w:hAnsi="Cambria Math" w:eastAsia="Cambria Math"/>
          <w:spacing w:val="37"/>
          <w:w w:val="105"/>
          <w:position w:val="14"/>
          <w:sz w:val="17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E </w:t>
      </w:r>
      <w:r>
        <w:rPr>
          <w:rFonts w:ascii="Cambria Math" w:hAnsi="Cambria Math" w:eastAsia="Cambria Math"/>
          <w:spacing w:val="4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position w:val="1"/>
          <w:vertAlign w:val="baseline"/>
        </w:rPr>
        <w:t>∑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∞</w:t>
      </w:r>
    </w:p>
    <w:p>
      <w:pPr>
        <w:pStyle w:val="BodyText"/>
        <w:spacing w:line="20" w:lineRule="exact"/>
        <w:ind w:left="235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5.4pt;height:.85pt;mso-position-horizontal-relative:char;mso-position-vertical-relative:line" coordorigin="0,0" coordsize="308,17">
            <v:rect style="position:absolute;left:0;top:0;width:308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153" w:lineRule="exact" w:before="136"/>
        <w:ind w:left="124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βθ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position w:val="1"/>
          <w:vertAlign w:val="superscript"/>
        </w:rPr>
        <w:t>k</w:t>
      </w:r>
      <w:r>
        <w:rPr>
          <w:rFonts w:ascii="Cambria Math" w:hAnsi="Cambria Math"/>
          <w:spacing w:val="-8"/>
          <w:position w:val="1"/>
          <w:vertAlign w:val="baseline"/>
        </w:rPr>
        <w:t> </w:t>
      </w:r>
      <w:r>
        <w:rPr>
          <w:rFonts w:ascii="Cambria Math" w:hAnsi="Cambria Math"/>
          <w:vertAlign w:val="baseline"/>
        </w:rPr>
        <w:t>E</w:t>
      </w:r>
    </w:p>
    <w:p>
      <w:pPr>
        <w:pStyle w:val="BodyText"/>
        <w:tabs>
          <w:tab w:pos="858" w:val="left" w:leader="none"/>
        </w:tabs>
        <w:spacing w:line="153" w:lineRule="exact" w:before="136"/>
        <w:ind w:left="402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Y</w:t>
        <w:tab/>
      </w:r>
      <w:r>
        <w:rPr>
          <w:rFonts w:ascii="Cambria Math" w:eastAsia="Cambria Math"/>
          <w:spacing w:val="-106"/>
          <w:position w:val="1"/>
        </w:rPr>
        <w:t>(</w:t>
      </w:r>
      <w:r>
        <w:rPr>
          <w:rFonts w:ascii="Cambria Math" w:eastAsia="Cambria Math"/>
          <w:spacing w:val="-106"/>
        </w:rPr>
        <w:t>𝑃</w:t>
      </w:r>
    </w:p>
    <w:p>
      <w:pPr>
        <w:pStyle w:val="BodyText"/>
        <w:spacing w:line="153" w:lineRule="exact" w:before="136"/>
        <w:ind w:left="252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05"/>
          <w:position w:val="1"/>
        </w:rPr>
        <w:t>)</w:t>
      </w:r>
      <w:r>
        <w:rPr>
          <w:rFonts w:ascii="Cambria Math" w:eastAsia="Cambria Math"/>
          <w:w w:val="105"/>
          <w:position w:val="1"/>
          <w:vertAlign w:val="superscript"/>
        </w:rPr>
        <w:t>𝗌</w:t>
      </w:r>
      <w:r>
        <w:rPr>
          <w:rFonts w:ascii="Cambria Math" w:eastAsia="Cambria Math"/>
          <w:spacing w:val="8"/>
          <w:w w:val="105"/>
          <w:position w:val="1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mc</w:t>
      </w:r>
    </w:p>
    <w:p>
      <w:pPr>
        <w:spacing w:after="0" w:line="153" w:lineRule="exact"/>
        <w:rPr>
          <w:rFonts w:ascii="Cambria Math" w:eastAsia="Cambria Math"/>
        </w:rPr>
        <w:sectPr>
          <w:type w:val="continuous"/>
          <w:pgSz w:w="12240" w:h="15840"/>
          <w:pgMar w:top="1500" w:bottom="1120" w:left="940" w:right="940"/>
          <w:cols w:num="5" w:equalWidth="0">
            <w:col w:w="2036" w:space="40"/>
            <w:col w:w="3328" w:space="39"/>
            <w:col w:w="875" w:space="40"/>
            <w:col w:w="1109" w:space="39"/>
            <w:col w:w="2854"/>
          </w:cols>
        </w:sectPr>
      </w:pPr>
    </w:p>
    <w:p>
      <w:pPr>
        <w:tabs>
          <w:tab w:pos="963" w:val="left" w:leader="none"/>
        </w:tabs>
        <w:spacing w:line="160" w:lineRule="exact" w:before="0"/>
        <w:ind w:left="639" w:right="0" w:firstLine="0"/>
        <w:jc w:val="left"/>
        <w:rPr>
          <w:rFonts w:ascii="Cambria Math"/>
          <w:sz w:val="17"/>
        </w:rPr>
      </w:pPr>
      <w:r>
        <w:rPr>
          <w:rFonts w:ascii="Cambria Math"/>
          <w:w w:val="110"/>
          <w:position w:val="1"/>
          <w:sz w:val="17"/>
        </w:rPr>
        <w:t>t</w:t>
        <w:tab/>
      </w:r>
      <w:r>
        <w:rPr>
          <w:rFonts w:ascii="Cambria Math"/>
          <w:w w:val="110"/>
          <w:sz w:val="17"/>
        </w:rPr>
        <w:t>k=0</w:t>
      </w:r>
    </w:p>
    <w:p>
      <w:pPr>
        <w:spacing w:line="151" w:lineRule="exact" w:before="0"/>
        <w:ind w:left="639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05"/>
          <w:sz w:val="17"/>
        </w:rPr>
        <w:t>t,t+k</w:t>
      </w:r>
    </w:p>
    <w:p>
      <w:pPr>
        <w:tabs>
          <w:tab w:pos="688" w:val="left" w:leader="none"/>
          <w:tab w:pos="1432" w:val="left" w:leader="none"/>
        </w:tabs>
        <w:spacing w:line="153" w:lineRule="exact" w:before="0"/>
        <w:ind w:left="126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t+k</w:t>
        <w:tab/>
        <w:t>𝑡+𝑘</w:t>
        <w:tab/>
      </w:r>
      <w:r>
        <w:rPr>
          <w:rFonts w:ascii="Cambria Math" w:eastAsia="Cambria Math"/>
          <w:spacing w:val="-153"/>
          <w:w w:val="110"/>
          <w:sz w:val="17"/>
        </w:rPr>
        <w:t>𝑡</w:t>
      </w:r>
    </w:p>
    <w:p>
      <w:pPr>
        <w:spacing w:line="223" w:lineRule="exact" w:before="0"/>
        <w:ind w:left="417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𝗌−1   </w:t>
      </w:r>
      <w:r>
        <w:rPr>
          <w:rFonts w:ascii="Cambria Math" w:hAnsi="Cambria Math" w:eastAsia="Cambria Math"/>
          <w:spacing w:val="22"/>
          <w:w w:val="105"/>
          <w:sz w:val="17"/>
        </w:rPr>
        <w:t> </w:t>
      </w:r>
      <w:r>
        <w:rPr>
          <w:rFonts w:ascii="Cambria Math" w:hAnsi="Cambria Math" w:eastAsia="Cambria Math"/>
          <w:spacing w:val="-1"/>
          <w:w w:val="110"/>
          <w:position w:val="7"/>
          <w:sz w:val="17"/>
        </w:rPr>
        <w:t>t</w:t>
      </w:r>
    </w:p>
    <w:p>
      <w:pPr>
        <w:spacing w:line="160" w:lineRule="exact" w:before="0"/>
        <w:ind w:left="217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05"/>
          <w:sz w:val="17"/>
        </w:rPr>
        <w:t>k=0</w:t>
      </w:r>
    </w:p>
    <w:p>
      <w:pPr>
        <w:spacing w:line="151" w:lineRule="exact" w:before="0"/>
        <w:ind w:left="639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05"/>
          <w:sz w:val="17"/>
        </w:rPr>
        <w:t>t,t+k</w:t>
      </w:r>
    </w:p>
    <w:p>
      <w:pPr>
        <w:tabs>
          <w:tab w:pos="687" w:val="left" w:leader="none"/>
        </w:tabs>
        <w:spacing w:line="151" w:lineRule="exact" w:before="0"/>
        <w:ind w:left="126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t+k</w:t>
        <w:tab/>
      </w:r>
      <w:r>
        <w:rPr>
          <w:rFonts w:ascii="Cambria Math" w:eastAsia="Cambria Math"/>
          <w:spacing w:val="-55"/>
          <w:w w:val="110"/>
          <w:sz w:val="17"/>
        </w:rPr>
        <w:t>𝑡+𝑘</w:t>
      </w:r>
    </w:p>
    <w:p>
      <w:pPr>
        <w:spacing w:line="151" w:lineRule="exact" w:before="0"/>
        <w:ind w:left="534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10"/>
          <w:sz w:val="17"/>
        </w:rPr>
        <w:t>t+k|t</w:t>
      </w:r>
    </w:p>
    <w:p>
      <w:pPr>
        <w:spacing w:after="0" w:line="151" w:lineRule="exact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120" w:left="940" w:right="940"/>
          <w:cols w:num="8" w:equalWidth="0">
            <w:col w:w="1328" w:space="68"/>
            <w:col w:w="1033" w:space="40"/>
            <w:col w:w="1508" w:space="40"/>
            <w:col w:w="972" w:space="39"/>
            <w:col w:w="582" w:space="69"/>
            <w:col w:w="1033" w:space="40"/>
            <w:col w:w="993" w:space="39"/>
            <w:col w:w="2576"/>
          </w:cols>
        </w:sectPr>
      </w:pPr>
    </w:p>
    <w:p>
      <w:pPr>
        <w:pStyle w:val="BodyText"/>
        <w:spacing w:before="10"/>
        <w:rPr>
          <w:rFonts w:ascii="Cambria Math"/>
          <w:sz w:val="17"/>
        </w:rPr>
      </w:pPr>
    </w:p>
    <w:p>
      <w:pPr>
        <w:pStyle w:val="BodyText"/>
        <w:spacing w:before="90"/>
        <w:ind w:right="1176"/>
        <w:jc w:val="right"/>
      </w:pPr>
      <w:r>
        <w:rPr/>
        <w:t>(5)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90"/>
        <w:ind w:left="500"/>
      </w:pPr>
      <w:r>
        <w:rPr/>
        <w:t>Equation</w:t>
      </w:r>
      <w:r>
        <w:rPr>
          <w:spacing w:val="-1"/>
        </w:rPr>
        <w:t> </w:t>
      </w:r>
      <w:r>
        <w:rPr/>
        <w:t>(5)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re-written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spacing w:before="2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pStyle w:val="BodyText"/>
        <w:spacing w:line="153" w:lineRule="exact" w:before="137"/>
        <w:ind w:left="500"/>
        <w:rPr>
          <w:rFonts w:ascii="Cambria Math" w:hAnsi="Cambria Math"/>
        </w:rPr>
      </w:pPr>
      <w:r>
        <w:rPr>
          <w:rFonts w:ascii="Cambria Math" w:hAnsi="Cambria Math"/>
          <w:w w:val="105"/>
        </w:rPr>
        <w:t>0</w:t>
      </w:r>
      <w:r>
        <w:rPr>
          <w:rFonts w:ascii="Cambria Math" w:hAnsi="Cambria Math"/>
          <w:spacing w:val="2"/>
          <w:w w:val="105"/>
        </w:rPr>
        <w:t> </w:t>
      </w:r>
      <w:r>
        <w:rPr>
          <w:rFonts w:ascii="Cambria Math" w:hAnsi="Cambria Math"/>
          <w:w w:val="105"/>
        </w:rPr>
        <w:t>=</w:t>
      </w:r>
      <w:r>
        <w:rPr>
          <w:rFonts w:ascii="Cambria Math" w:hAnsi="Cambria Math"/>
          <w:spacing w:val="5"/>
          <w:w w:val="105"/>
        </w:rPr>
        <w:t> </w:t>
      </w:r>
      <w:r>
        <w:rPr>
          <w:rFonts w:ascii="Cambria Math" w:hAnsi="Cambria Math"/>
          <w:w w:val="105"/>
        </w:rPr>
        <w:t>E </w:t>
      </w:r>
      <w:r>
        <w:rPr>
          <w:rFonts w:ascii="Cambria Math" w:hAnsi="Cambria Math"/>
          <w:spacing w:val="24"/>
          <w:w w:val="105"/>
        </w:rPr>
        <w:t> </w:t>
      </w:r>
      <w:r>
        <w:rPr>
          <w:rFonts w:ascii="Cambria Math" w:hAnsi="Cambria Math"/>
          <w:w w:val="105"/>
          <w:position w:val="1"/>
        </w:rPr>
        <w:t>∑</w:t>
      </w:r>
      <w:r>
        <w:rPr>
          <w:rFonts w:ascii="Cambria Math" w:hAnsi="Cambria Math"/>
          <w:w w:val="105"/>
          <w:position w:val="1"/>
          <w:vertAlign w:val="superscript"/>
        </w:rPr>
        <w:t>∞</w:t>
      </w:r>
    </w:p>
    <w:p>
      <w:pPr>
        <w:pStyle w:val="BodyText"/>
        <w:spacing w:line="153" w:lineRule="exact" w:before="137"/>
        <w:ind w:left="124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βθ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position w:val="1"/>
          <w:vertAlign w:val="superscript"/>
        </w:rPr>
        <w:t>k</w:t>
      </w:r>
      <w:r>
        <w:rPr>
          <w:rFonts w:ascii="Cambria Math" w:hAnsi="Cambria Math"/>
          <w:spacing w:val="-6"/>
          <w:position w:val="1"/>
          <w:vertAlign w:val="baseline"/>
        </w:rPr>
        <w:t> </w:t>
      </w:r>
      <w:r>
        <w:rPr>
          <w:rFonts w:ascii="Cambria Math" w:hAnsi="Cambria Math"/>
          <w:vertAlign w:val="baseline"/>
        </w:rPr>
        <w:t>E</w:t>
      </w:r>
    </w:p>
    <w:p>
      <w:pPr>
        <w:tabs>
          <w:tab w:pos="895" w:val="left" w:leader="none"/>
          <w:tab w:pos="2116" w:val="left" w:leader="none"/>
        </w:tabs>
        <w:spacing w:line="217" w:lineRule="exact" w:before="73"/>
        <w:ind w:left="400" w:right="0" w:firstLine="0"/>
        <w:jc w:val="left"/>
        <w:rPr>
          <w:rFonts w:ascii="Cambria Math" w:hAnsi="Cambria Math" w:eastAsia="Cambria Math"/>
          <w:sz w:val="24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24"/>
        </w:rPr>
        <w:t>Y</w:t>
        <w:tab/>
        <w:t>[(𝑃</w:t>
      </w:r>
      <w:r>
        <w:rPr>
          <w:rFonts w:ascii="Cambria Math" w:hAnsi="Cambria Math" w:eastAsia="Cambria Math"/>
          <w:w w:val="105"/>
          <w:sz w:val="24"/>
          <w:vertAlign w:val="superscript"/>
        </w:rPr>
        <w:t>∗</w:t>
      </w:r>
      <w:r>
        <w:rPr>
          <w:rFonts w:ascii="Cambria Math" w:hAnsi="Cambria Math" w:eastAsia="Cambria Math"/>
          <w:w w:val="105"/>
          <w:sz w:val="24"/>
          <w:vertAlign w:val="baseline"/>
        </w:rPr>
        <w:t>)</w:t>
      </w:r>
      <w:r>
        <w:rPr>
          <w:rFonts w:ascii="Cambria Math" w:hAnsi="Cambria Math" w:eastAsia="Cambria Math"/>
          <w:spacing w:val="-2"/>
          <w:w w:val="105"/>
          <w:sz w:val="24"/>
          <w:vertAlign w:val="baseline"/>
        </w:rPr>
        <w:t> </w:t>
      </w:r>
      <w:r>
        <w:rPr>
          <w:rFonts w:ascii="Cambria Math" w:hAnsi="Cambria Math" w:eastAsia="Cambria Math"/>
          <w:w w:val="105"/>
          <w:sz w:val="24"/>
          <w:vertAlign w:val="baseline"/>
        </w:rPr>
        <w:t>− </w:t>
      </w:r>
      <w:r>
        <w:rPr>
          <w:rFonts w:ascii="Cambria Math" w:hAnsi="Cambria Math" w:eastAsia="Cambria Math"/>
          <w:spacing w:val="53"/>
          <w:w w:val="105"/>
          <w:sz w:val="24"/>
          <w:vertAlign w:val="baseline"/>
        </w:rPr>
        <w:t> </w:t>
      </w:r>
      <w:r>
        <w:rPr>
          <w:rFonts w:ascii="Cambria Math" w:hAnsi="Cambria Math" w:eastAsia="Cambria Math"/>
          <w:w w:val="105"/>
          <w:position w:val="14"/>
          <w:sz w:val="17"/>
          <w:vertAlign w:val="baseline"/>
        </w:rPr>
        <w:t>𝗌</w:t>
        <w:tab/>
      </w:r>
      <w:r>
        <w:rPr>
          <w:rFonts w:ascii="Cambria Math" w:hAnsi="Cambria Math" w:eastAsia="Cambria Math"/>
          <w:spacing w:val="-4"/>
          <w:sz w:val="24"/>
          <w:vertAlign w:val="baseline"/>
        </w:rPr>
        <w:t>mc</w:t>
      </w:r>
    </w:p>
    <w:p>
      <w:pPr>
        <w:pStyle w:val="BodyText"/>
        <w:spacing w:line="20" w:lineRule="exact"/>
        <w:ind w:left="1716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5.4pt;height:.85pt;mso-position-horizontal-relative:char;mso-position-vertical-relative:line" coordorigin="0,0" coordsize="308,17">
            <v:rect style="position:absolute;left:0;top:0;width:308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tabs>
          <w:tab w:pos="3198" w:val="left" w:leader="none"/>
        </w:tabs>
        <w:spacing w:line="143" w:lineRule="exact" w:before="147"/>
        <w:ind w:left="382"/>
      </w:pPr>
      <w:r>
        <w:rPr/>
        <w:br w:type="column"/>
      </w:r>
      <w:r>
        <w:rPr>
          <w:rFonts w:ascii="Cambria Math"/>
        </w:rPr>
        <w:t>]</w:t>
        <w:tab/>
      </w:r>
      <w:r>
        <w:rPr/>
        <w:t>(6)</w:t>
      </w:r>
    </w:p>
    <w:p>
      <w:pPr>
        <w:spacing w:after="0" w:line="143" w:lineRule="exact"/>
        <w:sectPr>
          <w:type w:val="continuous"/>
          <w:pgSz w:w="12240" w:h="15840"/>
          <w:pgMar w:top="1500" w:bottom="1120" w:left="940" w:right="940"/>
          <w:cols w:num="4" w:equalWidth="0">
            <w:col w:w="1566" w:space="40"/>
            <w:col w:w="877" w:space="39"/>
            <w:col w:w="2422" w:space="39"/>
            <w:col w:w="5377"/>
          </w:cols>
        </w:sectPr>
      </w:pPr>
    </w:p>
    <w:p>
      <w:pPr>
        <w:tabs>
          <w:tab w:pos="1407" w:val="left" w:leader="none"/>
        </w:tabs>
        <w:spacing w:line="161" w:lineRule="exact" w:before="0"/>
        <w:ind w:left="1086" w:right="0" w:firstLine="0"/>
        <w:jc w:val="left"/>
        <w:rPr>
          <w:rFonts w:ascii="Cambria Math"/>
          <w:sz w:val="17"/>
        </w:rPr>
      </w:pPr>
      <w:r>
        <w:rPr>
          <w:rFonts w:ascii="Cambria Math"/>
          <w:w w:val="110"/>
          <w:position w:val="1"/>
          <w:sz w:val="17"/>
        </w:rPr>
        <w:t>t</w:t>
        <w:tab/>
      </w:r>
      <w:r>
        <w:rPr>
          <w:rFonts w:ascii="Cambria Math"/>
          <w:spacing w:val="-3"/>
          <w:w w:val="105"/>
          <w:sz w:val="17"/>
        </w:rPr>
        <w:t>k=0</w:t>
      </w:r>
    </w:p>
    <w:p>
      <w:pPr>
        <w:spacing w:line="151" w:lineRule="exact" w:before="0"/>
        <w:ind w:left="711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05"/>
          <w:sz w:val="17"/>
        </w:rPr>
        <w:t>t,t+k</w:t>
      </w:r>
    </w:p>
    <w:p>
      <w:pPr>
        <w:tabs>
          <w:tab w:pos="813" w:val="left" w:leader="none"/>
        </w:tabs>
        <w:spacing w:line="153" w:lineRule="exact" w:before="0"/>
        <w:ind w:left="126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t+k</w:t>
        <w:tab/>
      </w:r>
      <w:r>
        <w:rPr>
          <w:rFonts w:ascii="Cambria Math" w:eastAsia="Cambria Math"/>
          <w:spacing w:val="-153"/>
          <w:w w:val="110"/>
          <w:sz w:val="17"/>
        </w:rPr>
        <w:t>𝑡</w:t>
      </w:r>
    </w:p>
    <w:p>
      <w:pPr>
        <w:spacing w:before="23"/>
        <w:ind w:left="393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𝗌−1</w:t>
      </w:r>
    </w:p>
    <w:p>
      <w:pPr>
        <w:spacing w:line="151" w:lineRule="exact" w:before="0"/>
        <w:ind w:left="355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10"/>
          <w:sz w:val="17"/>
        </w:rPr>
        <w:t>t+k|t</w:t>
      </w:r>
    </w:p>
    <w:p>
      <w:pPr>
        <w:spacing w:after="0" w:line="151" w:lineRule="exact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120" w:left="940" w:right="940"/>
          <w:cols w:num="5" w:equalWidth="0">
            <w:col w:w="1732" w:space="40"/>
            <w:col w:w="1104" w:space="39"/>
            <w:col w:w="889" w:space="40"/>
            <w:col w:w="704" w:space="40"/>
            <w:col w:w="5772"/>
          </w:cols>
        </w:sectPr>
      </w:pPr>
    </w:p>
    <w:p>
      <w:pPr>
        <w:pStyle w:val="BodyText"/>
        <w:spacing w:before="11"/>
        <w:rPr>
          <w:rFonts w:ascii="Cambria Math"/>
          <w:sz w:val="18"/>
        </w:rPr>
      </w:pPr>
    </w:p>
    <w:p>
      <w:pPr>
        <w:pStyle w:val="BodyText"/>
        <w:spacing w:before="86"/>
        <w:ind w:left="500"/>
      </w:pPr>
      <w:r>
        <w:rPr/>
        <w:t>Divide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(6)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by </w:t>
      </w:r>
      <w:r>
        <w:rPr>
          <w:rFonts w:ascii="Cambria Math" w:hAnsi="Cambria Math" w:eastAsia="Cambria Math"/>
        </w:rPr>
        <w:t>𝑃</w:t>
      </w:r>
      <w:r>
        <w:rPr>
          <w:rFonts w:ascii="Cambria Math" w:hAnsi="Cambria Math" w:eastAsia="Cambria Math"/>
          <w:vertAlign w:val="subscript"/>
        </w:rPr>
        <w:t>𝑡−1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becomes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spacing w:before="71"/>
        <w:ind w:left="582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08"/>
          <w:sz w:val="17"/>
        </w:rPr>
        <w:t>∞</w:t>
      </w:r>
    </w:p>
    <w:p>
      <w:pPr>
        <w:pStyle w:val="BodyText"/>
        <w:spacing w:line="153" w:lineRule="exact" w:before="80"/>
        <w:ind w:left="500"/>
        <w:rPr>
          <w:rFonts w:ascii="Cambria Math" w:hAnsi="Cambria Math"/>
        </w:rPr>
      </w:pPr>
      <w:r>
        <w:rPr>
          <w:rFonts w:ascii="Cambria Math" w:hAnsi="Cambria Math"/>
          <w:w w:val="110"/>
        </w:rPr>
        <w:t>∑</w:t>
      </w:r>
      <w:r>
        <w:rPr>
          <w:rFonts w:ascii="Cambria Math" w:hAnsi="Cambria Math"/>
          <w:w w:val="110"/>
          <w:position w:val="1"/>
        </w:rPr>
        <w:t>(</w:t>
      </w:r>
      <w:r>
        <w:rPr>
          <w:rFonts w:ascii="Cambria Math" w:hAnsi="Cambria Math"/>
          <w:w w:val="110"/>
        </w:rPr>
        <w:t>βθ</w:t>
      </w:r>
      <w:r>
        <w:rPr>
          <w:rFonts w:ascii="Cambria Math" w:hAnsi="Cambria Math"/>
          <w:w w:val="110"/>
          <w:position w:val="1"/>
        </w:rPr>
        <w:t>)</w:t>
      </w:r>
      <w:r>
        <w:rPr>
          <w:rFonts w:ascii="Cambria Math" w:hAnsi="Cambria Math"/>
          <w:w w:val="110"/>
          <w:position w:val="1"/>
          <w:vertAlign w:val="superscript"/>
        </w:rPr>
        <w:t>k</w:t>
      </w:r>
      <w:r>
        <w:rPr>
          <w:rFonts w:ascii="Cambria Math" w:hAnsi="Cambria Math"/>
          <w:spacing w:val="-1"/>
          <w:w w:val="110"/>
          <w:position w:val="1"/>
          <w:vertAlign w:val="baseline"/>
        </w:rPr>
        <w:t> </w:t>
      </w:r>
      <w:r>
        <w:rPr>
          <w:rFonts w:ascii="Cambria Math" w:hAnsi="Cambria Math"/>
          <w:w w:val="110"/>
          <w:vertAlign w:val="baseline"/>
        </w:rPr>
        <w:t>E  </w:t>
      </w:r>
      <w:r>
        <w:rPr>
          <w:rFonts w:ascii="Cambria Math" w:hAnsi="Cambria Math"/>
          <w:spacing w:val="5"/>
          <w:w w:val="110"/>
          <w:vertAlign w:val="baseline"/>
        </w:rPr>
        <w:t> </w:t>
      </w:r>
      <w:r>
        <w:rPr>
          <w:rFonts w:ascii="Cambria Math" w:hAnsi="Cambria Math"/>
          <w:w w:val="110"/>
          <w:vertAlign w:val="baseline"/>
        </w:rPr>
        <w:t>[E</w:t>
      </w:r>
    </w:p>
    <w:p>
      <w:pPr>
        <w:pStyle w:val="BodyText"/>
        <w:tabs>
          <w:tab w:pos="1929" w:val="left" w:leader="none"/>
        </w:tabs>
        <w:spacing w:line="232" w:lineRule="exact" w:before="178"/>
        <w:ind w:left="988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spacing w:val="-100"/>
        </w:rPr>
        <w:t>(</w:t>
      </w:r>
      <w:r>
        <w:rPr>
          <w:rFonts w:ascii="Cambria Math" w:hAnsi="Cambria Math" w:eastAsia="Cambria Math"/>
          <w:spacing w:val="54"/>
          <w:position w:val="-4"/>
          <w:u w:val="single"/>
        </w:rPr>
        <w:t> </w:t>
      </w:r>
      <w:r>
        <w:rPr>
          <w:rFonts w:ascii="Cambria Math" w:hAnsi="Cambria Math" w:eastAsia="Cambria Math"/>
        </w:rPr>
        <w:t>𝑃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)</w:t>
        <w:tab/>
      </w:r>
      <w:r>
        <w:rPr>
          <w:rFonts w:ascii="Cambria Math" w:hAnsi="Cambria Math" w:eastAsia="Cambria Math"/>
          <w:spacing w:val="-6"/>
          <w:vertAlign w:val="baseline"/>
        </w:rPr>
        <w:t>ε</w:t>
      </w:r>
    </w:p>
    <w:p>
      <w:pPr>
        <w:pStyle w:val="BodyText"/>
        <w:tabs>
          <w:tab w:pos="897" w:val="left" w:leader="none"/>
          <w:tab w:pos="1488" w:val="left" w:leader="none"/>
        </w:tabs>
        <w:spacing w:line="94" w:lineRule="exact"/>
        <w:ind w:left="402"/>
        <w:rPr>
          <w:rFonts w:ascii="Cambria Math" w:hAnsi="Cambria Math"/>
        </w:rPr>
      </w:pPr>
      <w:r>
        <w:rPr/>
        <w:pict>
          <v:shape style="position:absolute;margin-left:232.37001pt;margin-top:5.088158pt;width:91.35pt;height:.85pt;mso-position-horizontal-relative:page;mso-position-vertical-relative:paragraph;z-index:15848960" coordorigin="4647,102" coordsize="1827,17" path="m5173,102l4647,102,4647,119,5173,119,5173,102xm5989,102l5211,102,5211,119,5989,119,5989,102xm6474,102l6030,102,6030,119,6474,119,6474,10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6.929993pt;margin-top:-4.307280pt;width:11.2pt;height:8.550pt;mso-position-horizontal-relative:page;mso-position-vertical-relative:paragraph;z-index:-21345280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  <w:u w:val="single"/>
                    </w:rPr>
                    <w:t>𝑡</w:t>
                  </w:r>
                  <w:r>
                    <w:rPr>
                      <w:rFonts w:ascii="Cambria Math" w:eastAsia="Cambria Math"/>
                      <w:spacing w:val="-2"/>
                      <w:sz w:val="17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/>
        </w:rPr>
        <w:t>Y</w:t>
        <w:tab/>
        <w:t>[</w:t>
        <w:tab/>
        <w:t>−</w:t>
      </w:r>
    </w:p>
    <w:p>
      <w:pPr>
        <w:spacing w:before="166"/>
        <w:ind w:left="261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position w:val="5"/>
          <w:sz w:val="24"/>
        </w:rPr>
        <w:t>mc</w:t>
      </w:r>
      <w:r>
        <w:rPr>
          <w:rFonts w:ascii="Cambria Math"/>
          <w:sz w:val="17"/>
        </w:rPr>
        <w:t>t+k|t</w:t>
      </w:r>
    </w:p>
    <w:p>
      <w:pPr>
        <w:spacing w:line="250" w:lineRule="exact" w:before="176"/>
        <w:ind w:left="8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position w:val="5"/>
          <w:sz w:val="24"/>
        </w:rPr>
        <w:t>𝑃</w:t>
      </w:r>
      <w:r>
        <w:rPr>
          <w:rFonts w:ascii="Cambria Math" w:eastAsia="Cambria Math"/>
          <w:w w:val="105"/>
          <w:sz w:val="17"/>
        </w:rPr>
        <w:t>𝑡+𝑘</w:t>
      </w:r>
    </w:p>
    <w:p>
      <w:pPr>
        <w:pStyle w:val="BodyText"/>
        <w:spacing w:line="78" w:lineRule="exact"/>
        <w:ind w:left="455"/>
        <w:rPr>
          <w:rFonts w:ascii="Cambria Math"/>
        </w:rPr>
      </w:pPr>
      <w:r>
        <w:rPr>
          <w:rFonts w:ascii="Cambria Math"/>
        </w:rPr>
        <w:t>]</w:t>
      </w:r>
      <w:r>
        <w:rPr>
          <w:rFonts w:ascii="Cambria Math"/>
          <w:spacing w:val="14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4"/>
        </w:rPr>
        <w:t> </w:t>
      </w:r>
      <w:r>
        <w:rPr>
          <w:rFonts w:ascii="Cambria Math"/>
        </w:rPr>
        <w:t>0</w:t>
      </w:r>
    </w:p>
    <w:p>
      <w:pPr>
        <w:spacing w:after="0" w:line="78" w:lineRule="exact"/>
        <w:rPr>
          <w:rFonts w:ascii="Cambria Math"/>
        </w:rPr>
        <w:sectPr>
          <w:type w:val="continuous"/>
          <w:pgSz w:w="12240" w:h="15840"/>
          <w:pgMar w:top="1500" w:bottom="1120" w:left="940" w:right="940"/>
          <w:cols w:num="4" w:equalWidth="0">
            <w:col w:w="1947" w:space="40"/>
            <w:col w:w="2037" w:space="39"/>
            <w:col w:w="979" w:space="39"/>
            <w:col w:w="5279"/>
          </w:cols>
        </w:sectPr>
      </w:pPr>
    </w:p>
    <w:p>
      <w:pPr>
        <w:pStyle w:val="BodyText"/>
        <w:spacing w:before="7"/>
        <w:rPr>
          <w:rFonts w:ascii="Cambria Math"/>
          <w:sz w:val="19"/>
        </w:rPr>
      </w:pPr>
    </w:p>
    <w:p>
      <w:pPr>
        <w:spacing w:before="0"/>
        <w:ind w:left="500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k=0</w:t>
      </w:r>
    </w:p>
    <w:p>
      <w:pPr>
        <w:tabs>
          <w:tab w:pos="874" w:val="left" w:leader="none"/>
        </w:tabs>
        <w:spacing w:line="170" w:lineRule="exact" w:before="0"/>
        <w:ind w:left="500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10"/>
          <w:sz w:val="17"/>
        </w:rPr>
        <w:t>t</w:t>
        <w:tab/>
      </w:r>
      <w:r>
        <w:rPr>
          <w:rFonts w:ascii="Cambria Math"/>
          <w:spacing w:val="-4"/>
          <w:w w:val="110"/>
          <w:sz w:val="17"/>
        </w:rPr>
        <w:t>t,t+k</w:t>
      </w:r>
    </w:p>
    <w:p>
      <w:pPr>
        <w:spacing w:line="170" w:lineRule="exact" w:before="0"/>
        <w:ind w:left="128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05"/>
          <w:sz w:val="17"/>
        </w:rPr>
        <w:t>t+k</w:t>
      </w:r>
    </w:p>
    <w:p>
      <w:pPr>
        <w:spacing w:before="15"/>
        <w:ind w:left="141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spacing w:val="-3"/>
          <w:position w:val="5"/>
          <w:sz w:val="24"/>
        </w:rPr>
        <w:t>𝑃</w:t>
      </w:r>
      <w:r>
        <w:rPr>
          <w:rFonts w:ascii="Cambria Math" w:hAnsi="Cambria Math" w:eastAsia="Cambria Math"/>
          <w:spacing w:val="-3"/>
          <w:sz w:val="17"/>
        </w:rPr>
        <w:t>𝑡−1</w:t>
      </w:r>
    </w:p>
    <w:p>
      <w:pPr>
        <w:pStyle w:val="BodyText"/>
        <w:spacing w:before="17"/>
        <w:ind w:left="262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</w:rPr>
        <w:t>ε</w:t>
      </w:r>
      <w:r>
        <w:rPr>
          <w:rFonts w:ascii="Cambria Math" w:hAnsi="Cambria Math"/>
          <w:spacing w:val="-11"/>
        </w:rPr>
        <w:t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10"/>
        </w:rPr>
        <w:t> </w:t>
      </w:r>
      <w:r>
        <w:rPr>
          <w:rFonts w:ascii="Cambria Math" w:hAnsi="Cambria Math"/>
        </w:rPr>
        <w:t>1</w:t>
      </w:r>
    </w:p>
    <w:p>
      <w:pPr>
        <w:spacing w:before="15"/>
        <w:ind w:left="167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pacing w:val="-2"/>
          <w:position w:val="5"/>
          <w:sz w:val="24"/>
        </w:rPr>
        <w:t>𝑃</w:t>
      </w:r>
      <w:r>
        <w:rPr>
          <w:rFonts w:ascii="Cambria Math" w:eastAsia="Cambria Math"/>
          <w:spacing w:val="-2"/>
          <w:sz w:val="17"/>
        </w:rPr>
        <w:t>𝑡+𝑘</w:t>
      </w:r>
    </w:p>
    <w:p>
      <w:pPr>
        <w:spacing w:before="15"/>
        <w:ind w:left="185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5"/>
          <w:sz w:val="24"/>
        </w:rPr>
        <w:t>𝑃</w:t>
      </w:r>
      <w:r>
        <w:rPr>
          <w:rFonts w:ascii="Cambria Math" w:hAnsi="Cambria Math" w:eastAsia="Cambria Math"/>
          <w:w w:val="105"/>
          <w:sz w:val="17"/>
        </w:rPr>
        <w:t>𝑡−1</w:t>
      </w:r>
    </w:p>
    <w:p>
      <w:pPr>
        <w:spacing w:after="0"/>
        <w:jc w:val="left"/>
        <w:rPr>
          <w:rFonts w:ascii="Cambria Math" w:hAnsi="Cambria Math" w:eastAsia="Cambria Math"/>
          <w:sz w:val="17"/>
        </w:rPr>
        <w:sectPr>
          <w:type w:val="continuous"/>
          <w:pgSz w:w="12240" w:h="15840"/>
          <w:pgMar w:top="1500" w:bottom="1120" w:left="940" w:right="940"/>
          <w:cols w:num="7" w:equalWidth="0">
            <w:col w:w="865" w:space="208"/>
            <w:col w:w="1268" w:space="39"/>
            <w:col w:w="419" w:space="40"/>
            <w:col w:w="567" w:space="39"/>
            <w:col w:w="787" w:space="40"/>
            <w:col w:w="598" w:space="39"/>
            <w:col w:w="5451"/>
          </w:cols>
        </w:sectPr>
      </w:pPr>
    </w:p>
    <w:p>
      <w:pPr>
        <w:pStyle w:val="BodyText"/>
        <w:spacing w:before="11"/>
        <w:rPr>
          <w:rFonts w:ascii="Cambria Math"/>
          <w:sz w:val="16"/>
        </w:rPr>
      </w:pPr>
    </w:p>
    <w:p>
      <w:pPr>
        <w:tabs>
          <w:tab w:pos="3155" w:val="left" w:leader="none"/>
          <w:tab w:pos="3889" w:val="left" w:leader="none"/>
        </w:tabs>
        <w:spacing w:line="122" w:lineRule="exact" w:before="75"/>
        <w:ind w:left="670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10"/>
          <w:position w:val="-3"/>
          <w:sz w:val="17"/>
        </w:rPr>
        <w:t>∞</w:t>
        <w:tab/>
      </w:r>
      <w:r>
        <w:rPr>
          <w:rFonts w:ascii="Cambria Math" w:hAnsi="Cambria Math" w:eastAsia="Cambria Math"/>
          <w:w w:val="110"/>
          <w:sz w:val="17"/>
        </w:rPr>
        <w:t>(𝑃</w:t>
      </w:r>
      <w:r>
        <w:rPr>
          <w:rFonts w:ascii="Cambria Math" w:hAnsi="Cambria Math" w:eastAsia="Cambria Math"/>
          <w:w w:val="110"/>
          <w:position w:val="7"/>
          <w:sz w:val="14"/>
        </w:rPr>
        <w:t>∗</w:t>
      </w:r>
      <w:r>
        <w:rPr>
          <w:rFonts w:ascii="Cambria Math" w:hAnsi="Cambria Math" w:eastAsia="Cambria Math"/>
          <w:w w:val="110"/>
          <w:sz w:val="17"/>
        </w:rPr>
        <w:t>)</w:t>
        <w:tab/>
        <w:t>𝗌</w:t>
      </w:r>
    </w:p>
    <w:p>
      <w:pPr>
        <w:pStyle w:val="BodyText"/>
        <w:spacing w:before="1"/>
        <w:rPr>
          <w:rFonts w:ascii="Cambria Math"/>
          <w:sz w:val="9"/>
        </w:rPr>
      </w:pPr>
      <w:r>
        <w:rPr/>
        <w:pict>
          <v:rect style="position:absolute;margin-left:235.970001pt;margin-top:7.275635pt;width:15.36pt;height:.83997pt;mso-position-horizontal-relative:page;mso-position-vertical-relative:paragraph;z-index:-156088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rFonts w:ascii="Cambria Math"/>
          <w:sz w:val="9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spacing w:line="0" w:lineRule="auto" w:before="18"/>
        <w:ind w:left="500" w:right="0" w:firstLine="0"/>
        <w:jc w:val="left"/>
        <w:rPr>
          <w:rFonts w:ascii="Cambria Math" w:hAnsi="Cambria Math" w:eastAsia="Cambria Math"/>
          <w:sz w:val="24"/>
        </w:rPr>
      </w:pPr>
      <w:r>
        <w:rPr>
          <w:rFonts w:ascii="Cambria Math" w:hAnsi="Cambria Math" w:eastAsia="Cambria Math"/>
          <w:w w:val="105"/>
          <w:position w:val="7"/>
          <w:sz w:val="24"/>
        </w:rPr>
        <w:t>∑</w:t>
      </w:r>
      <w:r>
        <w:rPr>
          <w:rFonts w:ascii="Cambria Math" w:hAnsi="Cambria Math" w:eastAsia="Cambria Math"/>
          <w:w w:val="105"/>
          <w:sz w:val="17"/>
        </w:rPr>
        <w:t>k=0</w:t>
      </w:r>
      <w:r>
        <w:rPr>
          <w:rFonts w:ascii="Cambria Math" w:hAnsi="Cambria Math" w:eastAsia="Cambria Math"/>
          <w:w w:val="105"/>
          <w:position w:val="7"/>
          <w:sz w:val="24"/>
        </w:rPr>
        <w:t>(</w:t>
      </w:r>
      <w:r>
        <w:rPr>
          <w:rFonts w:ascii="Cambria Math" w:hAnsi="Cambria Math" w:eastAsia="Cambria Math"/>
          <w:w w:val="105"/>
          <w:position w:val="6"/>
          <w:sz w:val="24"/>
        </w:rPr>
        <w:t>βθ</w:t>
      </w:r>
      <w:r>
        <w:rPr>
          <w:rFonts w:ascii="Cambria Math" w:hAnsi="Cambria Math" w:eastAsia="Cambria Math"/>
          <w:w w:val="105"/>
          <w:position w:val="7"/>
          <w:sz w:val="24"/>
        </w:rPr>
        <w:t>)</w:t>
      </w:r>
      <w:r>
        <w:rPr>
          <w:rFonts w:ascii="Cambria Math" w:hAnsi="Cambria Math" w:eastAsia="Cambria Math"/>
          <w:w w:val="105"/>
          <w:position w:val="15"/>
          <w:sz w:val="17"/>
        </w:rPr>
        <w:t>k</w:t>
      </w:r>
      <w:r>
        <w:rPr>
          <w:rFonts w:ascii="Cambria Math" w:hAnsi="Cambria Math" w:eastAsia="Cambria Math"/>
          <w:spacing w:val="-4"/>
          <w:w w:val="105"/>
          <w:position w:val="15"/>
          <w:sz w:val="17"/>
        </w:rPr>
        <w:t> </w:t>
      </w:r>
      <w:r>
        <w:rPr>
          <w:rFonts w:ascii="Cambria Math" w:hAnsi="Cambria Math" w:eastAsia="Cambria Math"/>
          <w:w w:val="105"/>
          <w:position w:val="6"/>
          <w:sz w:val="24"/>
        </w:rPr>
        <w:t>E</w:t>
      </w:r>
      <w:r>
        <w:rPr>
          <w:rFonts w:ascii="Cambria Math" w:hAnsi="Cambria Math" w:eastAsia="Cambria Math"/>
          <w:w w:val="105"/>
          <w:position w:val="1"/>
          <w:sz w:val="17"/>
        </w:rPr>
        <w:t>t</w:t>
      </w:r>
      <w:r>
        <w:rPr>
          <w:rFonts w:ascii="Cambria Math" w:hAnsi="Cambria Math" w:eastAsia="Cambria Math"/>
          <w:spacing w:val="27"/>
          <w:w w:val="105"/>
          <w:position w:val="1"/>
          <w:sz w:val="17"/>
        </w:rPr>
        <w:t> </w:t>
      </w:r>
      <w:r>
        <w:rPr>
          <w:rFonts w:ascii="Cambria Math" w:hAnsi="Cambria Math" w:eastAsia="Cambria Math"/>
          <w:w w:val="105"/>
          <w:position w:val="6"/>
          <w:sz w:val="24"/>
        </w:rPr>
        <w:t>[E</w:t>
      </w:r>
      <w:r>
        <w:rPr>
          <w:rFonts w:ascii="Cambria Math" w:hAnsi="Cambria Math" w:eastAsia="Cambria Math"/>
          <w:w w:val="105"/>
          <w:position w:val="1"/>
          <w:sz w:val="17"/>
        </w:rPr>
        <w:t>t,t+k</w:t>
      </w:r>
      <w:r>
        <w:rPr>
          <w:rFonts w:ascii="Cambria Math" w:hAnsi="Cambria Math" w:eastAsia="Cambria Math"/>
          <w:spacing w:val="-4"/>
          <w:w w:val="105"/>
          <w:position w:val="1"/>
          <w:sz w:val="17"/>
        </w:rPr>
        <w:t> </w:t>
      </w:r>
      <w:r>
        <w:rPr>
          <w:rFonts w:ascii="Cambria Math" w:hAnsi="Cambria Math" w:eastAsia="Cambria Math"/>
          <w:w w:val="105"/>
          <w:position w:val="6"/>
          <w:sz w:val="24"/>
        </w:rPr>
        <w:t>Y</w:t>
      </w:r>
      <w:r>
        <w:rPr>
          <w:rFonts w:ascii="Cambria Math" w:hAnsi="Cambria Math" w:eastAsia="Cambria Math"/>
          <w:w w:val="105"/>
          <w:position w:val="1"/>
          <w:sz w:val="17"/>
        </w:rPr>
        <w:t>t+k</w:t>
      </w:r>
      <w:r>
        <w:rPr>
          <w:rFonts w:ascii="Cambria Math" w:hAnsi="Cambria Math" w:eastAsia="Cambria Math"/>
          <w:spacing w:val="28"/>
          <w:w w:val="105"/>
          <w:position w:val="1"/>
          <w:sz w:val="17"/>
        </w:rPr>
        <w:t> </w:t>
      </w:r>
      <w:r>
        <w:rPr>
          <w:rFonts w:ascii="Cambria Math" w:hAnsi="Cambria Math" w:eastAsia="Cambria Math"/>
          <w:w w:val="105"/>
          <w:position w:val="6"/>
          <w:sz w:val="24"/>
        </w:rPr>
        <w:t>[</w:t>
      </w:r>
      <w:r>
        <w:rPr>
          <w:rFonts w:ascii="Cambria Math" w:hAnsi="Cambria Math" w:eastAsia="Cambria Math"/>
          <w:w w:val="105"/>
          <w:position w:val="16"/>
          <w:sz w:val="24"/>
          <w:u w:val="single"/>
        </w:rPr>
        <w:t>  </w:t>
      </w:r>
      <w:r>
        <w:rPr>
          <w:rFonts w:ascii="Cambria Math" w:hAnsi="Cambria Math" w:eastAsia="Cambria Math"/>
          <w:spacing w:val="6"/>
          <w:w w:val="105"/>
          <w:position w:val="16"/>
          <w:sz w:val="24"/>
          <w:u w:val="single"/>
        </w:rPr>
        <w:t> </w:t>
      </w:r>
      <w:r>
        <w:rPr>
          <w:rFonts w:ascii="Cambria Math" w:hAnsi="Cambria Math" w:eastAsia="Cambria Math"/>
          <w:w w:val="105"/>
          <w:position w:val="16"/>
          <w:sz w:val="14"/>
          <w:u w:val="single"/>
        </w:rPr>
        <w:t>𝑡   </w:t>
      </w:r>
      <w:r>
        <w:rPr>
          <w:rFonts w:ascii="Cambria Math" w:hAnsi="Cambria Math" w:eastAsia="Cambria Math"/>
          <w:w w:val="105"/>
          <w:position w:val="16"/>
          <w:sz w:val="14"/>
        </w:rPr>
        <w:t> </w:t>
      </w:r>
      <w:r>
        <w:rPr>
          <w:rFonts w:ascii="Cambria Math" w:hAnsi="Cambria Math" w:eastAsia="Cambria Math"/>
          <w:spacing w:val="9"/>
          <w:w w:val="105"/>
          <w:position w:val="16"/>
          <w:sz w:val="14"/>
        </w:rPr>
        <w:t> </w:t>
      </w:r>
      <w:r>
        <w:rPr>
          <w:rFonts w:ascii="Cambria Math" w:hAnsi="Cambria Math" w:eastAsia="Cambria Math"/>
          <w:position w:val="6"/>
          <w:sz w:val="24"/>
        </w:rPr>
        <w:t>−</w:t>
      </w:r>
    </w:p>
    <w:p>
      <w:pPr>
        <w:spacing w:line="127" w:lineRule="exact" w:before="0"/>
        <w:ind w:left="0" w:right="238" w:firstLine="0"/>
        <w:jc w:val="right"/>
        <w:rPr>
          <w:rFonts w:ascii="Cambria Math" w:hAnsi="Cambria Math" w:eastAsia="Cambria Math"/>
          <w:sz w:val="14"/>
        </w:rPr>
      </w:pPr>
      <w:r>
        <w:rPr/>
        <w:pict>
          <v:shape style="position:absolute;margin-left:204.169998pt;margin-top:-3.53434pt;width:5.55pt;height:8.550pt;mso-position-horizontal-relative:page;mso-position-vertical-relative:paragraph;z-index:-2134476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05"/>
                      <w:sz w:val="17"/>
                    </w:rPr>
                    <w:t>𝑃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w w:val="110"/>
          <w:sz w:val="14"/>
        </w:rPr>
        <w:t>𝑡−1</w:t>
      </w:r>
    </w:p>
    <w:p>
      <w:pPr>
        <w:spacing w:line="189" w:lineRule="exact" w:before="0"/>
        <w:ind w:left="13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𝗌−1</w:t>
      </w:r>
    </w:p>
    <w:p>
      <w:pPr>
        <w:tabs>
          <w:tab w:pos="3992" w:val="left" w:leader="none"/>
        </w:tabs>
        <w:spacing w:line="81" w:lineRule="auto" w:before="0"/>
        <w:ind w:left="51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 w:hAnsi="Cambria Math"/>
          <w:position w:val="5"/>
          <w:sz w:val="24"/>
        </w:rPr>
        <w:t>MC</w:t>
      </w:r>
      <w:r>
        <w:rPr>
          <w:rFonts w:ascii="Cambria Math" w:hAnsi="Cambria Math"/>
          <w:sz w:val="17"/>
        </w:rPr>
        <w:t>t+k|t</w:t>
      </w:r>
      <w:r>
        <w:rPr>
          <w:rFonts w:ascii="Cambria Math" w:hAnsi="Cambria Math"/>
          <w:position w:val="5"/>
          <w:sz w:val="24"/>
        </w:rPr>
        <w:t>π</w:t>
      </w:r>
      <w:r>
        <w:rPr>
          <w:rFonts w:ascii="Cambria Math" w:hAnsi="Cambria Math"/>
          <w:sz w:val="17"/>
        </w:rPr>
        <w:t>t−1,t+k</w:t>
      </w:r>
      <w:r>
        <w:rPr>
          <w:rFonts w:ascii="Cambria Math" w:hAnsi="Cambria Math"/>
          <w:position w:val="5"/>
          <w:sz w:val="24"/>
        </w:rPr>
        <w:t>]</w:t>
      </w:r>
      <w:r>
        <w:rPr>
          <w:rFonts w:ascii="Cambria Math" w:hAnsi="Cambria Math"/>
          <w:spacing w:val="24"/>
          <w:position w:val="5"/>
          <w:sz w:val="24"/>
        </w:rPr>
        <w:t> </w:t>
      </w:r>
      <w:r>
        <w:rPr>
          <w:rFonts w:ascii="Cambria Math" w:hAnsi="Cambria Math"/>
          <w:position w:val="5"/>
          <w:sz w:val="24"/>
        </w:rPr>
        <w:t>=</w:t>
      </w:r>
      <w:r>
        <w:rPr>
          <w:rFonts w:ascii="Cambria Math" w:hAnsi="Cambria Math"/>
          <w:spacing w:val="31"/>
          <w:position w:val="5"/>
          <w:sz w:val="24"/>
        </w:rPr>
        <w:t> </w:t>
      </w:r>
      <w:r>
        <w:rPr>
          <w:rFonts w:ascii="Cambria Math" w:hAnsi="Cambria Math"/>
          <w:position w:val="5"/>
          <w:sz w:val="24"/>
        </w:rPr>
        <w:t>0</w:t>
        <w:tab/>
      </w:r>
      <w:r>
        <w:rPr>
          <w:position w:val="5"/>
          <w:sz w:val="24"/>
        </w:rPr>
        <w:t>(7)</w:t>
      </w:r>
    </w:p>
    <w:p>
      <w:pPr>
        <w:spacing w:after="0" w:line="81" w:lineRule="auto"/>
        <w:jc w:val="left"/>
        <w:rPr>
          <w:sz w:val="24"/>
        </w:rPr>
        <w:sectPr>
          <w:type w:val="continuous"/>
          <w:pgSz w:w="12240" w:h="15840"/>
          <w:pgMar w:top="1500" w:bottom="1120" w:left="940" w:right="940"/>
          <w:cols w:num="3" w:equalWidth="0">
            <w:col w:w="3726" w:space="40"/>
            <w:col w:w="324" w:space="39"/>
            <w:col w:w="6231"/>
          </w:cols>
        </w:sect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360" w:lineRule="auto" w:before="90"/>
        <w:ind w:left="500" w:right="1076"/>
      </w:pPr>
      <w:r>
        <w:rPr/>
        <w:t>The first order Taylor expansion at the zero-inflation steady state yields the optimal pricing</w:t>
      </w:r>
      <w:r>
        <w:rPr>
          <w:spacing w:val="-58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resetting firm:</w:t>
      </w:r>
    </w:p>
    <w:p>
      <w:pPr>
        <w:pStyle w:val="BodyText"/>
        <w:spacing w:before="3"/>
        <w:rPr>
          <w:sz w:val="10"/>
        </w:rPr>
      </w:pPr>
    </w:p>
    <w:p>
      <w:pPr>
        <w:pStyle w:val="BodyText"/>
        <w:tabs>
          <w:tab w:pos="8901" w:val="left" w:leader="none"/>
        </w:tabs>
        <w:spacing w:line="156" w:lineRule="exact" w:before="93"/>
        <w:ind w:left="500"/>
      </w:pPr>
      <w:r>
        <w:rPr>
          <w:rFonts w:ascii="Cambria Math" w:hAnsi="Cambria Math" w:eastAsia="Cambria Math"/>
          <w:spacing w:val="-3"/>
          <w:w w:val="105"/>
        </w:rPr>
        <w:t>𝑃</w:t>
      </w:r>
      <w:r>
        <w:rPr>
          <w:rFonts w:ascii="Cambria Math" w:hAnsi="Cambria Math" w:eastAsia="Cambria Math"/>
          <w:spacing w:val="-3"/>
          <w:w w:val="105"/>
          <w:vertAlign w:val="superscript"/>
        </w:rPr>
        <w:t>∗</w:t>
      </w:r>
      <w:r>
        <w:rPr>
          <w:rFonts w:ascii="Cambria Math" w:hAnsi="Cambria Math" w:eastAsia="Cambria Math"/>
          <w:spacing w:val="5"/>
          <w:w w:val="105"/>
          <w:vertAlign w:val="baseline"/>
        </w:rPr>
        <w:t> </w:t>
      </w:r>
      <w:r>
        <w:rPr>
          <w:rFonts w:ascii="Cambria Math" w:hAnsi="Cambria Math" w:eastAsia="Cambria Math"/>
          <w:spacing w:val="-3"/>
          <w:w w:val="105"/>
          <w:vertAlign w:val="baseline"/>
        </w:rPr>
        <w:t>−</w:t>
      </w:r>
      <w:r>
        <w:rPr>
          <w:rFonts w:ascii="Cambria Math" w:hAnsi="Cambria Math" w:eastAsia="Cambria Math"/>
          <w:spacing w:val="-5"/>
          <w:w w:val="105"/>
          <w:vertAlign w:val="baseline"/>
        </w:rPr>
        <w:t> </w:t>
      </w:r>
      <w:r>
        <w:rPr>
          <w:rFonts w:ascii="Cambria Math" w:hAnsi="Cambria Math" w:eastAsia="Cambria Math"/>
          <w:spacing w:val="-3"/>
          <w:w w:val="105"/>
          <w:vertAlign w:val="baseline"/>
        </w:rPr>
        <w:t>𝑃</w:t>
      </w:r>
      <w:r>
        <w:rPr>
          <w:rFonts w:ascii="Cambria Math" w:hAnsi="Cambria Math" w:eastAsia="Cambria Math"/>
          <w:spacing w:val="-3"/>
          <w:w w:val="105"/>
          <w:vertAlign w:val="subscript"/>
        </w:rPr>
        <w:t>𝑡−1</w:t>
      </w:r>
      <w:r>
        <w:rPr>
          <w:rFonts w:ascii="Cambria Math" w:hAnsi="Cambria Math" w:eastAsia="Cambria Math"/>
          <w:spacing w:val="16"/>
          <w:w w:val="105"/>
          <w:vertAlign w:val="baseline"/>
        </w:rPr>
        <w:t> </w:t>
      </w:r>
      <w:r>
        <w:rPr>
          <w:rFonts w:ascii="Cambria Math" w:hAnsi="Cambria Math" w:eastAsia="Cambria Math"/>
          <w:spacing w:val="-3"/>
          <w:w w:val="105"/>
          <w:vertAlign w:val="baseline"/>
        </w:rPr>
        <w:t>=</w:t>
      </w:r>
      <w:r>
        <w:rPr>
          <w:rFonts w:ascii="Cambria Math" w:hAnsi="Cambria Math" w:eastAsia="Cambria Math"/>
          <w:spacing w:val="7"/>
          <w:w w:val="105"/>
          <w:vertAlign w:val="baseline"/>
        </w:rPr>
        <w:t> </w:t>
      </w:r>
      <w:r>
        <w:rPr>
          <w:rFonts w:ascii="Cambria Math" w:hAnsi="Cambria Math" w:eastAsia="Cambria Math"/>
          <w:spacing w:val="-3"/>
          <w:w w:val="105"/>
          <w:vertAlign w:val="baseline"/>
        </w:rPr>
        <w:t>1</w:t>
      </w:r>
      <w:r>
        <w:rPr>
          <w:rFonts w:ascii="Cambria Math" w:hAnsi="Cambria Math" w:eastAsia="Cambria Math"/>
          <w:spacing w:val="-5"/>
          <w:w w:val="105"/>
          <w:vertAlign w:val="baseline"/>
        </w:rPr>
        <w:t> </w:t>
      </w:r>
      <w:r>
        <w:rPr>
          <w:rFonts w:ascii="Cambria Math" w:hAnsi="Cambria Math" w:eastAsia="Cambria Math"/>
          <w:spacing w:val="-2"/>
          <w:w w:val="105"/>
          <w:vertAlign w:val="baseline"/>
        </w:rPr>
        <w:t>−</w:t>
      </w:r>
      <w:r>
        <w:rPr>
          <w:rFonts w:ascii="Cambria Math" w:hAnsi="Cambria Math" w:eastAsia="Cambria Math"/>
          <w:spacing w:val="-5"/>
          <w:w w:val="105"/>
          <w:vertAlign w:val="baseline"/>
        </w:rPr>
        <w:t> </w:t>
      </w:r>
      <w:r>
        <w:rPr>
          <w:rFonts w:ascii="Cambria Math" w:hAnsi="Cambria Math" w:eastAsia="Cambria Math"/>
          <w:spacing w:val="-2"/>
          <w:w w:val="105"/>
          <w:vertAlign w:val="baseline"/>
        </w:rPr>
        <w:t>βθ</w:t>
      </w:r>
      <w:r>
        <w:rPr>
          <w:rFonts w:ascii="Cambria Math" w:hAnsi="Cambria Math" w:eastAsia="Cambria Math"/>
          <w:spacing w:val="32"/>
          <w:w w:val="105"/>
          <w:vertAlign w:val="baseline"/>
        </w:rPr>
        <w:t> </w:t>
      </w:r>
      <w:r>
        <w:rPr>
          <w:rFonts w:ascii="Cambria Math" w:hAnsi="Cambria Math" w:eastAsia="Cambria Math"/>
          <w:spacing w:val="-2"/>
          <w:w w:val="105"/>
          <w:position w:val="1"/>
          <w:vertAlign w:val="baseline"/>
        </w:rPr>
        <w:t>∑</w:t>
      </w:r>
      <w:r>
        <w:rPr>
          <w:rFonts w:ascii="Cambria Math" w:hAnsi="Cambria Math" w:eastAsia="Cambria Math"/>
          <w:spacing w:val="-2"/>
          <w:w w:val="105"/>
          <w:position w:val="1"/>
          <w:vertAlign w:val="superscript"/>
        </w:rPr>
        <w:t>∞</w:t>
      </w:r>
      <w:r>
        <w:rPr>
          <w:rFonts w:ascii="Cambria Math" w:hAnsi="Cambria Math" w:eastAsia="Cambria Math"/>
          <w:spacing w:val="101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spacing w:val="-2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spacing w:val="-2"/>
          <w:w w:val="105"/>
          <w:vertAlign w:val="baseline"/>
        </w:rPr>
        <w:t>βθ</w:t>
      </w:r>
      <w:r>
        <w:rPr>
          <w:rFonts w:ascii="Cambria Math" w:hAnsi="Cambria Math" w:eastAsia="Cambria Math"/>
          <w:spacing w:val="-2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-2"/>
          <w:w w:val="105"/>
          <w:position w:val="1"/>
          <w:vertAlign w:val="superscript"/>
        </w:rPr>
        <w:t>k</w:t>
      </w:r>
      <w:r>
        <w:rPr>
          <w:rFonts w:ascii="Cambria Math" w:hAnsi="Cambria Math" w:eastAsia="Cambria Math"/>
          <w:spacing w:val="-12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spacing w:val="-2"/>
          <w:w w:val="105"/>
          <w:vertAlign w:val="baseline"/>
        </w:rPr>
        <w:t>E</w:t>
      </w:r>
      <w:r>
        <w:rPr>
          <w:rFonts w:ascii="Cambria Math" w:hAnsi="Cambria Math" w:eastAsia="Cambria Math"/>
          <w:spacing w:val="-2"/>
          <w:w w:val="105"/>
          <w:vertAlign w:val="subscript"/>
        </w:rPr>
        <w:t>t</w:t>
      </w:r>
      <w:r>
        <w:rPr>
          <w:rFonts w:ascii="Cambria Math" w:hAnsi="Cambria Math" w:eastAsia="Cambria Math"/>
          <w:spacing w:val="25"/>
          <w:w w:val="105"/>
          <w:vertAlign w:val="baseline"/>
        </w:rPr>
        <w:t> </w:t>
      </w:r>
      <w:r>
        <w:rPr>
          <w:rFonts w:ascii="Cambria Math" w:hAnsi="Cambria Math" w:eastAsia="Cambria Math"/>
          <w:spacing w:val="-2"/>
          <w:w w:val="105"/>
          <w:vertAlign w:val="baseline"/>
        </w:rPr>
        <w:t>[m̂c</w:t>
      </w:r>
      <w:r>
        <w:rPr>
          <w:rFonts w:ascii="Cambria Math" w:hAnsi="Cambria Math" w:eastAsia="Cambria Math"/>
          <w:spacing w:val="-2"/>
          <w:w w:val="105"/>
          <w:vertAlign w:val="subscript"/>
        </w:rPr>
        <w:t>t+k|t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spacing w:val="-2"/>
          <w:w w:val="105"/>
          <w:vertAlign w:val="baseline"/>
        </w:rPr>
        <w:t>+</w:t>
      </w:r>
      <w:r>
        <w:rPr>
          <w:rFonts w:ascii="Cambria Math" w:hAnsi="Cambria Math" w:eastAsia="Cambria Math"/>
          <w:spacing w:val="-5"/>
          <w:w w:val="105"/>
          <w:vertAlign w:val="baseline"/>
        </w:rPr>
        <w:t> </w:t>
      </w:r>
      <w:r>
        <w:rPr>
          <w:rFonts w:ascii="Cambria Math" w:hAnsi="Cambria Math" w:eastAsia="Cambria Math"/>
          <w:spacing w:val="-2"/>
          <w:w w:val="105"/>
          <w:vertAlign w:val="baseline"/>
        </w:rPr>
        <w:t>𝑃</w:t>
      </w:r>
      <w:r>
        <w:rPr>
          <w:rFonts w:ascii="Cambria Math" w:hAnsi="Cambria Math" w:eastAsia="Cambria Math"/>
          <w:spacing w:val="-2"/>
          <w:w w:val="105"/>
          <w:vertAlign w:val="subscript"/>
        </w:rPr>
        <w:t>𝑡+𝑘</w:t>
      </w:r>
      <w:r>
        <w:rPr>
          <w:rFonts w:ascii="Cambria Math" w:hAnsi="Cambria Math" w:eastAsia="Cambria Math"/>
          <w:spacing w:val="8"/>
          <w:w w:val="105"/>
          <w:vertAlign w:val="baseline"/>
        </w:rPr>
        <w:t> </w:t>
      </w:r>
      <w:r>
        <w:rPr>
          <w:rFonts w:ascii="Cambria Math" w:hAnsi="Cambria Math" w:eastAsia="Cambria Math"/>
          <w:spacing w:val="-2"/>
          <w:w w:val="105"/>
          <w:vertAlign w:val="baseline"/>
        </w:rPr>
        <w:t>−</w:t>
      </w:r>
      <w:r>
        <w:rPr>
          <w:rFonts w:ascii="Cambria Math" w:hAnsi="Cambria Math" w:eastAsia="Cambria Math"/>
          <w:spacing w:val="-5"/>
          <w:w w:val="105"/>
          <w:vertAlign w:val="baseline"/>
        </w:rPr>
        <w:t> </w:t>
      </w:r>
      <w:r>
        <w:rPr>
          <w:rFonts w:ascii="Cambria Math" w:hAnsi="Cambria Math" w:eastAsia="Cambria Math"/>
          <w:spacing w:val="-2"/>
          <w:w w:val="105"/>
          <w:vertAlign w:val="baseline"/>
        </w:rPr>
        <w:t>𝑃</w:t>
      </w:r>
      <w:r>
        <w:rPr>
          <w:rFonts w:ascii="Cambria Math" w:hAnsi="Cambria Math" w:eastAsia="Cambria Math"/>
          <w:spacing w:val="-2"/>
          <w:w w:val="105"/>
          <w:vertAlign w:val="subscript"/>
        </w:rPr>
        <w:t>𝑡−1</w:t>
      </w:r>
      <w:r>
        <w:rPr>
          <w:rFonts w:ascii="Cambria Math" w:hAnsi="Cambria Math" w:eastAsia="Cambria Math"/>
          <w:spacing w:val="-2"/>
          <w:w w:val="105"/>
          <w:vertAlign w:val="baseline"/>
        </w:rPr>
        <w:t>]</w:t>
        <w:tab/>
      </w:r>
      <w:r>
        <w:rPr>
          <w:w w:val="105"/>
          <w:vertAlign w:val="baseline"/>
        </w:rPr>
        <w:t>(8)</w:t>
      </w:r>
    </w:p>
    <w:p>
      <w:pPr>
        <w:tabs>
          <w:tab w:pos="2727" w:val="left" w:leader="none"/>
        </w:tabs>
        <w:spacing w:line="178" w:lineRule="exact" w:before="0"/>
        <w:ind w:left="622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1"/>
          <w:sz w:val="17"/>
        </w:rPr>
        <w:t>𝑡</w:t>
        <w:tab/>
      </w:r>
      <w:r>
        <w:rPr>
          <w:rFonts w:ascii="Cambria Math" w:eastAsia="Cambria Math"/>
          <w:w w:val="110"/>
          <w:sz w:val="17"/>
        </w:rPr>
        <w:t>k=0</w:t>
      </w:r>
    </w:p>
    <w:p>
      <w:pPr>
        <w:spacing w:after="0" w:line="178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940" w:right="940"/>
        </w:sectPr>
      </w:pPr>
    </w:p>
    <w:p>
      <w:pPr>
        <w:spacing w:before="57"/>
        <w:ind w:left="500" w:right="0" w:firstLine="0"/>
        <w:jc w:val="left"/>
        <w:rPr>
          <w:rFonts w:ascii="Cambria Math" w:hAnsi="Cambria Math"/>
          <w:sz w:val="24"/>
        </w:rPr>
      </w:pPr>
      <w:r>
        <w:rPr>
          <w:sz w:val="24"/>
        </w:rPr>
        <w:t>Where</w:t>
      </w:r>
      <w:r>
        <w:rPr>
          <w:spacing w:val="-4"/>
          <w:sz w:val="24"/>
        </w:rPr>
        <w:t> </w:t>
      </w:r>
      <w:r>
        <w:rPr>
          <w:rFonts w:ascii="Cambria Math" w:hAnsi="Cambria Math"/>
          <w:sz w:val="24"/>
        </w:rPr>
        <w:t>m̂c</w:t>
      </w:r>
      <w:r>
        <w:rPr>
          <w:rFonts w:ascii="Cambria Math" w:hAnsi="Cambria Math"/>
          <w:position w:val="-4"/>
          <w:sz w:val="17"/>
        </w:rPr>
        <w:t>t+k|t</w:t>
      </w:r>
      <w:r>
        <w:rPr>
          <w:rFonts w:ascii="Cambria Math" w:hAnsi="Cambria Math"/>
          <w:spacing w:val="1"/>
          <w:position w:val="-4"/>
          <w:sz w:val="17"/>
        </w:rPr>
        <w:t> </w:t>
      </w:r>
      <w:r>
        <w:rPr>
          <w:rFonts w:ascii="Cambria Math" w:hAnsi="Cambria Math"/>
          <w:sz w:val="24"/>
        </w:rPr>
        <w:t>=</w:t>
      </w:r>
      <w:r>
        <w:rPr>
          <w:rFonts w:ascii="Cambria Math" w:hAnsi="Cambria Math"/>
          <w:spacing w:val="63"/>
          <w:sz w:val="24"/>
        </w:rPr>
        <w:t> </w:t>
      </w:r>
      <w:r>
        <w:rPr>
          <w:rFonts w:ascii="Cambria Math" w:hAnsi="Cambria Math"/>
          <w:sz w:val="24"/>
        </w:rPr>
        <w:t>mc</w:t>
      </w:r>
      <w:r>
        <w:rPr>
          <w:rFonts w:ascii="Cambria Math" w:hAnsi="Cambria Math"/>
          <w:position w:val="-4"/>
          <w:sz w:val="17"/>
        </w:rPr>
        <w:t>t+k|t</w:t>
      </w:r>
      <w:r>
        <w:rPr>
          <w:rFonts w:ascii="Cambria Math" w:hAnsi="Cambria Math"/>
          <w:spacing w:val="24"/>
          <w:position w:val="-4"/>
          <w:sz w:val="17"/>
        </w:rPr>
        <w:t> </w:t>
      </w:r>
      <w:r>
        <w:rPr>
          <w:rFonts w:ascii="Cambria Math" w:hAnsi="Cambria Math"/>
          <w:sz w:val="24"/>
        </w:rPr>
        <w:t>−</w:t>
      </w:r>
      <w:r>
        <w:rPr>
          <w:rFonts w:ascii="Cambria Math" w:hAnsi="Cambria Math"/>
          <w:spacing w:val="-1"/>
          <w:sz w:val="24"/>
        </w:rPr>
        <w:t> </w:t>
      </w:r>
      <w:r>
        <w:rPr>
          <w:rFonts w:ascii="Cambria Math" w:hAnsi="Cambria Math"/>
          <w:sz w:val="24"/>
        </w:rPr>
        <w:t>mc</w:t>
      </w:r>
    </w:p>
    <w:p>
      <w:pPr>
        <w:pStyle w:val="BodyText"/>
        <w:spacing w:before="6"/>
        <w:rPr>
          <w:rFonts w:ascii="Cambria Math"/>
          <w:sz w:val="28"/>
        </w:rPr>
      </w:pPr>
    </w:p>
    <w:p>
      <w:pPr>
        <w:pStyle w:val="BodyText"/>
        <w:ind w:left="500"/>
      </w:pPr>
      <w:r>
        <w:rPr/>
        <w:t>Equation</w:t>
      </w:r>
      <w:r>
        <w:rPr>
          <w:spacing w:val="-2"/>
        </w:rPr>
        <w:t> </w:t>
      </w:r>
      <w:r>
        <w:rPr/>
        <w:t>(8)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re-arranged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re-written</w:t>
      </w:r>
      <w:r>
        <w:rPr>
          <w:spacing w:val="-2"/>
        </w:rPr>
        <w:t> </w:t>
      </w:r>
      <w:r>
        <w:rPr/>
        <w:t>as: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tabs>
          <w:tab w:pos="8121" w:val="left" w:leader="none"/>
        </w:tabs>
        <w:spacing w:line="156" w:lineRule="exact" w:before="93"/>
        <w:ind w:left="500"/>
      </w:pPr>
      <w:r>
        <w:rPr>
          <w:rFonts w:ascii="Cambria Math" w:hAnsi="Cambria Math" w:eastAsia="Cambria Math"/>
        </w:rPr>
        <w:t>𝑃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spacing w:val="3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𝜇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(1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βθ)</w:t>
      </w:r>
      <w:r>
        <w:rPr>
          <w:rFonts w:ascii="Cambria Math" w:hAnsi="Cambria Math" w:eastAsia="Cambria Math"/>
          <w:spacing w:val="-1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∑</w:t>
      </w:r>
      <w:r>
        <w:rPr>
          <w:rFonts w:ascii="Cambria Math" w:hAnsi="Cambria Math" w:eastAsia="Cambria Math"/>
          <w:position w:val="1"/>
          <w:vertAlign w:val="superscript"/>
        </w:rPr>
        <w:t>∞</w:t>
      </w:r>
      <w:r>
        <w:rPr>
          <w:rFonts w:ascii="Cambria Math" w:hAnsi="Cambria Math" w:eastAsia="Cambria Math"/>
          <w:position w:val="1"/>
          <w:vertAlign w:val="baseline"/>
        </w:rPr>
        <w:t>  </w:t>
      </w:r>
      <w:r>
        <w:rPr>
          <w:rFonts w:ascii="Cambria Math" w:hAnsi="Cambria Math" w:eastAsia="Cambria Math"/>
          <w:spacing w:val="28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βθ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position w:val="1"/>
          <w:vertAlign w:val="superscript"/>
        </w:rPr>
        <w:t>k</w:t>
      </w:r>
      <w:r>
        <w:rPr>
          <w:rFonts w:ascii="Cambria Math" w:hAnsi="Cambria Math" w:eastAsia="Cambria Math"/>
          <w:spacing w:val="2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E</w:t>
      </w:r>
      <w:r>
        <w:rPr>
          <w:rFonts w:ascii="Cambria Math" w:hAnsi="Cambria Math" w:eastAsia="Cambria Math"/>
          <w:vertAlign w:val="subscript"/>
        </w:rPr>
        <w:t>t</w:t>
      </w:r>
      <w:r>
        <w:rPr>
          <w:rFonts w:ascii="Cambria Math" w:hAnsi="Cambria Math" w:eastAsia="Cambria Math"/>
          <w:spacing w:val="4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[mc</w:t>
      </w:r>
      <w:r>
        <w:rPr>
          <w:rFonts w:ascii="Cambria Math" w:hAnsi="Cambria Math" w:eastAsia="Cambria Math"/>
          <w:vertAlign w:val="subscript"/>
        </w:rPr>
        <w:t>t+k|t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𝑃</w:t>
      </w:r>
      <w:r>
        <w:rPr>
          <w:rFonts w:ascii="Cambria Math" w:hAnsi="Cambria Math" w:eastAsia="Cambria Math"/>
          <w:vertAlign w:val="subscript"/>
        </w:rPr>
        <w:t>𝑡+𝑘</w:t>
      </w:r>
      <w:r>
        <w:rPr>
          <w:rFonts w:ascii="Cambria Math" w:hAnsi="Cambria Math" w:eastAsia="Cambria Math"/>
          <w:vertAlign w:val="baseline"/>
        </w:rPr>
        <w:t>]</w:t>
        <w:tab/>
      </w:r>
      <w:r>
        <w:rPr>
          <w:w w:val="105"/>
          <w:vertAlign w:val="baseline"/>
        </w:rPr>
        <w:t>(9)</w:t>
      </w:r>
    </w:p>
    <w:p>
      <w:pPr>
        <w:tabs>
          <w:tab w:pos="2576" w:val="left" w:leader="none"/>
        </w:tabs>
        <w:spacing w:line="178" w:lineRule="exact" w:before="0"/>
        <w:ind w:left="622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1"/>
          <w:sz w:val="17"/>
        </w:rPr>
        <w:t>𝑡</w:t>
        <w:tab/>
      </w:r>
      <w:r>
        <w:rPr>
          <w:rFonts w:ascii="Cambria Math" w:eastAsia="Cambria Math"/>
          <w:w w:val="110"/>
          <w:sz w:val="17"/>
        </w:rPr>
        <w:t>k=0</w:t>
      </w:r>
    </w:p>
    <w:p>
      <w:pPr>
        <w:pStyle w:val="BodyText"/>
        <w:spacing w:before="4"/>
        <w:rPr>
          <w:rFonts w:ascii="Cambria Math"/>
          <w:sz w:val="20"/>
        </w:rPr>
      </w:pPr>
    </w:p>
    <w:p>
      <w:pPr>
        <w:pStyle w:val="BodyText"/>
        <w:spacing w:before="90"/>
        <w:ind w:left="500"/>
      </w:pPr>
      <w:r>
        <w:rPr/>
        <w:t>Where,</w:t>
      </w: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935" w:top="1380" w:bottom="1200" w:left="940" w:right="94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jc w:val="right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𝜇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1"/>
        </w:rPr>
        <w:t> </w:t>
      </w:r>
      <w:r>
        <w:rPr>
          <w:rFonts w:ascii="Cambria Math" w:hAnsi="Cambria Math" w:eastAsia="Cambria Math"/>
        </w:rPr>
        <w:t>−𝑚𝑐</w:t>
      </w:r>
      <w:r>
        <w:rPr>
          <w:rFonts w:ascii="Cambria Math" w:hAnsi="Cambria Math" w:eastAsia="Cambria Math"/>
          <w:spacing w:val="21"/>
        </w:rPr>
        <w:t> </w:t>
      </w:r>
      <w:r>
        <w:rPr>
          <w:rFonts w:ascii="Cambria Math" w:hAnsi="Cambria Math" w:eastAsia="Cambria Math"/>
        </w:rPr>
        <w:t>≡</w:t>
      </w:r>
      <w:r>
        <w:rPr>
          <w:rFonts w:ascii="Cambria Math" w:hAnsi="Cambria Math" w:eastAsia="Cambria Math"/>
          <w:spacing w:val="11"/>
        </w:rPr>
        <w:t> </w:t>
      </w:r>
      <w:r>
        <w:rPr>
          <w:rFonts w:ascii="Cambria Math" w:hAnsi="Cambria Math" w:eastAsia="Cambria Math"/>
        </w:rPr>
        <w:t>log</w:t>
      </w:r>
    </w:p>
    <w:p>
      <w:pPr>
        <w:spacing w:before="59"/>
        <w:ind w:left="190" w:right="4301" w:firstLine="0"/>
        <w:jc w:val="center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sz w:val="24"/>
        </w:rPr>
        <w:t>𝜀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6.8pt;height:.85pt;mso-position-horizontal-relative:char;mso-position-vertical-relative:line" coordorigin="0,0" coordsize="536,17">
            <v:rect style="position:absolute;left:0;top:0;width:536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right="4102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𝜀 −</w:t>
      </w:r>
      <w:r>
        <w:rPr>
          <w:rFonts w:ascii="Cambria Math" w:hAnsi="Cambria Math" w:eastAsia="Cambria Math"/>
          <w:spacing w:val="-6"/>
        </w:rPr>
        <w:t> </w:t>
      </w:r>
      <w:r>
        <w:rPr>
          <w:rFonts w:ascii="Cambria Math" w:hAnsi="Cambria Math" w:eastAsia="Cambria Math"/>
        </w:rPr>
        <w:t>1</w:t>
      </w:r>
    </w:p>
    <w:p>
      <w:pPr>
        <w:spacing w:after="0"/>
        <w:jc w:val="center"/>
        <w:rPr>
          <w:rFonts w:ascii="Cambria Math" w:hAnsi="Cambria Math" w:eastAsia="Cambria Math"/>
        </w:rPr>
        <w:sectPr>
          <w:type w:val="continuous"/>
          <w:pgSz w:w="12240" w:h="15840"/>
          <w:pgMar w:top="1500" w:bottom="1120" w:left="940" w:right="940"/>
          <w:cols w:num="2" w:equalWidth="0">
            <w:col w:w="5679" w:space="40"/>
            <w:col w:w="4641"/>
          </w:cols>
        </w:sectPr>
      </w:pPr>
    </w:p>
    <w:p>
      <w:pPr>
        <w:pStyle w:val="BodyText"/>
        <w:spacing w:before="9"/>
        <w:rPr>
          <w:rFonts w:ascii="Cambria Math"/>
          <w:sz w:val="15"/>
        </w:rPr>
      </w:pPr>
    </w:p>
    <w:p>
      <w:pPr>
        <w:pStyle w:val="BodyText"/>
        <w:spacing w:line="360" w:lineRule="auto" w:before="90"/>
        <w:ind w:left="500" w:right="563"/>
      </w:pPr>
      <w:r>
        <w:rPr/>
        <w:t>From equation (9), it can be deduced that firms set a price according to the desired mark-up over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weighted average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expected marginal cost</w:t>
      </w:r>
    </w:p>
    <w:p>
      <w:pPr>
        <w:spacing w:after="0" w:line="360" w:lineRule="auto"/>
        <w:sectPr>
          <w:type w:val="continuous"/>
          <w:pgSz w:w="12240" w:h="15840"/>
          <w:pgMar w:top="1500" w:bottom="1120" w:left="940" w:right="940"/>
        </w:sectPr>
      </w:pPr>
    </w:p>
    <w:p>
      <w:pPr>
        <w:pStyle w:val="Heading3"/>
        <w:spacing w:before="79"/>
      </w:pPr>
      <w:r>
        <w:rPr/>
        <w:t>Appendix</w:t>
      </w:r>
      <w:r>
        <w:rPr>
          <w:spacing w:val="-3"/>
        </w:rPr>
        <w:t> </w:t>
      </w:r>
      <w:r>
        <w:rPr/>
        <w:t>Nine:</w:t>
      </w:r>
      <w:r>
        <w:rPr>
          <w:spacing w:val="-2"/>
        </w:rPr>
        <w:t> </w:t>
      </w:r>
      <w:r>
        <w:rPr/>
        <w:t>Prior-Posterior</w:t>
      </w:r>
      <w:r>
        <w:rPr>
          <w:spacing w:val="-2"/>
        </w:rPr>
        <w:t> </w:t>
      </w:r>
      <w:r>
        <w:rPr/>
        <w:t>Plot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241">
            <wp:simplePos x="0" y="0"/>
            <wp:positionH relativeFrom="page">
              <wp:posOffset>1464901</wp:posOffset>
            </wp:positionH>
            <wp:positionV relativeFrom="paragraph">
              <wp:posOffset>112205</wp:posOffset>
            </wp:positionV>
            <wp:extent cx="4270884" cy="3441858"/>
            <wp:effectExtent l="0" t="0" r="0" b="0"/>
            <wp:wrapTopAndBottom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884" cy="3441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2240" w:h="15840"/>
          <w:pgMar w:header="0" w:footer="935" w:top="1360" w:bottom="1200" w:left="940" w:right="940"/>
        </w:sectPr>
      </w:pPr>
    </w:p>
    <w:p>
      <w:pPr>
        <w:pStyle w:val="BodyText"/>
        <w:spacing w:before="4"/>
        <w:rPr>
          <w:b/>
          <w:sz w:val="17"/>
        </w:rPr>
      </w:pPr>
    </w:p>
    <w:sectPr>
      <w:pgSz w:w="12240" w:h="15840"/>
      <w:pgMar w:header="0" w:footer="935" w:top="1500" w:bottom="1120" w:left="940" w:right="9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3.410004pt;margin-top:730.255981pt;width:23.45pt;height:13.05pt;mso-position-horizontal-relative:page;mso-position-vertical-relative:page;z-index:-214671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6.410004pt;margin-top:730.255981pt;width:17.3pt;height:13.05pt;mso-position-horizontal-relative:page;mso-position-vertical-relative:page;z-index:-214666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6.410004pt;margin-top:550.255981pt;width:17.3pt;height:13.05pt;mso-position-horizontal-relative:page;mso-position-vertical-relative:page;z-index:-214661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87.329987pt;margin-top:730.255981pt;width:37.6pt;height:13.05pt;mso-position-horizontal-relative:page;mso-position-vertical-relative:page;z-index:-214656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cxxxviii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3">
    <w:multiLevelType w:val="hybridMultilevel"/>
    <w:lvl w:ilvl="0">
      <w:start w:val="6"/>
      <w:numFmt w:val="decimal"/>
      <w:lvlText w:val="%1"/>
      <w:lvlJc w:val="left"/>
      <w:pPr>
        <w:ind w:left="1278" w:hanging="77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78" w:hanging="778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22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2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(%1)"/>
      <w:lvlJc w:val="left"/>
      <w:pPr>
        <w:ind w:left="500" w:hanging="34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86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2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8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4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0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6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2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346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5"/>
      <w:numFmt w:val="decimal"/>
      <w:lvlText w:val="%1"/>
      <w:lvlJc w:val="left"/>
      <w:pPr>
        <w:ind w:left="1018" w:hanging="519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018" w:hanging="519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8" w:hanging="5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2" w:hanging="5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6" w:hanging="5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5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4" w:hanging="5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8" w:hanging="5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2" w:hanging="519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5"/>
      <w:numFmt w:val="decimal"/>
      <w:lvlText w:val="%1"/>
      <w:lvlJc w:val="left"/>
      <w:pPr>
        <w:ind w:left="1213" w:hanging="713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13" w:hanging="71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13" w:hanging="71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2" w:hanging="7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6" w:hanging="7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0" w:hanging="7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4" w:hanging="7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8" w:hanging="7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2" w:hanging="713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upperLetter"/>
      <w:lvlText w:val="%1."/>
      <w:lvlJc w:val="left"/>
      <w:pPr>
        <w:ind w:left="824" w:hanging="324"/>
        <w:jc w:val="left"/>
      </w:pPr>
      <w:rPr>
        <w:rFonts w:hint="default"/>
        <w:b/>
        <w:bCs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74" w:hanging="32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8" w:hanging="3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2" w:hanging="3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6" w:hanging="3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3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4" w:hanging="3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8" w:hanging="3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2" w:hanging="324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upperLetter"/>
      <w:lvlText w:val="%1."/>
      <w:lvlJc w:val="left"/>
      <w:pPr>
        <w:ind w:left="824" w:hanging="324"/>
        <w:jc w:val="left"/>
      </w:pPr>
      <w:rPr>
        <w:rFonts w:hint="default"/>
        <w:b/>
        <w:bCs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74" w:hanging="32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8" w:hanging="3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2" w:hanging="3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6" w:hanging="3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3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4" w:hanging="3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8" w:hanging="3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2" w:hanging="324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5"/>
      <w:numFmt w:val="decimal"/>
      <w:lvlText w:val="%1"/>
      <w:lvlJc w:val="left"/>
      <w:pPr>
        <w:ind w:left="1213" w:hanging="71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13" w:hanging="71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13" w:hanging="71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2" w:hanging="7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6" w:hanging="7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0" w:hanging="7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4" w:hanging="7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8" w:hanging="7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2" w:hanging="713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(%1)"/>
      <w:lvlJc w:val="left"/>
      <w:pPr>
        <w:ind w:left="122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2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(%1)"/>
      <w:lvlJc w:val="left"/>
      <w:pPr>
        <w:ind w:left="841" w:hanging="34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220" w:hanging="360"/>
        <w:jc w:val="left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3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8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."/>
      <w:lvlJc w:val="left"/>
      <w:pPr>
        <w:ind w:left="1220" w:hanging="360"/>
        <w:jc w:val="left"/>
      </w:pPr>
      <w:rPr>
        <w:rFonts w:hint="default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2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Roman"/>
      <w:lvlText w:val="(%1)"/>
      <w:lvlJc w:val="left"/>
      <w:pPr>
        <w:ind w:left="810" w:hanging="31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74" w:hanging="31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8" w:hanging="31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2" w:hanging="3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6" w:hanging="3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3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4" w:hanging="3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8" w:hanging="3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2" w:hanging="31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(%1)"/>
      <w:lvlJc w:val="left"/>
      <w:pPr>
        <w:ind w:left="867" w:hanging="368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10" w:hanging="3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0" w:hanging="3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0" w:hanging="3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3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0" w:hanging="3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0" w:hanging="3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0" w:hanging="3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0" w:hanging="368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889" w:hanging="38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9" w:hanging="389"/>
        <w:jc w:val="left"/>
      </w:pPr>
      <w:rPr>
        <w:rFonts w:hint="default"/>
        <w:b/>
        <w:bCs/>
        <w:w w:val="9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60" w:hanging="66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22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20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43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66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90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13" w:hanging="6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889" w:hanging="389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889" w:hanging="389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6" w:hanging="3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24" w:hanging="3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2" w:hanging="3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0" w:hanging="3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8" w:hanging="3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6" w:hanging="3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4" w:hanging="389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."/>
      <w:lvlJc w:val="left"/>
      <w:pPr>
        <w:ind w:left="759" w:hanging="2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1">
      <w:start w:val="2"/>
      <w:numFmt w:val="decimal"/>
      <w:lvlText w:val="%2."/>
      <w:lvlJc w:val="left"/>
      <w:pPr>
        <w:ind w:left="122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3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8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lowerLetter"/>
      <w:lvlText w:val="%1."/>
      <w:lvlJc w:val="left"/>
      <w:pPr>
        <w:ind w:left="1220" w:hanging="360"/>
        <w:jc w:val="right"/>
      </w:pPr>
      <w:rPr>
        <w:rFonts w:hint="default"/>
        <w:b/>
        <w:bCs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2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1018" w:hanging="519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18" w:hanging="519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83" w:hanging="584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122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0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4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5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(%1)"/>
      <w:lvlJc w:val="left"/>
      <w:pPr>
        <w:ind w:left="625" w:hanging="300"/>
        <w:jc w:val="righ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6" w:hanging="3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8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45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51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57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64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70" w:hanging="30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954" w:hanging="45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4" w:hanging="454"/>
        <w:jc w:val="left"/>
      </w:pPr>
      <w:rPr>
        <w:rFonts w:hint="default"/>
        <w:b/>
        <w:bCs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0" w:hanging="4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0" w:hanging="4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0" w:hanging="4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4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0" w:hanging="4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0" w:hanging="4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80" w:hanging="454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500" w:hanging="23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86" w:hanging="23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2" w:hanging="23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8" w:hanging="23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4" w:hanging="23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0" w:hanging="23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6" w:hanging="23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2" w:hanging="23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238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Roman"/>
      <w:lvlText w:val="%1."/>
      <w:lvlJc w:val="left"/>
      <w:pPr>
        <w:ind w:left="1962" w:hanging="202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84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08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32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56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80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04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8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52" w:hanging="202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2000" w:hanging="240"/>
        <w:jc w:val="left"/>
      </w:pPr>
      <w:rPr>
        <w:rFonts w:hint="default"/>
        <w:b/>
        <w:bCs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20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40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60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80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20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40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60" w:hanging="24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21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5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84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2149" w:hanging="38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49" w:hanging="389"/>
        <w:jc w:val="left"/>
      </w:pPr>
      <w:rPr>
        <w:rFonts w:hint="default"/>
        <w:b/>
        <w:bCs/>
        <w:w w:val="9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43" w:hanging="584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2480" w:hanging="3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0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Roman"/>
      <w:lvlText w:val="%1."/>
      <w:lvlJc w:val="left"/>
      <w:pPr>
        <w:ind w:left="2067" w:hanging="3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74" w:hanging="30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88" w:hanging="3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02" w:hanging="3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16" w:hanging="3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30" w:hanging="3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44" w:hanging="3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58" w:hanging="3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72" w:hanging="307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Roman"/>
      <w:lvlText w:val="%1."/>
      <w:lvlJc w:val="left"/>
      <w:pPr>
        <w:ind w:left="2067" w:hanging="3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74" w:hanging="30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88" w:hanging="3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02" w:hanging="3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16" w:hanging="3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30" w:hanging="3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44" w:hanging="3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58" w:hanging="3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72" w:hanging="307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2278" w:hanging="51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78" w:hanging="519"/>
        <w:jc w:val="left"/>
      </w:pPr>
      <w:rPr>
        <w:rFonts w:hint="default"/>
        <w:b/>
        <w:bCs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64" w:hanging="5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56" w:hanging="5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48" w:hanging="5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40" w:hanging="5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32" w:hanging="5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24" w:hanging="5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16" w:hanging="519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2216" w:hanging="45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16" w:hanging="45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16" w:hanging="4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14" w:hanging="4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12" w:hanging="4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10" w:hanging="4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08" w:hanging="4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06" w:hanging="4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04" w:hanging="456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2278" w:hanging="459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278" w:hanging="45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36" w:hanging="57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1" w:hanging="5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26" w:hanging="5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22" w:hanging="5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17" w:hanging="5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3" w:hanging="5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8" w:hanging="576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2336" w:hanging="5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36" w:hanging="576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36" w:hanging="57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98" w:hanging="5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84" w:hanging="5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70" w:hanging="5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56" w:hanging="5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42" w:hanging="5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28" w:hanging="576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2110" w:hanging="35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10" w:hanging="35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288" w:hanging="5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60" w:hanging="5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65" w:hanging="5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1" w:hanging="5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7" w:hanging="5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2" w:hanging="5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8" w:hanging="528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2108" w:hanging="34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08" w:hanging="34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290" w:hanging="53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00" w:hanging="5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0" w:hanging="5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5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0" w:hanging="5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00" w:hanging="5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0" w:hanging="53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2113" w:hanging="35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13" w:hanging="35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0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7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5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7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5" w:hanging="5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106" w:hanging="34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06" w:hanging="34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20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30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40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50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60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70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80" w:hanging="346"/>
      </w:pPr>
      <w:rPr>
        <w:rFonts w:hint="default"/>
        <w:lang w:val="en-US" w:eastAsia="en-US" w:bidi="ar-SA"/>
      </w:rPr>
    </w:lvl>
  </w:abstract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72"/>
      <w:ind w:left="1760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99"/>
      <w:ind w:left="2290" w:hanging="53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500"/>
      <w:jc w:val="both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500" w:hanging="390"/>
      <w:outlineLvl w:val="2"/>
    </w:pPr>
    <w:rPr>
      <w:rFonts w:ascii="Times New Roman" w:hAnsi="Times New Roman" w:eastAsia="Times New Roman" w:cs="Times New Roman"/>
      <w:sz w:val="26"/>
      <w:szCs w:val="2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76"/>
      <w:ind w:left="500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20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footer" Target="footer4.xml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hyperlink" Target="https://pdfs.semanticscholar.org/94cc/54ef8abe1a2d9eaa95b82398d4412ee7c147.pdf" TargetMode="External"/><Relationship Id="rId30" Type="http://schemas.openxmlformats.org/officeDocument/2006/relationships/hyperlink" Target="https://ecomod.net/sites/default/files/document-conference/ecomod2010/1066.doc" TargetMode="External"/><Relationship Id="rId31" Type="http://schemas.openxmlformats.org/officeDocument/2006/relationships/hyperlink" Target="https://www.cbn.gov.ng/out/2017/rsd/occasional%20paper%2C%2059%20combined.pdf" TargetMode="External"/><Relationship Id="rId32" Type="http://schemas.openxmlformats.org/officeDocument/2006/relationships/hyperlink" Target="https://www.cerge-ei.cz/pdf/wp/Wp476.pdf" TargetMode="External"/><Relationship Id="rId33" Type="http://schemas.openxmlformats.org/officeDocument/2006/relationships/hyperlink" Target="http://ssrn.com/abstract%3D1535285" TargetMode="External"/><Relationship Id="rId34" Type="http://schemas.openxmlformats.org/officeDocument/2006/relationships/hyperlink" Target="https://www.philadelphiafed.org/research-and-data/.../2006/wp06-5.pdf" TargetMode="External"/><Relationship Id="rId35" Type="http://schemas.openxmlformats.org/officeDocument/2006/relationships/hyperlink" Target="http://www.researchgate.net/publication/263662301" TargetMode="External"/><Relationship Id="rId36" Type="http://schemas.openxmlformats.org/officeDocument/2006/relationships/hyperlink" Target="https://www.economics.ox.ac.uk/materials/papers/14431/paper-788.pdf" TargetMode="External"/><Relationship Id="rId37" Type="http://schemas.openxmlformats.org/officeDocument/2006/relationships/hyperlink" Target="https://www.researchgate.net/publication/23747779_Fiscal-Monetary_Policy_Coordination_And_Debt_Management_A_Two_Stage_Dynamic_Analysis" TargetMode="External"/><Relationship Id="rId38" Type="http://schemas.openxmlformats.org/officeDocument/2006/relationships/hyperlink" Target="https://econpapers.repec.org/article/eeejetheo/" TargetMode="External"/><Relationship Id="rId39" Type="http://schemas.openxmlformats.org/officeDocument/2006/relationships/hyperlink" Target="http://www.nber.org/books/gert04-1" TargetMode="External"/><Relationship Id="rId40" Type="http://schemas.openxmlformats.org/officeDocument/2006/relationships/hyperlink" Target="https://bergholt.weebly.com/uploads/1/1/8/4/11843961/the_basic_new_keynesian_model_-_drago_bergholt.pdf" TargetMode="External"/><Relationship Id="rId41" Type="http://schemas.openxmlformats.org/officeDocument/2006/relationships/hyperlink" Target="http://www.nber.org/papers/w20194" TargetMode="External"/><Relationship Id="rId42" Type="http://schemas.openxmlformats.org/officeDocument/2006/relationships/hyperlink" Target="http://www.jstor.org/stable/1912186" TargetMode="External"/><Relationship Id="rId43" Type="http://schemas.openxmlformats.org/officeDocument/2006/relationships/hyperlink" Target="https://ideas.repec.org/a/fip/fedkpr/y1982p3-46.html" TargetMode="External"/><Relationship Id="rId44" Type="http://schemas.openxmlformats.org/officeDocument/2006/relationships/hyperlink" Target="http://www.budgetoffice.gov.ng/index.php/resources/internal-resources/budget-documents" TargetMode="External"/><Relationship Id="rId45" Type="http://schemas.openxmlformats.org/officeDocument/2006/relationships/hyperlink" Target="http://www.nber.org/papers/w7302" TargetMode="External"/><Relationship Id="rId46" Type="http://schemas.openxmlformats.org/officeDocument/2006/relationships/hyperlink" Target="https://ideas.repec.org/p/tcb/wpaper/1104.html" TargetMode="External"/><Relationship Id="rId47" Type="http://schemas.openxmlformats.org/officeDocument/2006/relationships/hyperlink" Target="https://files.stlouisfed.org/files/htdocs/.../2013/Cekin_FRB_conference%20paper.pdf" TargetMode="External"/><Relationship Id="rId48" Type="http://schemas.openxmlformats.org/officeDocument/2006/relationships/hyperlink" Target="https://en.wikipedia.org/wiki/Central_Bank_of_Nigeria_Act_1958" TargetMode="External"/><Relationship Id="rId49" Type="http://schemas.openxmlformats.org/officeDocument/2006/relationships/hyperlink" Target="https://www.cbn.gov.ng/OUT/PUBLICATIONS/BSD/1991/CBNACT.PDF" TargetMode="External"/><Relationship Id="rId50" Type="http://schemas.openxmlformats.org/officeDocument/2006/relationships/hyperlink" Target="https://www.cbn.gov.ng/OUT/CIRCULARS/MPD/2007/MPC-48.PDF" TargetMode="External"/><Relationship Id="rId51" Type="http://schemas.openxmlformats.org/officeDocument/2006/relationships/hyperlink" Target="http://www.cbn.gov.ng/out/publications/bsd/2007/cbnact.pdf" TargetMode="External"/><Relationship Id="rId52" Type="http://schemas.openxmlformats.org/officeDocument/2006/relationships/hyperlink" Target="https://www.cbn.gov.ng/out/2012/ccd/series%203.pdf" TargetMode="External"/><Relationship Id="rId53" Type="http://schemas.openxmlformats.org/officeDocument/2006/relationships/hyperlink" Target="https://www.cbn.gov.ng/Out/2014/MPD/UNDERSTANDING%20MONETARY%20POLICY%20SERIES%20NO%205.pdf" TargetMode="External"/><Relationship Id="rId54" Type="http://schemas.openxmlformats.org/officeDocument/2006/relationships/hyperlink" Target="http://www.cbn.gov.ng/documents/Statbulletin.asp" TargetMode="External"/><Relationship Id="rId55" Type="http://schemas.openxmlformats.org/officeDocument/2006/relationships/hyperlink" Target="https://www.cbn.gov.ng/FAQS/FAQ.asp?Category=Monetary%2BPolicy" TargetMode="External"/><Relationship Id="rId56" Type="http://schemas.openxmlformats.org/officeDocument/2006/relationships/hyperlink" Target="https://www.cbn.gov.ng/MonetaryPolicy/Fiscal.asp" TargetMode="External"/><Relationship Id="rId57" Type="http://schemas.openxmlformats.org/officeDocument/2006/relationships/hyperlink" Target="https://www.cbn.gov.ng/Out/2017/MPD/Central%20Bank%20of%20Nigeria%20Communique%20No%20112%20Monetary%20Policy%20Committee%20Meeting%20March%2021%202017.pdf" TargetMode="External"/><Relationship Id="rId58" Type="http://schemas.openxmlformats.org/officeDocument/2006/relationships/hyperlink" Target="http://www.nber.org/papers/w7668.pdf" TargetMode="External"/><Relationship Id="rId59" Type="http://schemas.openxmlformats.org/officeDocument/2006/relationships/hyperlink" Target="http://publish.wm.edu/honorstheses/1013" TargetMode="External"/><Relationship Id="rId60" Type="http://schemas.openxmlformats.org/officeDocument/2006/relationships/hyperlink" Target="http://www.nber.org/papers/w15133" TargetMode="External"/><Relationship Id="rId61" Type="http://schemas.openxmlformats.org/officeDocument/2006/relationships/hyperlink" Target="http://www.jstor.org/stable/3132140" TargetMode="External"/><Relationship Id="rId62" Type="http://schemas.openxmlformats.org/officeDocument/2006/relationships/hyperlink" Target="https://www.cbsl.gov.lk/sites/default/files/Optimal_Monetary_and_Fiscal_Policy_Analysis_for_Sri%20Lanka_full.pdf" TargetMode="External"/><Relationship Id="rId63" Type="http://schemas.openxmlformats.org/officeDocument/2006/relationships/hyperlink" Target="https://www.researchgate.net/publication/300366086_Fiscal_and_Monetary_Policy_Coordination_in_the_WAMZ_Implications_for_Member_States%27_Performance_on_the_Convergence_Criteria" TargetMode="External"/><Relationship Id="rId64" Type="http://schemas.openxmlformats.org/officeDocument/2006/relationships/hyperlink" Target="http://www.nigeria-law.org/ConstitutionOfTheFederalRepublicOfNigeria.htm" TargetMode="External"/><Relationship Id="rId65" Type="http://schemas.openxmlformats.org/officeDocument/2006/relationships/hyperlink" Target="http://www.nber.org/papers/w21862" TargetMode="External"/><Relationship Id="rId66" Type="http://schemas.openxmlformats.org/officeDocument/2006/relationships/hyperlink" Target="http://internationalbudget.org/wp-content/uploads/Nigeria-FiscalResponsibilityAct2007-English.pdf" TargetMode="External"/><Relationship Id="rId67" Type="http://schemas.openxmlformats.org/officeDocument/2006/relationships/hyperlink" Target="https://www.macro.uni-freiburg.de/publications/research_flotho/dsge_models" TargetMode="External"/><Relationship Id="rId68" Type="http://schemas.openxmlformats.org/officeDocument/2006/relationships/hyperlink" Target="https://www.cnb.cz/en/research/research_publications/cnb_wp/2012/cnbwp_2012_06.html" TargetMode="External"/><Relationship Id="rId69" Type="http://schemas.openxmlformats.org/officeDocument/2006/relationships/hyperlink" Target="https://www.researchgate.net/publication/272242060_Estimating_US_Fiscal_and_Monetary_Interactions_From_Volcker_Chairmanship_to_the_Great_Recession" TargetMode="External"/><Relationship Id="rId70" Type="http://schemas.openxmlformats.org/officeDocument/2006/relationships/hyperlink" Target="https://econpapers.repec.org/article/eeedyncon/" TargetMode="External"/><Relationship Id="rId71" Type="http://schemas.openxmlformats.org/officeDocument/2006/relationships/hyperlink" Target="https://www.banqueducanada.ca/wpcontent/uploads/2016/02/swp2016-3.pdf" TargetMode="External"/><Relationship Id="rId72" Type="http://schemas.openxmlformats.org/officeDocument/2006/relationships/hyperlink" Target="https://ideas.repec.org/p/fip/fedgfe/2013-58.html" TargetMode="External"/><Relationship Id="rId73" Type="http://schemas.openxmlformats.org/officeDocument/2006/relationships/hyperlink" Target="http://www.dynare.org/documentation-and-support/user.../Dynare-UserGuide-WebBeta.%09pdf" TargetMode="External"/><Relationship Id="rId74" Type="http://schemas.openxmlformats.org/officeDocument/2006/relationships/hyperlink" Target="https://hermes-ir.lib.hit-u.ac.jp/rs/bitstream/10086/.../070_hiasDP-E-27.pdf" TargetMode="External"/><Relationship Id="rId75" Type="http://schemas.openxmlformats.org/officeDocument/2006/relationships/hyperlink" Target="http://www.econlib.org/library/" TargetMode="External"/><Relationship Id="rId76" Type="http://schemas.openxmlformats.org/officeDocument/2006/relationships/hyperlink" Target="http://www.econlib.org/library/Enc/NewClassicalMacroeconomics.html" TargetMode="External"/><Relationship Id="rId77" Type="http://schemas.openxmlformats.org/officeDocument/2006/relationships/hyperlink" Target="http://www.imf.org/external/datamapper/fiscalrules/map/map.htm" TargetMode="External"/><Relationship Id="rId78" Type="http://schemas.openxmlformats.org/officeDocument/2006/relationships/hyperlink" Target="https://econpapers.repec.org/paper/esjesridp/" TargetMode="External"/><Relationship Id="rId79" Type="http://schemas.openxmlformats.org/officeDocument/2006/relationships/hyperlink" Target="https://econpapers.repec.org/scripts/redir.pf?u=http%3A%2F%2Fwww.esri.go.jp%2Fjp%2Farchive%2Fe_dis%2Fe_dis216%2Fe_dis216.pdf%3Bh%3Drepec%3Aesj%3Aesridp%3A216" TargetMode="External"/><Relationship Id="rId80" Type="http://schemas.openxmlformats.org/officeDocument/2006/relationships/hyperlink" Target="http://www.imf.org/external/pubs/ft/fandd/2014/03/basics.htm" TargetMode="External"/><Relationship Id="rId81" Type="http://schemas.openxmlformats.org/officeDocument/2006/relationships/hyperlink" Target="http://www.imf.org/external/pubs/ft/fandd/2014/09/basics.htm" TargetMode="External"/><Relationship Id="rId82" Type="http://schemas.openxmlformats.org/officeDocument/2006/relationships/hyperlink" Target="http://dx.doi.org/10.11118/actaun201462020373" TargetMode="External"/><Relationship Id="rId83" Type="http://schemas.openxmlformats.org/officeDocument/2006/relationships/hyperlink" Target="https://www.princeton.edu/~Mwatson/.../Algor6.Pdf" TargetMode="External"/><Relationship Id="rId84" Type="http://schemas.openxmlformats.org/officeDocument/2006/relationships/hyperlink" Target="https://ideas.repec.org/p/zbw/iwhdps/iwh-17-15.html" TargetMode="External"/><Relationship Id="rId85" Type="http://schemas.openxmlformats.org/officeDocument/2006/relationships/hyperlink" Target="http://www.nber.org/papers/w19686" TargetMode="External"/><Relationship Id="rId86" Type="http://schemas.openxmlformats.org/officeDocument/2006/relationships/hyperlink" Target="http://www.nber.org/papers/w18877" TargetMode="External"/><Relationship Id="rId87" Type="http://schemas.openxmlformats.org/officeDocument/2006/relationships/hyperlink" Target="https://econpapers.repec.org/article/anpeconom/" TargetMode="External"/><Relationship Id="rId88" Type="http://schemas.openxmlformats.org/officeDocument/2006/relationships/hyperlink" Target="http://scholar.harvard.edu/mankiw/publications/macroeconomics-7th-edition" TargetMode="External"/><Relationship Id="rId89" Type="http://schemas.openxmlformats.org/officeDocument/2006/relationships/hyperlink" Target="https://www.bis.org/events/cbcd06g.pdf" TargetMode="External"/><Relationship Id="rId90" Type="http://schemas.openxmlformats.org/officeDocument/2006/relationships/hyperlink" Target="https://ideas.repec.org/p/hhs/uunewp/2015_006.html" TargetMode="External"/><Relationship Id="rId91" Type="http://schemas.openxmlformats.org/officeDocument/2006/relationships/hyperlink" Target="https://ideas.repec.org/s/eee/moneco.html" TargetMode="External"/><Relationship Id="rId92" Type="http://schemas.openxmlformats.org/officeDocument/2006/relationships/hyperlink" Target="https://www0.gsb.columbia.edu/faculty/fmishkin/PDFpapers/00BOMEX.pdf" TargetMode="External"/><Relationship Id="rId93" Type="http://schemas.openxmlformats.org/officeDocument/2006/relationships/hyperlink" Target="https://www.cbn.gov.ng/out/2015/rsd/dynamic%20stochastic%20general%20equilibrium%20model%20for%20monetary%20policy%20analysis%20in%20nigeria.pdf" TargetMode="External"/><Relationship Id="rId94" Type="http://schemas.openxmlformats.org/officeDocument/2006/relationships/hyperlink" Target="https://www.cesifo-group.de/DocDL/cesifo_wp817.pdf" TargetMode="External"/><Relationship Id="rId95" Type="http://schemas.openxmlformats.org/officeDocument/2006/relationships/hyperlink" Target="https://www.gla.ac.uk/media/media_22210_en.pdf" TargetMode="External"/><Relationship Id="rId96" Type="http://schemas.openxmlformats.org/officeDocument/2006/relationships/hyperlink" Target="https://www.researchgate.net/publication/229053244" TargetMode="External"/><Relationship Id="rId97" Type="http://schemas.openxmlformats.org/officeDocument/2006/relationships/hyperlink" Target="https://www.brookings.edu/bpea-articles/policy-games-coordination-and-independence-in%20monetary-and-fiscal-policies/" TargetMode="External"/><Relationship Id="rId98" Type="http://schemas.openxmlformats.org/officeDocument/2006/relationships/hyperlink" Target="http://www.ufrgs.br/ppge/pcientifica/2010_01.pdf" TargetMode="External"/><Relationship Id="rId99" Type="http://schemas.openxmlformats.org/officeDocument/2006/relationships/hyperlink" Target="http://mpra.ub.uni-muechen.de/16180" TargetMode="External"/><Relationship Id="rId100" Type="http://schemas.openxmlformats.org/officeDocument/2006/relationships/hyperlink" Target="http://citeseerx.ist.psu.edu/viewdoc/download?doi=10.1.1.528.9169&amp;rep=rep1&amp;type=pdf" TargetMode="External"/><Relationship Id="rId101" Type="http://schemas.openxmlformats.org/officeDocument/2006/relationships/hyperlink" Target="http://www.bcu.gub.uy/Comunicaciones/.../t_portugal_marcelo_2011_.pdf" TargetMode="External"/><Relationship Id="rId102" Type="http://schemas.openxmlformats.org/officeDocument/2006/relationships/hyperlink" Target="http://www.nber.org/papers/w8214" TargetMode="External"/><Relationship Id="rId103" Type="http://schemas.openxmlformats.org/officeDocument/2006/relationships/hyperlink" Target="https://www.researchgate.net/publication/258507275" TargetMode="External"/><Relationship Id="rId104" Type="http://schemas.openxmlformats.org/officeDocument/2006/relationships/hyperlink" Target="http://www.hkimr.org/uploads/conference_detail/697/con_paper_0_284_hktut3.pdf" TargetMode="External"/><Relationship Id="rId105" Type="http://schemas.openxmlformats.org/officeDocument/2006/relationships/hyperlink" Target="http://www.jstor.org/stable/2224098" TargetMode="External"/><Relationship Id="rId106" Type="http://schemas.openxmlformats.org/officeDocument/2006/relationships/hyperlink" Target="https://www.birmingham.ac.uk/Documents/college-social-sciences/.../11-02.pdf" TargetMode="External"/><Relationship Id="rId107" Type="http://schemas.openxmlformats.org/officeDocument/2006/relationships/hyperlink" Target="http://www.nber.org/papers/w11401" TargetMode="External"/><Relationship Id="rId108" Type="http://schemas.openxmlformats.org/officeDocument/2006/relationships/hyperlink" Target="https://rbidocs.rbi.org.in/rdocs/Publications/PDFs/5FISCAL250213.pdf" TargetMode="External"/><Relationship Id="rId109" Type="http://schemas.openxmlformats.org/officeDocument/2006/relationships/hyperlink" Target="http://citeseerx.ist.psu.edu/viewdoc/download?doi=10.1.1.695.1582&amp;rep=rep1&amp;type%20%20=pdf" TargetMode="External"/><Relationship Id="rId110" Type="http://schemas.openxmlformats.org/officeDocument/2006/relationships/hyperlink" Target="https://pdfs.semanticscholar.org/e032/efaf5b37de4820487b1c23e5efb7c68ce8ba.pdf" TargetMode="External"/><Relationship Id="rId111" Type="http://schemas.openxmlformats.org/officeDocument/2006/relationships/hyperlink" Target="http://econpapers.repec.org/article/sprannopr/" TargetMode="External"/><Relationship Id="rId112" Type="http://schemas.openxmlformats.org/officeDocument/2006/relationships/hyperlink" Target="https://ideas.repec.org/p/ant/wpaper/2011004.html" TargetMode="External"/><Relationship Id="rId113" Type="http://schemas.openxmlformats.org/officeDocument/2006/relationships/hyperlink" Target="https://mpra.ub.uni-muenchen.de/72595/" TargetMode="External"/><Relationship Id="rId114" Type="http://schemas.openxmlformats.org/officeDocument/2006/relationships/hyperlink" Target="https://mpra.ub.uni-muenchen.de/40947/" TargetMode="External"/><Relationship Id="rId115" Type="http://schemas.openxmlformats.org/officeDocument/2006/relationships/hyperlink" Target="http://hdl.handle.net/1765/15884" TargetMode="External"/><Relationship Id="rId116" Type="http://schemas.openxmlformats.org/officeDocument/2006/relationships/hyperlink" Target="https://ideas.repec.org/p/bis/biswps/258.html" TargetMode="External"/><Relationship Id="rId117" Type="http://schemas.openxmlformats.org/officeDocument/2006/relationships/hyperlink" Target="https://ideas.repec.org/s/bis/biswps.html" TargetMode="External"/><Relationship Id="rId118" Type="http://schemas.openxmlformats.org/officeDocument/2006/relationships/hyperlink" Target="https://www.bis.org/publ/work258.pdf" TargetMode="External"/><Relationship Id="rId119" Type="http://schemas.openxmlformats.org/officeDocument/2006/relationships/hyperlink" Target="http://www.transparency.org/cpi" TargetMode="External"/><Relationship Id="rId120" Type="http://schemas.openxmlformats.org/officeDocument/2006/relationships/hyperlink" Target="https://econpapers.repec.org/article/eeeeecrev/" TargetMode="External"/><Relationship Id="rId121" Type="http://schemas.openxmlformats.org/officeDocument/2006/relationships/hyperlink" Target="https://ideas.repec.org/p/pra/mprapa/51562.html" TargetMode="External"/><Relationship Id="rId122" Type="http://schemas.openxmlformats.org/officeDocument/2006/relationships/hyperlink" Target="http://www.gla.ac.uk/media/media_22210_en.pdf" TargetMode="External"/><Relationship Id="rId123" Type="http://schemas.openxmlformats.org/officeDocument/2006/relationships/hyperlink" Target="http://www.worldbank.org/en/topic/macroeconomics/brief/macroeconomic%20policy" TargetMode="External"/><Relationship Id="rId124" Type="http://schemas.openxmlformats.org/officeDocument/2006/relationships/hyperlink" Target="https://datacatalog.worldbank.org/dataset/world-development-indicators" TargetMode="External"/><Relationship Id="rId125" Type="http://schemas.openxmlformats.org/officeDocument/2006/relationships/hyperlink" Target="http://www.govindicators.org/" TargetMode="External"/><Relationship Id="rId126" Type="http://schemas.openxmlformats.org/officeDocument/2006/relationships/hyperlink" Target="https://www.economics.ox.ac.uk/materials/working_papers/paper540.pdf" TargetMode="External"/><Relationship Id="rId127" Type="http://schemas.openxmlformats.org/officeDocument/2006/relationships/hyperlink" Target="http://www.nigerianmuse.com/20130907011016zg/nigeria-watch/debt-manageme%09nt-in-nigeria-fiscal-responsibility-and-public-debt-by-alhaji-dr-aliyu-jibril-yelwa/" TargetMode="External"/><Relationship Id="rId128" Type="http://schemas.openxmlformats.org/officeDocument/2006/relationships/image" Target="media/image21.png"/><Relationship Id="rId129" Type="http://schemas.openxmlformats.org/officeDocument/2006/relationships/image" Target="media/image22.png"/><Relationship Id="rId130" Type="http://schemas.openxmlformats.org/officeDocument/2006/relationships/image" Target="media/image23.png"/><Relationship Id="rId131" Type="http://schemas.openxmlformats.org/officeDocument/2006/relationships/image" Target="media/image24.jpeg"/><Relationship Id="rId132" Type="http://schemas.openxmlformats.org/officeDocument/2006/relationships/image" Target="media/image25.jpeg"/><Relationship Id="rId133" Type="http://schemas.openxmlformats.org/officeDocument/2006/relationships/image" Target="media/image26.jpeg"/><Relationship Id="rId134" Type="http://schemas.openxmlformats.org/officeDocument/2006/relationships/image" Target="media/image27.png"/><Relationship Id="rId135" Type="http://schemas.openxmlformats.org/officeDocument/2006/relationships/image" Target="media/image28.png"/><Relationship Id="rId136" Type="http://schemas.openxmlformats.org/officeDocument/2006/relationships/image" Target="media/image29.png"/><Relationship Id="rId137" Type="http://schemas.openxmlformats.org/officeDocument/2006/relationships/image" Target="media/image30.png"/><Relationship Id="rId138" Type="http://schemas.openxmlformats.org/officeDocument/2006/relationships/image" Target="media/image31.png"/><Relationship Id="rId1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dcterms:created xsi:type="dcterms:W3CDTF">2023-11-14T20:08:09Z</dcterms:created>
  <dcterms:modified xsi:type="dcterms:W3CDTF">2023-11-14T20:08:09Z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2023-11-14T00:00:00Z</vt:filetime>
  </property>
</Properties>
</file>